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27"/>
        </w:tabs>
        <w:spacing w:line="360" w:lineRule="auto"/>
        <w:jc w:val="left"/>
        <w:rPr>
          <w:rFonts w:ascii="宋体" w:hAnsi="宋体"/>
          <w:b/>
          <w:color w:val="auto"/>
          <w:spacing w:val="20"/>
          <w:sz w:val="28"/>
          <w:szCs w:val="28"/>
          <w:highlight w:val="none"/>
        </w:rPr>
      </w:pPr>
    </w:p>
    <w:p>
      <w:pPr>
        <w:tabs>
          <w:tab w:val="left" w:pos="2127"/>
        </w:tabs>
        <w:spacing w:line="360" w:lineRule="auto"/>
        <w:jc w:val="both"/>
        <w:rPr>
          <w:rFonts w:hint="eastAsia" w:ascii="宋体" w:hAnsi="宋体" w:eastAsia="宋体"/>
          <w:b/>
          <w:color w:val="auto"/>
          <w:sz w:val="44"/>
          <w:highlight w:val="none"/>
          <w:u w:val="single"/>
          <w:lang w:val="en-US" w:eastAsia="zh-CN"/>
        </w:rPr>
      </w:pPr>
    </w:p>
    <w:p>
      <w:pPr>
        <w:tabs>
          <w:tab w:val="left" w:pos="2127"/>
        </w:tabs>
        <w:spacing w:line="360" w:lineRule="auto"/>
        <w:jc w:val="center"/>
        <w:rPr>
          <w:rFonts w:hint="eastAsia" w:ascii="宋体" w:hAnsi="宋体" w:eastAsia="宋体"/>
          <w:b/>
          <w:color w:val="auto"/>
          <w:sz w:val="44"/>
          <w:highlight w:val="none"/>
          <w:lang w:eastAsia="zh-CN"/>
        </w:rPr>
      </w:pPr>
      <w:r>
        <w:rPr>
          <w:rFonts w:hint="eastAsia" w:ascii="宋体" w:hAnsi="宋体"/>
          <w:b/>
          <w:color w:val="auto"/>
          <w:sz w:val="44"/>
          <w:highlight w:val="none"/>
          <w:lang w:eastAsia="zh-CN"/>
        </w:rPr>
        <w:t>110千伏桃花输变电工程(变电站建筑)施工总承包项目</w:t>
      </w:r>
    </w:p>
    <w:p>
      <w:pPr>
        <w:tabs>
          <w:tab w:val="left" w:pos="2127"/>
        </w:tabs>
        <w:spacing w:line="360" w:lineRule="auto"/>
        <w:jc w:val="center"/>
        <w:rPr>
          <w:rFonts w:ascii="宋体" w:hAnsi="宋体"/>
          <w:b/>
          <w:color w:val="auto"/>
          <w:sz w:val="44"/>
          <w:highlight w:val="none"/>
        </w:rPr>
      </w:pPr>
    </w:p>
    <w:p>
      <w:pPr>
        <w:pStyle w:val="16"/>
        <w:rPr>
          <w:rFonts w:ascii="宋体" w:hAnsi="宋体"/>
          <w:b/>
          <w:color w:val="auto"/>
          <w:sz w:val="44"/>
          <w:highlight w:val="none"/>
        </w:rPr>
      </w:pPr>
    </w:p>
    <w:p>
      <w:pPr>
        <w:pStyle w:val="17"/>
        <w:rPr>
          <w:rFonts w:ascii="宋体" w:hAnsi="宋体"/>
          <w:b/>
          <w:color w:val="auto"/>
          <w:sz w:val="44"/>
          <w:highlight w:val="none"/>
        </w:rPr>
      </w:pPr>
    </w:p>
    <w:p>
      <w:pPr>
        <w:pStyle w:val="18"/>
        <w:rPr>
          <w:color w:val="auto"/>
          <w:highlight w:val="none"/>
        </w:rPr>
      </w:pPr>
    </w:p>
    <w:p>
      <w:pPr>
        <w:tabs>
          <w:tab w:val="left" w:pos="2127"/>
        </w:tabs>
        <w:spacing w:line="360" w:lineRule="auto"/>
        <w:jc w:val="center"/>
        <w:rPr>
          <w:rFonts w:ascii="宋体" w:hAnsi="宋体"/>
          <w:b/>
          <w:color w:val="auto"/>
          <w:sz w:val="84"/>
          <w:highlight w:val="none"/>
        </w:rPr>
      </w:pPr>
      <w:r>
        <w:rPr>
          <w:rFonts w:hint="eastAsia" w:ascii="宋体" w:hAnsi="宋体"/>
          <w:b/>
          <w:color w:val="auto"/>
          <w:sz w:val="84"/>
          <w:highlight w:val="none"/>
        </w:rPr>
        <w:t>招标文件</w:t>
      </w:r>
    </w:p>
    <w:p>
      <w:pPr>
        <w:tabs>
          <w:tab w:val="left" w:pos="2127"/>
        </w:tabs>
        <w:spacing w:line="360" w:lineRule="auto"/>
        <w:jc w:val="center"/>
        <w:rPr>
          <w:rFonts w:ascii="宋体" w:hAnsi="宋体"/>
          <w:b/>
          <w:color w:val="auto"/>
          <w:sz w:val="44"/>
          <w:highlight w:val="none"/>
        </w:rPr>
      </w:pPr>
    </w:p>
    <w:p>
      <w:pPr>
        <w:tabs>
          <w:tab w:val="left" w:pos="2127"/>
        </w:tabs>
        <w:spacing w:line="360" w:lineRule="auto"/>
        <w:rPr>
          <w:rFonts w:ascii="宋体" w:hAnsi="宋体"/>
          <w:color w:val="auto"/>
          <w:sz w:val="32"/>
          <w:highlight w:val="none"/>
        </w:rPr>
      </w:pPr>
    </w:p>
    <w:p>
      <w:pPr>
        <w:tabs>
          <w:tab w:val="left" w:pos="2127"/>
        </w:tabs>
        <w:spacing w:line="360" w:lineRule="auto"/>
        <w:rPr>
          <w:rFonts w:ascii="宋体" w:hAnsi="宋体"/>
          <w:color w:val="auto"/>
          <w:sz w:val="32"/>
          <w:highlight w:val="none"/>
        </w:rPr>
      </w:pPr>
    </w:p>
    <w:p>
      <w:pPr>
        <w:tabs>
          <w:tab w:val="left" w:pos="2127"/>
        </w:tabs>
        <w:spacing w:line="360" w:lineRule="auto"/>
        <w:rPr>
          <w:rFonts w:ascii="宋体" w:hAnsi="宋体"/>
          <w:color w:val="auto"/>
          <w:sz w:val="32"/>
          <w:highlight w:val="none"/>
        </w:rPr>
      </w:pPr>
    </w:p>
    <w:p>
      <w:pPr>
        <w:tabs>
          <w:tab w:val="left" w:pos="2127"/>
        </w:tabs>
        <w:spacing w:line="360" w:lineRule="auto"/>
        <w:jc w:val="center"/>
        <w:rPr>
          <w:rFonts w:ascii="宋体" w:hAnsi="宋体"/>
          <w:color w:val="auto"/>
          <w:sz w:val="32"/>
          <w:highlight w:val="none"/>
        </w:rPr>
      </w:pPr>
      <w:r>
        <w:rPr>
          <w:rFonts w:hint="eastAsia" w:ascii="宋体" w:hAnsi="宋体"/>
          <w:b/>
          <w:color w:val="auto"/>
          <w:sz w:val="36"/>
          <w:highlight w:val="none"/>
        </w:rPr>
        <w:t>招 标 人：</w:t>
      </w:r>
      <w:r>
        <w:rPr>
          <w:rFonts w:hint="eastAsia" w:ascii="宋体" w:hAnsi="宋体"/>
          <w:b/>
          <w:color w:val="auto"/>
          <w:sz w:val="36"/>
          <w:highlight w:val="none"/>
          <w:u w:val="single"/>
          <w:lang w:eastAsia="zh-CN"/>
        </w:rPr>
        <w:t>广州公交集团新能源发展有限责任公司</w:t>
      </w:r>
    </w:p>
    <w:p>
      <w:pPr>
        <w:tabs>
          <w:tab w:val="left" w:pos="2127"/>
        </w:tabs>
        <w:spacing w:line="360" w:lineRule="auto"/>
        <w:jc w:val="center"/>
        <w:rPr>
          <w:rFonts w:hint="eastAsia" w:ascii="宋体" w:hAnsi="宋体"/>
          <w:b/>
          <w:color w:val="auto"/>
          <w:sz w:val="36"/>
          <w:highlight w:val="none"/>
        </w:rPr>
      </w:pPr>
    </w:p>
    <w:p>
      <w:pPr>
        <w:tabs>
          <w:tab w:val="left" w:pos="2127"/>
        </w:tabs>
        <w:spacing w:line="360" w:lineRule="auto"/>
        <w:jc w:val="center"/>
        <w:rPr>
          <w:rFonts w:hint="eastAsia" w:ascii="宋体" w:hAnsi="宋体" w:eastAsia="宋体"/>
          <w:b/>
          <w:color w:val="auto"/>
          <w:sz w:val="36"/>
          <w:highlight w:val="none"/>
          <w:lang w:eastAsia="zh-CN"/>
        </w:rPr>
      </w:pPr>
      <w:r>
        <w:rPr>
          <w:rFonts w:hint="eastAsia" w:ascii="宋体" w:hAnsi="宋体"/>
          <w:b/>
          <w:color w:val="auto"/>
          <w:sz w:val="36"/>
          <w:highlight w:val="none"/>
        </w:rPr>
        <w:t>招标代理：</w:t>
      </w:r>
      <w:r>
        <w:rPr>
          <w:rFonts w:hint="eastAsia" w:ascii="宋体" w:hAnsi="宋体"/>
          <w:b/>
          <w:color w:val="auto"/>
          <w:sz w:val="36"/>
          <w:highlight w:val="none"/>
          <w:u w:val="single"/>
          <w:lang w:eastAsia="zh-CN"/>
        </w:rPr>
        <w:t>广州竣盛工程造价咨询有限公司</w:t>
      </w:r>
    </w:p>
    <w:p>
      <w:pPr>
        <w:tabs>
          <w:tab w:val="left" w:pos="2127"/>
        </w:tabs>
        <w:spacing w:line="360" w:lineRule="auto"/>
        <w:jc w:val="center"/>
        <w:rPr>
          <w:rFonts w:ascii="宋体" w:hAnsi="宋体"/>
          <w:b/>
          <w:color w:val="auto"/>
          <w:sz w:val="36"/>
          <w:highlight w:val="none"/>
        </w:rPr>
      </w:pPr>
    </w:p>
    <w:p>
      <w:pPr>
        <w:jc w:val="center"/>
        <w:rPr>
          <w:rFonts w:hint="eastAsia" w:ascii="宋体" w:hAnsi="宋体" w:cs="楷体_GB2312"/>
          <w:b/>
          <w:color w:val="auto"/>
          <w:sz w:val="36"/>
          <w:highlight w:val="none"/>
          <w:u w:val="single"/>
        </w:rPr>
      </w:pPr>
      <w:r>
        <w:rPr>
          <w:rFonts w:hint="eastAsia" w:ascii="宋体" w:hAnsi="宋体" w:cs="楷体_GB2312"/>
          <w:b/>
          <w:color w:val="auto"/>
          <w:sz w:val="36"/>
          <w:highlight w:val="none"/>
          <w:u w:val="single"/>
        </w:rPr>
        <w:t>20</w:t>
      </w:r>
      <w:r>
        <w:rPr>
          <w:rFonts w:hint="eastAsia" w:ascii="宋体" w:hAnsi="宋体" w:cs="楷体_GB2312"/>
          <w:b/>
          <w:color w:val="auto"/>
          <w:sz w:val="36"/>
          <w:highlight w:val="none"/>
          <w:u w:val="single"/>
          <w:lang w:val="en-US" w:eastAsia="zh-CN"/>
        </w:rPr>
        <w:t>23</w:t>
      </w:r>
      <w:r>
        <w:rPr>
          <w:rFonts w:hint="eastAsia" w:ascii="宋体" w:hAnsi="宋体" w:cs="楷体_GB2312"/>
          <w:b/>
          <w:color w:val="auto"/>
          <w:sz w:val="36"/>
          <w:highlight w:val="none"/>
          <w:u w:val="single"/>
        </w:rPr>
        <w:t>年</w:t>
      </w:r>
      <w:r>
        <w:rPr>
          <w:rFonts w:hint="eastAsia" w:ascii="宋体" w:hAnsi="宋体" w:cs="楷体_GB2312"/>
          <w:b/>
          <w:color w:val="auto"/>
          <w:sz w:val="36"/>
          <w:highlight w:val="none"/>
          <w:u w:val="single"/>
          <w:lang w:val="en-US" w:eastAsia="zh-CN"/>
        </w:rPr>
        <w:t>9</w:t>
      </w:r>
      <w:r>
        <w:rPr>
          <w:rFonts w:hint="eastAsia" w:ascii="宋体" w:hAnsi="宋体" w:cs="楷体_GB2312"/>
          <w:b/>
          <w:color w:val="auto"/>
          <w:sz w:val="36"/>
          <w:highlight w:val="none"/>
          <w:u w:val="single"/>
        </w:rPr>
        <w:t>月</w:t>
      </w:r>
    </w:p>
    <w:p>
      <w:pPr>
        <w:rPr>
          <w:rFonts w:hint="eastAsia" w:ascii="宋体" w:hAnsi="宋体" w:cs="楷体_GB2312"/>
          <w:b/>
          <w:color w:val="auto"/>
          <w:sz w:val="36"/>
          <w:highlight w:val="none"/>
          <w:u w:val="single"/>
        </w:rPr>
      </w:pPr>
    </w:p>
    <w:p>
      <w:pPr>
        <w:pStyle w:val="143"/>
        <w:jc w:val="center"/>
        <w:rPr>
          <w:b/>
          <w:color w:val="auto"/>
          <w:highlight w:val="none"/>
          <w:lang w:val="zh-CN"/>
        </w:rPr>
        <w:sectPr>
          <w:headerReference r:id="rId4" w:type="first"/>
          <w:footerReference r:id="rId7" w:type="first"/>
          <w:headerReference r:id="rId3" w:type="default"/>
          <w:footerReference r:id="rId5" w:type="default"/>
          <w:footerReference r:id="rId6" w:type="even"/>
          <w:type w:val="continuous"/>
          <w:pgSz w:w="11906" w:h="16838"/>
          <w:pgMar w:top="1418" w:right="1418" w:bottom="1418" w:left="1418" w:header="964"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143"/>
        <w:jc w:val="center"/>
        <w:rPr>
          <w:b/>
          <w:color w:val="auto"/>
          <w:highlight w:val="none"/>
        </w:rPr>
      </w:pPr>
      <w:r>
        <w:rPr>
          <w:b/>
          <w:color w:val="auto"/>
          <w:highlight w:val="none"/>
          <w:lang w:val="zh-CN"/>
        </w:rPr>
        <w:t>目录</w:t>
      </w:r>
    </w:p>
    <w:p>
      <w:pPr>
        <w:pStyle w:val="29"/>
        <w:tabs>
          <w:tab w:val="right" w:leader="dot" w:pos="9070"/>
        </w:tabs>
        <w:rPr>
          <w:color w:val="auto"/>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_Toc20752 </w:instrText>
      </w:r>
      <w:r>
        <w:rPr>
          <w:color w:val="auto"/>
          <w:highlight w:val="none"/>
        </w:rPr>
        <w:fldChar w:fldCharType="separate"/>
      </w:r>
      <w:r>
        <w:rPr>
          <w:rFonts w:hint="eastAsia"/>
          <w:color w:val="auto"/>
          <w:szCs w:val="32"/>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_Toc20752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29"/>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_Toc31902 </w:instrText>
      </w:r>
      <w:r>
        <w:rPr>
          <w:bCs/>
          <w:color w:val="auto"/>
          <w:highlight w:val="none"/>
          <w:lang w:val="zh-CN"/>
        </w:rPr>
        <w:fldChar w:fldCharType="separate"/>
      </w:r>
      <w:r>
        <w:rPr>
          <w:rFonts w:hint="eastAsia"/>
          <w:bCs/>
          <w:color w:val="auto"/>
          <w:szCs w:val="32"/>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_Toc31902 \h </w:instrText>
      </w:r>
      <w:r>
        <w:rPr>
          <w:color w:val="auto"/>
          <w:highlight w:val="none"/>
        </w:rPr>
        <w:fldChar w:fldCharType="separate"/>
      </w:r>
      <w:r>
        <w:rPr>
          <w:color w:val="auto"/>
          <w:highlight w:val="none"/>
        </w:rPr>
        <w:t>8</w:t>
      </w:r>
      <w:r>
        <w:rPr>
          <w:color w:val="auto"/>
          <w:highlight w:val="none"/>
        </w:rPr>
        <w:fldChar w:fldCharType="end"/>
      </w:r>
      <w:r>
        <w:rPr>
          <w:bCs/>
          <w:color w:val="auto"/>
          <w:highlight w:val="none"/>
          <w:lang w:val="zh-CN"/>
        </w:rPr>
        <w:fldChar w:fldCharType="end"/>
      </w:r>
    </w:p>
    <w:p>
      <w:pPr>
        <w:pStyle w:val="29"/>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_Toc8516 </w:instrText>
      </w:r>
      <w:r>
        <w:rPr>
          <w:bCs/>
          <w:color w:val="auto"/>
          <w:highlight w:val="none"/>
          <w:lang w:val="zh-CN"/>
        </w:rPr>
        <w:fldChar w:fldCharType="separate"/>
      </w:r>
      <w:r>
        <w:rPr>
          <w:rFonts w:hint="eastAsia" w:ascii="宋体" w:hAnsi="宋体"/>
          <w:color w:val="auto"/>
          <w:kern w:val="0"/>
          <w:szCs w:val="32"/>
          <w:highlight w:val="none"/>
        </w:rPr>
        <w:t>第三章 合同条款及格式</w:t>
      </w:r>
      <w:r>
        <w:rPr>
          <w:color w:val="auto"/>
          <w:highlight w:val="none"/>
        </w:rPr>
        <w:tab/>
      </w:r>
      <w:r>
        <w:rPr>
          <w:color w:val="auto"/>
          <w:highlight w:val="none"/>
        </w:rPr>
        <w:fldChar w:fldCharType="begin"/>
      </w:r>
      <w:r>
        <w:rPr>
          <w:color w:val="auto"/>
          <w:highlight w:val="none"/>
        </w:rPr>
        <w:instrText xml:space="preserve"> PAGEREF _Toc8516 \h </w:instrText>
      </w:r>
      <w:r>
        <w:rPr>
          <w:color w:val="auto"/>
          <w:highlight w:val="none"/>
        </w:rPr>
        <w:fldChar w:fldCharType="separate"/>
      </w:r>
      <w:r>
        <w:rPr>
          <w:color w:val="auto"/>
          <w:highlight w:val="none"/>
        </w:rPr>
        <w:t>27</w:t>
      </w:r>
      <w:r>
        <w:rPr>
          <w:color w:val="auto"/>
          <w:highlight w:val="none"/>
        </w:rPr>
        <w:fldChar w:fldCharType="end"/>
      </w:r>
      <w:r>
        <w:rPr>
          <w:bCs/>
          <w:color w:val="auto"/>
          <w:highlight w:val="none"/>
          <w:lang w:val="zh-CN"/>
        </w:rPr>
        <w:fldChar w:fldCharType="end"/>
      </w:r>
    </w:p>
    <w:p>
      <w:pPr>
        <w:pStyle w:val="29"/>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_Toc23141 </w:instrText>
      </w:r>
      <w:r>
        <w:rPr>
          <w:bCs/>
          <w:color w:val="auto"/>
          <w:highlight w:val="none"/>
          <w:lang w:val="zh-CN"/>
        </w:rPr>
        <w:fldChar w:fldCharType="separate"/>
      </w:r>
      <w:r>
        <w:rPr>
          <w:rFonts w:hint="eastAsia" w:ascii="宋体" w:hAnsi="宋体"/>
          <w:color w:val="auto"/>
          <w:kern w:val="0"/>
          <w:szCs w:val="32"/>
          <w:highlight w:val="none"/>
        </w:rPr>
        <w:t xml:space="preserve">第四章 </w:t>
      </w:r>
      <w:r>
        <w:rPr>
          <w:rFonts w:hint="eastAsia" w:ascii="宋体" w:hAnsi="宋体"/>
          <w:color w:val="auto"/>
          <w:kern w:val="0"/>
          <w:szCs w:val="32"/>
          <w:highlight w:val="none"/>
          <w:lang w:val="en-US" w:eastAsia="zh-CN"/>
        </w:rPr>
        <w:t>电子</w:t>
      </w:r>
      <w:r>
        <w:rPr>
          <w:rFonts w:hint="eastAsia" w:ascii="宋体" w:hAnsi="宋体"/>
          <w:color w:val="auto"/>
          <w:kern w:val="0"/>
          <w:szCs w:val="32"/>
          <w:highlight w:val="none"/>
        </w:rPr>
        <w:t>投标文件格式</w:t>
      </w:r>
      <w:r>
        <w:rPr>
          <w:color w:val="auto"/>
          <w:highlight w:val="none"/>
        </w:rPr>
        <w:tab/>
      </w:r>
      <w:r>
        <w:rPr>
          <w:color w:val="auto"/>
          <w:highlight w:val="none"/>
        </w:rPr>
        <w:fldChar w:fldCharType="begin"/>
      </w:r>
      <w:r>
        <w:rPr>
          <w:color w:val="auto"/>
          <w:highlight w:val="none"/>
        </w:rPr>
        <w:instrText xml:space="preserve"> PAGEREF _Toc23141 \h </w:instrText>
      </w:r>
      <w:r>
        <w:rPr>
          <w:color w:val="auto"/>
          <w:highlight w:val="none"/>
        </w:rPr>
        <w:fldChar w:fldCharType="separate"/>
      </w:r>
      <w:r>
        <w:rPr>
          <w:color w:val="auto"/>
          <w:highlight w:val="none"/>
        </w:rPr>
        <w:t>116</w:t>
      </w:r>
      <w:r>
        <w:rPr>
          <w:color w:val="auto"/>
          <w:highlight w:val="none"/>
        </w:rPr>
        <w:fldChar w:fldCharType="end"/>
      </w:r>
      <w:r>
        <w:rPr>
          <w:bCs/>
          <w:color w:val="auto"/>
          <w:highlight w:val="none"/>
          <w:lang w:val="zh-CN"/>
        </w:rPr>
        <w:fldChar w:fldCharType="end"/>
      </w:r>
    </w:p>
    <w:p>
      <w:pPr>
        <w:pStyle w:val="34"/>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_Toc16753 </w:instrText>
      </w:r>
      <w:r>
        <w:rPr>
          <w:bCs/>
          <w:color w:val="auto"/>
          <w:highlight w:val="none"/>
          <w:lang w:val="zh-CN"/>
        </w:rPr>
        <w:fldChar w:fldCharType="separate"/>
      </w:r>
      <w:r>
        <w:rPr>
          <w:rFonts w:hint="eastAsia" w:ascii="宋体" w:hAnsi="宋体" w:cs="黑体"/>
          <w:color w:val="auto"/>
          <w:kern w:val="0"/>
          <w:szCs w:val="44"/>
          <w:highlight w:val="none"/>
        </w:rPr>
        <w:t>1.商务文件</w:t>
      </w:r>
      <w:r>
        <w:rPr>
          <w:color w:val="auto"/>
          <w:highlight w:val="none"/>
        </w:rPr>
        <w:tab/>
      </w:r>
      <w:r>
        <w:rPr>
          <w:color w:val="auto"/>
          <w:highlight w:val="none"/>
        </w:rPr>
        <w:fldChar w:fldCharType="begin"/>
      </w:r>
      <w:r>
        <w:rPr>
          <w:color w:val="auto"/>
          <w:highlight w:val="none"/>
        </w:rPr>
        <w:instrText xml:space="preserve"> PAGEREF _Toc16753 \h </w:instrText>
      </w:r>
      <w:r>
        <w:rPr>
          <w:color w:val="auto"/>
          <w:highlight w:val="none"/>
        </w:rPr>
        <w:fldChar w:fldCharType="separate"/>
      </w:r>
      <w:r>
        <w:rPr>
          <w:color w:val="auto"/>
          <w:highlight w:val="none"/>
        </w:rPr>
        <w:t>116</w:t>
      </w:r>
      <w:r>
        <w:rPr>
          <w:color w:val="auto"/>
          <w:highlight w:val="none"/>
        </w:rPr>
        <w:fldChar w:fldCharType="end"/>
      </w:r>
      <w:r>
        <w:rPr>
          <w:bCs/>
          <w:color w:val="auto"/>
          <w:highlight w:val="none"/>
          <w:lang w:val="zh-CN"/>
        </w:rPr>
        <w:fldChar w:fldCharType="end"/>
      </w:r>
    </w:p>
    <w:p>
      <w:pPr>
        <w:pStyle w:val="34"/>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_Toc21134 </w:instrText>
      </w:r>
      <w:r>
        <w:rPr>
          <w:bCs/>
          <w:color w:val="auto"/>
          <w:highlight w:val="none"/>
          <w:lang w:val="zh-CN"/>
        </w:rPr>
        <w:fldChar w:fldCharType="separate"/>
      </w:r>
      <w:r>
        <w:rPr>
          <w:rFonts w:hint="eastAsia" w:ascii="宋体" w:hAnsi="宋体" w:cs="黑体"/>
          <w:color w:val="auto"/>
          <w:kern w:val="0"/>
          <w:szCs w:val="44"/>
          <w:highlight w:val="none"/>
        </w:rPr>
        <w:t>2.技术文件</w:t>
      </w:r>
      <w:r>
        <w:rPr>
          <w:color w:val="auto"/>
          <w:highlight w:val="none"/>
        </w:rPr>
        <w:tab/>
      </w:r>
      <w:r>
        <w:rPr>
          <w:color w:val="auto"/>
          <w:highlight w:val="none"/>
        </w:rPr>
        <w:fldChar w:fldCharType="begin"/>
      </w:r>
      <w:r>
        <w:rPr>
          <w:color w:val="auto"/>
          <w:highlight w:val="none"/>
        </w:rPr>
        <w:instrText xml:space="preserve"> PAGEREF _Toc21134 \h </w:instrText>
      </w:r>
      <w:r>
        <w:rPr>
          <w:color w:val="auto"/>
          <w:highlight w:val="none"/>
        </w:rPr>
        <w:fldChar w:fldCharType="separate"/>
      </w:r>
      <w:r>
        <w:rPr>
          <w:color w:val="auto"/>
          <w:highlight w:val="none"/>
        </w:rPr>
        <w:t>143</w:t>
      </w:r>
      <w:r>
        <w:rPr>
          <w:color w:val="auto"/>
          <w:highlight w:val="none"/>
        </w:rPr>
        <w:fldChar w:fldCharType="end"/>
      </w:r>
      <w:r>
        <w:rPr>
          <w:bCs/>
          <w:color w:val="auto"/>
          <w:highlight w:val="none"/>
          <w:lang w:val="zh-CN"/>
        </w:rPr>
        <w:fldChar w:fldCharType="end"/>
      </w:r>
    </w:p>
    <w:p>
      <w:pPr>
        <w:pStyle w:val="34"/>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_Toc28533 </w:instrText>
      </w:r>
      <w:r>
        <w:rPr>
          <w:bCs/>
          <w:color w:val="auto"/>
          <w:highlight w:val="none"/>
          <w:lang w:val="zh-CN"/>
        </w:rPr>
        <w:fldChar w:fldCharType="separate"/>
      </w:r>
      <w:r>
        <w:rPr>
          <w:rFonts w:hint="eastAsia" w:ascii="宋体" w:hAnsi="宋体" w:eastAsia="宋体" w:cs="黑体"/>
          <w:bCs w:val="0"/>
          <w:color w:val="auto"/>
          <w:kern w:val="0"/>
          <w:szCs w:val="44"/>
          <w:highlight w:val="none"/>
        </w:rPr>
        <w:t>3.投标报价文件</w:t>
      </w:r>
      <w:r>
        <w:rPr>
          <w:color w:val="auto"/>
          <w:highlight w:val="none"/>
        </w:rPr>
        <w:tab/>
      </w:r>
      <w:r>
        <w:rPr>
          <w:color w:val="auto"/>
          <w:highlight w:val="none"/>
        </w:rPr>
        <w:fldChar w:fldCharType="begin"/>
      </w:r>
      <w:r>
        <w:rPr>
          <w:color w:val="auto"/>
          <w:highlight w:val="none"/>
        </w:rPr>
        <w:instrText xml:space="preserve"> PAGEREF _Toc28533 \h </w:instrText>
      </w:r>
      <w:r>
        <w:rPr>
          <w:color w:val="auto"/>
          <w:highlight w:val="none"/>
        </w:rPr>
        <w:fldChar w:fldCharType="separate"/>
      </w:r>
      <w:r>
        <w:rPr>
          <w:color w:val="auto"/>
          <w:highlight w:val="none"/>
        </w:rPr>
        <w:t>149</w:t>
      </w:r>
      <w:r>
        <w:rPr>
          <w:color w:val="auto"/>
          <w:highlight w:val="none"/>
        </w:rPr>
        <w:fldChar w:fldCharType="end"/>
      </w:r>
      <w:r>
        <w:rPr>
          <w:bCs/>
          <w:color w:val="auto"/>
          <w:highlight w:val="none"/>
          <w:lang w:val="zh-CN"/>
        </w:rPr>
        <w:fldChar w:fldCharType="end"/>
      </w:r>
    </w:p>
    <w:p>
      <w:pPr>
        <w:pStyle w:val="29"/>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_Toc22119 </w:instrText>
      </w:r>
      <w:r>
        <w:rPr>
          <w:bCs/>
          <w:color w:val="auto"/>
          <w:highlight w:val="none"/>
          <w:lang w:val="zh-CN"/>
        </w:rPr>
        <w:fldChar w:fldCharType="separate"/>
      </w:r>
      <w:r>
        <w:rPr>
          <w:rFonts w:hint="eastAsia" w:asciiTheme="minorEastAsia" w:hAnsiTheme="minorEastAsia" w:eastAsiaTheme="minorEastAsia" w:cstheme="minorEastAsia"/>
          <w:color w:val="auto"/>
          <w:kern w:val="0"/>
          <w:szCs w:val="32"/>
          <w:highlight w:val="none"/>
        </w:rPr>
        <w:t>第五章 评标办法</w:t>
      </w:r>
      <w:r>
        <w:rPr>
          <w:color w:val="auto"/>
          <w:highlight w:val="none"/>
        </w:rPr>
        <w:tab/>
      </w:r>
      <w:r>
        <w:rPr>
          <w:color w:val="auto"/>
          <w:highlight w:val="none"/>
        </w:rPr>
        <w:fldChar w:fldCharType="begin"/>
      </w:r>
      <w:r>
        <w:rPr>
          <w:color w:val="auto"/>
          <w:highlight w:val="none"/>
        </w:rPr>
        <w:instrText xml:space="preserve"> PAGEREF _Toc22119 \h </w:instrText>
      </w:r>
      <w:r>
        <w:rPr>
          <w:color w:val="auto"/>
          <w:highlight w:val="none"/>
        </w:rPr>
        <w:fldChar w:fldCharType="separate"/>
      </w:r>
      <w:r>
        <w:rPr>
          <w:color w:val="auto"/>
          <w:highlight w:val="none"/>
        </w:rPr>
        <w:t>160</w:t>
      </w:r>
      <w:r>
        <w:rPr>
          <w:color w:val="auto"/>
          <w:highlight w:val="none"/>
        </w:rPr>
        <w:fldChar w:fldCharType="end"/>
      </w:r>
      <w:r>
        <w:rPr>
          <w:bCs/>
          <w:color w:val="auto"/>
          <w:highlight w:val="none"/>
          <w:lang w:val="zh-CN"/>
        </w:rPr>
        <w:fldChar w:fldCharType="end"/>
      </w:r>
    </w:p>
    <w:p>
      <w:pPr>
        <w:pStyle w:val="29"/>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_Toc22823 </w:instrText>
      </w:r>
      <w:r>
        <w:rPr>
          <w:bCs/>
          <w:color w:val="auto"/>
          <w:highlight w:val="none"/>
          <w:lang w:val="zh-CN"/>
        </w:rPr>
        <w:fldChar w:fldCharType="separate"/>
      </w:r>
      <w:r>
        <w:rPr>
          <w:rFonts w:hint="eastAsia" w:eastAsia="宋体"/>
          <w:color w:val="auto"/>
          <w:highlight w:val="none"/>
          <w:lang w:eastAsia="zh-CN"/>
        </w:rPr>
        <w:t xml:space="preserve">第六章 </w:t>
      </w:r>
      <w:r>
        <w:rPr>
          <w:rFonts w:hint="eastAsia"/>
          <w:color w:val="auto"/>
          <w:highlight w:val="none"/>
        </w:rPr>
        <w:t>技术标准、要求</w:t>
      </w:r>
      <w:r>
        <w:rPr>
          <w:rFonts w:hint="eastAsia"/>
          <w:color w:val="auto"/>
          <w:highlight w:val="none"/>
          <w:lang w:eastAsia="zh-CN"/>
        </w:rPr>
        <w:t>及其他</w:t>
      </w:r>
      <w:r>
        <w:rPr>
          <w:color w:val="auto"/>
          <w:highlight w:val="none"/>
        </w:rPr>
        <w:tab/>
      </w:r>
      <w:r>
        <w:rPr>
          <w:color w:val="auto"/>
          <w:highlight w:val="none"/>
        </w:rPr>
        <w:fldChar w:fldCharType="begin"/>
      </w:r>
      <w:r>
        <w:rPr>
          <w:color w:val="auto"/>
          <w:highlight w:val="none"/>
        </w:rPr>
        <w:instrText xml:space="preserve"> PAGEREF _Toc22823 \h </w:instrText>
      </w:r>
      <w:r>
        <w:rPr>
          <w:color w:val="auto"/>
          <w:highlight w:val="none"/>
        </w:rPr>
        <w:fldChar w:fldCharType="separate"/>
      </w:r>
      <w:r>
        <w:rPr>
          <w:color w:val="auto"/>
          <w:highlight w:val="none"/>
        </w:rPr>
        <w:t>174</w:t>
      </w:r>
      <w:r>
        <w:rPr>
          <w:color w:val="auto"/>
          <w:highlight w:val="none"/>
        </w:rPr>
        <w:fldChar w:fldCharType="end"/>
      </w:r>
      <w:r>
        <w:rPr>
          <w:bCs/>
          <w:color w:val="auto"/>
          <w:highlight w:val="none"/>
          <w:lang w:val="zh-CN"/>
        </w:rPr>
        <w:fldChar w:fldCharType="end"/>
      </w:r>
    </w:p>
    <w:p>
      <w:pPr>
        <w:pStyle w:val="34"/>
        <w:tabs>
          <w:tab w:val="right" w:leader="dot" w:pos="9070"/>
        </w:tabs>
        <w:ind w:left="0" w:leftChars="0" w:firstLine="0" w:firstLineChars="0"/>
        <w:rPr>
          <w:rFonts w:hint="eastAsia"/>
          <w:color w:val="auto"/>
          <w:highlight w:val="none"/>
          <w:lang w:val="zh-CN"/>
        </w:rPr>
        <w:sectPr>
          <w:footerReference r:id="rId8" w:type="default"/>
          <w:pgSz w:w="11906" w:h="16838"/>
          <w:pgMar w:top="1418" w:right="1418" w:bottom="1418" w:left="1418" w:header="964" w:footer="992" w:gutter="0"/>
          <w:pgBorders>
            <w:top w:val="none" w:sz="0" w:space="0"/>
            <w:left w:val="none" w:sz="0" w:space="0"/>
            <w:bottom w:val="none" w:sz="0" w:space="0"/>
            <w:right w:val="none" w:sz="0" w:space="0"/>
          </w:pgBorders>
          <w:pgNumType w:fmt="decimal" w:start="1"/>
          <w:cols w:space="720" w:num="1"/>
          <w:docGrid w:type="lines" w:linePitch="312" w:charSpace="0"/>
        </w:sectPr>
      </w:pPr>
      <w:r>
        <w:rPr>
          <w:bCs/>
          <w:color w:val="auto"/>
          <w:highlight w:val="none"/>
          <w:lang w:val="zh-CN"/>
        </w:rPr>
        <w:fldChar w:fldCharType="end"/>
      </w:r>
    </w:p>
    <w:p>
      <w:pPr>
        <w:pStyle w:val="3"/>
        <w:bidi w:val="0"/>
        <w:jc w:val="center"/>
        <w:rPr>
          <w:rFonts w:hint="eastAsia"/>
          <w:color w:val="auto"/>
          <w:sz w:val="32"/>
          <w:szCs w:val="32"/>
          <w:highlight w:val="none"/>
        </w:rPr>
      </w:pPr>
      <w:bookmarkStart w:id="0" w:name="_Toc20752"/>
      <w:r>
        <w:rPr>
          <w:rFonts w:hint="eastAsia"/>
          <w:color w:val="auto"/>
          <w:sz w:val="32"/>
          <w:szCs w:val="32"/>
          <w:highlight w:val="none"/>
        </w:rPr>
        <w:t>第一章 招标公告</w:t>
      </w:r>
      <w:bookmarkEnd w:id="0"/>
    </w:p>
    <w:p>
      <w:pPr>
        <w:keepNext w:val="0"/>
        <w:keepLines w:val="0"/>
        <w:pageBreakBefore w:val="0"/>
        <w:kinsoku/>
        <w:overflowPunct/>
        <w:bidi w:val="0"/>
        <w:snapToGrid/>
        <w:spacing w:line="360" w:lineRule="auto"/>
        <w:ind w:left="432" w:hanging="432"/>
        <w:jc w:val="center"/>
        <w:textAlignment w:val="auto"/>
        <w:outlineLvl w:val="9"/>
        <w:rPr>
          <w:rFonts w:hint="eastAsia" w:ascii="宋体" w:hAnsi="宋体" w:eastAsia="宋体" w:cs="宋体"/>
          <w:b/>
          <w:color w:val="auto"/>
          <w:sz w:val="32"/>
          <w:szCs w:val="32"/>
          <w:highlight w:val="none"/>
          <w:lang w:eastAsia="zh-CN"/>
        </w:rPr>
      </w:pPr>
      <w:bookmarkStart w:id="1" w:name="_Toc2362"/>
      <w:bookmarkStart w:id="2" w:name="_Toc14253"/>
      <w:bookmarkStart w:id="3" w:name="_Toc22435"/>
      <w:bookmarkStart w:id="4" w:name="_Toc6995"/>
      <w:bookmarkStart w:id="5" w:name="_Toc6131"/>
      <w:bookmarkStart w:id="6" w:name="_Toc503190116"/>
      <w:r>
        <w:rPr>
          <w:rFonts w:hint="eastAsia" w:ascii="宋体" w:hAnsi="宋体" w:cs="宋体"/>
          <w:b/>
          <w:color w:val="auto"/>
          <w:sz w:val="32"/>
          <w:szCs w:val="32"/>
          <w:highlight w:val="none"/>
          <w:lang w:eastAsia="zh-CN"/>
        </w:rPr>
        <w:t>110千伏桃花输变电工程(变电站建筑)施工总承包项目</w:t>
      </w:r>
    </w:p>
    <w:p>
      <w:pPr>
        <w:keepNext w:val="0"/>
        <w:keepLines w:val="0"/>
        <w:pageBreakBefore w:val="0"/>
        <w:kinsoku/>
        <w:overflowPunct/>
        <w:bidi w:val="0"/>
        <w:snapToGrid/>
        <w:spacing w:line="360" w:lineRule="auto"/>
        <w:ind w:left="432" w:hanging="432"/>
        <w:jc w:val="center"/>
        <w:textAlignment w:val="auto"/>
        <w:outlineLvl w:val="9"/>
        <w:rPr>
          <w:rFonts w:hint="eastAsia" w:ascii="宋体" w:hAnsi="宋体" w:eastAsia="宋体" w:cs="宋体"/>
          <w:b/>
          <w:color w:val="auto"/>
          <w:sz w:val="32"/>
          <w:szCs w:val="32"/>
          <w:highlight w:val="none"/>
        </w:rPr>
      </w:pPr>
      <w:bookmarkStart w:id="7" w:name="_Toc31603"/>
      <w:r>
        <w:rPr>
          <w:rFonts w:hint="eastAsia" w:ascii="宋体" w:hAnsi="宋体" w:eastAsia="宋体" w:cs="宋体"/>
          <w:b/>
          <w:color w:val="auto"/>
          <w:sz w:val="32"/>
          <w:szCs w:val="32"/>
          <w:highlight w:val="none"/>
        </w:rPr>
        <w:t>招标</w:t>
      </w:r>
      <w:bookmarkEnd w:id="1"/>
      <w:bookmarkEnd w:id="2"/>
      <w:bookmarkEnd w:id="3"/>
      <w:bookmarkEnd w:id="4"/>
      <w:bookmarkEnd w:id="5"/>
      <w:r>
        <w:rPr>
          <w:rFonts w:hint="eastAsia" w:ascii="宋体" w:hAnsi="宋体" w:eastAsia="宋体" w:cs="宋体"/>
          <w:b/>
          <w:color w:val="auto"/>
          <w:sz w:val="32"/>
          <w:szCs w:val="32"/>
          <w:highlight w:val="none"/>
        </w:rPr>
        <w:t>公告</w:t>
      </w:r>
      <w:bookmarkEnd w:id="6"/>
      <w:bookmarkEnd w:id="7"/>
    </w:p>
    <w:p>
      <w:pPr>
        <w:pStyle w:val="16"/>
        <w:keepNext w:val="0"/>
        <w:keepLines w:val="0"/>
        <w:pageBreakBefore w:val="0"/>
        <w:kinsoku/>
        <w:overflowPunct/>
        <w:bidi w:val="0"/>
        <w:snapToGrid/>
        <w:spacing w:line="360" w:lineRule="auto"/>
        <w:textAlignment w:val="auto"/>
        <w:outlineLvl w:val="9"/>
        <w:rPr>
          <w:rFonts w:hint="eastAsia" w:ascii="宋体" w:hAnsi="宋体" w:eastAsia="宋体" w:cs="宋体"/>
          <w:color w:val="auto"/>
          <w:highlight w:val="none"/>
        </w:rPr>
      </w:pPr>
    </w:p>
    <w:p>
      <w:pPr>
        <w:keepNext w:val="0"/>
        <w:keepLines w:val="0"/>
        <w:pageBreakBefore w:val="0"/>
        <w:kinsoku/>
        <w:overflowPunct/>
        <w:bidi w:val="0"/>
        <w:snapToGrid/>
        <w:spacing w:line="360" w:lineRule="auto"/>
        <w:ind w:firstLine="422" w:firstLineChars="200"/>
        <w:jc w:val="left"/>
        <w:textAlignment w:val="auto"/>
        <w:outlineLvl w:val="9"/>
        <w:rPr>
          <w:rFonts w:hint="eastAsia" w:ascii="宋体" w:hAnsi="宋体" w:eastAsia="宋体" w:cs="宋体"/>
          <w:color w:val="auto"/>
          <w:szCs w:val="21"/>
          <w:highlight w:val="none"/>
          <w:u w:val="none"/>
        </w:rPr>
      </w:pPr>
      <w:r>
        <w:rPr>
          <w:rFonts w:hint="eastAsia" w:ascii="宋体" w:hAnsi="宋体" w:cs="宋体"/>
          <w:b/>
          <w:bCs/>
          <w:color w:val="auto"/>
          <w:szCs w:val="21"/>
          <w:highlight w:val="none"/>
          <w:u w:val="none"/>
          <w:lang w:eastAsia="zh-CN"/>
        </w:rPr>
        <w:t>广州公交集团新能源发展有限责任公司</w:t>
      </w:r>
      <w:r>
        <w:rPr>
          <w:rFonts w:hint="eastAsia" w:ascii="宋体" w:hAnsi="宋体" w:eastAsia="宋体" w:cs="宋体"/>
          <w:color w:val="auto"/>
          <w:szCs w:val="21"/>
          <w:highlight w:val="none"/>
          <w:u w:val="none"/>
        </w:rPr>
        <w:t>委托</w:t>
      </w:r>
      <w:r>
        <w:rPr>
          <w:rFonts w:hint="eastAsia" w:ascii="宋体" w:hAnsi="宋体" w:eastAsia="宋体" w:cs="宋体"/>
          <w:b/>
          <w:bCs/>
          <w:color w:val="auto"/>
          <w:szCs w:val="21"/>
          <w:highlight w:val="none"/>
          <w:u w:val="none"/>
          <w:lang w:eastAsia="zh-CN"/>
        </w:rPr>
        <w:t>广州竣盛工程造价咨询有限公司</w:t>
      </w:r>
      <w:r>
        <w:rPr>
          <w:rFonts w:hint="eastAsia" w:ascii="宋体" w:hAnsi="宋体" w:eastAsia="宋体" w:cs="宋体"/>
          <w:color w:val="auto"/>
          <w:szCs w:val="21"/>
          <w:highlight w:val="none"/>
          <w:u w:val="none"/>
        </w:rPr>
        <w:t>作为招标代理单位，就</w:t>
      </w:r>
      <w:r>
        <w:rPr>
          <w:rFonts w:hint="eastAsia" w:ascii="宋体" w:hAnsi="宋体" w:cs="宋体"/>
          <w:color w:val="auto"/>
          <w:szCs w:val="21"/>
          <w:highlight w:val="none"/>
          <w:lang w:eastAsia="zh-CN"/>
        </w:rPr>
        <w:t>110千伏桃花输变电工程(变电站建筑)施工总承包项目</w:t>
      </w:r>
      <w:r>
        <w:rPr>
          <w:rFonts w:hint="eastAsia" w:ascii="宋体" w:hAnsi="宋体" w:eastAsia="宋体" w:cs="宋体"/>
          <w:color w:val="auto"/>
          <w:szCs w:val="21"/>
          <w:highlight w:val="none"/>
          <w:u w:val="none"/>
        </w:rPr>
        <w:t>进行公开招标。详细内容如下：</w:t>
      </w:r>
    </w:p>
    <w:p>
      <w:pPr>
        <w:keepNext w:val="0"/>
        <w:keepLines w:val="0"/>
        <w:pageBreakBefore w:val="0"/>
        <w:kinsoku/>
        <w:overflowPunct/>
        <w:bidi w:val="0"/>
        <w:snapToGrid/>
        <w:spacing w:line="360" w:lineRule="auto"/>
        <w:ind w:firstLine="424" w:firstLineChars="201"/>
        <w:textAlignment w:val="auto"/>
        <w:outlineLvl w:val="9"/>
        <w:rPr>
          <w:rFonts w:hint="eastAsia" w:ascii="宋体" w:hAnsi="宋体" w:eastAsia="宋体" w:cs="宋体"/>
          <w:b/>
          <w:bCs/>
          <w:color w:val="auto"/>
          <w:szCs w:val="21"/>
          <w:highlight w:val="none"/>
        </w:rPr>
      </w:pPr>
      <w:bookmarkStart w:id="8" w:name="_Toc12437"/>
      <w:r>
        <w:rPr>
          <w:rFonts w:hint="eastAsia" w:ascii="宋体" w:hAnsi="宋体" w:eastAsia="宋体" w:cs="宋体"/>
          <w:b/>
          <w:bCs/>
          <w:color w:val="auto"/>
          <w:szCs w:val="21"/>
          <w:highlight w:val="none"/>
        </w:rPr>
        <w:t>一、招标项目信息：</w:t>
      </w:r>
      <w:bookmarkEnd w:id="8"/>
    </w:p>
    <w:p>
      <w:pPr>
        <w:keepNext w:val="0"/>
        <w:keepLines w:val="0"/>
        <w:pageBreakBefore w:val="0"/>
        <w:kinsoku/>
        <w:overflowPunct/>
        <w:bidi w:val="0"/>
        <w:snapToGrid/>
        <w:spacing w:line="360" w:lineRule="auto"/>
        <w:ind w:firstLine="424" w:firstLineChars="202"/>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招标人：</w:t>
      </w:r>
      <w:r>
        <w:rPr>
          <w:rFonts w:hint="eastAsia" w:ascii="宋体" w:hAnsi="宋体" w:cs="宋体"/>
          <w:color w:val="auto"/>
          <w:szCs w:val="21"/>
          <w:highlight w:val="none"/>
          <w:lang w:eastAsia="zh-CN"/>
        </w:rPr>
        <w:t>广州公交集团新能源发展有限责任公司</w:t>
      </w:r>
    </w:p>
    <w:p>
      <w:pPr>
        <w:keepNext w:val="0"/>
        <w:keepLines w:val="0"/>
        <w:pageBreakBefore w:val="0"/>
        <w:kinsoku/>
        <w:overflowPunct/>
        <w:bidi w:val="0"/>
        <w:snapToGrid/>
        <w:spacing w:line="360" w:lineRule="auto"/>
        <w:ind w:firstLine="424" w:firstLineChars="202"/>
        <w:textAlignment w:val="auto"/>
        <w:outlineLvl w:val="9"/>
        <w:rPr>
          <w:rFonts w:hint="eastAsia"/>
          <w:color w:val="auto"/>
          <w:highlight w:val="none"/>
          <w:lang w:eastAsia="zh-CN"/>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110千伏桃花输变电工程(变电站建筑)施工总承包项目</w:t>
      </w:r>
    </w:p>
    <w:p>
      <w:pPr>
        <w:keepNext w:val="0"/>
        <w:keepLines w:val="0"/>
        <w:pageBreakBefore w:val="0"/>
        <w:kinsoku/>
        <w:overflowPunct/>
        <w:bidi w:val="0"/>
        <w:snapToGrid/>
        <w:spacing w:line="360" w:lineRule="auto"/>
        <w:ind w:firstLine="424" w:firstLineChars="202"/>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1.3采购方式：公开招标</w:t>
      </w:r>
    </w:p>
    <w:p>
      <w:pPr>
        <w:keepNext w:val="0"/>
        <w:keepLines w:val="0"/>
        <w:pageBreakBefore w:val="0"/>
        <w:kinsoku/>
        <w:overflowPunct/>
        <w:bidi w:val="0"/>
        <w:snapToGrid/>
        <w:spacing w:line="360" w:lineRule="auto"/>
        <w:ind w:firstLine="424" w:firstLineChars="202"/>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1.4资格审查方式：资格后审</w:t>
      </w:r>
    </w:p>
    <w:p>
      <w:pPr>
        <w:keepNext w:val="0"/>
        <w:keepLines w:val="0"/>
        <w:pageBreakBefore w:val="0"/>
        <w:kinsoku/>
        <w:overflowPunct/>
        <w:bidi w:val="0"/>
        <w:snapToGrid/>
        <w:spacing w:line="360" w:lineRule="auto"/>
        <w:ind w:firstLine="424" w:firstLineChars="202"/>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1.5投标有效期：</w:t>
      </w:r>
      <w:r>
        <w:rPr>
          <w:rFonts w:hint="eastAsia" w:ascii="宋体" w:hAnsi="宋体" w:cs="宋体"/>
          <w:color w:val="auto"/>
          <w:szCs w:val="21"/>
          <w:highlight w:val="none"/>
          <w:lang w:val="en-US" w:eastAsia="zh-CN"/>
        </w:rPr>
        <w:t>120</w:t>
      </w:r>
      <w:r>
        <w:rPr>
          <w:rFonts w:hint="eastAsia" w:ascii="宋体" w:hAnsi="宋体" w:eastAsia="宋体" w:cs="宋体"/>
          <w:color w:val="auto"/>
          <w:szCs w:val="21"/>
          <w:highlight w:val="none"/>
          <w:lang w:val="en-US" w:eastAsia="zh-CN"/>
        </w:rPr>
        <w:t>天</w:t>
      </w:r>
    </w:p>
    <w:p>
      <w:pPr>
        <w:keepNext w:val="0"/>
        <w:keepLines w:val="0"/>
        <w:pageBreakBefore w:val="0"/>
        <w:kinsoku/>
        <w:overflowPunct/>
        <w:bidi w:val="0"/>
        <w:snapToGrid/>
        <w:spacing w:line="360" w:lineRule="auto"/>
        <w:ind w:firstLine="424" w:firstLineChars="202"/>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资金来源：</w:t>
      </w:r>
      <w:r>
        <w:rPr>
          <w:rFonts w:hint="eastAsia" w:ascii="宋体" w:hAnsi="宋体" w:cs="宋体"/>
          <w:color w:val="auto"/>
          <w:szCs w:val="21"/>
          <w:highlight w:val="none"/>
          <w:lang w:val="en-US" w:eastAsia="zh-CN"/>
        </w:rPr>
        <w:t>企业自筹</w:t>
      </w:r>
    </w:p>
    <w:p>
      <w:pPr>
        <w:keepNext w:val="0"/>
        <w:keepLines w:val="0"/>
        <w:pageBreakBefore w:val="0"/>
        <w:kinsoku/>
        <w:overflowPunct/>
        <w:bidi w:val="0"/>
        <w:snapToGrid/>
        <w:spacing w:line="360" w:lineRule="auto"/>
        <w:ind w:firstLine="424" w:firstLineChars="202"/>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资金落实情况：资金已落实</w:t>
      </w:r>
    </w:p>
    <w:p>
      <w:pPr>
        <w:keepNext w:val="0"/>
        <w:keepLines w:val="0"/>
        <w:pageBreakBefore w:val="0"/>
        <w:kinsoku/>
        <w:overflowPunct/>
        <w:bidi w:val="0"/>
        <w:snapToGrid/>
        <w:spacing w:line="360" w:lineRule="auto"/>
        <w:ind w:firstLine="424" w:firstLineChars="202"/>
        <w:textAlignment w:val="auto"/>
        <w:outlineLvl w:val="9"/>
        <w:rPr>
          <w:rFonts w:hint="default"/>
          <w:color w:val="auto"/>
          <w:highlight w:val="none"/>
          <w:lang w:val="en-US" w:eastAsia="zh-CN"/>
        </w:rPr>
      </w:pPr>
      <w:r>
        <w:rPr>
          <w:rFonts w:hint="eastAsia" w:ascii="宋体" w:hAnsi="宋体" w:eastAsia="宋体" w:cs="宋体"/>
          <w:color w:val="auto"/>
          <w:szCs w:val="21"/>
          <w:highlight w:val="none"/>
          <w:lang w:val="en-US" w:eastAsia="zh-CN"/>
        </w:rPr>
        <w:t>1.8</w:t>
      </w:r>
      <w:bookmarkStart w:id="9" w:name="_Toc23581"/>
      <w:r>
        <w:rPr>
          <w:rFonts w:hint="eastAsia" w:ascii="宋体" w:hAnsi="宋体" w:cs="宋体"/>
          <w:color w:val="auto"/>
          <w:szCs w:val="21"/>
          <w:highlight w:val="none"/>
          <w:lang w:val="en-US" w:eastAsia="zh-CN"/>
        </w:rPr>
        <w:t>项目总投资</w:t>
      </w:r>
      <w:r>
        <w:rPr>
          <w:rFonts w:hint="eastAsia" w:ascii="宋体" w:hAnsi="宋体" w:eastAsia="宋体" w:cs="宋体"/>
          <w:color w:val="auto"/>
          <w:szCs w:val="21"/>
          <w:highlight w:val="none"/>
          <w:lang w:val="en-US" w:eastAsia="zh-CN"/>
        </w:rPr>
        <w:t>：人民币</w:t>
      </w:r>
      <w:r>
        <w:rPr>
          <w:rFonts w:hint="eastAsia" w:ascii="宋体" w:hAnsi="宋体" w:cs="宋体"/>
          <w:color w:val="auto"/>
          <w:szCs w:val="21"/>
          <w:highlight w:val="none"/>
          <w:lang w:val="en-US" w:eastAsia="zh-CN"/>
        </w:rPr>
        <w:t>2309.27</w:t>
      </w:r>
      <w:r>
        <w:rPr>
          <w:rFonts w:hint="eastAsia" w:ascii="宋体" w:hAnsi="宋体" w:eastAsia="宋体" w:cs="宋体"/>
          <w:color w:val="auto"/>
          <w:szCs w:val="21"/>
          <w:highlight w:val="none"/>
          <w:lang w:val="en-US" w:eastAsia="zh-CN"/>
        </w:rPr>
        <w:t>万元（含税）。</w:t>
      </w:r>
      <w:r>
        <w:rPr>
          <w:rFonts w:hint="eastAsia" w:ascii="宋体" w:hAnsi="宋体" w:cs="宋体"/>
          <w:color w:val="auto"/>
          <w:szCs w:val="21"/>
          <w:highlight w:val="none"/>
          <w:lang w:val="en-US" w:eastAsia="zh-CN"/>
        </w:rPr>
        <w:t>其中，</w:t>
      </w:r>
      <w:r>
        <w:rPr>
          <w:rFonts w:hint="eastAsia" w:ascii="宋体" w:hAnsi="宋体" w:cs="宋体"/>
          <w:color w:val="auto"/>
          <w:szCs w:val="21"/>
          <w:highlight w:val="none"/>
          <w:lang w:eastAsia="zh-CN"/>
        </w:rPr>
        <w:t>110千伏桃花输变电工程(变电站建筑)施工</w:t>
      </w:r>
      <w:r>
        <w:rPr>
          <w:rFonts w:hint="eastAsia" w:ascii="宋体" w:hAnsi="宋体" w:cs="宋体"/>
          <w:color w:val="auto"/>
          <w:szCs w:val="21"/>
          <w:highlight w:val="none"/>
          <w:lang w:val="en-US" w:eastAsia="zh-CN"/>
        </w:rPr>
        <w:t>预计采购金额：</w:t>
      </w:r>
      <w:r>
        <w:rPr>
          <w:rFonts w:hint="eastAsia" w:ascii="宋体" w:hAnsi="宋体" w:eastAsia="宋体" w:cs="宋体"/>
          <w:color w:val="auto"/>
          <w:szCs w:val="21"/>
          <w:highlight w:val="none"/>
          <w:lang w:val="en-US" w:eastAsia="zh-CN"/>
        </w:rPr>
        <w:t>人民币</w:t>
      </w:r>
      <w:r>
        <w:rPr>
          <w:rFonts w:hint="eastAsia" w:ascii="宋体" w:hAnsi="宋体" w:cs="宋体"/>
          <w:color w:val="auto"/>
          <w:szCs w:val="21"/>
          <w:highlight w:val="none"/>
          <w:lang w:val="en-US" w:eastAsia="zh-CN"/>
        </w:rPr>
        <w:t>1824.888623</w:t>
      </w:r>
      <w:r>
        <w:rPr>
          <w:rFonts w:hint="eastAsia" w:ascii="宋体" w:hAnsi="宋体" w:eastAsia="宋体" w:cs="宋体"/>
          <w:color w:val="auto"/>
          <w:szCs w:val="21"/>
          <w:highlight w:val="none"/>
          <w:lang w:val="en-US" w:eastAsia="zh-CN"/>
        </w:rPr>
        <w:t>万元</w:t>
      </w:r>
      <w:r>
        <w:rPr>
          <w:rFonts w:hint="eastAsia" w:ascii="宋体" w:hAnsi="宋体" w:cs="宋体"/>
          <w:color w:val="auto"/>
          <w:szCs w:val="21"/>
          <w:highlight w:val="none"/>
          <w:lang w:val="en-US" w:eastAsia="zh-CN"/>
        </w:rPr>
        <w:t>‬（含税）。</w:t>
      </w:r>
    </w:p>
    <w:p>
      <w:pPr>
        <w:keepNext w:val="0"/>
        <w:keepLines w:val="0"/>
        <w:pageBreakBefore w:val="0"/>
        <w:kinsoku/>
        <w:overflowPunct/>
        <w:bidi w:val="0"/>
        <w:snapToGrid/>
        <w:spacing w:line="360" w:lineRule="auto"/>
        <w:ind w:firstLine="424" w:firstLineChars="202"/>
        <w:textAlignment w:val="auto"/>
        <w:outlineLvl w:val="9"/>
        <w:rPr>
          <w:rFonts w:hint="default"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1.9</w:t>
      </w:r>
      <w:r>
        <w:rPr>
          <w:rFonts w:hint="eastAsia" w:ascii="宋体" w:hAnsi="宋体" w:eastAsia="宋体" w:cs="仿宋_GB2312"/>
          <w:color w:val="auto"/>
          <w:kern w:val="0"/>
          <w:sz w:val="21"/>
          <w:szCs w:val="21"/>
          <w:highlight w:val="none"/>
          <w:lang w:val="en-US" w:eastAsia="zh-CN" w:bidi="ar-SA"/>
        </w:rPr>
        <w:t>最高投标限价</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人民币</w:t>
      </w:r>
      <w:r>
        <w:rPr>
          <w:rFonts w:hint="eastAsia" w:ascii="宋体" w:hAnsi="宋体" w:cs="宋体"/>
          <w:color w:val="auto"/>
          <w:szCs w:val="21"/>
          <w:highlight w:val="none"/>
          <w:lang w:val="en-US" w:eastAsia="zh-CN"/>
        </w:rPr>
        <w:t>1824.888623</w:t>
      </w:r>
      <w:r>
        <w:rPr>
          <w:rFonts w:hint="eastAsia" w:ascii="宋体" w:hAnsi="宋体" w:eastAsia="宋体" w:cs="宋体"/>
          <w:color w:val="auto"/>
          <w:szCs w:val="21"/>
          <w:highlight w:val="none"/>
          <w:lang w:val="en-US" w:eastAsia="zh-CN"/>
        </w:rPr>
        <w:t>万元</w:t>
      </w:r>
      <w:r>
        <w:rPr>
          <w:rFonts w:hint="eastAsia" w:ascii="宋体" w:hAnsi="宋体" w:cs="宋体"/>
          <w:color w:val="auto"/>
          <w:szCs w:val="21"/>
          <w:highlight w:val="none"/>
          <w:lang w:val="en-US" w:eastAsia="zh-CN"/>
        </w:rPr>
        <w:t>‬（含税），其中安全文明施工费：35.059419</w:t>
      </w:r>
      <w:r>
        <w:rPr>
          <w:rFonts w:hint="eastAsia" w:ascii="宋体" w:hAnsi="宋体" w:eastAsia="宋体" w:cs="宋体"/>
          <w:color w:val="auto"/>
          <w:szCs w:val="21"/>
          <w:highlight w:val="none"/>
          <w:lang w:val="en-US" w:eastAsia="zh-CN"/>
        </w:rPr>
        <w:t>万元</w:t>
      </w:r>
      <w:r>
        <w:rPr>
          <w:rFonts w:hint="eastAsia" w:ascii="宋体" w:hAnsi="宋体" w:cs="宋体"/>
          <w:color w:val="auto"/>
          <w:szCs w:val="21"/>
          <w:highlight w:val="none"/>
          <w:lang w:val="en-US" w:eastAsia="zh-CN"/>
        </w:rPr>
        <w:t>‬（含税）</w:t>
      </w:r>
    </w:p>
    <w:p>
      <w:pPr>
        <w:keepNext w:val="0"/>
        <w:keepLines w:val="0"/>
        <w:pageBreakBefore w:val="0"/>
        <w:kinsoku/>
        <w:overflowPunct/>
        <w:bidi w:val="0"/>
        <w:snapToGrid/>
        <w:spacing w:line="360" w:lineRule="auto"/>
        <w:ind w:firstLine="424" w:firstLineChars="202"/>
        <w:textAlignment w:val="auto"/>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10建设地点</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广东省广州市白云区夏花二路47号</w:t>
      </w:r>
    </w:p>
    <w:p>
      <w:pPr>
        <w:keepNext w:val="0"/>
        <w:keepLines w:val="0"/>
        <w:pageBreakBefore w:val="0"/>
        <w:kinsoku/>
        <w:overflowPunct/>
        <w:bidi w:val="0"/>
        <w:snapToGrid/>
        <w:spacing w:line="360" w:lineRule="auto"/>
        <w:ind w:firstLine="426" w:firstLineChars="202"/>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w:t>
      </w:r>
      <w:r>
        <w:rPr>
          <w:rFonts w:hint="eastAsia" w:ascii="宋体" w:hAnsi="宋体" w:eastAsia="宋体" w:cs="宋体"/>
          <w:b/>
          <w:bCs/>
          <w:color w:val="auto"/>
          <w:szCs w:val="21"/>
          <w:highlight w:val="none"/>
          <w:lang w:eastAsia="zh-CN"/>
        </w:rPr>
        <w:t>项目</w:t>
      </w:r>
      <w:r>
        <w:rPr>
          <w:rFonts w:hint="eastAsia" w:ascii="宋体" w:hAnsi="宋体" w:eastAsia="宋体" w:cs="宋体"/>
          <w:b/>
          <w:bCs/>
          <w:color w:val="auto"/>
          <w:szCs w:val="21"/>
          <w:highlight w:val="none"/>
        </w:rPr>
        <w:t>概况与招标范围</w:t>
      </w:r>
      <w:bookmarkEnd w:id="9"/>
    </w:p>
    <w:p>
      <w:pPr>
        <w:pStyle w:val="41"/>
        <w:keepNext w:val="0"/>
        <w:keepLines w:val="0"/>
        <w:pageBreakBefore w:val="0"/>
        <w:kinsoku/>
        <w:overflowPunct/>
        <w:bidi w:val="0"/>
        <w:snapToGrid/>
        <w:spacing w:line="360" w:lineRule="auto"/>
        <w:ind w:left="0" w:leftChars="0" w:firstLine="420" w:firstLineChars="200"/>
        <w:textAlignment w:val="auto"/>
        <w:outlineLvl w:val="9"/>
        <w:rPr>
          <w:rFonts w:hint="default" w:ascii="宋体" w:hAnsi="宋体" w:eastAsia="宋体" w:cs="宋体"/>
          <w:color w:val="auto"/>
          <w:sz w:val="21"/>
          <w:szCs w:val="21"/>
          <w:highlight w:val="none"/>
          <w:lang w:val="en-US" w:eastAsia="zh-CN"/>
        </w:rPr>
      </w:pPr>
      <w:bookmarkStart w:id="10" w:name="_Toc31184"/>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概况：</w:t>
      </w:r>
      <w:bookmarkEnd w:id="10"/>
      <w:bookmarkStart w:id="11" w:name="_Toc1861"/>
      <w:r>
        <w:rPr>
          <w:rFonts w:hint="eastAsia" w:ascii="宋体" w:hAnsi="宋体" w:eastAsia="宋体" w:cs="宋体"/>
          <w:color w:val="auto"/>
          <w:sz w:val="21"/>
          <w:szCs w:val="21"/>
          <w:highlight w:val="none"/>
        </w:rPr>
        <w:t>石马公交立体充电桩停车楼项目用地红线范围内新建变电站配电装置楼一栋</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桃花变电站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，建筑面积约</w:t>
      </w:r>
      <w:r>
        <w:rPr>
          <w:rFonts w:hint="eastAsia" w:ascii="宋体" w:hAnsi="宋体" w:cs="宋体"/>
          <w:color w:val="auto"/>
          <w:sz w:val="21"/>
          <w:szCs w:val="21"/>
          <w:highlight w:val="none"/>
          <w:lang w:val="en-US" w:eastAsia="zh-CN"/>
        </w:rPr>
        <w:t>3667.34㎡</w:t>
      </w:r>
      <w:r>
        <w:rPr>
          <w:rFonts w:hint="eastAsia" w:ascii="宋体" w:hAnsi="宋体" w:eastAsia="宋体" w:cs="宋体"/>
          <w:color w:val="auto"/>
          <w:sz w:val="21"/>
          <w:szCs w:val="21"/>
          <w:highlight w:val="none"/>
        </w:rPr>
        <w:t>，基底占地面积约</w:t>
      </w:r>
      <w:r>
        <w:rPr>
          <w:rFonts w:hint="eastAsia" w:ascii="宋体" w:hAnsi="宋体" w:cs="宋体"/>
          <w:color w:val="auto"/>
          <w:sz w:val="21"/>
          <w:szCs w:val="21"/>
          <w:highlight w:val="none"/>
          <w:lang w:val="en-US" w:eastAsia="zh-CN"/>
        </w:rPr>
        <w:t>1003.94㎡</w:t>
      </w:r>
      <w:r>
        <w:rPr>
          <w:rFonts w:hint="eastAsia" w:ascii="宋体" w:hAnsi="宋体" w:eastAsia="宋体" w:cs="宋体"/>
          <w:color w:val="auto"/>
          <w:sz w:val="21"/>
          <w:szCs w:val="21"/>
          <w:highlight w:val="none"/>
        </w:rPr>
        <w:t>，新建事故油池一座、变压器基础及油坑、围墙及大门、站区绿化。具体规模以施工图纸为准。</w:t>
      </w:r>
    </w:p>
    <w:p>
      <w:pPr>
        <w:pStyle w:val="41"/>
        <w:keepNext w:val="0"/>
        <w:keepLines w:val="0"/>
        <w:pageBreakBefore w:val="0"/>
        <w:kinsoku/>
        <w:overflowPunct/>
        <w:bidi w:val="0"/>
        <w:snapToGrid/>
        <w:spacing w:line="360" w:lineRule="auto"/>
        <w:ind w:left="0" w:leftChars="0" w:firstLine="420" w:firstLineChars="200"/>
        <w:textAlignment w:val="auto"/>
        <w:outlineLvl w:val="9"/>
        <w:rPr>
          <w:rFonts w:hint="default"/>
          <w:strike/>
          <w:dstrike w:val="0"/>
          <w:color w:val="auto"/>
          <w:sz w:val="21"/>
          <w:highlight w:val="none"/>
          <w:lang w:val="en-US" w:eastAsia="zh-CN"/>
        </w:rPr>
      </w:pPr>
      <w:r>
        <w:rPr>
          <w:rFonts w:hint="eastAsia" w:ascii="宋体" w:hAnsi="宋体" w:eastAsia="宋体" w:cs="宋体"/>
          <w:color w:val="auto"/>
          <w:sz w:val="21"/>
          <w:szCs w:val="21"/>
          <w:highlight w:val="none"/>
          <w:lang w:val="en-US" w:eastAsia="zh-CN"/>
        </w:rPr>
        <w:t>2.2招标范围：</w:t>
      </w:r>
      <w:bookmarkEnd w:id="11"/>
      <w:bookmarkStart w:id="12" w:name="_Toc5353"/>
      <w:r>
        <w:rPr>
          <w:rFonts w:hint="eastAsia" w:ascii="宋体" w:hAnsi="宋体" w:eastAsia="宋体" w:cs="宋体"/>
          <w:color w:val="auto"/>
          <w:sz w:val="21"/>
          <w:szCs w:val="21"/>
          <w:highlight w:val="none"/>
          <w:lang w:val="en-US" w:eastAsia="zh-CN"/>
        </w:rPr>
        <w:t>施工图纸范围内的变电建筑及变电安装【含挡土墙、临时性进站道路、临时施工道路、临时施工电源、临时施工水源、临时站外排水、地基处理、场地平整、全站接地网（含接地网导通测试），建筑防雷接地、绿化、消防系统、围墙及大门、站区道路及广场、站区排水、照明部分、站内电缆沟道部分、站外水源（含市政道路修复）、站外排水（含市政道路修复）、天车设备安装、站区照明（含配套电力电缆、电缆辅助设施）、施工期间的围蔽视频监控及建设资料的电子化移交】</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具体承包范围待施工图审定后，根据双方协商结果，通过补充协议确定。</w:t>
      </w:r>
    </w:p>
    <w:p>
      <w:pPr>
        <w:pStyle w:val="41"/>
        <w:keepNext w:val="0"/>
        <w:keepLines w:val="0"/>
        <w:pageBreakBefore w:val="0"/>
        <w:kinsoku/>
        <w:overflowPunct/>
        <w:bidi w:val="0"/>
        <w:snapToGrid/>
        <w:spacing w:line="360" w:lineRule="auto"/>
        <w:ind w:firstLine="56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bookmarkEnd w:id="12"/>
      <w:r>
        <w:rPr>
          <w:rFonts w:hint="eastAsia" w:ascii="宋体" w:hAnsi="宋体" w:eastAsia="宋体" w:cs="宋体"/>
          <w:color w:val="auto"/>
          <w:sz w:val="21"/>
          <w:szCs w:val="21"/>
          <w:highlight w:val="none"/>
          <w:lang w:val="en-US" w:eastAsia="zh-CN"/>
        </w:rPr>
        <w:t>标</w:t>
      </w:r>
      <w:r>
        <w:rPr>
          <w:rFonts w:hint="eastAsia" w:ascii="宋体" w:hAnsi="宋体" w:cs="宋体"/>
          <w:color w:val="auto"/>
          <w:sz w:val="21"/>
          <w:szCs w:val="21"/>
          <w:highlight w:val="none"/>
          <w:lang w:val="en-US" w:eastAsia="zh-CN"/>
        </w:rPr>
        <w:t>段</w:t>
      </w:r>
      <w:r>
        <w:rPr>
          <w:rFonts w:hint="eastAsia" w:ascii="宋体" w:hAnsi="宋体" w:eastAsia="宋体" w:cs="宋体"/>
          <w:color w:val="auto"/>
          <w:sz w:val="21"/>
          <w:szCs w:val="21"/>
          <w:highlight w:val="none"/>
          <w:lang w:val="en-US" w:eastAsia="zh-CN"/>
        </w:rPr>
        <w:t>划分情况：本项目划分为1个标段，</w:t>
      </w:r>
      <w:r>
        <w:rPr>
          <w:rFonts w:hint="eastAsia" w:ascii="宋体" w:hAnsi="宋体" w:cs="宋体"/>
          <w:color w:val="auto"/>
          <w:sz w:val="21"/>
          <w:szCs w:val="21"/>
          <w:highlight w:val="none"/>
          <w:lang w:val="en-US" w:eastAsia="zh-CN"/>
        </w:rPr>
        <w:t>共</w:t>
      </w:r>
      <w:r>
        <w:rPr>
          <w:rFonts w:hint="eastAsia" w:ascii="宋体" w:hAnsi="宋体" w:eastAsia="宋体" w:cs="宋体"/>
          <w:color w:val="auto"/>
          <w:sz w:val="21"/>
          <w:szCs w:val="21"/>
          <w:highlight w:val="none"/>
          <w:lang w:val="en-US" w:eastAsia="zh-CN"/>
        </w:rPr>
        <w:t>1名中标人。</w:t>
      </w:r>
    </w:p>
    <w:tbl>
      <w:tblPr>
        <w:tblStyle w:val="43"/>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89"/>
        <w:gridCol w:w="2049"/>
        <w:gridCol w:w="1589"/>
        <w:gridCol w:w="1463"/>
        <w:gridCol w:w="1498"/>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9" w:hRule="atLeast"/>
          <w:jc w:val="center"/>
        </w:trPr>
        <w:tc>
          <w:tcPr>
            <w:tcW w:w="544" w:type="pct"/>
            <w:shd w:val="clear" w:color="auto" w:fill="FFFFFF"/>
            <w:vAlign w:val="center"/>
          </w:tcPr>
          <w:p>
            <w:pPr>
              <w:jc w:val="center"/>
              <w:rPr>
                <w:rFonts w:ascii="宋体" w:hAnsi="Times New Roman" w:cs="宋体"/>
                <w:color w:val="auto"/>
                <w:sz w:val="21"/>
                <w:szCs w:val="21"/>
                <w:highlight w:val="none"/>
              </w:rPr>
            </w:pPr>
            <w:r>
              <w:rPr>
                <w:rFonts w:hint="eastAsia" w:ascii="宋体" w:hAnsi="Times New Roman" w:cs="宋体"/>
                <w:b/>
                <w:bCs/>
                <w:color w:val="auto"/>
                <w:sz w:val="21"/>
                <w:szCs w:val="21"/>
                <w:highlight w:val="none"/>
              </w:rPr>
              <w:t>序号</w:t>
            </w:r>
          </w:p>
        </w:tc>
        <w:tc>
          <w:tcPr>
            <w:tcW w:w="1127" w:type="pct"/>
            <w:shd w:val="clear" w:color="auto" w:fill="FFFFFF"/>
            <w:vAlign w:val="center"/>
          </w:tcPr>
          <w:p>
            <w:pPr>
              <w:jc w:val="center"/>
              <w:rPr>
                <w:rFonts w:ascii="宋体" w:hAnsi="Times New Roman" w:cs="宋体"/>
                <w:color w:val="auto"/>
                <w:sz w:val="21"/>
                <w:szCs w:val="21"/>
                <w:highlight w:val="none"/>
              </w:rPr>
            </w:pPr>
            <w:r>
              <w:rPr>
                <w:rFonts w:hint="eastAsia" w:ascii="宋体" w:hAnsi="Times New Roman" w:cs="宋体"/>
                <w:b/>
                <w:bCs/>
                <w:color w:val="auto"/>
                <w:sz w:val="21"/>
                <w:szCs w:val="21"/>
                <w:highlight w:val="none"/>
              </w:rPr>
              <w:t>标的</w:t>
            </w:r>
          </w:p>
        </w:tc>
        <w:tc>
          <w:tcPr>
            <w:tcW w:w="874" w:type="pct"/>
            <w:shd w:val="clear" w:color="auto" w:fill="FFFFFF"/>
            <w:vAlign w:val="center"/>
          </w:tcPr>
          <w:p>
            <w:pPr>
              <w:jc w:val="center"/>
              <w:rPr>
                <w:rFonts w:hint="default" w:ascii="宋体" w:hAnsi="Times New Roman" w:eastAsia="宋体" w:cs="宋体"/>
                <w:color w:val="auto"/>
                <w:sz w:val="21"/>
                <w:szCs w:val="21"/>
                <w:highlight w:val="none"/>
                <w:lang w:val="en-US" w:eastAsia="zh-CN"/>
              </w:rPr>
            </w:pPr>
            <w:r>
              <w:rPr>
                <w:rFonts w:hint="eastAsia" w:ascii="宋体" w:hAnsi="Times New Roman" w:cs="宋体"/>
                <w:b/>
                <w:bCs/>
                <w:color w:val="auto"/>
                <w:sz w:val="21"/>
                <w:szCs w:val="21"/>
                <w:highlight w:val="none"/>
                <w:lang w:val="en-US" w:eastAsia="zh-CN"/>
              </w:rPr>
              <w:t>建设单位</w:t>
            </w:r>
          </w:p>
        </w:tc>
        <w:tc>
          <w:tcPr>
            <w:tcW w:w="805" w:type="pct"/>
            <w:shd w:val="clear" w:color="auto" w:fill="FFFFFF"/>
            <w:vAlign w:val="center"/>
          </w:tcPr>
          <w:p>
            <w:pPr>
              <w:jc w:val="center"/>
              <w:rPr>
                <w:rFonts w:hint="default" w:ascii="宋体" w:hAnsi="Times New Roman" w:eastAsia="宋体" w:cs="宋体"/>
                <w:color w:val="auto"/>
                <w:sz w:val="21"/>
                <w:szCs w:val="21"/>
                <w:highlight w:val="none"/>
                <w:lang w:val="en-US" w:eastAsia="zh-CN"/>
              </w:rPr>
            </w:pPr>
            <w:r>
              <w:rPr>
                <w:rFonts w:hint="eastAsia" w:ascii="宋体" w:hAnsi="Times New Roman" w:cs="宋体"/>
                <w:b/>
                <w:color w:val="auto"/>
                <w:sz w:val="21"/>
                <w:szCs w:val="21"/>
                <w:highlight w:val="none"/>
              </w:rPr>
              <w:t>预计采购金额</w:t>
            </w:r>
            <w:r>
              <w:rPr>
                <w:rFonts w:hint="eastAsia" w:ascii="宋体" w:hAnsi="Times New Roman" w:cs="宋体"/>
                <w:b/>
                <w:bCs/>
                <w:color w:val="auto"/>
                <w:sz w:val="21"/>
                <w:szCs w:val="21"/>
                <w:highlight w:val="none"/>
                <w:lang w:val="en-US" w:eastAsia="zh-CN"/>
              </w:rPr>
              <w:t>（万元）</w:t>
            </w:r>
          </w:p>
        </w:tc>
        <w:tc>
          <w:tcPr>
            <w:tcW w:w="824" w:type="pct"/>
            <w:shd w:val="clear" w:color="auto" w:fill="FFFFFF"/>
            <w:vAlign w:val="center"/>
          </w:tcPr>
          <w:p>
            <w:pPr>
              <w:jc w:val="center"/>
              <w:rPr>
                <w:rFonts w:ascii="宋体" w:hAnsi="Times New Roman" w:cs="宋体"/>
                <w:b/>
                <w:color w:val="auto"/>
                <w:sz w:val="21"/>
                <w:szCs w:val="21"/>
                <w:highlight w:val="none"/>
              </w:rPr>
            </w:pPr>
            <w:r>
              <w:rPr>
                <w:rFonts w:hint="eastAsia" w:ascii="宋体" w:hAnsi="Times New Roman" w:cs="宋体"/>
                <w:b/>
                <w:bCs/>
                <w:color w:val="auto"/>
                <w:sz w:val="21"/>
                <w:szCs w:val="21"/>
                <w:highlight w:val="none"/>
                <w:lang w:val="en-US" w:eastAsia="zh-CN"/>
              </w:rPr>
              <w:t>最高限价（万元）</w:t>
            </w:r>
          </w:p>
        </w:tc>
        <w:tc>
          <w:tcPr>
            <w:tcW w:w="823" w:type="pct"/>
            <w:shd w:val="clear" w:color="auto" w:fill="FFFFFF"/>
            <w:vAlign w:val="center"/>
          </w:tcPr>
          <w:p>
            <w:pPr>
              <w:jc w:val="center"/>
              <w:rPr>
                <w:rFonts w:hint="default" w:ascii="宋体" w:hAnsi="Times New Roman" w:eastAsia="宋体" w:cs="宋体"/>
                <w:b/>
                <w:color w:val="auto"/>
                <w:sz w:val="21"/>
                <w:szCs w:val="21"/>
                <w:highlight w:val="none"/>
                <w:lang w:val="en-US" w:eastAsia="zh-CN"/>
              </w:rPr>
            </w:pPr>
            <w:r>
              <w:rPr>
                <w:rFonts w:hint="eastAsia" w:ascii="宋体" w:hAnsi="Times New Roman" w:cs="宋体"/>
                <w:b/>
                <w:color w:val="auto"/>
                <w:sz w:val="21"/>
                <w:szCs w:val="21"/>
                <w:highlight w:val="none"/>
                <w:lang w:val="en-US" w:eastAsia="zh-CN"/>
              </w:rPr>
              <w:t>投标保证金（万元）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5" w:hRule="atLeast"/>
          <w:jc w:val="center"/>
        </w:trPr>
        <w:tc>
          <w:tcPr>
            <w:tcW w:w="544" w:type="pct"/>
            <w:shd w:val="clear" w:color="auto" w:fill="FFFFFF"/>
            <w:vAlign w:val="center"/>
          </w:tcPr>
          <w:p>
            <w:pPr>
              <w:jc w:val="center"/>
              <w:rPr>
                <w:rFonts w:ascii="宋体" w:hAnsi="Times New Roman" w:cs="宋体"/>
                <w:color w:val="auto"/>
                <w:sz w:val="21"/>
                <w:szCs w:val="21"/>
                <w:highlight w:val="none"/>
              </w:rPr>
            </w:pPr>
            <w:r>
              <w:rPr>
                <w:rFonts w:ascii="宋体" w:hAnsi="Times New Roman" w:cs="宋体"/>
                <w:color w:val="auto"/>
                <w:sz w:val="21"/>
                <w:szCs w:val="21"/>
                <w:highlight w:val="none"/>
              </w:rPr>
              <w:t>1</w:t>
            </w:r>
          </w:p>
        </w:tc>
        <w:tc>
          <w:tcPr>
            <w:tcW w:w="1127" w:type="pct"/>
            <w:shd w:val="clear" w:color="auto" w:fill="FFFFFF"/>
            <w:vAlign w:val="center"/>
          </w:tcPr>
          <w:p>
            <w:pPr>
              <w:jc w:val="left"/>
              <w:rPr>
                <w:rFonts w:hint="eastAsia" w:ascii="宋体" w:hAnsi="Times New Roman" w:eastAsia="宋体" w:cs="宋体"/>
                <w:color w:val="auto"/>
                <w:sz w:val="21"/>
                <w:szCs w:val="21"/>
                <w:highlight w:val="none"/>
                <w:lang w:eastAsia="zh-CN"/>
              </w:rPr>
            </w:pPr>
            <w:r>
              <w:rPr>
                <w:rFonts w:hint="eastAsia" w:ascii="宋体" w:cs="宋体"/>
                <w:color w:val="auto"/>
                <w:sz w:val="21"/>
                <w:szCs w:val="21"/>
                <w:highlight w:val="none"/>
                <w:lang w:eastAsia="zh-CN"/>
              </w:rPr>
              <w:t>110千伏桃花输变电工程(变电站建筑)施工总承包项目</w:t>
            </w:r>
          </w:p>
        </w:tc>
        <w:tc>
          <w:tcPr>
            <w:tcW w:w="874" w:type="pct"/>
            <w:shd w:val="clear" w:color="auto" w:fill="FFFFFF"/>
            <w:vAlign w:val="center"/>
          </w:tcPr>
          <w:p>
            <w:pPr>
              <w:jc w:val="center"/>
              <w:rPr>
                <w:rFonts w:hint="default" w:ascii="宋体" w:hAnsi="Times New Roman" w:eastAsia="宋体" w:cs="宋体"/>
                <w:color w:val="auto"/>
                <w:sz w:val="21"/>
                <w:szCs w:val="21"/>
                <w:highlight w:val="none"/>
                <w:lang w:val="en-US" w:eastAsia="zh-CN"/>
              </w:rPr>
            </w:pPr>
            <w:r>
              <w:rPr>
                <w:rFonts w:hint="default" w:ascii="宋体" w:hAnsi="Times New Roman" w:eastAsia="宋体" w:cs="宋体"/>
                <w:color w:val="auto"/>
                <w:sz w:val="21"/>
                <w:szCs w:val="21"/>
                <w:highlight w:val="none"/>
                <w:lang w:val="en-US" w:eastAsia="zh-CN"/>
              </w:rPr>
              <w:t>广州公交集团新能源发展有限责任公司</w:t>
            </w:r>
          </w:p>
        </w:tc>
        <w:tc>
          <w:tcPr>
            <w:tcW w:w="805" w:type="pct"/>
            <w:shd w:val="clear" w:color="auto" w:fill="FFFFFF"/>
            <w:vAlign w:val="center"/>
          </w:tcPr>
          <w:p>
            <w:pPr>
              <w:jc w:val="center"/>
              <w:rPr>
                <w:rFonts w:hint="default" w:ascii="宋体" w:hAnsi="Times New Roman" w:eastAsia="宋体" w:cs="宋体"/>
                <w:color w:val="auto"/>
                <w:sz w:val="21"/>
                <w:szCs w:val="21"/>
                <w:highlight w:val="none"/>
                <w:lang w:val="en-US" w:eastAsia="zh-CN"/>
              </w:rPr>
            </w:pPr>
            <w:r>
              <w:rPr>
                <w:rFonts w:hint="eastAsia" w:ascii="宋体" w:hAnsi="宋体" w:cs="宋体"/>
                <w:color w:val="auto"/>
                <w:szCs w:val="21"/>
                <w:highlight w:val="none"/>
                <w:lang w:val="en-US" w:eastAsia="zh-CN"/>
              </w:rPr>
              <w:t>1824.888623‬（含税）</w:t>
            </w:r>
          </w:p>
        </w:tc>
        <w:tc>
          <w:tcPr>
            <w:tcW w:w="824" w:type="pct"/>
            <w:shd w:val="clear" w:color="auto" w:fill="FFFFFF"/>
            <w:vAlign w:val="center"/>
          </w:tcPr>
          <w:p>
            <w:pPr>
              <w:jc w:val="center"/>
              <w:rPr>
                <w:rFonts w:hint="default" w:ascii="宋体" w:hAnsi="Times New Roman" w:eastAsia="宋体" w:cs="宋体"/>
                <w:color w:val="auto"/>
                <w:sz w:val="21"/>
                <w:szCs w:val="21"/>
                <w:highlight w:val="none"/>
                <w:lang w:val="en-US" w:eastAsia="zh-CN"/>
              </w:rPr>
            </w:pPr>
            <w:r>
              <w:rPr>
                <w:rFonts w:hint="eastAsia" w:ascii="宋体" w:hAnsi="宋体" w:cs="宋体"/>
                <w:color w:val="auto"/>
                <w:szCs w:val="21"/>
                <w:highlight w:val="none"/>
                <w:lang w:val="en-US" w:eastAsia="zh-CN"/>
              </w:rPr>
              <w:t>1824.888623‬（含税）</w:t>
            </w:r>
          </w:p>
        </w:tc>
        <w:tc>
          <w:tcPr>
            <w:tcW w:w="823" w:type="pct"/>
            <w:shd w:val="clear" w:color="auto" w:fill="FFFFFF"/>
            <w:vAlign w:val="center"/>
          </w:tcPr>
          <w:p>
            <w:pPr>
              <w:jc w:val="center"/>
              <w:rPr>
                <w:rFonts w:hint="default" w:ascii="宋体" w:hAnsi="Times New Roman" w:eastAsia="宋体" w:cs="宋体"/>
                <w:color w:val="auto"/>
                <w:sz w:val="21"/>
                <w:szCs w:val="21"/>
                <w:highlight w:val="none"/>
                <w:lang w:val="en-US" w:eastAsia="zh-CN"/>
              </w:rPr>
            </w:pPr>
            <w:r>
              <w:rPr>
                <w:rFonts w:hint="eastAsia" w:ascii="宋体" w:cs="宋体"/>
                <w:color w:val="auto"/>
                <w:sz w:val="21"/>
                <w:szCs w:val="21"/>
                <w:highlight w:val="none"/>
                <w:lang w:val="en-US" w:eastAsia="zh-CN"/>
              </w:rPr>
              <w:t>30</w:t>
            </w:r>
          </w:p>
        </w:tc>
      </w:tr>
    </w:tbl>
    <w:p>
      <w:pPr>
        <w:pStyle w:val="41"/>
        <w:keepNext w:val="0"/>
        <w:keepLines w:val="0"/>
        <w:pageBreakBefore w:val="0"/>
        <w:kinsoku/>
        <w:overflowPunct/>
        <w:bidi w:val="0"/>
        <w:snapToGrid/>
        <w:spacing w:line="360" w:lineRule="auto"/>
        <w:ind w:firstLine="560"/>
        <w:textAlignment w:val="auto"/>
        <w:outlineLvl w:val="9"/>
        <w:rPr>
          <w:rFonts w:hint="eastAsia" w:ascii="宋体" w:hAnsi="宋体" w:cs="宋体"/>
          <w:color w:val="auto"/>
          <w:sz w:val="21"/>
          <w:szCs w:val="21"/>
          <w:highlight w:val="none"/>
          <w:lang w:val="en-US" w:eastAsia="zh-CN"/>
        </w:rPr>
      </w:pPr>
      <w:bookmarkStart w:id="13" w:name="_Toc20623"/>
      <w:r>
        <w:rPr>
          <w:rFonts w:hint="eastAsia" w:ascii="宋体" w:hAnsi="宋体" w:eastAsia="宋体" w:cs="宋体"/>
          <w:color w:val="auto"/>
          <w:sz w:val="21"/>
          <w:szCs w:val="21"/>
          <w:highlight w:val="none"/>
          <w:lang w:val="en-US" w:eastAsia="zh-CN"/>
        </w:rPr>
        <w:t>2.</w:t>
      </w:r>
      <w:bookmarkEnd w:id="13"/>
      <w:r>
        <w:rPr>
          <w:rFonts w:hint="eastAsia" w:ascii="宋体" w:hAnsi="宋体" w:cs="宋体"/>
          <w:color w:val="auto"/>
          <w:sz w:val="21"/>
          <w:szCs w:val="21"/>
          <w:highlight w:val="none"/>
          <w:lang w:val="en-US" w:eastAsia="zh-CN"/>
        </w:rPr>
        <w:t>4计划工期：365日（具体实际工期以开工报告、竣工报告为准）。</w:t>
      </w:r>
    </w:p>
    <w:p>
      <w:pPr>
        <w:pStyle w:val="41"/>
        <w:keepNext w:val="0"/>
        <w:keepLines w:val="0"/>
        <w:pageBreakBefore w:val="0"/>
        <w:kinsoku/>
        <w:overflowPunct/>
        <w:bidi w:val="0"/>
        <w:snapToGrid/>
        <w:spacing w:line="360" w:lineRule="auto"/>
        <w:ind w:firstLine="560"/>
        <w:textAlignment w:val="auto"/>
        <w:outlineLvl w:val="9"/>
        <w:rPr>
          <w:rFonts w:hint="eastAsia" w:ascii="宋体" w:hAnsi="宋体" w:cs="宋体"/>
          <w:color w:val="auto"/>
          <w:sz w:val="21"/>
          <w:szCs w:val="21"/>
          <w:highlight w:val="none"/>
          <w:lang w:val="en-US" w:eastAsia="zh-CN"/>
        </w:rPr>
      </w:pPr>
      <w:bookmarkStart w:id="14" w:name="_Toc25946"/>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5质量、安全、文明施工要求：</w:t>
      </w:r>
    </w:p>
    <w:p>
      <w:pPr>
        <w:pStyle w:val="41"/>
        <w:keepNext w:val="0"/>
        <w:keepLines w:val="0"/>
        <w:pageBreakBefore w:val="0"/>
        <w:kinsoku/>
        <w:overflowPunct/>
        <w:bidi w:val="0"/>
        <w:snapToGrid/>
        <w:spacing w:line="360" w:lineRule="auto"/>
        <w:ind w:firstLine="560"/>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要求质量控制目标:满足国家、行业、中国南方电网有限责任公司质量标准、控制标准和验收规范，通过各级验收合格并完成启动投产。</w:t>
      </w:r>
    </w:p>
    <w:p>
      <w:pPr>
        <w:pStyle w:val="41"/>
        <w:keepNext w:val="0"/>
        <w:keepLines w:val="0"/>
        <w:pageBreakBefore w:val="0"/>
        <w:kinsoku/>
        <w:overflowPunct/>
        <w:bidi w:val="0"/>
        <w:snapToGrid/>
        <w:spacing w:line="360" w:lineRule="auto"/>
        <w:ind w:firstLine="560"/>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要求安全控制目标：杜绝人身死亡事故、杜绝人身重伤事故。</w:t>
      </w:r>
    </w:p>
    <w:p>
      <w:pPr>
        <w:pStyle w:val="41"/>
        <w:keepNext w:val="0"/>
        <w:keepLines w:val="0"/>
        <w:pageBreakBefore w:val="0"/>
        <w:kinsoku/>
        <w:overflowPunct/>
        <w:bidi w:val="0"/>
        <w:snapToGrid/>
        <w:spacing w:line="360" w:lineRule="auto"/>
        <w:ind w:firstLine="560"/>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要求现场文明施工目标：按照国家、行业、南方电网公司及广东电网公司的要求和标准布置施工现场的文明施工设施，创造良好和规范的安全文明施工环境。</w:t>
      </w:r>
    </w:p>
    <w:p>
      <w:pPr>
        <w:pStyle w:val="41"/>
        <w:keepNext w:val="0"/>
        <w:keepLines w:val="0"/>
        <w:pageBreakBefore w:val="0"/>
        <w:kinsoku/>
        <w:overflowPunct/>
        <w:bidi w:val="0"/>
        <w:snapToGrid/>
        <w:spacing w:line="360" w:lineRule="auto"/>
        <w:ind w:firstLine="560"/>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满足南方电网公司标准设计和典型造价、绿色电网建设行动指南要求。承包商要执行南方电网公司及广东电网公司规章制度，全面开展标准建设工作。</w:t>
      </w:r>
    </w:p>
    <w:p>
      <w:pPr>
        <w:pStyle w:val="4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olor w:val="auto"/>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6施工承包方式：包工、包料、包设备、包工期、包质量、包造价控制、包安全、包文明施工、包项目协调管理、包验收移交、包竣工资料收集整理、包保修。</w:t>
      </w:r>
    </w:p>
    <w:p>
      <w:pPr>
        <w:keepNext w:val="0"/>
        <w:keepLines w:val="0"/>
        <w:pageBreakBefore w:val="0"/>
        <w:numPr>
          <w:ilvl w:val="0"/>
          <w:numId w:val="3"/>
        </w:numPr>
        <w:kinsoku/>
        <w:overflowPunct/>
        <w:bidi w:val="0"/>
        <w:snapToGrid/>
        <w:spacing w:line="360" w:lineRule="auto"/>
        <w:ind w:firstLine="426" w:firstLineChars="202"/>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投标人资格要求</w:t>
      </w:r>
      <w:bookmarkEnd w:id="14"/>
    </w:p>
    <w:tbl>
      <w:tblPr>
        <w:tblStyle w:val="43"/>
        <w:tblW w:w="5041" w:type="pct"/>
        <w:jc w:val="center"/>
        <w:tblLayout w:type="autofit"/>
        <w:tblCellMar>
          <w:top w:w="0" w:type="dxa"/>
          <w:left w:w="0" w:type="dxa"/>
          <w:bottom w:w="0" w:type="dxa"/>
          <w:right w:w="0" w:type="dxa"/>
        </w:tblCellMar>
      </w:tblPr>
      <w:tblGrid>
        <w:gridCol w:w="815"/>
        <w:gridCol w:w="8346"/>
      </w:tblGrid>
      <w:tr>
        <w:tblPrEx>
          <w:tblCellMar>
            <w:top w:w="0" w:type="dxa"/>
            <w:left w:w="0" w:type="dxa"/>
            <w:bottom w:w="0" w:type="dxa"/>
            <w:right w:w="0" w:type="dxa"/>
          </w:tblCellMar>
        </w:tblPrEx>
        <w:trPr>
          <w:trHeight w:val="511" w:hRule="atLeast"/>
          <w:jc w:val="center"/>
        </w:trPr>
        <w:tc>
          <w:tcPr>
            <w:tcW w:w="5000" w:type="pct"/>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pacing w:line="360" w:lineRule="auto"/>
              <w:jc w:val="center"/>
              <w:rPr>
                <w:rFonts w:hint="eastAsia" w:ascii="宋体" w:hAnsi="宋体" w:eastAsia="宋体" w:cs="宋体"/>
                <w:color w:val="auto"/>
                <w:sz w:val="21"/>
                <w:szCs w:val="21"/>
                <w:highlight w:val="none"/>
              </w:rPr>
            </w:pPr>
            <w:bookmarkStart w:id="15" w:name="_Toc32043"/>
            <w:r>
              <w:rPr>
                <w:rFonts w:hint="eastAsia" w:ascii="宋体" w:hAnsi="宋体" w:eastAsia="宋体" w:cs="宋体"/>
                <w:b/>
                <w:bCs/>
                <w:color w:val="auto"/>
                <w:sz w:val="21"/>
                <w:szCs w:val="21"/>
                <w:highlight w:val="none"/>
              </w:rPr>
              <w:t>通用资格要求</w:t>
            </w:r>
          </w:p>
        </w:tc>
      </w:tr>
      <w:tr>
        <w:tblPrEx>
          <w:tblCellMar>
            <w:top w:w="0" w:type="dxa"/>
            <w:left w:w="0" w:type="dxa"/>
            <w:bottom w:w="0" w:type="dxa"/>
            <w:right w:w="0" w:type="dxa"/>
          </w:tblCellMar>
        </w:tblPrEx>
        <w:trPr>
          <w:trHeight w:val="511" w:hRule="atLeast"/>
          <w:jc w:val="center"/>
        </w:trPr>
        <w:tc>
          <w:tcPr>
            <w:tcW w:w="445" w:type="pct"/>
            <w:tcBorders>
              <w:top w:val="single" w:color="000000" w:sz="6" w:space="0"/>
              <w:left w:val="single" w:color="000000" w:sz="6" w:space="0"/>
              <w:bottom w:val="single" w:color="000000" w:sz="6" w:space="0"/>
              <w:right w:val="single" w:color="000000" w:sz="6" w:space="0"/>
            </w:tcBorders>
            <w:shd w:val="clear" w:color="auto" w:fill="FFFFFF"/>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序号</w:t>
            </w:r>
          </w:p>
        </w:tc>
        <w:tc>
          <w:tcPr>
            <w:tcW w:w="4554" w:type="pct"/>
            <w:tcBorders>
              <w:top w:val="single" w:color="000000" w:sz="6" w:space="0"/>
              <w:left w:val="single" w:color="000000" w:sz="6" w:space="0"/>
              <w:bottom w:val="single" w:color="000000" w:sz="6" w:space="0"/>
              <w:right w:val="single" w:color="000000" w:sz="6" w:space="0"/>
            </w:tcBorders>
            <w:shd w:val="clear" w:color="auto" w:fill="FFFFFF"/>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内容</w:t>
            </w:r>
          </w:p>
        </w:tc>
      </w:tr>
      <w:tr>
        <w:tblPrEx>
          <w:tblCellMar>
            <w:top w:w="0" w:type="dxa"/>
            <w:left w:w="0" w:type="dxa"/>
            <w:bottom w:w="0" w:type="dxa"/>
            <w:right w:w="0" w:type="dxa"/>
          </w:tblCellMar>
        </w:tblPrEx>
        <w:trPr>
          <w:trHeight w:val="565" w:hRule="atLeast"/>
          <w:jc w:val="center"/>
        </w:trPr>
        <w:tc>
          <w:tcPr>
            <w:tcW w:w="445" w:type="pct"/>
            <w:tcBorders>
              <w:top w:val="single" w:color="000000" w:sz="6" w:space="0"/>
              <w:left w:val="single" w:color="000000" w:sz="6" w:space="0"/>
              <w:bottom w:val="single" w:color="000000" w:sz="6" w:space="0"/>
              <w:right w:val="single" w:color="000000" w:sz="6" w:space="0"/>
            </w:tcBorders>
            <w:shd w:val="clear" w:color="auto" w:fill="FFFFFF"/>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554" w:type="pct"/>
            <w:tcBorders>
              <w:top w:val="single" w:color="000000" w:sz="6" w:space="0"/>
              <w:left w:val="single" w:color="000000" w:sz="6" w:space="0"/>
              <w:bottom w:val="single" w:color="000000" w:sz="6" w:space="0"/>
              <w:right w:val="single" w:color="000000" w:sz="6" w:space="0"/>
            </w:tcBorders>
            <w:shd w:val="clear" w:color="auto" w:fill="FFFFFF"/>
            <w:vAlign w:val="center"/>
          </w:tcPr>
          <w:p>
            <w:pPr>
              <w:spacing w:line="360"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具有独立法人资格，持有合法有效的企业法人营业执照。</w:t>
            </w:r>
          </w:p>
        </w:tc>
      </w:tr>
      <w:tr>
        <w:tblPrEx>
          <w:tblCellMar>
            <w:top w:w="0" w:type="dxa"/>
            <w:left w:w="0" w:type="dxa"/>
            <w:bottom w:w="0" w:type="dxa"/>
            <w:right w:w="0" w:type="dxa"/>
          </w:tblCellMar>
        </w:tblPrEx>
        <w:trPr>
          <w:trHeight w:val="459" w:hRule="atLeast"/>
          <w:jc w:val="center"/>
        </w:trPr>
        <w:tc>
          <w:tcPr>
            <w:tcW w:w="445" w:type="pct"/>
            <w:tcBorders>
              <w:top w:val="single" w:color="000000" w:sz="6" w:space="0"/>
              <w:left w:val="single" w:color="000000" w:sz="6" w:space="0"/>
              <w:bottom w:val="single" w:color="000000" w:sz="6" w:space="0"/>
              <w:right w:val="single" w:color="000000" w:sz="6" w:space="0"/>
            </w:tcBorders>
            <w:shd w:val="clear" w:color="auto" w:fill="FFFFFF"/>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554" w:type="pct"/>
            <w:tcBorders>
              <w:top w:val="single" w:color="000000" w:sz="6" w:space="0"/>
              <w:left w:val="single" w:color="000000" w:sz="6" w:space="0"/>
              <w:bottom w:val="single" w:color="000000" w:sz="6" w:space="0"/>
              <w:right w:val="single" w:color="000000" w:sz="6" w:space="0"/>
            </w:tcBorders>
            <w:shd w:val="clear" w:color="auto" w:fill="FFFFFF"/>
            <w:vAlign w:val="center"/>
          </w:tcPr>
          <w:p>
            <w:pPr>
              <w:spacing w:line="360" w:lineRule="auto"/>
              <w:ind w:left="113" w:leftChars="0"/>
              <w:rPr>
                <w:rFonts w:hint="eastAsia" w:ascii="宋体" w:hAnsi="宋体" w:eastAsia="宋体" w:cs="宋体"/>
                <w:color w:val="auto"/>
                <w:kern w:val="2"/>
                <w:sz w:val="21"/>
                <w:szCs w:val="21"/>
                <w:highlight w:val="none"/>
                <w:lang w:val="en-US" w:eastAsia="zh-CN" w:bidi="ar-SA"/>
              </w:rPr>
            </w:pPr>
            <w:r>
              <w:rPr>
                <w:rFonts w:hint="eastAsia" w:ascii="宋体" w:hAnsi="宋体" w:cs="宋体"/>
                <w:b w:val="0"/>
                <w:bCs w:val="0"/>
                <w:color w:val="auto"/>
                <w:sz w:val="21"/>
                <w:szCs w:val="21"/>
                <w:highlight w:val="none"/>
                <w:u w:val="none"/>
                <w:vertAlign w:val="baseline"/>
                <w:lang w:val="en-US" w:eastAsia="zh-CN"/>
              </w:rPr>
              <w:t>投标人</w:t>
            </w:r>
            <w:r>
              <w:rPr>
                <w:rFonts w:hint="eastAsia" w:ascii="宋体" w:hAnsi="宋体" w:eastAsia="宋体" w:cs="宋体"/>
                <w:b w:val="0"/>
                <w:bCs w:val="0"/>
                <w:color w:val="auto"/>
                <w:sz w:val="21"/>
                <w:szCs w:val="21"/>
                <w:highlight w:val="none"/>
                <w:u w:val="none"/>
                <w:vertAlign w:val="baseline"/>
                <w:lang w:val="en-US" w:eastAsia="zh-CN"/>
              </w:rPr>
              <w:t>没有</w:t>
            </w:r>
            <w:r>
              <w:rPr>
                <w:rFonts w:hint="eastAsia" w:ascii="宋体" w:hAnsi="宋体" w:eastAsia="宋体" w:cs="宋体"/>
                <w:color w:val="auto"/>
                <w:kern w:val="2"/>
                <w:sz w:val="21"/>
                <w:szCs w:val="21"/>
                <w:highlight w:val="none"/>
                <w:lang w:val="en-US" w:eastAsia="zh-CN" w:bidi="ar-SA"/>
              </w:rPr>
              <w:t>在工程所在地政府及中国南方电网有限责任公司、广东电网有限责任公司</w:t>
            </w:r>
            <w:r>
              <w:rPr>
                <w:rFonts w:hint="eastAsia" w:ascii="宋体" w:hAnsi="宋体" w:cs="宋体"/>
                <w:color w:val="auto"/>
                <w:kern w:val="2"/>
                <w:sz w:val="21"/>
                <w:szCs w:val="21"/>
                <w:highlight w:val="none"/>
                <w:lang w:val="en-US" w:eastAsia="zh-CN" w:bidi="ar-SA"/>
              </w:rPr>
              <w:t>、广州市公共交通集团有限公司</w:t>
            </w:r>
            <w:r>
              <w:rPr>
                <w:rFonts w:hint="eastAsia" w:ascii="宋体" w:hAnsi="宋体" w:eastAsia="宋体" w:cs="宋体"/>
                <w:b w:val="0"/>
                <w:bCs w:val="0"/>
                <w:color w:val="auto"/>
                <w:sz w:val="21"/>
                <w:szCs w:val="21"/>
                <w:highlight w:val="none"/>
                <w:u w:val="none"/>
                <w:vertAlign w:val="baseline"/>
                <w:lang w:val="en-US" w:eastAsia="zh-CN"/>
              </w:rPr>
              <w:t>暂停投标资格、取消投标资格、不接受投标、市场禁入，且未解除的</w:t>
            </w:r>
            <w:r>
              <w:rPr>
                <w:rFonts w:hint="eastAsia" w:ascii="宋体" w:hAnsi="宋体" w:eastAsia="宋体" w:cs="宋体"/>
                <w:color w:val="auto"/>
                <w:kern w:val="2"/>
                <w:sz w:val="21"/>
                <w:szCs w:val="21"/>
                <w:highlight w:val="none"/>
                <w:lang w:val="en-US" w:eastAsia="zh-CN" w:bidi="ar-SA"/>
              </w:rPr>
              <w:t>。</w:t>
            </w:r>
          </w:p>
        </w:tc>
      </w:tr>
      <w:tr>
        <w:tblPrEx>
          <w:tblCellMar>
            <w:top w:w="0" w:type="dxa"/>
            <w:left w:w="0" w:type="dxa"/>
            <w:bottom w:w="0" w:type="dxa"/>
            <w:right w:w="0" w:type="dxa"/>
          </w:tblCellMar>
        </w:tblPrEx>
        <w:trPr>
          <w:trHeight w:val="459" w:hRule="atLeast"/>
          <w:jc w:val="center"/>
        </w:trPr>
        <w:tc>
          <w:tcPr>
            <w:tcW w:w="445" w:type="pct"/>
            <w:tcBorders>
              <w:top w:val="single" w:color="000000" w:sz="6" w:space="0"/>
              <w:left w:val="single" w:color="000000" w:sz="6" w:space="0"/>
              <w:bottom w:val="single" w:color="000000" w:sz="6" w:space="0"/>
              <w:right w:val="single" w:color="000000" w:sz="6" w:space="0"/>
            </w:tcBorders>
            <w:shd w:val="clear" w:color="auto" w:fill="FFFFFF"/>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w:t>
            </w:r>
          </w:p>
        </w:tc>
        <w:tc>
          <w:tcPr>
            <w:tcW w:w="4554" w:type="pct"/>
            <w:tcBorders>
              <w:top w:val="single" w:color="000000" w:sz="6" w:space="0"/>
              <w:left w:val="single" w:color="000000" w:sz="6" w:space="0"/>
              <w:bottom w:val="single" w:color="000000" w:sz="6" w:space="0"/>
              <w:right w:val="single" w:color="000000" w:sz="6" w:space="0"/>
            </w:tcBorders>
            <w:shd w:val="clear" w:color="auto" w:fill="FFFFFF"/>
            <w:vAlign w:val="center"/>
          </w:tcPr>
          <w:p>
            <w:pPr>
              <w:spacing w:line="360" w:lineRule="auto"/>
              <w:ind w:left="113" w:lef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不接受联合体投标。</w:t>
            </w:r>
          </w:p>
        </w:tc>
      </w:tr>
      <w:tr>
        <w:tblPrEx>
          <w:tblCellMar>
            <w:top w:w="0" w:type="dxa"/>
            <w:left w:w="0" w:type="dxa"/>
            <w:bottom w:w="0" w:type="dxa"/>
            <w:right w:w="0" w:type="dxa"/>
          </w:tblCellMar>
        </w:tblPrEx>
        <w:trPr>
          <w:trHeight w:val="511" w:hRule="atLeast"/>
          <w:jc w:val="center"/>
        </w:trPr>
        <w:tc>
          <w:tcPr>
            <w:tcW w:w="5000" w:type="pct"/>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pacing w:line="360" w:lineRule="auto"/>
              <w:ind w:left="113"/>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专用资格要求</w:t>
            </w:r>
          </w:p>
        </w:tc>
      </w:tr>
      <w:tr>
        <w:tblPrEx>
          <w:tblCellMar>
            <w:top w:w="0" w:type="dxa"/>
            <w:left w:w="0" w:type="dxa"/>
            <w:bottom w:w="0" w:type="dxa"/>
            <w:right w:w="0" w:type="dxa"/>
          </w:tblCellMar>
        </w:tblPrEx>
        <w:trPr>
          <w:trHeight w:val="511" w:hRule="atLeast"/>
          <w:jc w:val="center"/>
        </w:trPr>
        <w:tc>
          <w:tcPr>
            <w:tcW w:w="445" w:type="pct"/>
            <w:tcBorders>
              <w:top w:val="single" w:color="000000" w:sz="6" w:space="0"/>
              <w:left w:val="single" w:color="000000" w:sz="6" w:space="0"/>
              <w:bottom w:val="single" w:color="000000" w:sz="6" w:space="0"/>
              <w:right w:val="single" w:color="000000" w:sz="6" w:space="0"/>
            </w:tcBorders>
            <w:shd w:val="clear" w:color="auto" w:fill="FFFFFF"/>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序号</w:t>
            </w:r>
          </w:p>
        </w:tc>
        <w:tc>
          <w:tcPr>
            <w:tcW w:w="4554" w:type="pct"/>
            <w:tcBorders>
              <w:top w:val="single" w:color="000000" w:sz="6" w:space="0"/>
              <w:left w:val="single" w:color="000000" w:sz="6" w:space="0"/>
              <w:bottom w:val="single" w:color="000000" w:sz="6" w:space="0"/>
              <w:right w:val="single" w:color="000000" w:sz="6" w:space="0"/>
            </w:tcBorders>
            <w:shd w:val="clear" w:color="auto" w:fill="FFFFFF"/>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内容</w:t>
            </w:r>
          </w:p>
        </w:tc>
      </w:tr>
      <w:tr>
        <w:tblPrEx>
          <w:tblCellMar>
            <w:top w:w="0" w:type="dxa"/>
            <w:left w:w="0" w:type="dxa"/>
            <w:bottom w:w="0" w:type="dxa"/>
            <w:right w:w="0" w:type="dxa"/>
          </w:tblCellMar>
        </w:tblPrEx>
        <w:trPr>
          <w:trHeight w:val="511" w:hRule="atLeast"/>
          <w:jc w:val="center"/>
        </w:trPr>
        <w:tc>
          <w:tcPr>
            <w:tcW w:w="445" w:type="pct"/>
            <w:tcBorders>
              <w:top w:val="single" w:color="000000" w:sz="6" w:space="0"/>
              <w:left w:val="single" w:color="000000" w:sz="6" w:space="0"/>
              <w:bottom w:val="single" w:color="000000" w:sz="6" w:space="0"/>
              <w:right w:val="single" w:color="000000" w:sz="6" w:space="0"/>
            </w:tcBorders>
            <w:shd w:val="clear" w:color="auto" w:fill="FFFFFF"/>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554"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after="157" w:afterLines="50" w:line="24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具备电力工程施工总承包</w:t>
            </w:r>
            <w:r>
              <w:rPr>
                <w:rFonts w:hint="eastAsia" w:ascii="宋体" w:hAnsi="宋体" w:eastAsia="宋体" w:cs="宋体"/>
                <w:color w:val="auto"/>
                <w:sz w:val="21"/>
                <w:szCs w:val="21"/>
                <w:highlight w:val="none"/>
              </w:rPr>
              <w:t>叁级或以上资质。</w:t>
            </w:r>
          </w:p>
        </w:tc>
      </w:tr>
      <w:tr>
        <w:tblPrEx>
          <w:tblCellMar>
            <w:top w:w="0" w:type="dxa"/>
            <w:left w:w="0" w:type="dxa"/>
            <w:bottom w:w="0" w:type="dxa"/>
            <w:right w:w="0" w:type="dxa"/>
          </w:tblCellMar>
        </w:tblPrEx>
        <w:trPr>
          <w:trHeight w:val="511" w:hRule="atLeast"/>
          <w:jc w:val="center"/>
        </w:trPr>
        <w:tc>
          <w:tcPr>
            <w:tcW w:w="445" w:type="pct"/>
            <w:tcBorders>
              <w:top w:val="single" w:color="000000" w:sz="6" w:space="0"/>
              <w:left w:val="single" w:color="000000" w:sz="6" w:space="0"/>
              <w:bottom w:val="single" w:color="000000" w:sz="6" w:space="0"/>
              <w:right w:val="single" w:color="000000" w:sz="6" w:space="0"/>
            </w:tcBorders>
            <w:shd w:val="clear" w:color="auto" w:fill="FFFFFF"/>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554"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after="157" w:afterLines="50"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具备建设行政主管部门颁发的在有效期内安全生产许可证。</w:t>
            </w:r>
          </w:p>
        </w:tc>
      </w:tr>
      <w:tr>
        <w:tblPrEx>
          <w:tblCellMar>
            <w:top w:w="0" w:type="dxa"/>
            <w:left w:w="0" w:type="dxa"/>
            <w:bottom w:w="0" w:type="dxa"/>
            <w:right w:w="0" w:type="dxa"/>
          </w:tblCellMar>
        </w:tblPrEx>
        <w:trPr>
          <w:trHeight w:val="1721" w:hRule="atLeast"/>
          <w:jc w:val="center"/>
        </w:trPr>
        <w:tc>
          <w:tcPr>
            <w:tcW w:w="445"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after="157" w:afterLines="5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4554"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after="157" w:afterLines="50" w:line="240" w:lineRule="auto"/>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拟派驻的项目经理要求已取得二级或以上注册建造师执业证书(建筑工程专业)，同时持有项目经理安全生产考核合格证(B类)，相关证书均在有效期内并在投标单位注册，且须提供在本单位投标截止日期前半年内连续3个月的社保证明。</w:t>
            </w:r>
          </w:p>
          <w:p>
            <w:pPr>
              <w:keepNext w:val="0"/>
              <w:keepLines w:val="0"/>
              <w:pageBreakBefore w:val="0"/>
              <w:widowControl/>
              <w:kinsoku/>
              <w:wordWrap/>
              <w:overflowPunct/>
              <w:topLinePunct w:val="0"/>
              <w:autoSpaceDE/>
              <w:autoSpaceDN/>
              <w:bidi w:val="0"/>
              <w:adjustRightInd w:val="0"/>
              <w:snapToGrid w:val="0"/>
              <w:spacing w:after="157" w:afterLines="50" w:line="240" w:lineRule="auto"/>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lang w:val="en-US" w:eastAsia="zh-CN"/>
              </w:rPr>
              <w:t>根据广东省住建厅《关于明确二级建造师注册执业有关问题的通知》（粤建市函〔2023〕469号），二级建造师应在考试取得执业资格的省、自治区、直辖市申请注册，二级注册建造师可随注册企业在全国范围内执业。</w:t>
            </w:r>
            <w:r>
              <w:rPr>
                <w:rFonts w:hint="default" w:ascii="宋体" w:hAnsi="宋体" w:eastAsia="宋体" w:cs="宋体"/>
                <w:color w:val="auto"/>
                <w:sz w:val="21"/>
                <w:szCs w:val="21"/>
                <w:highlight w:val="none"/>
                <w:lang w:val="en-US" w:eastAsia="zh-CN"/>
              </w:rPr>
              <w:t>项目经理未担任其他在施(包括已中标未开工、已建成未竣工)建设工程项目的项目经理。</w:t>
            </w:r>
          </w:p>
        </w:tc>
      </w:tr>
      <w:tr>
        <w:tblPrEx>
          <w:tblCellMar>
            <w:top w:w="0" w:type="dxa"/>
            <w:left w:w="0" w:type="dxa"/>
            <w:bottom w:w="0" w:type="dxa"/>
            <w:right w:w="0" w:type="dxa"/>
          </w:tblCellMar>
        </w:tblPrEx>
        <w:trPr>
          <w:trHeight w:val="511" w:hRule="atLeast"/>
          <w:jc w:val="center"/>
        </w:trPr>
        <w:tc>
          <w:tcPr>
            <w:tcW w:w="445" w:type="pct"/>
            <w:tcBorders>
              <w:top w:val="single" w:color="000000" w:sz="6" w:space="0"/>
              <w:left w:val="single" w:color="000000" w:sz="6" w:space="0"/>
              <w:bottom w:val="single" w:color="000000" w:sz="6" w:space="0"/>
              <w:right w:val="single" w:color="000000" w:sz="6" w:space="0"/>
            </w:tcBorders>
            <w:shd w:val="clear" w:color="auto" w:fill="FFFFFF"/>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4554"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after="157" w:afterLines="50" w:line="240" w:lineRule="auto"/>
              <w:jc w:val="left"/>
              <w:textAlignment w:val="auto"/>
              <w:rPr>
                <w:rFonts w:hint="eastAsia" w:ascii="宋体" w:hAnsi="宋体" w:eastAsia="宋体" w:cs="宋体"/>
                <w:color w:val="auto"/>
                <w:sz w:val="21"/>
                <w:szCs w:val="21"/>
                <w:highlight w:val="none"/>
                <w:lang w:eastAsia="zh-CN"/>
              </w:rPr>
            </w:pPr>
            <w:r>
              <w:rPr>
                <w:rFonts w:ascii="宋体" w:hAnsi="宋体" w:eastAsia="宋体" w:cs="宋体"/>
                <w:color w:val="auto"/>
                <w:spacing w:val="-4"/>
                <w:sz w:val="21"/>
                <w:szCs w:val="21"/>
                <w:highlight w:val="none"/>
              </w:rPr>
              <w:t>已在广州公共资源</w:t>
            </w:r>
            <w:r>
              <w:rPr>
                <w:rFonts w:ascii="宋体" w:hAnsi="宋体" w:eastAsia="宋体" w:cs="宋体"/>
                <w:color w:val="auto"/>
                <w:spacing w:val="-2"/>
                <w:sz w:val="21"/>
                <w:szCs w:val="21"/>
                <w:highlight w:val="none"/>
              </w:rPr>
              <w:t>交易中心办理企业信息登记，且拟担任本工程项目经</w:t>
            </w:r>
            <w:r>
              <w:rPr>
                <w:rFonts w:ascii="宋体" w:hAnsi="宋体" w:eastAsia="宋体" w:cs="宋体"/>
                <w:color w:val="auto"/>
                <w:spacing w:val="2"/>
                <w:sz w:val="21"/>
                <w:szCs w:val="21"/>
                <w:highlight w:val="none"/>
              </w:rPr>
              <w:t>理(项目负责人)须是本企业在广州公共</w:t>
            </w:r>
            <w:r>
              <w:rPr>
                <w:rFonts w:ascii="宋体" w:hAnsi="宋体" w:eastAsia="宋体" w:cs="宋体"/>
                <w:color w:val="auto"/>
                <w:spacing w:val="1"/>
                <w:sz w:val="21"/>
                <w:szCs w:val="21"/>
                <w:highlight w:val="none"/>
              </w:rPr>
              <w:t>资源交易中心的企业信息登记</w:t>
            </w:r>
            <w:r>
              <w:rPr>
                <w:rFonts w:ascii="宋体" w:hAnsi="宋体" w:eastAsia="宋体" w:cs="宋体"/>
                <w:color w:val="auto"/>
                <w:spacing w:val="-4"/>
                <w:sz w:val="21"/>
                <w:szCs w:val="21"/>
                <w:highlight w:val="none"/>
              </w:rPr>
              <w:t>在册人员</w:t>
            </w:r>
            <w:r>
              <w:rPr>
                <w:rFonts w:hint="eastAsia" w:ascii="宋体" w:hAnsi="宋体" w:eastAsia="宋体" w:cs="宋体"/>
                <w:color w:val="auto"/>
                <w:spacing w:val="-4"/>
                <w:sz w:val="21"/>
                <w:szCs w:val="21"/>
                <w:highlight w:val="none"/>
                <w:lang w:eastAsia="zh-CN"/>
              </w:rPr>
              <w:t>。</w:t>
            </w:r>
          </w:p>
        </w:tc>
      </w:tr>
    </w:tbl>
    <w:p>
      <w:pPr>
        <w:pStyle w:val="22"/>
        <w:numPr>
          <w:ilvl w:val="0"/>
          <w:numId w:val="0"/>
        </w:numPr>
        <w:spacing w:line="480" w:lineRule="auto"/>
        <w:rPr>
          <w:rFonts w:hint="eastAsia"/>
          <w:color w:val="auto"/>
          <w:highlight w:val="none"/>
          <w:lang w:val="en-US" w:eastAsia="zh-CN"/>
        </w:rPr>
      </w:pPr>
      <w:r>
        <w:rPr>
          <w:rFonts w:hint="eastAsia" w:ascii="宋体" w:hAnsi="宋体" w:eastAsia="宋体" w:cs="宋体"/>
          <w:b/>
          <w:bCs/>
          <w:color w:val="auto"/>
          <w:szCs w:val="21"/>
          <w:highlight w:val="none"/>
          <w:lang w:val="en-US" w:eastAsia="zh-CN"/>
        </w:rPr>
        <w:t>一、企业诚信行为要求</w:t>
      </w:r>
      <w:r>
        <w:rPr>
          <w:rFonts w:hint="eastAsia"/>
          <w:color w:val="auto"/>
          <w:highlight w:val="none"/>
          <w:lang w:val="en-US" w:eastAsia="zh-CN"/>
        </w:rPr>
        <w:t>：</w:t>
      </w:r>
    </w:p>
    <w:p>
      <w:pPr>
        <w:pStyle w:val="22"/>
        <w:numPr>
          <w:ilvl w:val="0"/>
          <w:numId w:val="0"/>
        </w:numPr>
        <w:spacing w:line="480" w:lineRule="auto"/>
        <w:ind w:firstLine="420" w:firstLineChars="200"/>
        <w:rPr>
          <w:rFonts w:hint="eastAsia"/>
          <w:color w:val="auto"/>
          <w:highlight w:val="none"/>
          <w:lang w:val="en-US" w:eastAsia="zh-CN"/>
        </w:rPr>
      </w:pPr>
      <w:r>
        <w:rPr>
          <w:rFonts w:hint="eastAsia"/>
          <w:color w:val="auto"/>
          <w:highlight w:val="none"/>
          <w:lang w:val="en-US" w:eastAsia="zh-CN"/>
        </w:rPr>
        <w:t>1.投标人被纳入南方电网、广东电网公司、广州供电局廉情预警名单范围内，未完成评标的，由评标委员在初评环节予以否决；未定标的，由原评标委员会重新评议,对被纳入南方电网、广东电网公司、广州供电局廉情预警名单范围内的供应商作否决投标处理。</w:t>
      </w:r>
    </w:p>
    <w:p>
      <w:pPr>
        <w:pStyle w:val="22"/>
        <w:numPr>
          <w:ilvl w:val="0"/>
          <w:numId w:val="0"/>
        </w:numPr>
        <w:spacing w:line="480" w:lineRule="auto"/>
        <w:ind w:firstLine="420" w:firstLineChars="200"/>
        <w:rPr>
          <w:rFonts w:hint="eastAsia"/>
          <w:color w:val="auto"/>
          <w:highlight w:val="none"/>
          <w:lang w:val="en-US" w:eastAsia="zh-CN"/>
        </w:rPr>
      </w:pPr>
      <w:r>
        <w:rPr>
          <w:rFonts w:hint="eastAsia"/>
          <w:color w:val="auto"/>
          <w:highlight w:val="none"/>
          <w:lang w:val="en-US" w:eastAsia="zh-CN"/>
        </w:rPr>
        <w:t>2.根据《中国南方电网有限责任公司供货商扣分处罚实施细则》和《南方电网公司供应商行贿行为记录及处置办法》，被南方电网公司实施不接受投标或市场禁入处理的供应商，在处理期限内尚未完成评标的，作否决投标处理，尚未发出中标通知书或成交通知书的，作取消中标或成交资格处理。</w:t>
      </w:r>
    </w:p>
    <w:p>
      <w:pPr>
        <w:pStyle w:val="22"/>
        <w:numPr>
          <w:ilvl w:val="0"/>
          <w:numId w:val="0"/>
        </w:numPr>
        <w:spacing w:line="480" w:lineRule="auto"/>
        <w:ind w:firstLine="420" w:firstLineChars="200"/>
        <w:rPr>
          <w:rFonts w:hint="eastAsia"/>
          <w:color w:val="auto"/>
          <w:highlight w:val="none"/>
          <w:lang w:val="en-US" w:eastAsia="zh-CN"/>
        </w:rPr>
      </w:pPr>
      <w:r>
        <w:rPr>
          <w:rFonts w:hint="eastAsia"/>
          <w:color w:val="auto"/>
          <w:highlight w:val="none"/>
          <w:lang w:val="en-US" w:eastAsia="zh-CN"/>
        </w:rPr>
        <w:t>3.被广东电网公司、广州市公共交通集团有限公司暂停投标资格的供应商，在处理期限内尚未完成评标的，作否决投标处理，尚未发出中标通知书或成交通知书的，作取消中标或成交资格处理。</w:t>
      </w:r>
    </w:p>
    <w:p>
      <w:pPr>
        <w:keepNext w:val="0"/>
        <w:keepLines w:val="0"/>
        <w:pageBreakBefore w:val="0"/>
        <w:widowControl w:val="0"/>
        <w:kinsoku/>
        <w:wordWrap/>
        <w:overflowPunct/>
        <w:topLinePunct w:val="0"/>
        <w:autoSpaceDE/>
        <w:autoSpaceDN/>
        <w:bidi w:val="0"/>
        <w:spacing w:line="360" w:lineRule="auto"/>
        <w:textAlignment w:val="auto"/>
        <w:outlineLvl w:val="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二、资质证书要求：</w:t>
      </w:r>
    </w:p>
    <w:p>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outlineLvl w:val="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各投标单位在投标文件中提交的资质证书(或全国建筑市场监管公共服务平台资质查询截图)应在有效期范围内。如资质证书(或全国建筑市场监管公共服务平台资质查询截图)显示资质有效期已届满但未办理延续的，应同时在投标文件中提交本单位企业资质的核发单位(如：住房和城乡建设部或各省级住房和城乡建设主管部门)确定资质延续有关政策的网页发布截图，否则视为资质证书不在有效期内，作否决投标处理。</w:t>
      </w:r>
    </w:p>
    <w:p>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outlineLvl w:val="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属于政策上支持可延续资质证书有效期的单位：</w:t>
      </w:r>
    </w:p>
    <w:p>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outlineLvl w:val="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在国发〔2021〕7号文件决定取消的建设工程企业资质范围内的，执行国发〔2021〕7号文规定“自2021年7月1日至新的建设工程企业资质标准实施之日止，国发〔2021〕7号文件附件所列资质证书继续有效，有效期届满的，统一延期至新的建设工程企业资质标准实施之日。”</w:t>
      </w:r>
    </w:p>
    <w:p>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outlineLvl w:val="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不在国发〔2021〕7号文件决定取消的建设工程企业资质范围内的，由住房和城乡建设部核发的工程勘察、工程设计、建筑业企业、工程监理企业资质，执行住房和城乡建设部确定资质延续有关政策；由地方各级住房和城乡建设主管部门核发的工程勘察、工程设计、建筑业企业、工程监理企业资质，执行各省级住房和城乡建设主管部门确定资质延续有关政策。</w:t>
      </w:r>
    </w:p>
    <w:p>
      <w:pPr>
        <w:keepNext w:val="0"/>
        <w:keepLines w:val="0"/>
        <w:pageBreakBefore w:val="0"/>
        <w:widowControl w:val="0"/>
        <w:kinsoku/>
        <w:wordWrap/>
        <w:overflowPunct/>
        <w:topLinePunct w:val="0"/>
        <w:autoSpaceDE/>
        <w:autoSpaceDN/>
        <w:bidi w:val="0"/>
        <w:spacing w:line="360" w:lineRule="auto"/>
        <w:textAlignment w:val="auto"/>
        <w:outlineLvl w:val="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三、关于注册建造师的要求：</w:t>
      </w:r>
    </w:p>
    <w:p>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outlineLvl w:val="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根据《住房和城乡建设部办公厅关于全面实行一级建造师电子注册证书的通知》(建办市〔2021〕40号)自2022年1月1日起，一级建造师统一使用电子注册证书，并使用电子注册证书上的注册编号，纸质注册证书作废；注册专业有效期届满且未提出延续注册申请的，自2022年1月1日起注册专业失效。</w:t>
      </w:r>
    </w:p>
    <w:p>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outlineLvl w:val="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根据广东省住建厅《关于明确二级建造师注册执业有关问题的通知》（粤建市函〔2023〕469号），二级建造师应在考试取得执业资格的省、自治区、直辖市申请注册，二级注册建造师可随注册企业在全国范围内执业。</w:t>
      </w:r>
    </w:p>
    <w:p>
      <w:pPr>
        <w:keepNext w:val="0"/>
        <w:keepLines w:val="0"/>
        <w:pageBreakBefore w:val="0"/>
        <w:kinsoku/>
        <w:overflowPunct/>
        <w:bidi w:val="0"/>
        <w:snapToGrid/>
        <w:spacing w:line="360" w:lineRule="auto"/>
        <w:ind w:firstLine="422" w:firstLineChars="200"/>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四</w:t>
      </w:r>
      <w:r>
        <w:rPr>
          <w:rFonts w:hint="eastAsia" w:ascii="宋体" w:hAnsi="宋体" w:eastAsia="宋体" w:cs="宋体"/>
          <w:b/>
          <w:bCs/>
          <w:color w:val="auto"/>
          <w:szCs w:val="21"/>
          <w:highlight w:val="none"/>
        </w:rPr>
        <w:t>、招标文件的获取</w:t>
      </w:r>
      <w:bookmarkEnd w:id="15"/>
    </w:p>
    <w:p>
      <w:pPr>
        <w:keepNext w:val="0"/>
        <w:keepLines w:val="0"/>
        <w:pageBreakBefore w:val="0"/>
        <w:tabs>
          <w:tab w:val="left" w:pos="360"/>
        </w:tabs>
        <w:kinsoku/>
        <w:overflowPunct/>
        <w:bidi w:val="0"/>
        <w:snapToGrid/>
        <w:spacing w:line="360" w:lineRule="auto"/>
        <w:ind w:firstLine="420" w:firstLineChars="200"/>
        <w:textAlignment w:val="auto"/>
        <w:outlineLvl w:val="9"/>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val="0"/>
          <w:bCs w:val="0"/>
          <w:color w:val="auto"/>
          <w:szCs w:val="21"/>
          <w:highlight w:val="none"/>
          <w:shd w:val="clear" w:color="auto" w:fill="auto"/>
          <w:lang w:val="en-US" w:eastAsia="zh-CN"/>
        </w:rPr>
        <w:t>4.1凡有意参加投标者，请于</w:t>
      </w:r>
      <w:r>
        <w:rPr>
          <w:rStyle w:val="52"/>
          <w:rFonts w:hint="eastAsia" w:ascii="宋体" w:hAnsi="宋体" w:cs="宋体"/>
          <w:b w:val="0"/>
          <w:bCs w:val="0"/>
          <w:color w:val="auto"/>
          <w:szCs w:val="21"/>
          <w:highlight w:val="none"/>
          <w:u w:val="single"/>
          <w:shd w:val="clear" w:color="auto" w:fill="auto"/>
          <w:lang w:val="en-US" w:eastAsia="zh-CN"/>
        </w:rPr>
        <w:t>2023年  月  日  时  分</w:t>
      </w:r>
      <w:r>
        <w:rPr>
          <w:rStyle w:val="52"/>
          <w:rFonts w:hint="eastAsia" w:ascii="宋体" w:hAnsi="宋体" w:eastAsia="宋体" w:cs="宋体"/>
          <w:b w:val="0"/>
          <w:bCs w:val="0"/>
          <w:color w:val="auto"/>
          <w:szCs w:val="21"/>
          <w:highlight w:val="none"/>
          <w:u w:val="single"/>
          <w:shd w:val="clear" w:color="auto" w:fill="auto"/>
          <w:lang w:val="en-US" w:eastAsia="zh-CN"/>
        </w:rPr>
        <w:t xml:space="preserve">  秒</w:t>
      </w:r>
      <w:r>
        <w:rPr>
          <w:rStyle w:val="52"/>
          <w:rFonts w:hint="eastAsia" w:ascii="宋体" w:hAnsi="宋体" w:eastAsia="宋体" w:cs="宋体"/>
          <w:b w:val="0"/>
          <w:bCs w:val="0"/>
          <w:color w:val="auto"/>
          <w:szCs w:val="21"/>
          <w:highlight w:val="none"/>
          <w:u w:val="single"/>
          <w:shd w:val="clear" w:color="auto" w:fill="auto"/>
        </w:rPr>
        <w:t>至</w:t>
      </w:r>
      <w:r>
        <w:rPr>
          <w:rStyle w:val="52"/>
          <w:rFonts w:hint="eastAsia" w:ascii="宋体" w:hAnsi="宋体" w:cs="宋体"/>
          <w:b w:val="0"/>
          <w:bCs w:val="0"/>
          <w:color w:val="auto"/>
          <w:szCs w:val="21"/>
          <w:highlight w:val="none"/>
          <w:u w:val="single"/>
          <w:shd w:val="clear" w:color="auto" w:fill="auto"/>
          <w:lang w:val="en-US" w:eastAsia="zh-CN"/>
        </w:rPr>
        <w:t>2023年  月  日</w:t>
      </w:r>
      <w:r>
        <w:rPr>
          <w:rStyle w:val="52"/>
          <w:rFonts w:hint="eastAsia" w:ascii="宋体" w:hAnsi="宋体" w:eastAsia="宋体" w:cs="宋体"/>
          <w:b w:val="0"/>
          <w:bCs w:val="0"/>
          <w:color w:val="auto"/>
          <w:szCs w:val="21"/>
          <w:highlight w:val="none"/>
          <w:u w:val="single"/>
          <w:shd w:val="clear" w:color="auto" w:fill="auto"/>
          <w:lang w:val="en-US" w:eastAsia="zh-CN"/>
        </w:rPr>
        <w:t xml:space="preserve">  时  分  秒</w:t>
      </w:r>
      <w:r>
        <w:rPr>
          <w:rStyle w:val="52"/>
          <w:rFonts w:hint="eastAsia" w:ascii="宋体" w:hAnsi="宋体" w:eastAsia="宋体" w:cs="宋体"/>
          <w:b w:val="0"/>
          <w:bCs w:val="0"/>
          <w:color w:val="auto"/>
          <w:szCs w:val="21"/>
          <w:highlight w:val="none"/>
          <w:u w:val="none"/>
          <w:shd w:val="clear" w:color="auto" w:fill="auto"/>
          <w:lang w:val="en-US" w:eastAsia="zh-CN"/>
        </w:rPr>
        <w:t>（北京时间），登录广州交易集团有限公司(广州公共资源交易中心)网站(http://www.gzggzy.cn)，进行网上投标申请登记。(注：本项目需在广州公共资源交易系统对项目负责人进行加锁。)</w:t>
      </w:r>
    </w:p>
    <w:p>
      <w:pPr>
        <w:keepNext w:val="0"/>
        <w:keepLines w:val="0"/>
        <w:pageBreakBefore w:val="0"/>
        <w:tabs>
          <w:tab w:val="left" w:pos="360"/>
        </w:tabs>
        <w:kinsoku/>
        <w:overflowPunct/>
        <w:bidi w:val="0"/>
        <w:snapToGrid/>
        <w:spacing w:line="360" w:lineRule="auto"/>
        <w:ind w:firstLine="420" w:firstLineChars="200"/>
        <w:textAlignment w:val="auto"/>
        <w:outlineLvl w:val="9"/>
        <w:rPr>
          <w:rFonts w:hint="eastAsia" w:ascii="宋体" w:hAnsi="宋体" w:eastAsia="宋体" w:cs="宋体"/>
          <w:color w:val="auto"/>
          <w:highlight w:val="none"/>
        </w:rPr>
      </w:pPr>
      <w:bookmarkStart w:id="16" w:name="_Toc2442"/>
      <w:r>
        <w:rPr>
          <w:rFonts w:hint="eastAsia" w:ascii="宋体" w:hAnsi="宋体" w:eastAsia="宋体" w:cs="宋体"/>
          <w:b w:val="0"/>
          <w:bCs w:val="0"/>
          <w:color w:val="auto"/>
          <w:highlight w:val="none"/>
        </w:rPr>
        <w:t>4.</w:t>
      </w:r>
      <w:r>
        <w:rPr>
          <w:rFonts w:hint="eastAsia" w:ascii="宋体" w:hAnsi="宋体" w:cs="宋体"/>
          <w:b w:val="0"/>
          <w:bCs w:val="0"/>
          <w:color w:val="auto"/>
          <w:highlight w:val="none"/>
          <w:lang w:val="en-US" w:eastAsia="zh-CN"/>
        </w:rPr>
        <w:t>2</w:t>
      </w:r>
      <w:r>
        <w:rPr>
          <w:rFonts w:ascii="宋体" w:hAnsi="宋体" w:eastAsia="宋体" w:cs="宋体"/>
          <w:color w:val="auto"/>
          <w:spacing w:val="-5"/>
          <w:sz w:val="21"/>
          <w:szCs w:val="21"/>
          <w:highlight w:val="none"/>
        </w:rPr>
        <w:t>本次电子招标文件与招标公告一起发布，投标人请自行下载</w:t>
      </w:r>
      <w:r>
        <w:rPr>
          <w:rFonts w:hint="eastAsia" w:ascii="宋体" w:hAnsi="宋体" w:eastAsia="宋体" w:cs="宋体"/>
          <w:b w:val="0"/>
          <w:bCs w:val="0"/>
          <w:color w:val="auto"/>
          <w:highlight w:val="none"/>
        </w:rPr>
        <w:t>。</w:t>
      </w:r>
      <w:bookmarkEnd w:id="16"/>
    </w:p>
    <w:p>
      <w:pPr>
        <w:keepNext w:val="0"/>
        <w:keepLines w:val="0"/>
        <w:pageBreakBefore w:val="0"/>
        <w:kinsoku/>
        <w:overflowPunct/>
        <w:bidi w:val="0"/>
        <w:snapToGrid/>
        <w:spacing w:line="360" w:lineRule="auto"/>
        <w:ind w:firstLine="422" w:firstLineChars="200"/>
        <w:textAlignment w:val="auto"/>
        <w:outlineLvl w:val="9"/>
        <w:rPr>
          <w:rFonts w:hint="eastAsia" w:ascii="宋体" w:hAnsi="宋体" w:eastAsia="宋体" w:cs="宋体"/>
          <w:b/>
          <w:bCs/>
          <w:color w:val="auto"/>
          <w:szCs w:val="21"/>
          <w:highlight w:val="none"/>
        </w:rPr>
      </w:pPr>
      <w:bookmarkStart w:id="17" w:name="_Toc11858"/>
      <w:r>
        <w:rPr>
          <w:rFonts w:hint="eastAsia" w:ascii="宋体" w:hAnsi="宋体" w:eastAsia="宋体" w:cs="宋体"/>
          <w:b/>
          <w:bCs/>
          <w:color w:val="auto"/>
          <w:szCs w:val="21"/>
          <w:highlight w:val="none"/>
          <w:lang w:val="en-US" w:eastAsia="zh-CN"/>
        </w:rPr>
        <w:t>五</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投标文件的递交</w:t>
      </w:r>
      <w:bookmarkEnd w:id="17"/>
    </w:p>
    <w:p>
      <w:pPr>
        <w:keepNext w:val="0"/>
        <w:keepLines w:val="0"/>
        <w:pageBreakBefore w:val="0"/>
        <w:kinsoku/>
        <w:overflowPunct/>
        <w:bidi w:val="0"/>
        <w:snapToGrid/>
        <w:spacing w:line="360" w:lineRule="auto"/>
        <w:ind w:left="210" w:leftChars="100" w:firstLine="210" w:firstLineChars="100"/>
        <w:textAlignment w:val="auto"/>
        <w:outlineLvl w:val="9"/>
        <w:rPr>
          <w:rFonts w:hint="eastAsia" w:ascii="宋体" w:hAnsi="宋体" w:eastAsia="宋体" w:cs="宋体"/>
          <w:b w:val="0"/>
          <w:bCs w:val="0"/>
          <w:i w:val="0"/>
          <w:iCs w:val="0"/>
          <w:caps w:val="0"/>
          <w:color w:val="auto"/>
          <w:spacing w:val="0"/>
          <w:sz w:val="21"/>
          <w:szCs w:val="21"/>
          <w:highlight w:val="none"/>
        </w:rPr>
      </w:pPr>
      <w:bookmarkStart w:id="18" w:name="_Toc2450"/>
      <w:r>
        <w:rPr>
          <w:rFonts w:hint="eastAsia" w:ascii="宋体" w:hAnsi="宋体" w:eastAsia="宋体" w:cs="宋体"/>
          <w:b w:val="0"/>
          <w:bCs w:val="0"/>
          <w:i w:val="0"/>
          <w:iCs w:val="0"/>
          <w:caps w:val="0"/>
          <w:color w:val="auto"/>
          <w:spacing w:val="0"/>
          <w:sz w:val="21"/>
          <w:szCs w:val="21"/>
          <w:highlight w:val="none"/>
          <w:lang w:val="en-US" w:eastAsia="zh-CN"/>
        </w:rPr>
        <w:t>5</w:t>
      </w:r>
      <w:r>
        <w:rPr>
          <w:rFonts w:hint="eastAsia" w:ascii="宋体" w:hAnsi="宋体" w:eastAsia="宋体" w:cs="宋体"/>
          <w:b w:val="0"/>
          <w:bCs w:val="0"/>
          <w:i w:val="0"/>
          <w:iCs w:val="0"/>
          <w:caps w:val="0"/>
          <w:color w:val="auto"/>
          <w:spacing w:val="0"/>
          <w:sz w:val="21"/>
          <w:szCs w:val="21"/>
          <w:highlight w:val="none"/>
        </w:rPr>
        <w:t>.1</w:t>
      </w:r>
      <w:bookmarkEnd w:id="18"/>
      <w:r>
        <w:rPr>
          <w:rFonts w:hint="eastAsia" w:ascii="宋体" w:hAnsi="宋体" w:eastAsia="宋体" w:cs="宋体"/>
          <w:b w:val="0"/>
          <w:bCs w:val="0"/>
          <w:i w:val="0"/>
          <w:iCs w:val="0"/>
          <w:caps w:val="0"/>
          <w:color w:val="auto"/>
          <w:spacing w:val="0"/>
          <w:sz w:val="21"/>
          <w:szCs w:val="21"/>
          <w:highlight w:val="none"/>
        </w:rPr>
        <w:t>投标文件开始递交时间：</w:t>
      </w:r>
      <w:r>
        <w:rPr>
          <w:rFonts w:hint="eastAsia" w:ascii="宋体" w:hAnsi="宋体" w:cs="宋体"/>
          <w:b w:val="0"/>
          <w:bCs w:val="0"/>
          <w:i w:val="0"/>
          <w:iCs w:val="0"/>
          <w:caps w:val="0"/>
          <w:color w:val="auto"/>
          <w:spacing w:val="0"/>
          <w:sz w:val="21"/>
          <w:szCs w:val="21"/>
          <w:highlight w:val="none"/>
          <w:u w:val="single"/>
          <w:lang w:eastAsia="zh-CN"/>
        </w:rPr>
        <w:t>2023年</w:t>
      </w:r>
      <w:r>
        <w:rPr>
          <w:rFonts w:hint="eastAsia" w:ascii="宋体" w:hAnsi="宋体" w:cs="宋体"/>
          <w:b w:val="0"/>
          <w:bCs w:val="0"/>
          <w:i w:val="0"/>
          <w:iCs w:val="0"/>
          <w:caps w:val="0"/>
          <w:color w:val="auto"/>
          <w:spacing w:val="0"/>
          <w:sz w:val="21"/>
          <w:szCs w:val="21"/>
          <w:highlight w:val="none"/>
          <w:u w:val="single"/>
          <w:lang w:val="en-US" w:eastAsia="zh-CN"/>
        </w:rPr>
        <w:t xml:space="preserve">  </w:t>
      </w:r>
      <w:r>
        <w:rPr>
          <w:rFonts w:hint="eastAsia" w:ascii="宋体" w:hAnsi="宋体" w:cs="宋体"/>
          <w:b w:val="0"/>
          <w:bCs w:val="0"/>
          <w:i w:val="0"/>
          <w:iCs w:val="0"/>
          <w:caps w:val="0"/>
          <w:color w:val="auto"/>
          <w:spacing w:val="0"/>
          <w:sz w:val="21"/>
          <w:szCs w:val="21"/>
          <w:highlight w:val="none"/>
          <w:u w:val="single"/>
          <w:lang w:eastAsia="zh-CN"/>
        </w:rPr>
        <w:t>月</w:t>
      </w:r>
      <w:r>
        <w:rPr>
          <w:rFonts w:hint="eastAsia" w:ascii="宋体" w:hAnsi="宋体" w:cs="宋体"/>
          <w:b w:val="0"/>
          <w:bCs w:val="0"/>
          <w:i w:val="0"/>
          <w:iCs w:val="0"/>
          <w:caps w:val="0"/>
          <w:color w:val="auto"/>
          <w:spacing w:val="0"/>
          <w:sz w:val="21"/>
          <w:szCs w:val="21"/>
          <w:highlight w:val="none"/>
          <w:u w:val="single"/>
          <w:lang w:val="en-US" w:eastAsia="zh-CN"/>
        </w:rPr>
        <w:t xml:space="preserve">  </w:t>
      </w:r>
      <w:r>
        <w:rPr>
          <w:rFonts w:hint="eastAsia" w:ascii="宋体" w:hAnsi="宋体" w:cs="宋体"/>
          <w:b w:val="0"/>
          <w:bCs w:val="0"/>
          <w:i w:val="0"/>
          <w:iCs w:val="0"/>
          <w:caps w:val="0"/>
          <w:color w:val="auto"/>
          <w:spacing w:val="0"/>
          <w:sz w:val="21"/>
          <w:szCs w:val="21"/>
          <w:highlight w:val="none"/>
          <w:u w:val="single"/>
          <w:lang w:eastAsia="zh-CN"/>
        </w:rPr>
        <w:t>日</w:t>
      </w:r>
      <w:r>
        <w:rPr>
          <w:rFonts w:hint="eastAsia" w:ascii="宋体" w:hAnsi="宋体" w:cs="宋体"/>
          <w:b w:val="0"/>
          <w:bCs w:val="0"/>
          <w:i w:val="0"/>
          <w:iCs w:val="0"/>
          <w:caps w:val="0"/>
          <w:color w:val="auto"/>
          <w:spacing w:val="0"/>
          <w:sz w:val="21"/>
          <w:szCs w:val="21"/>
          <w:highlight w:val="none"/>
          <w:u w:val="single"/>
          <w:lang w:val="en-US" w:eastAsia="zh-CN"/>
        </w:rPr>
        <w:t xml:space="preserve">  </w:t>
      </w:r>
      <w:r>
        <w:rPr>
          <w:rFonts w:hint="eastAsia" w:ascii="宋体" w:hAnsi="宋体" w:cs="宋体"/>
          <w:b w:val="0"/>
          <w:bCs w:val="0"/>
          <w:i w:val="0"/>
          <w:iCs w:val="0"/>
          <w:caps w:val="0"/>
          <w:color w:val="auto"/>
          <w:spacing w:val="0"/>
          <w:sz w:val="21"/>
          <w:szCs w:val="21"/>
          <w:highlight w:val="none"/>
          <w:u w:val="single"/>
          <w:lang w:eastAsia="zh-CN"/>
        </w:rPr>
        <w:t>时</w:t>
      </w:r>
      <w:r>
        <w:rPr>
          <w:rFonts w:hint="eastAsia" w:ascii="宋体" w:hAnsi="宋体" w:cs="宋体"/>
          <w:b w:val="0"/>
          <w:bCs w:val="0"/>
          <w:i w:val="0"/>
          <w:iCs w:val="0"/>
          <w:caps w:val="0"/>
          <w:color w:val="auto"/>
          <w:spacing w:val="0"/>
          <w:sz w:val="21"/>
          <w:szCs w:val="21"/>
          <w:highlight w:val="none"/>
          <w:u w:val="single"/>
          <w:lang w:val="en-US" w:eastAsia="zh-CN"/>
        </w:rPr>
        <w:t xml:space="preserve">  </w:t>
      </w:r>
      <w:r>
        <w:rPr>
          <w:rFonts w:hint="eastAsia" w:ascii="宋体" w:hAnsi="宋体" w:cs="宋体"/>
          <w:b w:val="0"/>
          <w:bCs w:val="0"/>
          <w:i w:val="0"/>
          <w:iCs w:val="0"/>
          <w:caps w:val="0"/>
          <w:color w:val="auto"/>
          <w:spacing w:val="0"/>
          <w:sz w:val="21"/>
          <w:szCs w:val="21"/>
          <w:highlight w:val="none"/>
          <w:u w:val="single"/>
          <w:lang w:eastAsia="zh-CN"/>
        </w:rPr>
        <w:t>分</w:t>
      </w:r>
      <w:r>
        <w:rPr>
          <w:rFonts w:hint="eastAsia" w:ascii="宋体" w:hAnsi="宋体" w:eastAsia="宋体" w:cs="宋体"/>
          <w:b w:val="0"/>
          <w:bCs w:val="0"/>
          <w:i w:val="0"/>
          <w:iCs w:val="0"/>
          <w:caps w:val="0"/>
          <w:color w:val="auto"/>
          <w:spacing w:val="0"/>
          <w:sz w:val="21"/>
          <w:szCs w:val="21"/>
          <w:highlight w:val="none"/>
          <w:u w:val="single"/>
          <w:lang w:val="en-US" w:eastAsia="zh-CN"/>
        </w:rPr>
        <w:t xml:space="preserve">  </w:t>
      </w:r>
      <w:r>
        <w:rPr>
          <w:rFonts w:hint="eastAsia" w:ascii="宋体" w:hAnsi="宋体" w:eastAsia="宋体" w:cs="宋体"/>
          <w:b w:val="0"/>
          <w:bCs w:val="0"/>
          <w:i w:val="0"/>
          <w:iCs w:val="0"/>
          <w:caps w:val="0"/>
          <w:color w:val="auto"/>
          <w:spacing w:val="0"/>
          <w:sz w:val="21"/>
          <w:szCs w:val="21"/>
          <w:highlight w:val="none"/>
          <w:u w:val="single"/>
        </w:rPr>
        <w:t>秒</w:t>
      </w:r>
      <w:r>
        <w:rPr>
          <w:rFonts w:hint="eastAsia" w:ascii="宋体" w:hAnsi="宋体" w:eastAsia="宋体" w:cs="宋体"/>
          <w:b w:val="0"/>
          <w:bCs w:val="0"/>
          <w:i w:val="0"/>
          <w:iCs w:val="0"/>
          <w:caps w:val="0"/>
          <w:color w:val="auto"/>
          <w:spacing w:val="0"/>
          <w:sz w:val="21"/>
          <w:szCs w:val="21"/>
          <w:highlight w:val="none"/>
        </w:rPr>
        <w:t>，截止时间：</w:t>
      </w:r>
      <w:r>
        <w:rPr>
          <w:rFonts w:hint="eastAsia" w:ascii="宋体" w:hAnsi="宋体" w:cs="宋体"/>
          <w:b w:val="0"/>
          <w:bCs w:val="0"/>
          <w:i w:val="0"/>
          <w:iCs w:val="0"/>
          <w:caps w:val="0"/>
          <w:color w:val="auto"/>
          <w:spacing w:val="0"/>
          <w:sz w:val="21"/>
          <w:szCs w:val="21"/>
          <w:highlight w:val="none"/>
          <w:u w:val="single"/>
          <w:lang w:eastAsia="zh-CN"/>
        </w:rPr>
        <w:t>2023年</w:t>
      </w:r>
      <w:r>
        <w:rPr>
          <w:rFonts w:hint="eastAsia" w:ascii="宋体" w:hAnsi="宋体" w:cs="宋体"/>
          <w:b w:val="0"/>
          <w:bCs w:val="0"/>
          <w:i w:val="0"/>
          <w:iCs w:val="0"/>
          <w:caps w:val="0"/>
          <w:color w:val="auto"/>
          <w:spacing w:val="0"/>
          <w:sz w:val="21"/>
          <w:szCs w:val="21"/>
          <w:highlight w:val="none"/>
          <w:u w:val="single"/>
          <w:lang w:val="en-US" w:eastAsia="zh-CN"/>
        </w:rPr>
        <w:t xml:space="preserve">  </w:t>
      </w:r>
      <w:r>
        <w:rPr>
          <w:rFonts w:hint="eastAsia" w:ascii="宋体" w:hAnsi="宋体" w:cs="宋体"/>
          <w:b w:val="0"/>
          <w:bCs w:val="0"/>
          <w:i w:val="0"/>
          <w:iCs w:val="0"/>
          <w:caps w:val="0"/>
          <w:color w:val="auto"/>
          <w:spacing w:val="0"/>
          <w:sz w:val="21"/>
          <w:szCs w:val="21"/>
          <w:highlight w:val="none"/>
          <w:u w:val="single"/>
          <w:lang w:eastAsia="zh-CN"/>
        </w:rPr>
        <w:t>月</w:t>
      </w:r>
      <w:r>
        <w:rPr>
          <w:rFonts w:hint="eastAsia" w:ascii="宋体" w:hAnsi="宋体" w:cs="宋体"/>
          <w:b w:val="0"/>
          <w:bCs w:val="0"/>
          <w:i w:val="0"/>
          <w:iCs w:val="0"/>
          <w:caps w:val="0"/>
          <w:color w:val="auto"/>
          <w:spacing w:val="0"/>
          <w:sz w:val="21"/>
          <w:szCs w:val="21"/>
          <w:highlight w:val="none"/>
          <w:u w:val="single"/>
          <w:lang w:val="en-US" w:eastAsia="zh-CN"/>
        </w:rPr>
        <w:t xml:space="preserve">  </w:t>
      </w:r>
      <w:r>
        <w:rPr>
          <w:rFonts w:hint="eastAsia" w:ascii="宋体" w:hAnsi="宋体" w:cs="宋体"/>
          <w:b w:val="0"/>
          <w:bCs w:val="0"/>
          <w:i w:val="0"/>
          <w:iCs w:val="0"/>
          <w:caps w:val="0"/>
          <w:color w:val="auto"/>
          <w:spacing w:val="0"/>
          <w:sz w:val="21"/>
          <w:szCs w:val="21"/>
          <w:highlight w:val="none"/>
          <w:u w:val="single"/>
          <w:lang w:eastAsia="zh-CN"/>
        </w:rPr>
        <w:t>日</w:t>
      </w:r>
      <w:r>
        <w:rPr>
          <w:rFonts w:hint="eastAsia" w:ascii="宋体" w:hAnsi="宋体" w:cs="宋体"/>
          <w:b w:val="0"/>
          <w:bCs w:val="0"/>
          <w:i w:val="0"/>
          <w:iCs w:val="0"/>
          <w:caps w:val="0"/>
          <w:color w:val="auto"/>
          <w:spacing w:val="0"/>
          <w:sz w:val="21"/>
          <w:szCs w:val="21"/>
          <w:highlight w:val="none"/>
          <w:u w:val="single"/>
          <w:lang w:val="en-US" w:eastAsia="zh-CN"/>
        </w:rPr>
        <w:t xml:space="preserve">  </w:t>
      </w:r>
      <w:r>
        <w:rPr>
          <w:rFonts w:hint="eastAsia" w:ascii="宋体" w:hAnsi="宋体" w:cs="宋体"/>
          <w:b w:val="0"/>
          <w:bCs w:val="0"/>
          <w:i w:val="0"/>
          <w:iCs w:val="0"/>
          <w:caps w:val="0"/>
          <w:color w:val="auto"/>
          <w:spacing w:val="0"/>
          <w:sz w:val="21"/>
          <w:szCs w:val="21"/>
          <w:highlight w:val="none"/>
          <w:u w:val="single"/>
          <w:lang w:eastAsia="zh-CN"/>
        </w:rPr>
        <w:t>时</w:t>
      </w:r>
      <w:r>
        <w:rPr>
          <w:rFonts w:hint="eastAsia" w:ascii="宋体" w:hAnsi="宋体" w:cs="宋体"/>
          <w:b w:val="0"/>
          <w:bCs w:val="0"/>
          <w:i w:val="0"/>
          <w:iCs w:val="0"/>
          <w:caps w:val="0"/>
          <w:color w:val="auto"/>
          <w:spacing w:val="0"/>
          <w:sz w:val="21"/>
          <w:szCs w:val="21"/>
          <w:highlight w:val="none"/>
          <w:u w:val="single"/>
          <w:lang w:val="en-US" w:eastAsia="zh-CN"/>
        </w:rPr>
        <w:t xml:space="preserve"> </w:t>
      </w:r>
      <w:r>
        <w:rPr>
          <w:rFonts w:hint="eastAsia" w:ascii="宋体" w:hAnsi="宋体" w:cs="宋体"/>
          <w:b w:val="0"/>
          <w:bCs w:val="0"/>
          <w:i w:val="0"/>
          <w:iCs w:val="0"/>
          <w:caps w:val="0"/>
          <w:color w:val="auto"/>
          <w:spacing w:val="0"/>
          <w:sz w:val="21"/>
          <w:szCs w:val="21"/>
          <w:highlight w:val="none"/>
          <w:u w:val="single"/>
          <w:lang w:eastAsia="zh-CN"/>
        </w:rPr>
        <w:t>分</w:t>
      </w:r>
      <w:r>
        <w:rPr>
          <w:rFonts w:hint="eastAsia" w:ascii="宋体" w:hAnsi="宋体" w:eastAsia="宋体" w:cs="宋体"/>
          <w:b w:val="0"/>
          <w:bCs w:val="0"/>
          <w:i w:val="0"/>
          <w:iCs w:val="0"/>
          <w:caps w:val="0"/>
          <w:color w:val="auto"/>
          <w:spacing w:val="0"/>
          <w:sz w:val="21"/>
          <w:szCs w:val="21"/>
          <w:highlight w:val="none"/>
          <w:u w:val="single"/>
          <w:lang w:val="en-US" w:eastAsia="zh-CN"/>
        </w:rPr>
        <w:t xml:space="preserve">  秒</w:t>
      </w:r>
      <w:r>
        <w:rPr>
          <w:rFonts w:hint="eastAsia" w:ascii="宋体" w:hAnsi="宋体" w:eastAsia="宋体" w:cs="宋体"/>
          <w:b w:val="0"/>
          <w:bCs w:val="0"/>
          <w:i w:val="0"/>
          <w:iCs w:val="0"/>
          <w:caps w:val="0"/>
          <w:color w:val="auto"/>
          <w:spacing w:val="0"/>
          <w:sz w:val="21"/>
          <w:szCs w:val="21"/>
          <w:highlight w:val="none"/>
        </w:rPr>
        <w:t>。本项目为全电子化招投标，一律不接受纸质投标文件。投标人通过广州公共资源交易中心网站(http：//www.gzggzy.cn)数字交易平台递交电子投标文件，按照交易平台关于【通用版】新电 子招投标系统通用版操作指引(适用于建设工程不使用范本的各类电子标项目)的相关指南进行操作。详见：广州公共资源交易中心网站首页-服务指南。</w:t>
      </w:r>
    </w:p>
    <w:p>
      <w:pPr>
        <w:keepNext w:val="0"/>
        <w:keepLines w:val="0"/>
        <w:pageBreakBefore w:val="0"/>
        <w:kinsoku/>
        <w:overflowPunct/>
        <w:bidi w:val="0"/>
        <w:snapToGrid/>
        <w:spacing w:line="360" w:lineRule="auto"/>
        <w:ind w:firstLine="420" w:firstLineChars="200"/>
        <w:textAlignment w:val="auto"/>
        <w:outlineLvl w:val="9"/>
        <w:rPr>
          <w:rFonts w:hint="eastAsia" w:ascii="宋体" w:hAnsi="宋体" w:eastAsia="宋体" w:cs="宋体"/>
          <w:b w:val="0"/>
          <w:bCs w:val="0"/>
          <w:i w:val="0"/>
          <w:iCs w:val="0"/>
          <w:caps w:val="0"/>
          <w:color w:val="auto"/>
          <w:spacing w:val="0"/>
          <w:sz w:val="21"/>
          <w:szCs w:val="21"/>
          <w:highlight w:val="none"/>
          <w:lang w:eastAsia="zh-CN"/>
        </w:rPr>
      </w:pPr>
      <w:r>
        <w:rPr>
          <w:rFonts w:hint="eastAsia" w:ascii="宋体" w:hAnsi="宋体" w:eastAsia="宋体" w:cs="宋体"/>
          <w:b w:val="0"/>
          <w:bCs w:val="0"/>
          <w:i w:val="0"/>
          <w:iCs w:val="0"/>
          <w:caps w:val="0"/>
          <w:color w:val="auto"/>
          <w:spacing w:val="0"/>
          <w:sz w:val="21"/>
          <w:szCs w:val="21"/>
          <w:highlight w:val="none"/>
          <w:lang w:val="en-US" w:eastAsia="zh-CN"/>
        </w:rPr>
        <w:t>5</w:t>
      </w:r>
      <w:r>
        <w:rPr>
          <w:rFonts w:hint="eastAsia" w:ascii="宋体" w:hAnsi="宋体" w:eastAsia="宋体" w:cs="宋体"/>
          <w:b w:val="0"/>
          <w:bCs w:val="0"/>
          <w:i w:val="0"/>
          <w:iCs w:val="0"/>
          <w:caps w:val="0"/>
          <w:color w:val="auto"/>
          <w:spacing w:val="0"/>
          <w:sz w:val="21"/>
          <w:szCs w:val="21"/>
          <w:highlight w:val="none"/>
        </w:rPr>
        <w:t>.</w:t>
      </w:r>
      <w:r>
        <w:rPr>
          <w:rFonts w:hint="eastAsia" w:ascii="宋体" w:hAnsi="宋体" w:eastAsia="宋体" w:cs="宋体"/>
          <w:b w:val="0"/>
          <w:bCs w:val="0"/>
          <w:i w:val="0"/>
          <w:iCs w:val="0"/>
          <w:caps w:val="0"/>
          <w:color w:val="auto"/>
          <w:spacing w:val="0"/>
          <w:sz w:val="21"/>
          <w:szCs w:val="21"/>
          <w:highlight w:val="none"/>
          <w:lang w:val="en-US" w:eastAsia="zh-CN"/>
        </w:rPr>
        <w:t>2</w:t>
      </w:r>
      <w:r>
        <w:rPr>
          <w:rFonts w:ascii="宋体" w:hAnsi="宋体" w:eastAsia="宋体" w:cs="宋体"/>
          <w:color w:val="auto"/>
          <w:spacing w:val="-1"/>
          <w:sz w:val="21"/>
          <w:szCs w:val="21"/>
          <w:highlight w:val="none"/>
        </w:rPr>
        <w:t>未在</w:t>
      </w:r>
      <w:r>
        <w:rPr>
          <w:rFonts w:ascii="宋体" w:hAnsi="宋体" w:eastAsia="宋体" w:cs="宋体"/>
          <w:color w:val="auto"/>
          <w:sz w:val="21"/>
          <w:szCs w:val="21"/>
          <w:highlight w:val="none"/>
        </w:rPr>
        <w:t>招标公告规定的时间内进行投标登记的潜在投标人将不得参与投标。</w:t>
      </w:r>
    </w:p>
    <w:p>
      <w:pPr>
        <w:keepNext w:val="0"/>
        <w:keepLines w:val="0"/>
        <w:pageBreakBefore w:val="0"/>
        <w:kinsoku/>
        <w:overflowPunct/>
        <w:bidi w:val="0"/>
        <w:snapToGrid/>
        <w:spacing w:line="360" w:lineRule="auto"/>
        <w:ind w:firstLine="420" w:firstLineChars="200"/>
        <w:textAlignment w:val="auto"/>
        <w:outlineLvl w:val="9"/>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sz w:val="21"/>
          <w:szCs w:val="21"/>
          <w:highlight w:val="none"/>
          <w:lang w:val="en-US" w:eastAsia="zh-CN"/>
        </w:rPr>
        <w:t>5</w:t>
      </w:r>
      <w:r>
        <w:rPr>
          <w:rFonts w:hint="eastAsia" w:ascii="宋体" w:hAnsi="宋体" w:eastAsia="宋体" w:cs="宋体"/>
          <w:b w:val="0"/>
          <w:bCs w:val="0"/>
          <w:i w:val="0"/>
          <w:iCs w:val="0"/>
          <w:caps w:val="0"/>
          <w:color w:val="auto"/>
          <w:spacing w:val="0"/>
          <w:sz w:val="21"/>
          <w:szCs w:val="21"/>
          <w:highlight w:val="none"/>
        </w:rPr>
        <w:t>.</w:t>
      </w:r>
      <w:r>
        <w:rPr>
          <w:rFonts w:hint="eastAsia" w:ascii="宋体" w:hAnsi="宋体" w:eastAsia="宋体" w:cs="宋体"/>
          <w:b w:val="0"/>
          <w:bCs w:val="0"/>
          <w:i w:val="0"/>
          <w:iCs w:val="0"/>
          <w:caps w:val="0"/>
          <w:color w:val="auto"/>
          <w:spacing w:val="0"/>
          <w:sz w:val="21"/>
          <w:szCs w:val="21"/>
          <w:highlight w:val="none"/>
          <w:lang w:val="en-US" w:eastAsia="zh-CN"/>
        </w:rPr>
        <w:t>3</w:t>
      </w:r>
      <w:r>
        <w:rPr>
          <w:rFonts w:ascii="宋体" w:hAnsi="宋体" w:eastAsia="宋体" w:cs="宋体"/>
          <w:color w:val="auto"/>
          <w:spacing w:val="-1"/>
          <w:sz w:val="21"/>
          <w:szCs w:val="21"/>
          <w:highlight w:val="none"/>
        </w:rPr>
        <w:t>逾期送达的投标文件，</w:t>
      </w:r>
      <w:r>
        <w:rPr>
          <w:rFonts w:ascii="宋体" w:hAnsi="宋体" w:eastAsia="宋体" w:cs="宋体"/>
          <w:color w:val="auto"/>
          <w:sz w:val="21"/>
          <w:szCs w:val="21"/>
          <w:highlight w:val="none"/>
        </w:rPr>
        <w:t>电子招标投标交易平台将予以拒收。逾期未上传成功的电子投标文件，</w:t>
      </w:r>
      <w:r>
        <w:rPr>
          <w:rFonts w:ascii="宋体" w:hAnsi="宋体" w:eastAsia="宋体" w:cs="宋体"/>
          <w:color w:val="auto"/>
          <w:spacing w:val="-1"/>
          <w:sz w:val="21"/>
          <w:szCs w:val="21"/>
          <w:highlight w:val="none"/>
        </w:rPr>
        <w:t>招标人拒绝接</w:t>
      </w:r>
      <w:r>
        <w:rPr>
          <w:rFonts w:ascii="宋体" w:hAnsi="宋体" w:eastAsia="宋体" w:cs="宋体"/>
          <w:color w:val="auto"/>
          <w:sz w:val="21"/>
          <w:szCs w:val="21"/>
          <w:highlight w:val="none"/>
        </w:rPr>
        <w:t>收。</w:t>
      </w:r>
    </w:p>
    <w:p>
      <w:pPr>
        <w:keepNext w:val="0"/>
        <w:keepLines w:val="0"/>
        <w:pageBreakBefore w:val="0"/>
        <w:kinsoku/>
        <w:overflowPunct/>
        <w:bidi w:val="0"/>
        <w:snapToGrid/>
        <w:spacing w:line="360" w:lineRule="auto"/>
        <w:ind w:firstLine="422" w:firstLineChars="200"/>
        <w:textAlignment w:val="auto"/>
        <w:outlineLvl w:val="9"/>
        <w:rPr>
          <w:rFonts w:hint="eastAsia" w:ascii="宋体" w:hAnsi="宋体" w:eastAsia="宋体" w:cs="宋体"/>
          <w:b/>
          <w:bCs/>
          <w:color w:val="auto"/>
          <w:szCs w:val="21"/>
          <w:highlight w:val="none"/>
          <w:shd w:val="clear" w:color="auto" w:fill="auto"/>
          <w:lang w:val="en-US" w:eastAsia="zh-CN"/>
        </w:rPr>
      </w:pPr>
      <w:bookmarkStart w:id="19" w:name="_Toc23626"/>
      <w:r>
        <w:rPr>
          <w:rFonts w:hint="eastAsia" w:ascii="宋体" w:hAnsi="宋体" w:cs="宋体"/>
          <w:b/>
          <w:bCs/>
          <w:color w:val="auto"/>
          <w:szCs w:val="21"/>
          <w:highlight w:val="none"/>
          <w:shd w:val="clear" w:color="auto" w:fill="auto"/>
          <w:lang w:val="en-US" w:eastAsia="zh-CN"/>
        </w:rPr>
        <w:t>六</w:t>
      </w:r>
      <w:r>
        <w:rPr>
          <w:rFonts w:hint="eastAsia" w:ascii="宋体" w:hAnsi="宋体" w:eastAsia="宋体" w:cs="宋体"/>
          <w:b/>
          <w:bCs/>
          <w:color w:val="auto"/>
          <w:szCs w:val="21"/>
          <w:highlight w:val="none"/>
          <w:shd w:val="clear" w:color="auto" w:fill="auto"/>
        </w:rPr>
        <w:t>、发布公告的媒介</w:t>
      </w:r>
      <w:bookmarkEnd w:id="19"/>
    </w:p>
    <w:p>
      <w:pPr>
        <w:pStyle w:val="239"/>
        <w:keepNext w:val="0"/>
        <w:keepLines w:val="0"/>
        <w:pageBreakBefore w:val="0"/>
        <w:kinsoku/>
        <w:overflowPunct/>
        <w:bidi w:val="0"/>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招标公告在中国招标投标公共服务平台(www.cebpubservice.com)、广州交易集团有限公司(广州公共资源交易中心)网站(www.gzggzy.cn)、广东省招标投标监管网( zbtb.gd.gov.cn)</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广州市公共交通集团有限公司网站（www.gzbus.com）、广州公交集团新能源发展有限责任公司网站（https://www.gzgjxny.com）、广州国企阳光采购信息发布平台（https://ygcg.gzggzy.cn）</w:t>
      </w:r>
      <w:r>
        <w:rPr>
          <w:rFonts w:hint="eastAsia" w:ascii="宋体" w:hAnsi="宋体" w:eastAsia="宋体" w:cs="宋体"/>
          <w:color w:val="auto"/>
          <w:sz w:val="21"/>
          <w:szCs w:val="21"/>
          <w:highlight w:val="none"/>
        </w:rPr>
        <w:t>等媒体上发布。</w:t>
      </w:r>
    </w:p>
    <w:p>
      <w:pPr>
        <w:pStyle w:val="239"/>
        <w:keepNext w:val="0"/>
        <w:keepLines w:val="0"/>
        <w:pageBreakBefore w:val="0"/>
        <w:kinsoku/>
        <w:overflowPunct/>
        <w:bidi w:val="0"/>
        <w:snapToGrid/>
        <w:spacing w:line="360" w:lineRule="auto"/>
        <w:textAlignment w:val="auto"/>
        <w:outlineLvl w:val="9"/>
        <w:rPr>
          <w:rFonts w:hint="eastAsia" w:ascii="宋体" w:hAnsi="宋体" w:eastAsia="宋体" w:cs="宋体"/>
          <w:color w:val="auto"/>
          <w:sz w:val="21"/>
          <w:szCs w:val="21"/>
          <w:highlight w:val="none"/>
          <w:lang w:val="en-US" w:eastAsia="zh-CN"/>
        </w:rPr>
      </w:pPr>
    </w:p>
    <w:p>
      <w:pPr>
        <w:keepNext w:val="0"/>
        <w:keepLines w:val="0"/>
        <w:pageBreakBefore w:val="0"/>
        <w:numPr>
          <w:ilvl w:val="0"/>
          <w:numId w:val="4"/>
        </w:numPr>
        <w:kinsoku/>
        <w:overflowPunct/>
        <w:bidi w:val="0"/>
        <w:snapToGrid/>
        <w:spacing w:line="360" w:lineRule="auto"/>
        <w:ind w:firstLine="422" w:firstLineChars="200"/>
        <w:textAlignment w:val="auto"/>
        <w:outlineLvl w:val="9"/>
        <w:rPr>
          <w:rFonts w:hint="eastAsia" w:ascii="宋体" w:hAnsi="宋体" w:cs="宋体"/>
          <w:b/>
          <w:bCs/>
          <w:color w:val="auto"/>
          <w:szCs w:val="21"/>
          <w:highlight w:val="none"/>
          <w:lang w:val="en-US" w:eastAsia="zh-CN"/>
        </w:rPr>
      </w:pPr>
      <w:bookmarkStart w:id="20" w:name="_Toc11508"/>
      <w:r>
        <w:rPr>
          <w:rFonts w:hint="eastAsia" w:ascii="宋体" w:hAnsi="宋体" w:cs="宋体"/>
          <w:b/>
          <w:bCs/>
          <w:color w:val="auto"/>
          <w:szCs w:val="21"/>
          <w:highlight w:val="none"/>
          <w:lang w:val="en-US" w:eastAsia="zh-CN"/>
        </w:rPr>
        <w:t>异议</w:t>
      </w:r>
    </w:p>
    <w:p>
      <w:pPr>
        <w:spacing w:before="158" w:line="220" w:lineRule="auto"/>
        <w:ind w:left="593"/>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val="en-US" w:eastAsia="zh-CN"/>
        </w:rPr>
        <w:t>7</w:t>
      </w:r>
      <w:r>
        <w:rPr>
          <w:rFonts w:hint="eastAsia" w:ascii="宋体" w:hAnsi="宋体" w:eastAsia="宋体" w:cs="宋体"/>
          <w:color w:val="auto"/>
          <w:spacing w:val="-1"/>
          <w:sz w:val="21"/>
          <w:szCs w:val="21"/>
          <w:highlight w:val="none"/>
        </w:rPr>
        <w:t>.1异议的受理机构及联系方式</w:t>
      </w:r>
    </w:p>
    <w:p>
      <w:pPr>
        <w:spacing w:before="158" w:line="220" w:lineRule="auto"/>
        <w:ind w:left="59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受理机构：</w:t>
      </w:r>
      <w:r>
        <w:rPr>
          <w:rFonts w:hint="eastAsia" w:ascii="宋体" w:hAnsi="宋体" w:eastAsia="宋体" w:cs="宋体"/>
          <w:color w:val="auto"/>
          <w:spacing w:val="-1"/>
          <w:sz w:val="21"/>
          <w:szCs w:val="21"/>
          <w:highlight w:val="none"/>
          <w:lang w:val="en-US" w:eastAsia="zh-CN"/>
        </w:rPr>
        <w:t xml:space="preserve">广州公交集团新能源发展有限责任公司 </w:t>
      </w:r>
    </w:p>
    <w:p>
      <w:pPr>
        <w:spacing w:before="158" w:line="220" w:lineRule="auto"/>
        <w:ind w:left="58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20"/>
          <w:sz w:val="21"/>
          <w:szCs w:val="21"/>
          <w:highlight w:val="none"/>
        </w:rPr>
        <w:t>地址</w:t>
      </w:r>
      <w:r>
        <w:rPr>
          <w:rFonts w:hint="eastAsia" w:ascii="宋体" w:hAnsi="宋体" w:eastAsia="宋体" w:cs="宋体"/>
          <w:color w:val="auto"/>
          <w:spacing w:val="-15"/>
          <w:sz w:val="21"/>
          <w:szCs w:val="21"/>
          <w:highlight w:val="none"/>
        </w:rPr>
        <w:t>：</w:t>
      </w:r>
      <w:r>
        <w:rPr>
          <w:rFonts w:hint="eastAsia" w:ascii="宋体" w:hAnsi="宋体" w:eastAsia="宋体" w:cs="宋体"/>
          <w:color w:val="auto"/>
          <w:spacing w:val="-15"/>
          <w:sz w:val="21"/>
          <w:szCs w:val="21"/>
          <w:highlight w:val="none"/>
          <w:lang w:val="en-US" w:eastAsia="zh-CN"/>
        </w:rPr>
        <w:t>广州市天河区</w:t>
      </w:r>
      <w:r>
        <w:rPr>
          <w:rFonts w:hint="eastAsia" w:ascii="宋体" w:hAnsi="宋体" w:eastAsia="宋体" w:cs="宋体"/>
          <w:i w:val="0"/>
          <w:iCs w:val="0"/>
          <w:caps w:val="0"/>
          <w:color w:val="auto"/>
          <w:spacing w:val="0"/>
          <w:sz w:val="21"/>
          <w:szCs w:val="21"/>
          <w:highlight w:val="none"/>
          <w:shd w:val="clear" w:fill="FFFFFF"/>
        </w:rPr>
        <w:t>天河北路179号</w:t>
      </w:r>
      <w:r>
        <w:rPr>
          <w:rFonts w:hint="eastAsia" w:ascii="宋体" w:hAnsi="宋体" w:eastAsia="宋体" w:cs="宋体"/>
          <w:i w:val="0"/>
          <w:iCs w:val="0"/>
          <w:caps w:val="0"/>
          <w:color w:val="auto"/>
          <w:spacing w:val="0"/>
          <w:sz w:val="21"/>
          <w:szCs w:val="21"/>
          <w:highlight w:val="none"/>
          <w:shd w:val="clear" w:fill="FFFFFF"/>
          <w:lang w:eastAsia="zh-CN"/>
        </w:rPr>
        <w:t>（</w:t>
      </w:r>
      <w:r>
        <w:rPr>
          <w:rFonts w:hint="eastAsia" w:ascii="宋体" w:hAnsi="宋体" w:eastAsia="宋体" w:cs="宋体"/>
          <w:i w:val="0"/>
          <w:iCs w:val="0"/>
          <w:caps w:val="0"/>
          <w:color w:val="auto"/>
          <w:spacing w:val="0"/>
          <w:sz w:val="21"/>
          <w:szCs w:val="21"/>
          <w:highlight w:val="none"/>
          <w:shd w:val="clear" w:fill="FFFFFF"/>
          <w:lang w:val="en-US" w:eastAsia="zh-CN"/>
        </w:rPr>
        <w:t>尚层国际写字楼</w:t>
      </w:r>
      <w:r>
        <w:rPr>
          <w:rFonts w:hint="eastAsia" w:ascii="宋体" w:hAnsi="宋体" w:eastAsia="宋体" w:cs="宋体"/>
          <w:i w:val="0"/>
          <w:iCs w:val="0"/>
          <w:caps w:val="0"/>
          <w:color w:val="auto"/>
          <w:spacing w:val="0"/>
          <w:sz w:val="21"/>
          <w:szCs w:val="21"/>
          <w:highlight w:val="none"/>
          <w:shd w:val="clear" w:fill="FFFFFF"/>
          <w:lang w:eastAsia="zh-CN"/>
        </w:rPr>
        <w:t>）</w:t>
      </w:r>
      <w:r>
        <w:rPr>
          <w:rFonts w:hint="eastAsia" w:ascii="宋体" w:hAnsi="宋体" w:eastAsia="宋体" w:cs="宋体"/>
          <w:i w:val="0"/>
          <w:iCs w:val="0"/>
          <w:caps w:val="0"/>
          <w:color w:val="auto"/>
          <w:spacing w:val="0"/>
          <w:sz w:val="21"/>
          <w:szCs w:val="21"/>
          <w:highlight w:val="none"/>
          <w:shd w:val="clear" w:fill="FFFFFF"/>
          <w:lang w:val="en-US" w:eastAsia="zh-CN"/>
        </w:rPr>
        <w:t>29楼</w:t>
      </w:r>
      <w:r>
        <w:rPr>
          <w:rFonts w:hint="eastAsia" w:ascii="宋体" w:hAnsi="宋体" w:eastAsia="宋体" w:cs="宋体"/>
          <w:color w:val="auto"/>
          <w:spacing w:val="-10"/>
          <w:sz w:val="21"/>
          <w:szCs w:val="21"/>
          <w:highlight w:val="none"/>
          <w:lang w:val="en-US" w:eastAsia="zh-CN"/>
        </w:rPr>
        <w:t xml:space="preserve">  </w:t>
      </w:r>
    </w:p>
    <w:p>
      <w:pPr>
        <w:spacing w:before="157" w:line="221" w:lineRule="auto"/>
        <w:ind w:left="60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8"/>
          <w:sz w:val="21"/>
          <w:szCs w:val="21"/>
          <w:highlight w:val="none"/>
        </w:rPr>
        <w:t>邮</w:t>
      </w:r>
      <w:r>
        <w:rPr>
          <w:rFonts w:hint="eastAsia" w:ascii="宋体" w:hAnsi="宋体" w:eastAsia="宋体" w:cs="宋体"/>
          <w:color w:val="auto"/>
          <w:spacing w:val="-12"/>
          <w:sz w:val="21"/>
          <w:szCs w:val="21"/>
          <w:highlight w:val="none"/>
        </w:rPr>
        <w:t>编：</w:t>
      </w:r>
      <w:r>
        <w:rPr>
          <w:rFonts w:hint="eastAsia" w:ascii="宋体" w:hAnsi="宋体" w:eastAsia="宋体" w:cs="宋体"/>
          <w:i w:val="0"/>
          <w:iCs w:val="0"/>
          <w:caps w:val="0"/>
          <w:color w:val="auto"/>
          <w:spacing w:val="0"/>
          <w:sz w:val="21"/>
          <w:szCs w:val="21"/>
          <w:highlight w:val="none"/>
          <w:shd w:val="clear" w:fill="FFFFFF"/>
        </w:rPr>
        <w:t>510620</w:t>
      </w:r>
    </w:p>
    <w:p>
      <w:pPr>
        <w:spacing w:before="160" w:line="408" w:lineRule="exact"/>
        <w:ind w:left="59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
          <w:position w:val="14"/>
          <w:sz w:val="21"/>
          <w:szCs w:val="21"/>
          <w:highlight w:val="none"/>
        </w:rPr>
        <w:t>联系人：</w:t>
      </w:r>
      <w:r>
        <w:rPr>
          <w:rFonts w:hint="eastAsia" w:ascii="宋体" w:hAnsi="宋体" w:cs="宋体"/>
          <w:color w:val="auto"/>
          <w:spacing w:val="-1"/>
          <w:position w:val="14"/>
          <w:sz w:val="21"/>
          <w:szCs w:val="21"/>
          <w:highlight w:val="none"/>
          <w:lang w:val="en-US" w:eastAsia="zh-CN"/>
        </w:rPr>
        <w:t>刘先生</w:t>
      </w:r>
      <w:r>
        <w:rPr>
          <w:rFonts w:hint="eastAsia" w:ascii="宋体" w:hAnsi="宋体" w:eastAsia="宋体" w:cs="宋体"/>
          <w:color w:val="auto"/>
          <w:spacing w:val="-1"/>
          <w:position w:val="14"/>
          <w:sz w:val="21"/>
          <w:szCs w:val="21"/>
          <w:highlight w:val="none"/>
          <w:lang w:val="en-US" w:eastAsia="zh-CN"/>
        </w:rPr>
        <w:t xml:space="preserve">   </w:t>
      </w:r>
    </w:p>
    <w:p>
      <w:pPr>
        <w:spacing w:before="160" w:line="408" w:lineRule="exact"/>
        <w:ind w:left="590"/>
        <w:rPr>
          <w:rFonts w:hint="default" w:ascii="宋体" w:hAnsi="宋体" w:eastAsia="宋体" w:cs="宋体"/>
          <w:color w:val="auto"/>
          <w:spacing w:val="-1"/>
          <w:position w:val="14"/>
          <w:sz w:val="21"/>
          <w:szCs w:val="21"/>
          <w:highlight w:val="none"/>
          <w:lang w:val="en-US" w:eastAsia="zh-CN"/>
        </w:rPr>
      </w:pPr>
      <w:r>
        <w:rPr>
          <w:rFonts w:hint="eastAsia" w:ascii="宋体" w:hAnsi="宋体" w:eastAsia="宋体" w:cs="宋体"/>
          <w:color w:val="auto"/>
          <w:spacing w:val="-1"/>
          <w:position w:val="14"/>
          <w:sz w:val="21"/>
          <w:szCs w:val="21"/>
          <w:highlight w:val="none"/>
        </w:rPr>
        <w:t xml:space="preserve">联系电话(不是业务咨询电话) </w:t>
      </w:r>
      <w:r>
        <w:rPr>
          <w:rFonts w:hint="eastAsia" w:ascii="宋体" w:hAnsi="宋体" w:eastAsia="宋体" w:cs="宋体"/>
          <w:color w:val="auto"/>
          <w:spacing w:val="-1"/>
          <w:position w:val="14"/>
          <w:sz w:val="21"/>
          <w:szCs w:val="21"/>
          <w:highlight w:val="none"/>
          <w:lang w:eastAsia="zh-CN"/>
        </w:rPr>
        <w:t>：</w:t>
      </w:r>
      <w:r>
        <w:rPr>
          <w:rFonts w:hint="eastAsia" w:ascii="宋体" w:hAnsi="宋体" w:cs="宋体"/>
          <w:color w:val="auto"/>
          <w:spacing w:val="-1"/>
          <w:position w:val="14"/>
          <w:sz w:val="21"/>
          <w:szCs w:val="21"/>
          <w:highlight w:val="none"/>
          <w:lang w:val="en-US" w:eastAsia="zh-CN"/>
        </w:rPr>
        <w:t>020-87582057</w:t>
      </w:r>
    </w:p>
    <w:p>
      <w:pPr>
        <w:spacing w:before="158" w:line="220" w:lineRule="auto"/>
        <w:ind w:left="593"/>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8.2 异议书的格式及要求</w:t>
      </w:r>
    </w:p>
    <w:p>
      <w:pPr>
        <w:spacing w:before="160" w:line="408" w:lineRule="exact"/>
        <w:ind w:left="590"/>
        <w:rPr>
          <w:rFonts w:ascii="宋体" w:hAnsi="宋体" w:eastAsia="宋体" w:cs="宋体"/>
          <w:color w:val="auto"/>
          <w:spacing w:val="-1"/>
          <w:position w:val="14"/>
          <w:sz w:val="21"/>
          <w:szCs w:val="21"/>
          <w:highlight w:val="none"/>
        </w:rPr>
      </w:pPr>
      <w:r>
        <w:rPr>
          <w:rFonts w:ascii="宋体" w:hAnsi="宋体" w:eastAsia="宋体" w:cs="宋体"/>
          <w:color w:val="auto"/>
          <w:spacing w:val="-1"/>
          <w:position w:val="14"/>
          <w:sz w:val="21"/>
          <w:szCs w:val="21"/>
          <w:highlight w:val="none"/>
        </w:rPr>
        <w:t>(1)</w:t>
      </w:r>
      <w:r>
        <w:rPr>
          <w:rFonts w:hint="eastAsia" w:ascii="宋体" w:hAnsi="宋体" w:eastAsia="宋体" w:cs="宋体"/>
          <w:color w:val="auto"/>
          <w:spacing w:val="-1"/>
          <w:position w:val="14"/>
          <w:sz w:val="21"/>
          <w:szCs w:val="21"/>
          <w:highlight w:val="none"/>
          <w:lang w:val="en-US" w:eastAsia="zh-CN"/>
        </w:rPr>
        <w:t xml:space="preserve"> </w:t>
      </w:r>
      <w:r>
        <w:rPr>
          <w:rFonts w:ascii="宋体" w:hAnsi="宋体" w:eastAsia="宋体" w:cs="宋体"/>
          <w:color w:val="auto"/>
          <w:spacing w:val="-1"/>
          <w:position w:val="14"/>
          <w:sz w:val="21"/>
          <w:szCs w:val="21"/>
          <w:highlight w:val="none"/>
        </w:rPr>
        <w:t>异议书中应包含异议提出人名称、联系人及联系方式、异议对象、异议事项的基本事实、 相关请求及主张、有效线索和相关证明材料等信息，异议书格式详见附件《异议书(模板)》。</w:t>
      </w:r>
    </w:p>
    <w:p>
      <w:pPr>
        <w:spacing w:before="160" w:line="408" w:lineRule="exact"/>
        <w:ind w:left="590"/>
        <w:rPr>
          <w:rFonts w:ascii="宋体" w:hAnsi="宋体" w:eastAsia="宋体" w:cs="宋体"/>
          <w:color w:val="auto"/>
          <w:spacing w:val="-1"/>
          <w:position w:val="14"/>
          <w:sz w:val="21"/>
          <w:szCs w:val="21"/>
          <w:highlight w:val="none"/>
        </w:rPr>
      </w:pPr>
      <w:r>
        <w:rPr>
          <w:rFonts w:ascii="宋体" w:hAnsi="宋体" w:eastAsia="宋体" w:cs="宋体"/>
          <w:color w:val="auto"/>
          <w:spacing w:val="-1"/>
          <w:position w:val="14"/>
          <w:sz w:val="21"/>
          <w:szCs w:val="21"/>
          <w:highlight w:val="none"/>
        </w:rPr>
        <w:t>(2) 异议书必须由其法定代表人及授权代表签字并加盖单位公章；由其他利害关系人提出的异议，还需出示异议提出人与本次投标存在利害关系的证明文件，并附有效身份证明复印件。</w:t>
      </w:r>
    </w:p>
    <w:p>
      <w:pPr>
        <w:spacing w:before="160" w:line="408" w:lineRule="exact"/>
        <w:ind w:left="590"/>
        <w:rPr>
          <w:rFonts w:ascii="宋体" w:hAnsi="宋体" w:eastAsia="宋体" w:cs="宋体"/>
          <w:color w:val="auto"/>
          <w:spacing w:val="-1"/>
          <w:position w:val="14"/>
          <w:sz w:val="21"/>
          <w:szCs w:val="21"/>
          <w:highlight w:val="none"/>
        </w:rPr>
      </w:pPr>
      <w:r>
        <w:rPr>
          <w:rFonts w:ascii="宋体" w:hAnsi="宋体" w:eastAsia="宋体" w:cs="宋体"/>
          <w:color w:val="auto"/>
          <w:spacing w:val="-1"/>
          <w:position w:val="14"/>
          <w:sz w:val="21"/>
          <w:szCs w:val="21"/>
          <w:highlight w:val="none"/>
        </w:rPr>
        <w:t>(3) 各投标人或其他利害关系人对投标文件等存有异议的，可以将异议书签字盖章后，连同其他附件资料以现场递交或邮寄的方式在规定时间内提出；采用邮寄方式提出的异议，可以在规定时间内先以电子邮件方式提出，但异议书必须在电子邮件发出的当天同时寄出。</w:t>
      </w:r>
    </w:p>
    <w:p>
      <w:pPr>
        <w:spacing w:before="158" w:line="220" w:lineRule="auto"/>
        <w:ind w:left="593"/>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8.3 异议提出的时限</w:t>
      </w:r>
    </w:p>
    <w:p>
      <w:pPr>
        <w:spacing w:before="158" w:line="220" w:lineRule="auto"/>
        <w:ind w:left="593"/>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(1) 对资格预审文件的内容有异议的，应当在提交资格预审文件截止时间两天前提出；</w:t>
      </w:r>
    </w:p>
    <w:p>
      <w:pPr>
        <w:spacing w:before="158" w:line="220" w:lineRule="auto"/>
        <w:ind w:left="593"/>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(2) 对招标文件的内容有异议的，应当在投标截止时间十天前提出；</w:t>
      </w:r>
    </w:p>
    <w:p>
      <w:pPr>
        <w:spacing w:before="158" w:line="220" w:lineRule="auto"/>
        <w:ind w:left="593"/>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(3) 对开标有异议的，应当在开标时限内在现场或通过系统质疑环节提出；</w:t>
      </w:r>
    </w:p>
    <w:p>
      <w:pPr>
        <w:spacing w:before="158" w:line="220" w:lineRule="auto"/>
        <w:ind w:left="593"/>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(4) 对评标结果有异议的，应当在中标候选人公示期内提出。</w:t>
      </w:r>
    </w:p>
    <w:p>
      <w:pPr>
        <w:spacing w:before="158" w:line="220" w:lineRule="auto"/>
        <w:ind w:left="593"/>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8.4 异议不予受理的情形</w:t>
      </w:r>
    </w:p>
    <w:p>
      <w:pPr>
        <w:spacing w:before="158" w:line="220" w:lineRule="auto"/>
        <w:ind w:left="593"/>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(1) 异议提出人不是投标人，或未能提供与本次投标存在利害关系证明文件的其他利害关系人；</w:t>
      </w:r>
    </w:p>
    <w:p>
      <w:pPr>
        <w:spacing w:before="158" w:line="220" w:lineRule="auto"/>
        <w:ind w:left="593"/>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(2) 涉及的事项不具体，且未提供有效线索，难以查证的；</w:t>
      </w:r>
    </w:p>
    <w:p>
      <w:pPr>
        <w:spacing w:before="158" w:line="220" w:lineRule="auto"/>
        <w:ind w:left="593"/>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(3) 提供的资料未提供异议提出人的真实名称、有效联系方式、法定代表人签字和加盖单位公章的；</w:t>
      </w:r>
    </w:p>
    <w:p>
      <w:pPr>
        <w:spacing w:before="158" w:line="220" w:lineRule="auto"/>
        <w:ind w:left="593"/>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(4) 超过异议提出时效的(以收到异议书日期为准；采用邮寄方式的，以邮戳日期为准)；</w:t>
      </w:r>
    </w:p>
    <w:p>
      <w:pPr>
        <w:spacing w:before="158" w:line="220" w:lineRule="auto"/>
        <w:ind w:left="593"/>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(5) 已经作出处理决定，并且异议提出人没有提出新的证据的；</w:t>
      </w:r>
    </w:p>
    <w:p>
      <w:pPr>
        <w:spacing w:before="158" w:line="220" w:lineRule="auto"/>
        <w:ind w:left="593"/>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(6) 涉及招标评标过程具体细节、其他投标人的商业秘密或其他投标人的投标文件具体内容但未能说明内容真实性和来源合法性的；</w:t>
      </w:r>
    </w:p>
    <w:p>
      <w:pPr>
        <w:spacing w:before="158" w:line="220" w:lineRule="auto"/>
        <w:ind w:left="593"/>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(7) 缺乏事实根据或者法律依据的，或者投诉人捏造事实、伪造材料或者以非法手段取得证明材料的。</w:t>
      </w:r>
    </w:p>
    <w:p>
      <w:pPr>
        <w:spacing w:before="158" w:line="220" w:lineRule="auto"/>
        <w:ind w:left="593"/>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8.5 恶意行为的处罚</w:t>
      </w:r>
    </w:p>
    <w:p>
      <w:pPr>
        <w:spacing w:before="158" w:line="220" w:lineRule="auto"/>
        <w:ind w:left="593"/>
        <w:rPr>
          <w:rFonts w:hint="default"/>
          <w:color w:val="auto"/>
          <w:highlight w:val="none"/>
          <w:lang w:val="en-US" w:eastAsia="zh-CN"/>
        </w:rPr>
      </w:pPr>
      <w:r>
        <w:rPr>
          <w:rFonts w:hint="eastAsia" w:ascii="宋体" w:hAnsi="宋体" w:eastAsia="宋体" w:cs="宋体"/>
          <w:color w:val="auto"/>
          <w:spacing w:val="-1"/>
          <w:sz w:val="21"/>
          <w:szCs w:val="21"/>
          <w:highlight w:val="none"/>
          <w:lang w:val="en-US" w:eastAsia="zh-CN"/>
        </w:rPr>
        <w:t>异议提出人不得以投诉为名排挤竞争对手，不得进行虚假、恶意投诉，阻碍招标投标活动的正常进行。经核查发现所提出的异议或投诉存在诬告、故意扰乱招投标秩序等恶意行为，将按照《中国南方电网有限责任公司供应商失信扣分管理细则》进作扣分处理并上报。</w:t>
      </w:r>
    </w:p>
    <w:p>
      <w:pPr>
        <w:keepNext w:val="0"/>
        <w:keepLines w:val="0"/>
        <w:pageBreakBefore w:val="0"/>
        <w:numPr>
          <w:ilvl w:val="0"/>
          <w:numId w:val="0"/>
        </w:numPr>
        <w:kinsoku/>
        <w:overflowPunct/>
        <w:bidi w:val="0"/>
        <w:snapToGrid/>
        <w:spacing w:line="360" w:lineRule="auto"/>
        <w:ind w:firstLine="422" w:firstLineChars="200"/>
        <w:textAlignment w:val="auto"/>
        <w:outlineLvl w:val="9"/>
        <w:rPr>
          <w:rFonts w:hint="eastAsia" w:ascii="宋体" w:hAnsi="宋体" w:cs="宋体"/>
          <w:b/>
          <w:bCs/>
          <w:color w:val="auto"/>
          <w:szCs w:val="21"/>
          <w:highlight w:val="none"/>
          <w:lang w:val="en-US" w:eastAsia="zh-CN"/>
        </w:rPr>
      </w:pPr>
    </w:p>
    <w:p>
      <w:pPr>
        <w:keepNext w:val="0"/>
        <w:keepLines w:val="0"/>
        <w:pageBreakBefore w:val="0"/>
        <w:numPr>
          <w:ilvl w:val="0"/>
          <w:numId w:val="0"/>
        </w:numPr>
        <w:kinsoku/>
        <w:overflowPunct/>
        <w:bidi w:val="0"/>
        <w:snapToGrid/>
        <w:spacing w:line="360" w:lineRule="auto"/>
        <w:ind w:firstLine="422" w:firstLineChars="200"/>
        <w:textAlignment w:val="auto"/>
        <w:outlineLvl w:val="9"/>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八、监督部门</w:t>
      </w:r>
    </w:p>
    <w:p>
      <w:pPr>
        <w:pStyle w:val="239"/>
        <w:keepNext w:val="0"/>
        <w:keepLines w:val="0"/>
        <w:pageBreakBefore w:val="0"/>
        <w:kinsoku/>
        <w:overflowPunct/>
        <w:bidi w:val="0"/>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监督投诉机构为</w:t>
      </w:r>
      <w:r>
        <w:rPr>
          <w:rFonts w:hint="eastAsia" w:ascii="宋体" w:hAnsi="宋体" w:eastAsia="宋体" w:cs="宋体"/>
          <w:color w:val="auto"/>
          <w:spacing w:val="-1"/>
          <w:sz w:val="21"/>
          <w:szCs w:val="21"/>
          <w:highlight w:val="none"/>
          <w:lang w:val="en-US" w:eastAsia="zh-CN"/>
        </w:rPr>
        <w:t>广州公交集团新能源发展有限责任公司</w:t>
      </w:r>
      <w:r>
        <w:rPr>
          <w:rFonts w:hint="eastAsia" w:ascii="宋体" w:hAnsi="宋体" w:eastAsia="宋体" w:cs="宋体"/>
          <w:color w:val="auto"/>
          <w:sz w:val="21"/>
          <w:szCs w:val="21"/>
          <w:highlight w:val="none"/>
        </w:rPr>
        <w:t>，若投标人和其他利害关系人认为本次招标活动违反法律、法规和规章规定的，应书面(签字或盖章)提出(投诉书格式见附件)，向</w:t>
      </w:r>
      <w:r>
        <w:rPr>
          <w:rFonts w:hint="eastAsia" w:ascii="宋体" w:hAnsi="宋体" w:eastAsia="宋体" w:cs="宋体"/>
          <w:color w:val="auto"/>
          <w:spacing w:val="-1"/>
          <w:sz w:val="21"/>
          <w:szCs w:val="21"/>
          <w:highlight w:val="none"/>
          <w:lang w:val="en-US" w:eastAsia="zh-CN"/>
        </w:rPr>
        <w:t>广州公交集团新能源发展有限责任公司</w:t>
      </w:r>
      <w:r>
        <w:rPr>
          <w:rFonts w:hint="eastAsia" w:ascii="宋体" w:hAnsi="宋体" w:eastAsia="宋体" w:cs="宋体"/>
          <w:color w:val="auto"/>
          <w:sz w:val="21"/>
          <w:szCs w:val="21"/>
          <w:highlight w:val="none"/>
        </w:rPr>
        <w:t>举报，举报地址：</w:t>
      </w:r>
      <w:r>
        <w:rPr>
          <w:rFonts w:hint="eastAsia" w:ascii="宋体" w:hAnsi="宋体" w:eastAsia="宋体" w:cs="宋体"/>
          <w:color w:val="auto"/>
          <w:spacing w:val="-15"/>
          <w:sz w:val="21"/>
          <w:szCs w:val="21"/>
          <w:highlight w:val="none"/>
          <w:lang w:val="en-US" w:eastAsia="zh-CN"/>
        </w:rPr>
        <w:t>广州市天河区</w:t>
      </w:r>
      <w:r>
        <w:rPr>
          <w:rFonts w:hint="eastAsia" w:ascii="宋体" w:hAnsi="宋体" w:eastAsia="宋体" w:cs="宋体"/>
          <w:i w:val="0"/>
          <w:iCs w:val="0"/>
          <w:caps w:val="0"/>
          <w:color w:val="auto"/>
          <w:spacing w:val="0"/>
          <w:sz w:val="21"/>
          <w:szCs w:val="21"/>
          <w:highlight w:val="none"/>
          <w:shd w:val="clear" w:fill="FFFFFF"/>
        </w:rPr>
        <w:t>天河北路179号</w:t>
      </w:r>
      <w:r>
        <w:rPr>
          <w:rFonts w:hint="eastAsia" w:ascii="宋体" w:hAnsi="宋体" w:eastAsia="宋体" w:cs="宋体"/>
          <w:i w:val="0"/>
          <w:iCs w:val="0"/>
          <w:caps w:val="0"/>
          <w:color w:val="auto"/>
          <w:spacing w:val="0"/>
          <w:sz w:val="21"/>
          <w:szCs w:val="21"/>
          <w:highlight w:val="none"/>
          <w:shd w:val="clear" w:fill="FFFFFF"/>
          <w:lang w:eastAsia="zh-CN"/>
        </w:rPr>
        <w:t>（</w:t>
      </w:r>
      <w:r>
        <w:rPr>
          <w:rFonts w:hint="eastAsia" w:ascii="宋体" w:hAnsi="宋体" w:eastAsia="宋体" w:cs="宋体"/>
          <w:i w:val="0"/>
          <w:iCs w:val="0"/>
          <w:caps w:val="0"/>
          <w:color w:val="auto"/>
          <w:spacing w:val="0"/>
          <w:sz w:val="21"/>
          <w:szCs w:val="21"/>
          <w:highlight w:val="none"/>
          <w:shd w:val="clear" w:fill="FFFFFF"/>
          <w:lang w:val="en-US" w:eastAsia="zh-CN"/>
        </w:rPr>
        <w:t>尚层国际写字楼</w:t>
      </w:r>
      <w:r>
        <w:rPr>
          <w:rFonts w:hint="eastAsia" w:ascii="宋体" w:hAnsi="宋体" w:eastAsia="宋体" w:cs="宋体"/>
          <w:i w:val="0"/>
          <w:iCs w:val="0"/>
          <w:caps w:val="0"/>
          <w:color w:val="auto"/>
          <w:spacing w:val="0"/>
          <w:sz w:val="21"/>
          <w:szCs w:val="21"/>
          <w:highlight w:val="none"/>
          <w:shd w:val="clear" w:fill="FFFFFF"/>
          <w:lang w:eastAsia="zh-CN"/>
        </w:rPr>
        <w:t>）</w:t>
      </w:r>
      <w:r>
        <w:rPr>
          <w:rFonts w:hint="eastAsia" w:ascii="宋体" w:hAnsi="宋体" w:eastAsia="宋体" w:cs="宋体"/>
          <w:i w:val="0"/>
          <w:iCs w:val="0"/>
          <w:caps w:val="0"/>
          <w:color w:val="auto"/>
          <w:spacing w:val="0"/>
          <w:sz w:val="21"/>
          <w:szCs w:val="21"/>
          <w:highlight w:val="none"/>
          <w:shd w:val="clear" w:fill="FFFFFF"/>
          <w:lang w:val="en-US" w:eastAsia="zh-CN"/>
        </w:rPr>
        <w:t>29楼</w:t>
      </w:r>
      <w:r>
        <w:rPr>
          <w:rFonts w:hint="eastAsia" w:ascii="宋体" w:hAnsi="宋体" w:eastAsia="宋体" w:cs="宋体"/>
          <w:color w:val="auto"/>
          <w:spacing w:val="-10"/>
          <w:sz w:val="21"/>
          <w:szCs w:val="21"/>
          <w:highlight w:val="none"/>
          <w:lang w:val="en-US" w:eastAsia="zh-CN"/>
        </w:rPr>
        <w:t xml:space="preserve"> </w:t>
      </w:r>
      <w:r>
        <w:rPr>
          <w:rFonts w:hint="eastAsia" w:ascii="宋体" w:hAnsi="宋体" w:eastAsia="宋体" w:cs="宋体"/>
          <w:color w:val="auto"/>
          <w:sz w:val="21"/>
          <w:szCs w:val="21"/>
          <w:highlight w:val="none"/>
        </w:rPr>
        <w:t>，举报电话：</w:t>
      </w:r>
      <w:r>
        <w:rPr>
          <w:rFonts w:hint="eastAsia" w:ascii="宋体" w:hAnsi="宋体" w:eastAsia="宋体" w:cs="宋体"/>
          <w:color w:val="auto"/>
          <w:sz w:val="21"/>
          <w:szCs w:val="21"/>
          <w:highlight w:val="none"/>
          <w:lang w:val="en-US" w:eastAsia="zh-CN"/>
        </w:rPr>
        <w:t>020-87582057</w:t>
      </w:r>
      <w:r>
        <w:rPr>
          <w:rFonts w:hint="eastAsia" w:ascii="宋体" w:hAnsi="宋体" w:eastAsia="宋体" w:cs="宋体"/>
          <w:color w:val="auto"/>
          <w:sz w:val="21"/>
          <w:szCs w:val="21"/>
          <w:highlight w:val="none"/>
        </w:rPr>
        <w:t>， 电子邮箱：</w:t>
      </w:r>
      <w:r>
        <w:rPr>
          <w:rFonts w:hint="eastAsia" w:ascii="宋体" w:hAnsi="宋体" w:eastAsia="宋体" w:cs="宋体"/>
          <w:color w:val="auto"/>
          <w:sz w:val="21"/>
          <w:szCs w:val="21"/>
          <w:highlight w:val="none"/>
          <w:lang w:val="en-US" w:eastAsia="zh-CN"/>
        </w:rPr>
        <w:t>13602465665@139.com</w:t>
      </w:r>
      <w:r>
        <w:rPr>
          <w:rFonts w:hint="eastAsia" w:ascii="宋体" w:hAnsi="宋体" w:eastAsia="宋体" w:cs="宋体"/>
          <w:color w:val="auto"/>
          <w:sz w:val="21"/>
          <w:szCs w:val="21"/>
          <w:highlight w:val="none"/>
        </w:rPr>
        <w:t>。</w:t>
      </w:r>
    </w:p>
    <w:p>
      <w:pPr>
        <w:pStyle w:val="239"/>
        <w:keepNext w:val="0"/>
        <w:keepLines w:val="0"/>
        <w:pageBreakBefore w:val="0"/>
        <w:kinsoku/>
        <w:overflowPunct/>
        <w:bidi w:val="0"/>
        <w:snapToGrid/>
        <w:spacing w:line="360" w:lineRule="auto"/>
        <w:textAlignment w:val="auto"/>
        <w:outlineLvl w:val="9"/>
        <w:rPr>
          <w:rFonts w:hint="eastAsia" w:ascii="宋体" w:hAnsi="宋体" w:eastAsia="宋体" w:cs="宋体"/>
          <w:color w:val="auto"/>
          <w:sz w:val="21"/>
          <w:szCs w:val="21"/>
          <w:highlight w:val="none"/>
        </w:rPr>
      </w:pPr>
    </w:p>
    <w:p>
      <w:pPr>
        <w:keepNext w:val="0"/>
        <w:keepLines w:val="0"/>
        <w:pageBreakBefore w:val="0"/>
        <w:kinsoku/>
        <w:overflowPunct/>
        <w:bidi w:val="0"/>
        <w:snapToGrid/>
        <w:spacing w:line="360" w:lineRule="auto"/>
        <w:ind w:firstLine="422" w:firstLineChars="200"/>
        <w:textAlignment w:val="auto"/>
        <w:outlineLvl w:val="9"/>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九、</w:t>
      </w:r>
      <w:r>
        <w:rPr>
          <w:rFonts w:hint="eastAsia" w:ascii="宋体" w:hAnsi="宋体" w:eastAsia="宋体" w:cs="宋体"/>
          <w:b/>
          <w:bCs/>
          <w:color w:val="auto"/>
          <w:szCs w:val="21"/>
          <w:highlight w:val="none"/>
        </w:rPr>
        <w:t>联系方式</w:t>
      </w:r>
      <w:bookmarkEnd w:id="20"/>
    </w:p>
    <w:p>
      <w:pPr>
        <w:keepNext w:val="0"/>
        <w:keepLines w:val="0"/>
        <w:pageBreakBefore w:val="0"/>
        <w:kinsoku/>
        <w:overflowPunct/>
        <w:topLinePunct/>
        <w:bidi w:val="0"/>
        <w:snapToGrid/>
        <w:spacing w:line="360" w:lineRule="auto"/>
        <w:ind w:firstLine="420" w:firstLineChars="200"/>
        <w:textAlignment w:val="auto"/>
        <w:outlineLvl w:val="9"/>
        <w:rPr>
          <w:rFonts w:hint="eastAsia" w:ascii="宋体" w:hAnsi="宋体" w:eastAsia="宋体" w:cs="宋体"/>
          <w:color w:val="auto"/>
          <w:szCs w:val="21"/>
          <w:highlight w:val="none"/>
          <w:shd w:val="clear" w:color="auto" w:fill="auto"/>
          <w:lang w:val="en-US"/>
        </w:rPr>
      </w:pPr>
      <w:r>
        <w:rPr>
          <w:rFonts w:hint="eastAsia" w:ascii="宋体" w:hAnsi="宋体" w:eastAsia="宋体" w:cs="宋体"/>
          <w:color w:val="auto"/>
          <w:szCs w:val="21"/>
          <w:highlight w:val="none"/>
          <w:shd w:val="clear" w:color="auto" w:fill="auto"/>
        </w:rPr>
        <w:t>招 标 人：</w:t>
      </w:r>
      <w:r>
        <w:rPr>
          <w:rFonts w:hint="eastAsia" w:ascii="宋体" w:hAnsi="宋体" w:cs="宋体"/>
          <w:color w:val="auto"/>
          <w:szCs w:val="21"/>
          <w:highlight w:val="none"/>
          <w:u w:val="single"/>
          <w:shd w:val="clear" w:color="auto" w:fill="auto"/>
          <w:lang w:val="en-US" w:eastAsia="zh-CN"/>
        </w:rPr>
        <w:t>广州公交集团新能源发展有限责任公司</w:t>
      </w:r>
    </w:p>
    <w:p>
      <w:pPr>
        <w:keepNext w:val="0"/>
        <w:keepLines w:val="0"/>
        <w:pageBreakBefore w:val="0"/>
        <w:kinsoku/>
        <w:overflowPunct/>
        <w:topLinePunct/>
        <w:bidi w:val="0"/>
        <w:snapToGrid/>
        <w:spacing w:line="360" w:lineRule="auto"/>
        <w:ind w:firstLine="420" w:firstLineChars="200"/>
        <w:textAlignment w:val="auto"/>
        <w:outlineLvl w:val="9"/>
        <w:rPr>
          <w:rFonts w:hint="default"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rPr>
        <w:t>地    址：</w:t>
      </w:r>
      <w:r>
        <w:rPr>
          <w:rFonts w:hint="eastAsia" w:ascii="宋体" w:hAnsi="宋体" w:cs="宋体"/>
          <w:color w:val="auto"/>
          <w:szCs w:val="21"/>
          <w:highlight w:val="none"/>
          <w:u w:val="single"/>
          <w:shd w:val="clear" w:color="auto" w:fill="auto"/>
          <w:lang w:val="en-US" w:eastAsia="zh-CN"/>
        </w:rPr>
        <w:t xml:space="preserve"> </w:t>
      </w:r>
      <w:r>
        <w:rPr>
          <w:rFonts w:hint="eastAsia" w:ascii="宋体" w:hAnsi="宋体" w:eastAsia="宋体" w:cs="宋体"/>
          <w:color w:val="auto"/>
          <w:spacing w:val="-15"/>
          <w:sz w:val="21"/>
          <w:szCs w:val="21"/>
          <w:highlight w:val="none"/>
          <w:u w:val="single"/>
          <w:lang w:val="en-US" w:eastAsia="zh-CN"/>
        </w:rPr>
        <w:t>广州市天河区</w:t>
      </w:r>
      <w:r>
        <w:rPr>
          <w:rFonts w:hint="eastAsia" w:ascii="宋体" w:hAnsi="宋体" w:eastAsia="宋体" w:cs="宋体"/>
          <w:i w:val="0"/>
          <w:iCs w:val="0"/>
          <w:caps w:val="0"/>
          <w:color w:val="auto"/>
          <w:spacing w:val="0"/>
          <w:sz w:val="21"/>
          <w:szCs w:val="21"/>
          <w:highlight w:val="none"/>
          <w:u w:val="single"/>
          <w:shd w:val="clear" w:fill="FFFFFF"/>
        </w:rPr>
        <w:t>天河北路179号</w:t>
      </w:r>
      <w:r>
        <w:rPr>
          <w:rFonts w:hint="eastAsia" w:ascii="宋体" w:hAnsi="宋体" w:eastAsia="宋体" w:cs="宋体"/>
          <w:i w:val="0"/>
          <w:iCs w:val="0"/>
          <w:caps w:val="0"/>
          <w:color w:val="auto"/>
          <w:spacing w:val="0"/>
          <w:sz w:val="21"/>
          <w:szCs w:val="21"/>
          <w:highlight w:val="none"/>
          <w:u w:val="single"/>
          <w:shd w:val="clear" w:fill="FFFFFF"/>
          <w:lang w:eastAsia="zh-CN"/>
        </w:rPr>
        <w:t>（</w:t>
      </w:r>
      <w:r>
        <w:rPr>
          <w:rFonts w:hint="eastAsia" w:ascii="宋体" w:hAnsi="宋体" w:eastAsia="宋体" w:cs="宋体"/>
          <w:i w:val="0"/>
          <w:iCs w:val="0"/>
          <w:caps w:val="0"/>
          <w:color w:val="auto"/>
          <w:spacing w:val="0"/>
          <w:sz w:val="21"/>
          <w:szCs w:val="21"/>
          <w:highlight w:val="none"/>
          <w:u w:val="single"/>
          <w:shd w:val="clear" w:fill="FFFFFF"/>
          <w:lang w:val="en-US" w:eastAsia="zh-CN"/>
        </w:rPr>
        <w:t>尚层国际写字楼</w:t>
      </w:r>
      <w:r>
        <w:rPr>
          <w:rFonts w:hint="eastAsia" w:ascii="宋体" w:hAnsi="宋体" w:eastAsia="宋体" w:cs="宋体"/>
          <w:i w:val="0"/>
          <w:iCs w:val="0"/>
          <w:caps w:val="0"/>
          <w:color w:val="auto"/>
          <w:spacing w:val="0"/>
          <w:sz w:val="21"/>
          <w:szCs w:val="21"/>
          <w:highlight w:val="none"/>
          <w:u w:val="single"/>
          <w:shd w:val="clear" w:fill="FFFFFF"/>
          <w:lang w:eastAsia="zh-CN"/>
        </w:rPr>
        <w:t>）</w:t>
      </w:r>
      <w:r>
        <w:rPr>
          <w:rFonts w:hint="eastAsia" w:ascii="宋体" w:hAnsi="宋体" w:eastAsia="宋体" w:cs="宋体"/>
          <w:i w:val="0"/>
          <w:iCs w:val="0"/>
          <w:caps w:val="0"/>
          <w:color w:val="auto"/>
          <w:spacing w:val="0"/>
          <w:sz w:val="21"/>
          <w:szCs w:val="21"/>
          <w:highlight w:val="none"/>
          <w:u w:val="single"/>
          <w:shd w:val="clear" w:fill="FFFFFF"/>
          <w:lang w:val="en-US" w:eastAsia="zh-CN"/>
        </w:rPr>
        <w:t>29楼</w:t>
      </w:r>
    </w:p>
    <w:p>
      <w:pPr>
        <w:keepNext w:val="0"/>
        <w:keepLines w:val="0"/>
        <w:pageBreakBefore w:val="0"/>
        <w:kinsoku/>
        <w:overflowPunct/>
        <w:topLinePunct/>
        <w:bidi w:val="0"/>
        <w:snapToGrid/>
        <w:spacing w:line="360" w:lineRule="auto"/>
        <w:ind w:firstLine="420" w:firstLineChars="200"/>
        <w:textAlignment w:val="auto"/>
        <w:outlineLvl w:val="9"/>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联 系 人：</w:t>
      </w:r>
      <w:r>
        <w:rPr>
          <w:rFonts w:hint="eastAsia" w:ascii="宋体" w:hAnsi="宋体" w:eastAsia="宋体" w:cs="宋体"/>
          <w:color w:val="auto"/>
          <w:szCs w:val="21"/>
          <w:highlight w:val="none"/>
          <w:u w:val="single"/>
          <w:shd w:val="clear" w:color="auto" w:fill="auto"/>
        </w:rPr>
        <w:t xml:space="preserve"> </w:t>
      </w:r>
      <w:r>
        <w:rPr>
          <w:rFonts w:hint="eastAsia" w:ascii="宋体" w:hAnsi="宋体" w:cs="宋体"/>
          <w:color w:val="auto"/>
          <w:szCs w:val="21"/>
          <w:highlight w:val="none"/>
          <w:u w:val="single"/>
          <w:shd w:val="clear" w:color="auto" w:fill="auto"/>
          <w:lang w:val="en-US" w:eastAsia="zh-CN"/>
        </w:rPr>
        <w:t>刘先生</w:t>
      </w:r>
      <w:r>
        <w:rPr>
          <w:rFonts w:hint="eastAsia" w:ascii="宋体" w:hAnsi="宋体" w:eastAsia="宋体" w:cs="宋体"/>
          <w:color w:val="auto"/>
          <w:szCs w:val="21"/>
          <w:highlight w:val="none"/>
          <w:u w:val="single"/>
          <w:shd w:val="clear" w:color="auto" w:fill="auto"/>
          <w:lang w:val="en-US" w:eastAsia="zh-CN"/>
        </w:rPr>
        <w:t xml:space="preserve">  </w:t>
      </w:r>
    </w:p>
    <w:p>
      <w:pPr>
        <w:keepNext w:val="0"/>
        <w:keepLines w:val="0"/>
        <w:pageBreakBefore w:val="0"/>
        <w:kinsoku/>
        <w:overflowPunct/>
        <w:topLinePunct/>
        <w:bidi w:val="0"/>
        <w:snapToGrid/>
        <w:spacing w:line="360" w:lineRule="auto"/>
        <w:ind w:firstLine="420" w:firstLineChars="200"/>
        <w:textAlignment w:val="auto"/>
        <w:outlineLvl w:val="9"/>
        <w:rPr>
          <w:rFonts w:hint="default" w:ascii="宋体" w:hAnsi="宋体" w:eastAsia="宋体" w:cs="宋体"/>
          <w:color w:val="auto"/>
          <w:szCs w:val="21"/>
          <w:highlight w:val="none"/>
          <w:shd w:val="clear" w:color="auto" w:fill="auto"/>
          <w:lang w:val="en-US"/>
        </w:rPr>
      </w:pPr>
      <w:r>
        <w:rPr>
          <w:rFonts w:hint="eastAsia" w:ascii="宋体" w:hAnsi="宋体" w:eastAsia="宋体" w:cs="宋体"/>
          <w:color w:val="auto"/>
          <w:szCs w:val="21"/>
          <w:highlight w:val="none"/>
          <w:shd w:val="clear" w:color="auto" w:fill="auto"/>
        </w:rPr>
        <w:t>电    话：</w:t>
      </w:r>
      <w:r>
        <w:rPr>
          <w:rFonts w:hint="eastAsia" w:ascii="宋体" w:hAnsi="宋体" w:eastAsia="宋体" w:cs="宋体"/>
          <w:color w:val="auto"/>
          <w:szCs w:val="21"/>
          <w:highlight w:val="none"/>
          <w:u w:val="single"/>
          <w:shd w:val="clear" w:color="auto" w:fill="auto"/>
        </w:rPr>
        <w:t xml:space="preserve"> </w:t>
      </w:r>
      <w:r>
        <w:rPr>
          <w:rFonts w:hint="eastAsia" w:ascii="宋体" w:hAnsi="宋体" w:cs="宋体"/>
          <w:color w:val="auto"/>
          <w:szCs w:val="21"/>
          <w:highlight w:val="none"/>
          <w:u w:val="single"/>
          <w:shd w:val="clear" w:color="auto" w:fill="auto"/>
          <w:lang w:val="en-US" w:eastAsia="zh-CN"/>
        </w:rPr>
        <w:t>020-87582057</w:t>
      </w:r>
      <w:r>
        <w:rPr>
          <w:rFonts w:hint="eastAsia" w:ascii="宋体" w:hAnsi="宋体" w:eastAsia="宋体" w:cs="宋体"/>
          <w:color w:val="auto"/>
          <w:szCs w:val="21"/>
          <w:highlight w:val="none"/>
          <w:u w:val="single"/>
          <w:shd w:val="clear" w:color="auto" w:fill="auto"/>
          <w:lang w:val="en-US" w:eastAsia="zh-CN"/>
        </w:rPr>
        <w:t xml:space="preserve"> </w:t>
      </w:r>
    </w:p>
    <w:p>
      <w:pPr>
        <w:keepNext w:val="0"/>
        <w:keepLines w:val="0"/>
        <w:pageBreakBefore w:val="0"/>
        <w:widowControl/>
        <w:kinsoku/>
        <w:overflowPunct/>
        <w:bidi w:val="0"/>
        <w:snapToGrid/>
        <w:spacing w:line="360" w:lineRule="auto"/>
        <w:ind w:firstLine="426"/>
        <w:textAlignment w:val="auto"/>
        <w:outlineLvl w:val="9"/>
        <w:rPr>
          <w:rFonts w:hint="eastAsia" w:ascii="宋体" w:hAnsi="宋体" w:eastAsia="宋体" w:cs="宋体"/>
          <w:b/>
          <w:color w:val="auto"/>
          <w:szCs w:val="21"/>
          <w:highlight w:val="none"/>
          <w:shd w:val="clear" w:color="auto" w:fill="auto"/>
        </w:rPr>
      </w:pPr>
      <w:r>
        <w:rPr>
          <w:rFonts w:hint="eastAsia" w:ascii="宋体" w:hAnsi="宋体" w:eastAsia="宋体" w:cs="宋体"/>
          <w:color w:val="auto"/>
          <w:szCs w:val="21"/>
          <w:highlight w:val="none"/>
          <w:shd w:val="clear" w:color="auto" w:fill="auto"/>
        </w:rPr>
        <w:t>招标代理机构：</w:t>
      </w:r>
      <w:r>
        <w:rPr>
          <w:rFonts w:hint="eastAsia" w:ascii="宋体" w:hAnsi="宋体" w:eastAsia="宋体" w:cs="宋体"/>
          <w:color w:val="auto"/>
          <w:szCs w:val="21"/>
          <w:highlight w:val="none"/>
          <w:u w:val="single"/>
          <w:shd w:val="clear" w:color="auto" w:fill="auto"/>
          <w:lang w:eastAsia="zh-CN"/>
        </w:rPr>
        <w:t>广州竣盛工程造价咨询有限公司</w:t>
      </w:r>
    </w:p>
    <w:p>
      <w:pPr>
        <w:keepNext w:val="0"/>
        <w:keepLines w:val="0"/>
        <w:pageBreakBefore w:val="0"/>
        <w:widowControl/>
        <w:kinsoku/>
        <w:overflowPunct/>
        <w:bidi w:val="0"/>
        <w:snapToGrid/>
        <w:spacing w:line="360" w:lineRule="auto"/>
        <w:ind w:firstLine="426"/>
        <w:textAlignment w:val="auto"/>
        <w:outlineLvl w:val="9"/>
        <w:rPr>
          <w:rFonts w:hint="eastAsia" w:ascii="宋体" w:hAnsi="宋体" w:eastAsia="宋体" w:cs="宋体"/>
          <w:color w:val="auto"/>
          <w:szCs w:val="21"/>
          <w:highlight w:val="none"/>
          <w:u w:val="single"/>
          <w:shd w:val="clear" w:color="auto" w:fill="auto"/>
          <w:lang w:eastAsia="zh-CN"/>
        </w:rPr>
      </w:pPr>
      <w:r>
        <w:rPr>
          <w:rFonts w:hint="eastAsia" w:ascii="宋体" w:hAnsi="宋体" w:eastAsia="宋体" w:cs="宋体"/>
          <w:color w:val="auto"/>
          <w:szCs w:val="21"/>
          <w:highlight w:val="none"/>
          <w:shd w:val="clear" w:color="auto" w:fill="auto"/>
        </w:rPr>
        <w:t>地    址：</w:t>
      </w:r>
      <w:r>
        <w:rPr>
          <w:rFonts w:hint="eastAsia" w:ascii="宋体" w:hAnsi="宋体" w:cs="宋体"/>
          <w:color w:val="auto"/>
          <w:szCs w:val="21"/>
          <w:highlight w:val="none"/>
          <w:u w:val="single"/>
          <w:shd w:val="clear" w:color="auto" w:fill="auto"/>
          <w:lang w:eastAsia="zh-CN"/>
        </w:rPr>
        <w:t>广州市海珠区琶洲大道188-190号南方投资大厦12-13层</w:t>
      </w:r>
    </w:p>
    <w:p>
      <w:pPr>
        <w:keepNext w:val="0"/>
        <w:keepLines w:val="0"/>
        <w:pageBreakBefore w:val="0"/>
        <w:widowControl/>
        <w:kinsoku/>
        <w:overflowPunct/>
        <w:bidi w:val="0"/>
        <w:snapToGrid/>
        <w:spacing w:line="360" w:lineRule="auto"/>
        <w:ind w:firstLine="426"/>
        <w:textAlignment w:val="auto"/>
        <w:outlineLvl w:val="9"/>
        <w:rPr>
          <w:rFonts w:hint="eastAsia" w:ascii="宋体" w:hAnsi="宋体" w:eastAsia="宋体" w:cs="宋体"/>
          <w:color w:val="auto"/>
          <w:szCs w:val="21"/>
          <w:highlight w:val="none"/>
          <w:u w:val="single"/>
          <w:shd w:val="clear" w:color="auto" w:fill="auto"/>
        </w:rPr>
      </w:pPr>
      <w:r>
        <w:rPr>
          <w:rFonts w:hint="eastAsia" w:ascii="宋体" w:hAnsi="宋体" w:eastAsia="宋体" w:cs="宋体"/>
          <w:color w:val="auto"/>
          <w:szCs w:val="21"/>
          <w:highlight w:val="none"/>
          <w:shd w:val="clear" w:color="auto" w:fill="auto"/>
        </w:rPr>
        <w:t>联 系 人：</w:t>
      </w:r>
      <w:r>
        <w:rPr>
          <w:rFonts w:hint="eastAsia" w:ascii="宋体" w:hAnsi="宋体" w:cs="宋体"/>
          <w:color w:val="auto"/>
          <w:szCs w:val="21"/>
          <w:highlight w:val="none"/>
          <w:u w:val="single"/>
          <w:shd w:val="clear" w:color="auto" w:fill="auto"/>
          <w:lang w:val="en-US" w:eastAsia="zh-CN"/>
        </w:rPr>
        <w:t>林</w:t>
      </w:r>
      <w:r>
        <w:rPr>
          <w:rFonts w:hint="eastAsia" w:ascii="宋体" w:hAnsi="宋体" w:eastAsia="宋体" w:cs="宋体"/>
          <w:color w:val="auto"/>
          <w:szCs w:val="21"/>
          <w:highlight w:val="none"/>
          <w:u w:val="single"/>
          <w:shd w:val="clear" w:color="auto" w:fill="auto"/>
          <w:lang w:eastAsia="zh-CN"/>
        </w:rPr>
        <w:t>工</w:t>
      </w:r>
    </w:p>
    <w:p>
      <w:pPr>
        <w:keepNext w:val="0"/>
        <w:keepLines w:val="0"/>
        <w:pageBreakBefore w:val="0"/>
        <w:widowControl/>
        <w:kinsoku/>
        <w:overflowPunct/>
        <w:bidi w:val="0"/>
        <w:snapToGrid/>
        <w:spacing w:line="360" w:lineRule="auto"/>
        <w:ind w:firstLine="426"/>
        <w:textAlignment w:val="auto"/>
        <w:outlineLvl w:val="9"/>
        <w:rPr>
          <w:rFonts w:hint="eastAsia" w:ascii="宋体" w:hAnsi="宋体" w:eastAsia="宋体" w:cs="宋体"/>
          <w:b/>
          <w:bCs/>
          <w:color w:val="auto"/>
          <w:szCs w:val="21"/>
          <w:highlight w:val="none"/>
          <w:shd w:val="clear" w:color="auto" w:fill="auto"/>
        </w:rPr>
      </w:pPr>
      <w:r>
        <w:rPr>
          <w:rFonts w:hint="eastAsia" w:ascii="宋体" w:hAnsi="宋体" w:eastAsia="宋体" w:cs="宋体"/>
          <w:color w:val="auto"/>
          <w:szCs w:val="21"/>
          <w:highlight w:val="none"/>
          <w:shd w:val="clear" w:color="auto" w:fill="auto"/>
        </w:rPr>
        <w:t>电    话：</w:t>
      </w:r>
      <w:r>
        <w:rPr>
          <w:rFonts w:hint="eastAsia" w:ascii="宋体" w:hAnsi="宋体" w:eastAsia="宋体" w:cs="宋体"/>
          <w:color w:val="auto"/>
          <w:szCs w:val="21"/>
          <w:highlight w:val="none"/>
          <w:u w:val="single"/>
          <w:shd w:val="clear" w:color="auto" w:fill="auto"/>
        </w:rPr>
        <w:t>15017511249</w:t>
      </w:r>
    </w:p>
    <w:p>
      <w:pPr>
        <w:keepNext w:val="0"/>
        <w:keepLines w:val="0"/>
        <w:pageBreakBefore w:val="0"/>
        <w:kinsoku/>
        <w:overflowPunct/>
        <w:bidi w:val="0"/>
        <w:snapToGrid/>
        <w:spacing w:line="360" w:lineRule="auto"/>
        <w:ind w:firstLine="422" w:firstLineChars="200"/>
        <w:textAlignment w:val="auto"/>
        <w:outlineLvl w:val="9"/>
        <w:rPr>
          <w:rFonts w:hint="eastAsia" w:ascii="宋体" w:hAnsi="宋体" w:eastAsia="宋体" w:cs="宋体"/>
          <w:b/>
          <w:bCs/>
          <w:color w:val="auto"/>
          <w:szCs w:val="21"/>
          <w:highlight w:val="none"/>
          <w:shd w:val="clear" w:color="auto" w:fill="auto"/>
          <w:lang w:val="en-US" w:eastAsia="zh-CN"/>
        </w:rPr>
      </w:pPr>
      <w:bookmarkStart w:id="21" w:name="_Toc20761"/>
    </w:p>
    <w:p>
      <w:pPr>
        <w:keepNext w:val="0"/>
        <w:keepLines w:val="0"/>
        <w:pageBreakBefore w:val="0"/>
        <w:kinsoku/>
        <w:overflowPunct/>
        <w:bidi w:val="0"/>
        <w:snapToGrid/>
        <w:spacing w:line="360" w:lineRule="auto"/>
        <w:ind w:firstLine="422" w:firstLineChars="200"/>
        <w:textAlignment w:val="auto"/>
        <w:outlineLvl w:val="9"/>
        <w:rPr>
          <w:rFonts w:hint="eastAsia" w:ascii="宋体" w:hAnsi="宋体" w:eastAsia="宋体" w:cs="宋体"/>
          <w:color w:val="auto"/>
          <w:highlight w:val="none"/>
        </w:rPr>
      </w:pPr>
      <w:r>
        <w:rPr>
          <w:rFonts w:hint="eastAsia" w:ascii="宋体" w:hAnsi="宋体" w:cs="宋体"/>
          <w:b/>
          <w:bCs/>
          <w:color w:val="auto"/>
          <w:szCs w:val="21"/>
          <w:highlight w:val="none"/>
          <w:shd w:val="clear" w:color="auto" w:fill="auto"/>
          <w:lang w:val="en-US" w:eastAsia="zh-CN"/>
        </w:rPr>
        <w:t>十</w:t>
      </w:r>
      <w:r>
        <w:rPr>
          <w:rFonts w:hint="eastAsia" w:ascii="宋体" w:hAnsi="宋体" w:eastAsia="宋体" w:cs="宋体"/>
          <w:b/>
          <w:bCs/>
          <w:color w:val="auto"/>
          <w:szCs w:val="21"/>
          <w:highlight w:val="none"/>
          <w:shd w:val="clear" w:color="auto" w:fill="auto"/>
          <w:lang w:eastAsia="zh-CN"/>
        </w:rPr>
        <w:t>、</w:t>
      </w:r>
      <w:r>
        <w:rPr>
          <w:rFonts w:hint="eastAsia" w:ascii="宋体" w:hAnsi="宋体" w:eastAsia="宋体" w:cs="宋体"/>
          <w:b/>
          <w:bCs/>
          <w:color w:val="auto"/>
          <w:szCs w:val="21"/>
          <w:highlight w:val="none"/>
          <w:shd w:val="clear" w:color="auto" w:fill="auto"/>
        </w:rPr>
        <w:t>附件</w:t>
      </w:r>
      <w:bookmarkEnd w:id="21"/>
    </w:p>
    <w:p>
      <w:pPr>
        <w:spacing w:before="68" w:line="220" w:lineRule="auto"/>
        <w:ind w:left="437"/>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附</w:t>
      </w:r>
      <w:r>
        <w:rPr>
          <w:rFonts w:ascii="宋体" w:hAnsi="宋体" w:eastAsia="宋体" w:cs="宋体"/>
          <w:color w:val="auto"/>
          <w:spacing w:val="-7"/>
          <w:sz w:val="21"/>
          <w:szCs w:val="21"/>
          <w:highlight w:val="none"/>
        </w:rPr>
        <w:t>件 1：招标人声明</w:t>
      </w:r>
    </w:p>
    <w:p>
      <w:pPr>
        <w:spacing w:before="189" w:line="220" w:lineRule="auto"/>
        <w:ind w:left="43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附件 2：异</w:t>
      </w:r>
      <w:r>
        <w:rPr>
          <w:rFonts w:ascii="宋体" w:hAnsi="宋体" w:eastAsia="宋体" w:cs="宋体"/>
          <w:color w:val="auto"/>
          <w:spacing w:val="1"/>
          <w:sz w:val="21"/>
          <w:szCs w:val="21"/>
          <w:highlight w:val="none"/>
        </w:rPr>
        <w:t>议书(模板)</w:t>
      </w:r>
    </w:p>
    <w:p>
      <w:pPr>
        <w:spacing w:before="189" w:line="220" w:lineRule="auto"/>
        <w:ind w:left="43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附件 3：投</w:t>
      </w:r>
      <w:r>
        <w:rPr>
          <w:rFonts w:ascii="宋体" w:hAnsi="宋体" w:eastAsia="宋体" w:cs="宋体"/>
          <w:color w:val="auto"/>
          <w:spacing w:val="1"/>
          <w:sz w:val="21"/>
          <w:szCs w:val="21"/>
          <w:highlight w:val="none"/>
        </w:rPr>
        <w:t>诉书(格式)</w:t>
      </w:r>
    </w:p>
    <w:p>
      <w:pPr>
        <w:spacing w:before="192" w:line="220" w:lineRule="auto"/>
        <w:ind w:left="437"/>
        <w:rPr>
          <w:rFonts w:hint="eastAsia" w:ascii="宋体" w:hAnsi="宋体" w:eastAsia="宋体" w:cs="宋体"/>
          <w:b w:val="0"/>
          <w:bCs w:val="0"/>
          <w:color w:val="auto"/>
          <w:szCs w:val="21"/>
          <w:highlight w:val="none"/>
          <w:shd w:val="clear" w:color="auto" w:fill="auto"/>
        </w:rPr>
      </w:pPr>
      <w:r>
        <w:rPr>
          <w:rFonts w:ascii="宋体" w:hAnsi="宋体" w:eastAsia="宋体" w:cs="宋体"/>
          <w:color w:val="auto"/>
          <w:spacing w:val="-8"/>
          <w:sz w:val="21"/>
          <w:szCs w:val="21"/>
          <w:highlight w:val="none"/>
        </w:rPr>
        <w:t>附件 4：</w:t>
      </w:r>
      <w:r>
        <w:rPr>
          <w:rFonts w:hint="eastAsia" w:ascii="宋体" w:hAnsi="宋体" w:eastAsia="宋体" w:cs="宋体"/>
          <w:color w:val="auto"/>
          <w:spacing w:val="-8"/>
          <w:sz w:val="21"/>
          <w:szCs w:val="21"/>
          <w:highlight w:val="none"/>
        </w:rPr>
        <w:t>桃花变电站土建部分初设图纸资料</w:t>
      </w:r>
    </w:p>
    <w:p>
      <w:pPr>
        <w:keepNext w:val="0"/>
        <w:keepLines w:val="0"/>
        <w:pageBreakBefore w:val="0"/>
        <w:kinsoku/>
        <w:wordWrap/>
        <w:overflowPunct/>
        <w:bidi w:val="0"/>
        <w:snapToGrid/>
        <w:spacing w:line="360" w:lineRule="auto"/>
        <w:ind w:right="140"/>
        <w:jc w:val="right"/>
        <w:textAlignment w:val="auto"/>
        <w:outlineLvl w:val="9"/>
        <w:rPr>
          <w:rFonts w:hint="eastAsia" w:ascii="宋体" w:hAnsi="宋体" w:eastAsia="宋体" w:cs="宋体"/>
          <w:b/>
          <w:color w:val="auto"/>
          <w:szCs w:val="21"/>
          <w:highlight w:val="none"/>
          <w:shd w:val="clear" w:color="auto" w:fill="auto"/>
          <w:lang w:val="en-US" w:eastAsia="zh-CN"/>
        </w:rPr>
      </w:pPr>
      <w:r>
        <w:rPr>
          <w:rFonts w:hint="eastAsia" w:ascii="宋体" w:hAnsi="宋体" w:eastAsia="宋体" w:cs="宋体"/>
          <w:b/>
          <w:color w:val="auto"/>
          <w:szCs w:val="21"/>
          <w:highlight w:val="none"/>
          <w:shd w:val="clear" w:color="auto" w:fill="auto"/>
        </w:rPr>
        <w:t>招标人：</w:t>
      </w:r>
      <w:r>
        <w:rPr>
          <w:rFonts w:hint="eastAsia" w:ascii="宋体" w:hAnsi="宋体" w:cs="宋体"/>
          <w:b/>
          <w:color w:val="auto"/>
          <w:szCs w:val="21"/>
          <w:highlight w:val="none"/>
          <w:shd w:val="clear" w:color="auto" w:fill="auto"/>
          <w:lang w:val="en-US" w:eastAsia="zh-CN"/>
        </w:rPr>
        <w:t>广州公交集团新能源发展有限责任公司</w:t>
      </w:r>
    </w:p>
    <w:p>
      <w:pPr>
        <w:keepNext w:val="0"/>
        <w:keepLines w:val="0"/>
        <w:pageBreakBefore w:val="0"/>
        <w:kinsoku/>
        <w:wordWrap w:val="0"/>
        <w:overflowPunct/>
        <w:bidi w:val="0"/>
        <w:snapToGrid/>
        <w:spacing w:line="360" w:lineRule="auto"/>
        <w:ind w:right="140"/>
        <w:jc w:val="right"/>
        <w:textAlignment w:val="auto"/>
        <w:outlineLvl w:val="9"/>
        <w:rPr>
          <w:rFonts w:hint="eastAsia" w:ascii="宋体" w:hAnsi="宋体" w:eastAsia="宋体" w:cs="宋体"/>
          <w:b/>
          <w:color w:val="auto"/>
          <w:szCs w:val="21"/>
          <w:highlight w:val="none"/>
          <w:shd w:val="clear" w:color="auto" w:fill="auto"/>
          <w:lang w:val="en-US" w:eastAsia="zh-CN"/>
        </w:rPr>
      </w:pPr>
      <w:r>
        <w:rPr>
          <w:rFonts w:hint="eastAsia" w:ascii="宋体" w:hAnsi="宋体" w:eastAsia="宋体" w:cs="宋体"/>
          <w:b/>
          <w:color w:val="auto"/>
          <w:szCs w:val="21"/>
          <w:highlight w:val="none"/>
          <w:shd w:val="clear" w:color="auto" w:fill="auto"/>
        </w:rPr>
        <w:t>招标代理机构：广州竣盛工程造价咨询有限公司</w:t>
      </w:r>
    </w:p>
    <w:p>
      <w:pPr>
        <w:keepNext w:val="0"/>
        <w:keepLines w:val="0"/>
        <w:pageBreakBefore w:val="0"/>
        <w:kinsoku/>
        <w:wordWrap w:val="0"/>
        <w:overflowPunct/>
        <w:bidi w:val="0"/>
        <w:snapToGrid/>
        <w:spacing w:line="360" w:lineRule="auto"/>
        <w:ind w:right="90"/>
        <w:jc w:val="right"/>
        <w:textAlignment w:val="auto"/>
        <w:outlineLvl w:val="9"/>
        <w:rPr>
          <w:rFonts w:hint="eastAsia"/>
          <w:b/>
          <w:bCs/>
          <w:color w:val="auto"/>
          <w:sz w:val="32"/>
          <w:szCs w:val="32"/>
          <w:highlight w:val="none"/>
        </w:rPr>
      </w:pPr>
      <w:r>
        <w:rPr>
          <w:rFonts w:hint="eastAsia" w:ascii="宋体" w:hAnsi="宋体" w:cs="宋体"/>
          <w:b/>
          <w:color w:val="auto"/>
          <w:szCs w:val="21"/>
          <w:highlight w:val="none"/>
          <w:shd w:val="clear" w:color="auto" w:fill="auto"/>
          <w:lang w:val="en-US" w:eastAsia="zh-CN"/>
        </w:rPr>
        <w:t>2023年9月  日</w:t>
      </w:r>
    </w:p>
    <w:p>
      <w:pPr>
        <w:pStyle w:val="3"/>
        <w:pageBreakBefore/>
        <w:widowControl/>
        <w:numPr>
          <w:ilvl w:val="0"/>
          <w:numId w:val="5"/>
        </w:numPr>
        <w:tabs>
          <w:tab w:val="left" w:pos="2127"/>
        </w:tabs>
        <w:spacing w:before="120" w:after="120" w:line="360" w:lineRule="auto"/>
        <w:jc w:val="center"/>
        <w:rPr>
          <w:b/>
          <w:bCs/>
          <w:color w:val="auto"/>
          <w:sz w:val="32"/>
          <w:szCs w:val="32"/>
          <w:highlight w:val="none"/>
        </w:rPr>
      </w:pPr>
      <w:r>
        <w:rPr>
          <w:rFonts w:hint="eastAsia"/>
          <w:b/>
          <w:bCs/>
          <w:color w:val="auto"/>
          <w:sz w:val="32"/>
          <w:szCs w:val="32"/>
          <w:highlight w:val="none"/>
          <w:lang w:val="en-US" w:eastAsia="zh-CN"/>
        </w:rPr>
        <w:t xml:space="preserve"> </w:t>
      </w:r>
      <w:bookmarkStart w:id="22" w:name="_Toc31902"/>
      <w:r>
        <w:rPr>
          <w:rFonts w:hint="eastAsia"/>
          <w:b/>
          <w:bCs/>
          <w:color w:val="auto"/>
          <w:sz w:val="32"/>
          <w:szCs w:val="32"/>
          <w:highlight w:val="none"/>
        </w:rPr>
        <w:t>投标人须知</w:t>
      </w:r>
      <w:bookmarkEnd w:id="22"/>
    </w:p>
    <w:p>
      <w:pPr>
        <w:pStyle w:val="2"/>
        <w:keepNext w:val="0"/>
        <w:keepLines w:val="0"/>
        <w:tabs>
          <w:tab w:val="left" w:pos="2127"/>
        </w:tabs>
        <w:spacing w:before="0" w:after="0" w:line="360" w:lineRule="auto"/>
        <w:ind w:firstLine="120" w:firstLineChars="50"/>
        <w:jc w:val="center"/>
        <w:rPr>
          <w:rFonts w:hint="eastAsia" w:ascii="宋体" w:hAnsi="宋体" w:eastAsia="宋体"/>
          <w:color w:val="auto"/>
          <w:sz w:val="24"/>
          <w:szCs w:val="24"/>
          <w:highlight w:val="none"/>
          <w:lang w:eastAsia="zh-CN"/>
        </w:rPr>
      </w:pPr>
      <w:bookmarkStart w:id="23" w:name="_Toc3546"/>
      <w:bookmarkStart w:id="24" w:name="_Toc12682"/>
      <w:bookmarkStart w:id="25" w:name="_Toc31941"/>
      <w:bookmarkStart w:id="26" w:name="_Toc19103"/>
      <w:bookmarkStart w:id="27" w:name="_Toc7963"/>
      <w:bookmarkStart w:id="28" w:name="_Toc4007"/>
      <w:bookmarkStart w:id="29" w:name="_Toc12425"/>
      <w:bookmarkStart w:id="30" w:name="_Toc23234"/>
      <w:bookmarkStart w:id="31" w:name="_Toc2"/>
      <w:bookmarkStart w:id="32" w:name="_Toc22569"/>
      <w:bookmarkStart w:id="33" w:name="_Toc13125"/>
      <w:bookmarkStart w:id="34" w:name="_Toc26414"/>
      <w:bookmarkStart w:id="35" w:name="_Toc20409"/>
      <w:bookmarkStart w:id="36" w:name="_Toc21622"/>
      <w:r>
        <w:rPr>
          <w:rFonts w:hint="eastAsia" w:ascii="宋体" w:hAnsi="宋体" w:eastAsia="宋体"/>
          <w:color w:val="auto"/>
          <w:sz w:val="24"/>
          <w:szCs w:val="24"/>
          <w:highlight w:val="none"/>
        </w:rPr>
        <w:t>投标人须知前附表</w:t>
      </w:r>
      <w:bookmarkEnd w:id="23"/>
      <w:bookmarkEnd w:id="24"/>
      <w:bookmarkEnd w:id="25"/>
      <w:bookmarkEnd w:id="26"/>
      <w:bookmarkEnd w:id="27"/>
      <w:bookmarkEnd w:id="28"/>
      <w:bookmarkEnd w:id="29"/>
      <w:bookmarkEnd w:id="30"/>
      <w:bookmarkEnd w:id="31"/>
      <w:bookmarkEnd w:id="32"/>
      <w:bookmarkEnd w:id="33"/>
      <w:bookmarkEnd w:id="34"/>
      <w:bookmarkEnd w:id="35"/>
      <w:bookmarkEnd w:id="36"/>
    </w:p>
    <w:p>
      <w:pPr>
        <w:rPr>
          <w:color w:val="auto"/>
          <w:highlight w:val="none"/>
        </w:rPr>
      </w:pPr>
    </w:p>
    <w:tbl>
      <w:tblPr>
        <w:tblStyle w:val="43"/>
        <w:tblW w:w="9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743"/>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jc w:val="center"/>
        </w:trPr>
        <w:tc>
          <w:tcPr>
            <w:tcW w:w="827" w:type="dxa"/>
            <w:vAlign w:val="center"/>
          </w:tcPr>
          <w:p>
            <w:pPr>
              <w:pStyle w:val="22"/>
              <w:tabs>
                <w:tab w:val="left" w:pos="2127"/>
              </w:tabs>
              <w:spacing w:line="360" w:lineRule="auto"/>
              <w:jc w:val="center"/>
              <w:rPr>
                <w:rFonts w:hAnsi="宋体"/>
                <w:color w:val="auto"/>
                <w:highlight w:val="none"/>
              </w:rPr>
            </w:pPr>
            <w:r>
              <w:rPr>
                <w:rFonts w:hint="eastAsia" w:hAnsi="宋体"/>
                <w:color w:val="auto"/>
                <w:highlight w:val="none"/>
              </w:rPr>
              <w:t>序号</w:t>
            </w:r>
          </w:p>
        </w:tc>
        <w:tc>
          <w:tcPr>
            <w:tcW w:w="1743" w:type="dxa"/>
            <w:vAlign w:val="center"/>
          </w:tcPr>
          <w:p>
            <w:pPr>
              <w:pStyle w:val="22"/>
              <w:tabs>
                <w:tab w:val="left" w:pos="2127"/>
              </w:tabs>
              <w:spacing w:line="360" w:lineRule="auto"/>
              <w:jc w:val="center"/>
              <w:rPr>
                <w:rFonts w:hAnsi="宋体"/>
                <w:color w:val="auto"/>
                <w:highlight w:val="none"/>
              </w:rPr>
            </w:pPr>
            <w:r>
              <w:rPr>
                <w:rFonts w:hint="eastAsia" w:hAnsi="宋体"/>
                <w:color w:val="auto"/>
                <w:highlight w:val="none"/>
              </w:rPr>
              <w:t>条款名称</w:t>
            </w:r>
          </w:p>
        </w:tc>
        <w:tc>
          <w:tcPr>
            <w:tcW w:w="7020" w:type="dxa"/>
            <w:vAlign w:val="center"/>
          </w:tcPr>
          <w:p>
            <w:pPr>
              <w:pStyle w:val="22"/>
              <w:tabs>
                <w:tab w:val="left" w:pos="2127"/>
              </w:tabs>
              <w:spacing w:line="360" w:lineRule="auto"/>
              <w:jc w:val="center"/>
              <w:rPr>
                <w:rFonts w:hAnsi="宋体"/>
                <w:color w:val="auto"/>
                <w:highlight w:val="none"/>
              </w:rPr>
            </w:pPr>
            <w:r>
              <w:rPr>
                <w:rFonts w:hint="eastAsia" w:hAnsi="宋体"/>
                <w:color w:val="auto"/>
                <w:highlight w:val="none"/>
              </w:rPr>
              <w:t xml:space="preserve">编列内容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hAnsi="宋体" w:eastAsia="宋体"/>
                <w:color w:val="auto"/>
                <w:highlight w:val="none"/>
                <w:lang w:val="en-US" w:eastAsia="zh-CN"/>
              </w:rPr>
            </w:pPr>
          </w:p>
        </w:tc>
        <w:tc>
          <w:tcPr>
            <w:tcW w:w="1743" w:type="dxa"/>
            <w:vAlign w:val="center"/>
          </w:tcPr>
          <w:p>
            <w:pPr>
              <w:pStyle w:val="22"/>
              <w:tabs>
                <w:tab w:val="left" w:pos="2127"/>
              </w:tabs>
              <w:spacing w:line="360" w:lineRule="auto"/>
              <w:jc w:val="center"/>
              <w:rPr>
                <w:rFonts w:hAnsi="宋体"/>
                <w:color w:val="auto"/>
                <w:highlight w:val="none"/>
              </w:rPr>
            </w:pPr>
            <w:r>
              <w:rPr>
                <w:rFonts w:hint="eastAsia" w:hAnsi="宋体"/>
                <w:color w:val="auto"/>
                <w:highlight w:val="none"/>
              </w:rPr>
              <w:t>招标人</w:t>
            </w:r>
          </w:p>
        </w:tc>
        <w:tc>
          <w:tcPr>
            <w:tcW w:w="7020" w:type="dxa"/>
            <w:vAlign w:val="center"/>
          </w:tcPr>
          <w:p>
            <w:pPr>
              <w:pStyle w:val="22"/>
              <w:spacing w:line="360" w:lineRule="auto"/>
              <w:rPr>
                <w:rFonts w:hint="eastAsia" w:hAnsi="宋体" w:eastAsia="宋体"/>
                <w:color w:val="auto"/>
                <w:szCs w:val="21"/>
                <w:highlight w:val="none"/>
                <w:lang w:eastAsia="zh-CN"/>
              </w:rPr>
            </w:pPr>
            <w:r>
              <w:rPr>
                <w:rFonts w:hint="eastAsia" w:hAnsi="宋体"/>
                <w:color w:val="auto"/>
                <w:szCs w:val="21"/>
                <w:highlight w:val="none"/>
              </w:rPr>
              <w:t>招标人：</w:t>
            </w:r>
            <w:r>
              <w:rPr>
                <w:rFonts w:hint="eastAsia" w:hAnsi="宋体"/>
                <w:color w:val="auto"/>
                <w:szCs w:val="21"/>
                <w:highlight w:val="none"/>
                <w:lang w:eastAsia="zh-CN"/>
              </w:rPr>
              <w:t>广州公交集团新能源发展有限责任公司</w:t>
            </w:r>
          </w:p>
          <w:p>
            <w:pPr>
              <w:pStyle w:val="22"/>
              <w:spacing w:line="360" w:lineRule="auto"/>
              <w:rPr>
                <w:rFonts w:hint="default"/>
                <w:color w:val="auto"/>
                <w:highlight w:val="none"/>
                <w:lang w:val="en-US"/>
              </w:rPr>
            </w:pPr>
            <w:r>
              <w:rPr>
                <w:rFonts w:hint="eastAsia" w:hAnsi="宋体"/>
                <w:color w:val="auto"/>
                <w:szCs w:val="21"/>
                <w:highlight w:val="none"/>
              </w:rPr>
              <w:t>地  址：</w:t>
            </w:r>
            <w:r>
              <w:rPr>
                <w:rFonts w:hint="eastAsia" w:ascii="宋体" w:hAnsi="宋体" w:eastAsia="宋体" w:cs="宋体"/>
                <w:color w:val="auto"/>
                <w:spacing w:val="-15"/>
                <w:sz w:val="21"/>
                <w:szCs w:val="21"/>
                <w:highlight w:val="none"/>
                <w:u w:val="none"/>
                <w:lang w:val="en-US" w:eastAsia="zh-CN"/>
              </w:rPr>
              <w:t>广州市天河区</w:t>
            </w:r>
            <w:r>
              <w:rPr>
                <w:rFonts w:hint="eastAsia" w:ascii="宋体" w:hAnsi="宋体" w:eastAsia="宋体" w:cs="宋体"/>
                <w:i w:val="0"/>
                <w:iCs w:val="0"/>
                <w:caps w:val="0"/>
                <w:color w:val="auto"/>
                <w:spacing w:val="0"/>
                <w:sz w:val="21"/>
                <w:szCs w:val="21"/>
                <w:highlight w:val="none"/>
                <w:u w:val="none"/>
                <w:shd w:val="clear" w:fill="FFFFFF"/>
              </w:rPr>
              <w:t>天河北路179号</w:t>
            </w:r>
            <w:r>
              <w:rPr>
                <w:rFonts w:hint="eastAsia" w:ascii="宋体" w:hAnsi="宋体" w:eastAsia="宋体" w:cs="宋体"/>
                <w:i w:val="0"/>
                <w:iCs w:val="0"/>
                <w:caps w:val="0"/>
                <w:color w:val="auto"/>
                <w:spacing w:val="0"/>
                <w:sz w:val="21"/>
                <w:szCs w:val="21"/>
                <w:highlight w:val="none"/>
                <w:u w:val="none"/>
                <w:shd w:val="clear" w:fill="FFFFFF"/>
                <w:lang w:eastAsia="zh-CN"/>
              </w:rPr>
              <w:t>（</w:t>
            </w:r>
            <w:r>
              <w:rPr>
                <w:rFonts w:hint="eastAsia" w:ascii="宋体" w:hAnsi="宋体" w:eastAsia="宋体" w:cs="宋体"/>
                <w:i w:val="0"/>
                <w:iCs w:val="0"/>
                <w:caps w:val="0"/>
                <w:color w:val="auto"/>
                <w:spacing w:val="0"/>
                <w:sz w:val="21"/>
                <w:szCs w:val="21"/>
                <w:highlight w:val="none"/>
                <w:u w:val="none"/>
                <w:shd w:val="clear" w:fill="FFFFFF"/>
                <w:lang w:val="en-US" w:eastAsia="zh-CN"/>
              </w:rPr>
              <w:t>尚层国际写字楼</w:t>
            </w:r>
            <w:r>
              <w:rPr>
                <w:rFonts w:hint="eastAsia" w:ascii="宋体" w:hAnsi="宋体" w:eastAsia="宋体" w:cs="宋体"/>
                <w:i w:val="0"/>
                <w:iCs w:val="0"/>
                <w:caps w:val="0"/>
                <w:color w:val="auto"/>
                <w:spacing w:val="0"/>
                <w:sz w:val="21"/>
                <w:szCs w:val="21"/>
                <w:highlight w:val="none"/>
                <w:u w:val="none"/>
                <w:shd w:val="clear" w:fill="FFFFFF"/>
                <w:lang w:eastAsia="zh-CN"/>
              </w:rPr>
              <w:t>）</w:t>
            </w:r>
            <w:r>
              <w:rPr>
                <w:rFonts w:hint="eastAsia" w:ascii="宋体" w:hAnsi="宋体" w:eastAsia="宋体" w:cs="宋体"/>
                <w:i w:val="0"/>
                <w:iCs w:val="0"/>
                <w:caps w:val="0"/>
                <w:color w:val="auto"/>
                <w:spacing w:val="0"/>
                <w:sz w:val="21"/>
                <w:szCs w:val="21"/>
                <w:highlight w:val="none"/>
                <w:u w:val="none"/>
                <w:shd w:val="clear" w:fill="FFFFFF"/>
                <w:lang w:val="en-US" w:eastAsia="zh-CN"/>
              </w:rPr>
              <w:t>29楼</w:t>
            </w:r>
            <w:r>
              <w:rPr>
                <w:rFonts w:hint="eastAsia" w:hAnsi="宋体"/>
                <w:color w:val="auto"/>
                <w:szCs w:val="21"/>
                <w:highlight w:val="none"/>
                <w:lang w:val="en-US" w:eastAsia="zh-CN"/>
              </w:rPr>
              <w:t xml:space="preserve">    </w:t>
            </w:r>
          </w:p>
          <w:p>
            <w:pPr>
              <w:pStyle w:val="22"/>
              <w:spacing w:line="360" w:lineRule="auto"/>
              <w:rPr>
                <w:rFonts w:hint="default" w:hAnsi="宋体" w:eastAsia="宋体"/>
                <w:color w:val="auto"/>
                <w:szCs w:val="21"/>
                <w:highlight w:val="none"/>
                <w:lang w:val="en-US" w:eastAsia="zh-CN"/>
              </w:rPr>
            </w:pPr>
            <w:r>
              <w:rPr>
                <w:rFonts w:hint="eastAsia" w:hAnsi="宋体"/>
                <w:color w:val="auto"/>
                <w:szCs w:val="21"/>
                <w:highlight w:val="none"/>
              </w:rPr>
              <w:t>联系人：</w:t>
            </w:r>
            <w:r>
              <w:rPr>
                <w:rFonts w:hint="eastAsia" w:hAnsi="宋体"/>
                <w:color w:val="auto"/>
                <w:szCs w:val="21"/>
                <w:highlight w:val="none"/>
                <w:lang w:val="en-US" w:eastAsia="zh-CN"/>
              </w:rPr>
              <w:t xml:space="preserve">刘先生  </w:t>
            </w:r>
          </w:p>
          <w:p>
            <w:pPr>
              <w:rPr>
                <w:rFonts w:hint="default" w:eastAsiaTheme="minorEastAsia"/>
                <w:color w:val="auto"/>
                <w:highlight w:val="none"/>
                <w:lang w:val="en-US" w:eastAsia="zh-CN"/>
              </w:rPr>
            </w:pPr>
            <w:r>
              <w:rPr>
                <w:rFonts w:hint="eastAsia" w:hAnsi="宋体"/>
                <w:color w:val="auto"/>
                <w:szCs w:val="21"/>
                <w:highlight w:val="none"/>
              </w:rPr>
              <w:t>电  话</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 xml:space="preserve">020-87582057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hAnsi="宋体" w:eastAsia="宋体"/>
                <w:color w:val="auto"/>
                <w:highlight w:val="none"/>
                <w:lang w:val="en-US" w:eastAsia="zh-CN"/>
              </w:rPr>
            </w:pPr>
          </w:p>
        </w:tc>
        <w:tc>
          <w:tcPr>
            <w:tcW w:w="1743" w:type="dxa"/>
            <w:vAlign w:val="center"/>
          </w:tcPr>
          <w:p>
            <w:pPr>
              <w:pStyle w:val="22"/>
              <w:tabs>
                <w:tab w:val="left" w:pos="2127"/>
              </w:tabs>
              <w:spacing w:line="360" w:lineRule="auto"/>
              <w:jc w:val="center"/>
              <w:rPr>
                <w:rFonts w:hAnsi="宋体"/>
                <w:color w:val="auto"/>
                <w:highlight w:val="none"/>
              </w:rPr>
            </w:pPr>
            <w:r>
              <w:rPr>
                <w:rFonts w:hint="eastAsia" w:hAnsi="宋体"/>
                <w:color w:val="auto"/>
                <w:highlight w:val="none"/>
              </w:rPr>
              <w:t>招标代理机构</w:t>
            </w:r>
          </w:p>
        </w:tc>
        <w:tc>
          <w:tcPr>
            <w:tcW w:w="7020" w:type="dxa"/>
            <w:vAlign w:val="center"/>
          </w:tcPr>
          <w:p>
            <w:pPr>
              <w:pStyle w:val="22"/>
              <w:spacing w:line="360" w:lineRule="auto"/>
              <w:rPr>
                <w:rFonts w:hint="eastAsia" w:hAnsi="宋体" w:eastAsia="宋体"/>
                <w:color w:val="auto"/>
                <w:szCs w:val="21"/>
                <w:highlight w:val="none"/>
                <w:lang w:eastAsia="zh-CN"/>
              </w:rPr>
            </w:pPr>
            <w:r>
              <w:rPr>
                <w:rFonts w:hint="eastAsia" w:hAnsi="宋体"/>
                <w:color w:val="auto"/>
                <w:szCs w:val="21"/>
                <w:highlight w:val="none"/>
              </w:rPr>
              <w:t>名  称：</w:t>
            </w:r>
            <w:r>
              <w:rPr>
                <w:rFonts w:hint="eastAsia" w:hAnsi="宋体"/>
                <w:color w:val="auto"/>
                <w:szCs w:val="21"/>
                <w:highlight w:val="none"/>
                <w:lang w:eastAsia="zh-CN"/>
              </w:rPr>
              <w:t>广州竣盛工程造价咨询有限公司</w:t>
            </w:r>
          </w:p>
          <w:p>
            <w:pPr>
              <w:pStyle w:val="22"/>
              <w:spacing w:line="360" w:lineRule="auto"/>
              <w:rPr>
                <w:rFonts w:hint="eastAsia" w:hAnsi="宋体" w:eastAsia="宋体"/>
                <w:color w:val="auto"/>
                <w:szCs w:val="21"/>
                <w:highlight w:val="none"/>
                <w:lang w:eastAsia="zh-CN"/>
              </w:rPr>
            </w:pPr>
            <w:r>
              <w:rPr>
                <w:rFonts w:hint="eastAsia" w:hAnsi="宋体"/>
                <w:color w:val="auto"/>
                <w:szCs w:val="21"/>
                <w:highlight w:val="none"/>
              </w:rPr>
              <w:t>地  址：</w:t>
            </w:r>
            <w:r>
              <w:rPr>
                <w:rFonts w:hint="eastAsia" w:hAnsi="宋体"/>
                <w:color w:val="auto"/>
                <w:szCs w:val="21"/>
                <w:highlight w:val="none"/>
                <w:lang w:eastAsia="zh-CN"/>
              </w:rPr>
              <w:t>广州市海珠区琶洲大道188-190号南方投资大厦12-13层</w:t>
            </w:r>
          </w:p>
          <w:p>
            <w:pPr>
              <w:pStyle w:val="22"/>
              <w:spacing w:line="360" w:lineRule="auto"/>
              <w:rPr>
                <w:rFonts w:hAnsi="宋体"/>
                <w:color w:val="auto"/>
                <w:szCs w:val="21"/>
                <w:highlight w:val="none"/>
              </w:rPr>
            </w:pPr>
            <w:r>
              <w:rPr>
                <w:rFonts w:hint="eastAsia" w:hAnsi="宋体"/>
                <w:color w:val="auto"/>
                <w:szCs w:val="21"/>
                <w:highlight w:val="none"/>
              </w:rPr>
              <w:t>联系人：林工</w:t>
            </w:r>
          </w:p>
          <w:p>
            <w:pPr>
              <w:pStyle w:val="22"/>
              <w:spacing w:line="360" w:lineRule="auto"/>
              <w:rPr>
                <w:rFonts w:hint="default" w:hAnsi="宋体" w:eastAsia="宋体"/>
                <w:color w:val="auto"/>
                <w:szCs w:val="21"/>
                <w:highlight w:val="none"/>
                <w:u w:val="single"/>
                <w:lang w:val="en-US" w:eastAsia="zh-CN"/>
              </w:rPr>
            </w:pPr>
            <w:r>
              <w:rPr>
                <w:rFonts w:hint="eastAsia" w:hAnsi="宋体"/>
                <w:color w:val="auto"/>
                <w:szCs w:val="21"/>
                <w:highlight w:val="none"/>
              </w:rPr>
              <w:t>电  话：15017511249</w:t>
            </w:r>
          </w:p>
          <w:p>
            <w:pPr>
              <w:pStyle w:val="22"/>
              <w:spacing w:line="360" w:lineRule="auto"/>
              <w:rPr>
                <w:rFonts w:hint="eastAsia" w:hAnsi="宋体" w:eastAsia="宋体"/>
                <w:color w:val="auto"/>
                <w:szCs w:val="21"/>
                <w:highlight w:val="none"/>
                <w:lang w:val="en-US" w:eastAsia="zh-CN"/>
              </w:rPr>
            </w:pPr>
            <w:r>
              <w:rPr>
                <w:rFonts w:hint="eastAsia" w:hAnsi="宋体"/>
                <w:color w:val="auto"/>
                <w:szCs w:val="21"/>
                <w:highlight w:val="none"/>
                <w:lang w:eastAsia="zh-CN"/>
              </w:rPr>
              <w:t>邮</w:t>
            </w:r>
            <w:r>
              <w:rPr>
                <w:rFonts w:hint="eastAsia" w:hAnsi="宋体"/>
                <w:color w:val="auto"/>
                <w:szCs w:val="21"/>
                <w:highlight w:val="none"/>
                <w:lang w:val="en-US" w:eastAsia="zh-CN"/>
              </w:rPr>
              <w:t xml:space="preserve">  </w:t>
            </w:r>
            <w:r>
              <w:rPr>
                <w:rFonts w:hint="eastAsia" w:hAnsi="宋体"/>
                <w:color w:val="auto"/>
                <w:szCs w:val="21"/>
                <w:highlight w:val="none"/>
                <w:lang w:eastAsia="zh-CN"/>
              </w:rPr>
              <w:t>箱</w:t>
            </w:r>
            <w:r>
              <w:rPr>
                <w:rFonts w:hint="eastAsia" w:hAnsi="宋体"/>
                <w:color w:val="auto"/>
                <w:szCs w:val="21"/>
                <w:highlight w:val="none"/>
              </w:rPr>
              <w:t>：</w:t>
            </w:r>
            <w:r>
              <w:rPr>
                <w:rFonts w:hint="eastAsia" w:hAnsi="宋体"/>
                <w:color w:val="auto"/>
                <w:szCs w:val="21"/>
                <w:highlight w:val="none"/>
                <w:lang w:val="en-US" w:eastAsia="zh-CN"/>
              </w:rPr>
              <w:t>junshengzb@126.com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tabs>
                <w:tab w:val="left" w:pos="2127"/>
              </w:tabs>
              <w:spacing w:line="360" w:lineRule="auto"/>
              <w:jc w:val="center"/>
              <w:rPr>
                <w:rFonts w:hAnsi="宋体"/>
                <w:color w:val="auto"/>
                <w:highlight w:val="none"/>
              </w:rPr>
            </w:pPr>
            <w:r>
              <w:rPr>
                <w:rFonts w:hint="eastAsia" w:hAnsi="宋体"/>
                <w:color w:val="auto"/>
                <w:highlight w:val="none"/>
              </w:rPr>
              <w:t>项目名称</w:t>
            </w:r>
          </w:p>
        </w:tc>
        <w:tc>
          <w:tcPr>
            <w:tcW w:w="7020" w:type="dxa"/>
            <w:vAlign w:val="center"/>
          </w:tcPr>
          <w:p>
            <w:pPr>
              <w:pStyle w:val="22"/>
              <w:spacing w:line="360" w:lineRule="auto"/>
              <w:rPr>
                <w:rFonts w:hint="eastAsia" w:hAnsi="宋体" w:eastAsia="宋体"/>
                <w:color w:val="auto"/>
                <w:szCs w:val="21"/>
                <w:highlight w:val="none"/>
                <w:lang w:eastAsia="zh-CN"/>
              </w:rPr>
            </w:pPr>
            <w:r>
              <w:rPr>
                <w:rFonts w:hint="eastAsia" w:hAnsi="宋体"/>
                <w:color w:val="auto"/>
                <w:szCs w:val="21"/>
                <w:highlight w:val="none"/>
                <w:lang w:eastAsia="zh-CN"/>
              </w:rPr>
              <w:t>110千伏桃花输变电工程(变电站建筑)施工总承包项目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tabs>
                <w:tab w:val="left" w:pos="2127"/>
              </w:tabs>
              <w:spacing w:line="360" w:lineRule="auto"/>
              <w:jc w:val="center"/>
              <w:rPr>
                <w:rFonts w:hAnsi="宋体"/>
                <w:color w:val="auto"/>
                <w:highlight w:val="none"/>
              </w:rPr>
            </w:pPr>
            <w:r>
              <w:rPr>
                <w:rFonts w:hint="eastAsia" w:hAnsi="宋体"/>
                <w:color w:val="auto"/>
                <w:highlight w:val="none"/>
              </w:rPr>
              <w:t>招标方式</w:t>
            </w:r>
          </w:p>
        </w:tc>
        <w:tc>
          <w:tcPr>
            <w:tcW w:w="7020" w:type="dxa"/>
            <w:vAlign w:val="center"/>
          </w:tcPr>
          <w:p>
            <w:pPr>
              <w:pStyle w:val="22"/>
              <w:spacing w:line="360" w:lineRule="auto"/>
              <w:rPr>
                <w:rFonts w:hint="eastAsia" w:hAnsi="宋体" w:eastAsia="宋体"/>
                <w:color w:val="auto"/>
                <w:szCs w:val="21"/>
                <w:highlight w:val="none"/>
                <w:lang w:eastAsia="zh-CN"/>
              </w:rPr>
            </w:pPr>
            <w:r>
              <w:rPr>
                <w:rFonts w:hint="eastAsia" w:hAnsi="宋体" w:eastAsia="宋体"/>
                <w:color w:val="auto"/>
                <w:szCs w:val="21"/>
                <w:highlight w:val="none"/>
                <w:lang w:eastAsia="zh-C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tabs>
                <w:tab w:val="left" w:pos="2127"/>
              </w:tabs>
              <w:spacing w:line="360" w:lineRule="auto"/>
              <w:jc w:val="center"/>
              <w:rPr>
                <w:rFonts w:hAnsi="宋体"/>
                <w:color w:val="auto"/>
                <w:highlight w:val="none"/>
              </w:rPr>
            </w:pPr>
            <w:r>
              <w:rPr>
                <w:rFonts w:hint="eastAsia" w:hAnsi="宋体"/>
                <w:color w:val="auto"/>
                <w:highlight w:val="none"/>
              </w:rPr>
              <w:t>招标组织形式</w:t>
            </w:r>
          </w:p>
        </w:tc>
        <w:tc>
          <w:tcPr>
            <w:tcW w:w="7020" w:type="dxa"/>
            <w:vAlign w:val="center"/>
          </w:tcPr>
          <w:p>
            <w:pPr>
              <w:pStyle w:val="22"/>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委托招标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default" w:ascii="宋体" w:hAnsi="宋体" w:eastAsia="宋体" w:cs="Times New Roman"/>
                <w:color w:val="auto"/>
                <w:highlight w:val="none"/>
                <w:lang w:val="en-US" w:eastAsia="zh-CN"/>
              </w:rPr>
            </w:pPr>
          </w:p>
        </w:tc>
        <w:tc>
          <w:tcPr>
            <w:tcW w:w="1743" w:type="dxa"/>
            <w:vAlign w:val="center"/>
          </w:tcPr>
          <w:p>
            <w:pPr>
              <w:pStyle w:val="22"/>
              <w:tabs>
                <w:tab w:val="left" w:pos="2127"/>
              </w:tabs>
              <w:spacing w:line="360" w:lineRule="auto"/>
              <w:jc w:val="center"/>
              <w:rPr>
                <w:rFonts w:hint="eastAsia" w:hAnsi="宋体" w:cs="仿宋_GB2312"/>
                <w:color w:val="auto"/>
                <w:kern w:val="0"/>
                <w:szCs w:val="21"/>
                <w:highlight w:val="none"/>
              </w:rPr>
            </w:pPr>
            <w:r>
              <w:rPr>
                <w:rFonts w:hint="eastAsia" w:hAnsi="宋体" w:cs="仿宋_GB2312"/>
                <w:color w:val="auto"/>
                <w:kern w:val="0"/>
                <w:szCs w:val="21"/>
                <w:highlight w:val="none"/>
              </w:rPr>
              <w:t>资格审查方式</w:t>
            </w:r>
          </w:p>
        </w:tc>
        <w:tc>
          <w:tcPr>
            <w:tcW w:w="7020" w:type="dxa"/>
            <w:vAlign w:val="center"/>
          </w:tcPr>
          <w:p>
            <w:pPr>
              <w:pStyle w:val="41"/>
              <w:numPr>
                <w:ilvl w:val="0"/>
                <w:numId w:val="0"/>
              </w:numPr>
              <w:ind w:leftChars="0"/>
              <w:rPr>
                <w:rFonts w:hint="eastAsia"/>
                <w:color w:val="auto"/>
                <w:highlight w:val="none"/>
                <w:lang w:eastAsia="zh-CN"/>
              </w:rPr>
            </w:pPr>
            <w:r>
              <w:rPr>
                <w:rFonts w:hint="eastAsia"/>
                <w:color w:val="auto"/>
                <w:highlight w:val="none"/>
                <w:lang w:eastAsia="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tabs>
                <w:tab w:val="left" w:pos="2127"/>
              </w:tabs>
              <w:spacing w:line="360" w:lineRule="auto"/>
              <w:jc w:val="center"/>
              <w:rPr>
                <w:rFonts w:hAnsi="宋体"/>
                <w:color w:val="auto"/>
                <w:highlight w:val="none"/>
              </w:rPr>
            </w:pPr>
            <w:r>
              <w:rPr>
                <w:rFonts w:hint="eastAsia" w:hAnsi="宋体" w:cs="仿宋_GB2312"/>
                <w:color w:val="auto"/>
                <w:kern w:val="0"/>
                <w:szCs w:val="21"/>
                <w:highlight w:val="none"/>
              </w:rPr>
              <w:t>资金来源</w:t>
            </w:r>
          </w:p>
        </w:tc>
        <w:tc>
          <w:tcPr>
            <w:tcW w:w="7020" w:type="dxa"/>
            <w:vAlign w:val="center"/>
          </w:tcPr>
          <w:p>
            <w:pPr>
              <w:pStyle w:val="22"/>
              <w:tabs>
                <w:tab w:val="left" w:pos="2127"/>
              </w:tabs>
              <w:spacing w:line="360" w:lineRule="auto"/>
              <w:rPr>
                <w:rFonts w:hint="default" w:hAnsi="宋体"/>
                <w:color w:val="auto"/>
                <w:szCs w:val="21"/>
                <w:highlight w:val="none"/>
                <w:u w:val="single"/>
                <w:lang w:val="en-US"/>
              </w:rPr>
            </w:pPr>
            <w:r>
              <w:rPr>
                <w:rFonts w:hint="eastAsia" w:hAnsi="宋体"/>
                <w:color w:val="auto"/>
                <w:highlight w:val="none"/>
                <w:u w:val="none"/>
                <w:lang w:eastAsia="zh-CN"/>
              </w:rPr>
              <w:t>详见</w:t>
            </w:r>
            <w:r>
              <w:rPr>
                <w:rFonts w:hint="eastAsia" w:hAnsi="宋体"/>
                <w:color w:val="auto"/>
                <w:highlight w:val="none"/>
                <w:u w:val="none"/>
                <w:lang w:val="en-US" w:eastAsia="zh-CN"/>
              </w:rPr>
              <w:t>招标</w:t>
            </w:r>
            <w:r>
              <w:rPr>
                <w:rFonts w:hint="eastAsia" w:hAnsi="宋体"/>
                <w:color w:val="auto"/>
                <w:highlight w:val="none"/>
                <w:u w:val="none"/>
                <w:lang w:eastAsia="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tabs>
                <w:tab w:val="left" w:pos="2127"/>
              </w:tabs>
              <w:spacing w:line="360" w:lineRule="auto"/>
              <w:jc w:val="center"/>
              <w:rPr>
                <w:rFonts w:hAnsi="宋体"/>
                <w:color w:val="auto"/>
                <w:highlight w:val="none"/>
              </w:rPr>
            </w:pPr>
            <w:r>
              <w:rPr>
                <w:rFonts w:hint="eastAsia" w:hAnsi="宋体" w:cs="仿宋_GB2312"/>
                <w:color w:val="auto"/>
                <w:kern w:val="0"/>
                <w:szCs w:val="21"/>
                <w:highlight w:val="none"/>
              </w:rPr>
              <w:t>资金落实情况</w:t>
            </w:r>
          </w:p>
        </w:tc>
        <w:tc>
          <w:tcPr>
            <w:tcW w:w="7020" w:type="dxa"/>
            <w:vAlign w:val="center"/>
          </w:tcPr>
          <w:p>
            <w:pPr>
              <w:pStyle w:val="22"/>
              <w:tabs>
                <w:tab w:val="left" w:pos="2127"/>
              </w:tabs>
              <w:spacing w:line="360" w:lineRule="auto"/>
              <w:rPr>
                <w:rFonts w:hAnsi="宋体"/>
                <w:color w:val="auto"/>
                <w:highlight w:val="none"/>
                <w:u w:val="single"/>
              </w:rPr>
            </w:pPr>
            <w:r>
              <w:rPr>
                <w:rFonts w:hint="eastAsia" w:hAnsi="宋体"/>
                <w:color w:val="auto"/>
                <w:highlight w:val="none"/>
                <w:u w:val="none"/>
                <w:lang w:eastAsia="zh-CN"/>
              </w:rPr>
              <w:t>详见</w:t>
            </w:r>
            <w:r>
              <w:rPr>
                <w:rFonts w:hint="eastAsia" w:hAnsi="宋体"/>
                <w:color w:val="auto"/>
                <w:highlight w:val="none"/>
                <w:u w:val="none"/>
                <w:lang w:val="en-US" w:eastAsia="zh-CN"/>
              </w:rPr>
              <w:t>招标</w:t>
            </w:r>
            <w:r>
              <w:rPr>
                <w:rFonts w:hint="eastAsia" w:hAnsi="宋体"/>
                <w:color w:val="auto"/>
                <w:highlight w:val="none"/>
                <w:u w:val="none"/>
                <w:lang w:eastAsia="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tabs>
                <w:tab w:val="left" w:pos="2127"/>
              </w:tabs>
              <w:spacing w:line="360" w:lineRule="auto"/>
              <w:jc w:val="center"/>
              <w:rPr>
                <w:rFonts w:hint="eastAsia" w:ascii="宋体" w:hAnsi="宋体" w:eastAsia="宋体" w:cs="仿宋_GB2312"/>
                <w:color w:val="auto"/>
                <w:kern w:val="0"/>
                <w:sz w:val="21"/>
                <w:szCs w:val="21"/>
                <w:highlight w:val="none"/>
                <w:lang w:val="en-US" w:eastAsia="zh-CN" w:bidi="ar-SA"/>
              </w:rPr>
            </w:pPr>
            <w:r>
              <w:rPr>
                <w:rFonts w:hint="eastAsia" w:hAnsi="宋体" w:cs="仿宋_GB2312"/>
                <w:color w:val="auto"/>
                <w:kern w:val="0"/>
                <w:szCs w:val="21"/>
                <w:highlight w:val="none"/>
              </w:rPr>
              <w:t>项目概况</w:t>
            </w:r>
          </w:p>
        </w:tc>
        <w:tc>
          <w:tcPr>
            <w:tcW w:w="7020" w:type="dxa"/>
            <w:vAlign w:val="center"/>
          </w:tcPr>
          <w:p>
            <w:pPr>
              <w:pStyle w:val="41"/>
              <w:keepNext w:val="0"/>
              <w:keepLines w:val="0"/>
              <w:pageBreakBefore w:val="0"/>
              <w:kinsoku/>
              <w:overflowPunct/>
              <w:bidi w:val="0"/>
              <w:snapToGrid/>
              <w:spacing w:line="360" w:lineRule="auto"/>
              <w:ind w:left="0" w:leftChars="0" w:firstLine="0" w:firstLineChars="0"/>
              <w:textAlignment w:val="auto"/>
              <w:outlineLvl w:val="9"/>
              <w:rPr>
                <w:rFonts w:hint="eastAsia" w:hAnsi="宋体" w:eastAsia="宋体"/>
                <w:color w:val="auto"/>
                <w:highlight w:val="none"/>
                <w:u w:val="none"/>
                <w:lang w:eastAsia="zh-CN"/>
              </w:rPr>
            </w:pPr>
            <w:r>
              <w:rPr>
                <w:rFonts w:hint="eastAsia" w:hAnsi="宋体"/>
                <w:color w:val="auto"/>
                <w:highlight w:val="none"/>
                <w:u w:val="none"/>
                <w:lang w:eastAsia="zh-CN"/>
              </w:rPr>
              <w:t>详见</w:t>
            </w:r>
            <w:r>
              <w:rPr>
                <w:rFonts w:hint="eastAsia" w:hAnsi="宋体"/>
                <w:color w:val="auto"/>
                <w:highlight w:val="none"/>
                <w:u w:val="none"/>
                <w:lang w:val="en-US" w:eastAsia="zh-CN"/>
              </w:rPr>
              <w:t>招标</w:t>
            </w:r>
            <w:r>
              <w:rPr>
                <w:rFonts w:hint="eastAsia" w:hAnsi="宋体"/>
                <w:color w:val="auto"/>
                <w:highlight w:val="none"/>
                <w:u w:val="none"/>
                <w:lang w:eastAsia="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tabs>
                <w:tab w:val="left" w:pos="2127"/>
              </w:tabs>
              <w:spacing w:line="360" w:lineRule="auto"/>
              <w:jc w:val="center"/>
              <w:rPr>
                <w:rFonts w:hint="eastAsia" w:ascii="宋体" w:hAnsi="宋体" w:eastAsia="宋体" w:cs="Times New Roman"/>
                <w:color w:val="auto"/>
                <w:kern w:val="2"/>
                <w:sz w:val="21"/>
                <w:highlight w:val="none"/>
                <w:lang w:val="en-US" w:eastAsia="zh-CN" w:bidi="ar-SA"/>
              </w:rPr>
            </w:pPr>
            <w:r>
              <w:rPr>
                <w:rFonts w:hint="eastAsia" w:ascii="宋体" w:hAnsi="宋体" w:eastAsia="宋体" w:cs="Times New Roman"/>
                <w:color w:val="auto"/>
                <w:kern w:val="2"/>
                <w:sz w:val="21"/>
                <w:highlight w:val="none"/>
                <w:lang w:val="en-US" w:eastAsia="zh-CN" w:bidi="ar-SA"/>
              </w:rPr>
              <w:t>预计采购金额</w:t>
            </w:r>
          </w:p>
        </w:tc>
        <w:tc>
          <w:tcPr>
            <w:tcW w:w="7020" w:type="dxa"/>
            <w:vAlign w:val="center"/>
          </w:tcPr>
          <w:p>
            <w:pPr>
              <w:pStyle w:val="22"/>
              <w:tabs>
                <w:tab w:val="left" w:pos="2127"/>
              </w:tabs>
              <w:spacing w:line="360" w:lineRule="auto"/>
              <w:rPr>
                <w:rFonts w:hAnsi="宋体"/>
                <w:color w:val="auto"/>
                <w:highlight w:val="none"/>
                <w:u w:val="none"/>
              </w:rPr>
            </w:pPr>
            <w:r>
              <w:rPr>
                <w:rFonts w:hint="eastAsia" w:hAnsi="宋体"/>
                <w:color w:val="auto"/>
                <w:highlight w:val="none"/>
                <w:u w:val="none"/>
                <w:lang w:eastAsia="zh-CN"/>
              </w:rPr>
              <w:t>详见</w:t>
            </w:r>
            <w:r>
              <w:rPr>
                <w:rFonts w:hint="eastAsia" w:hAnsi="宋体"/>
                <w:color w:val="auto"/>
                <w:highlight w:val="none"/>
                <w:u w:val="none"/>
                <w:lang w:val="en-US" w:eastAsia="zh-CN"/>
              </w:rPr>
              <w:t>招标</w:t>
            </w:r>
            <w:r>
              <w:rPr>
                <w:rFonts w:hint="eastAsia" w:hAnsi="宋体"/>
                <w:color w:val="auto"/>
                <w:highlight w:val="none"/>
                <w:u w:val="none"/>
                <w:lang w:eastAsia="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tabs>
                <w:tab w:val="left" w:pos="2127"/>
              </w:tabs>
              <w:spacing w:line="360" w:lineRule="auto"/>
              <w:jc w:val="center"/>
              <w:rPr>
                <w:rFonts w:hint="default" w:ascii="宋体" w:hAnsi="宋体" w:eastAsia="宋体" w:cs="仿宋_GB2312"/>
                <w:color w:val="auto"/>
                <w:kern w:val="0"/>
                <w:sz w:val="21"/>
                <w:szCs w:val="21"/>
                <w:highlight w:val="none"/>
                <w:lang w:val="en-US" w:eastAsia="zh-CN" w:bidi="ar-SA"/>
              </w:rPr>
            </w:pPr>
            <w:r>
              <w:rPr>
                <w:rFonts w:hint="default" w:ascii="宋体" w:hAnsi="宋体" w:eastAsia="宋体" w:cs="仿宋_GB2312"/>
                <w:color w:val="auto"/>
                <w:kern w:val="0"/>
                <w:sz w:val="21"/>
                <w:szCs w:val="21"/>
                <w:highlight w:val="none"/>
                <w:lang w:val="en-US" w:eastAsia="zh-CN" w:bidi="ar-SA"/>
              </w:rPr>
              <w:t>标</w:t>
            </w:r>
            <w:r>
              <w:rPr>
                <w:rFonts w:hint="eastAsia" w:hAnsi="宋体" w:cs="仿宋_GB2312"/>
                <w:color w:val="auto"/>
                <w:kern w:val="0"/>
                <w:sz w:val="21"/>
                <w:szCs w:val="21"/>
                <w:highlight w:val="none"/>
                <w:lang w:val="en-US" w:eastAsia="zh-CN" w:bidi="ar-SA"/>
              </w:rPr>
              <w:t>段</w:t>
            </w:r>
            <w:r>
              <w:rPr>
                <w:rFonts w:hint="default" w:ascii="宋体" w:hAnsi="宋体" w:eastAsia="宋体" w:cs="仿宋_GB2312"/>
                <w:color w:val="auto"/>
                <w:kern w:val="0"/>
                <w:sz w:val="21"/>
                <w:szCs w:val="21"/>
                <w:highlight w:val="none"/>
                <w:lang w:val="en-US" w:eastAsia="zh-CN" w:bidi="ar-SA"/>
              </w:rPr>
              <w:t>划分</w:t>
            </w:r>
          </w:p>
        </w:tc>
        <w:tc>
          <w:tcPr>
            <w:tcW w:w="7020" w:type="dxa"/>
            <w:vAlign w:val="center"/>
          </w:tcPr>
          <w:p>
            <w:pPr>
              <w:pStyle w:val="22"/>
              <w:tabs>
                <w:tab w:val="left" w:pos="2127"/>
              </w:tabs>
              <w:spacing w:line="360" w:lineRule="auto"/>
              <w:rPr>
                <w:rFonts w:hAnsi="宋体"/>
                <w:color w:val="auto"/>
                <w:highlight w:val="none"/>
                <w:u w:val="single"/>
              </w:rPr>
            </w:pPr>
            <w:r>
              <w:rPr>
                <w:rFonts w:hint="eastAsia" w:hAnsi="宋体"/>
                <w:color w:val="auto"/>
                <w:highlight w:val="none"/>
                <w:u w:val="none"/>
                <w:lang w:eastAsia="zh-CN"/>
              </w:rPr>
              <w:t>详见</w:t>
            </w:r>
            <w:r>
              <w:rPr>
                <w:rFonts w:hint="eastAsia" w:hAnsi="宋体"/>
                <w:color w:val="auto"/>
                <w:highlight w:val="none"/>
                <w:u w:val="none"/>
                <w:lang w:val="en-US" w:eastAsia="zh-CN"/>
              </w:rPr>
              <w:t>招标</w:t>
            </w:r>
            <w:r>
              <w:rPr>
                <w:rFonts w:hint="eastAsia" w:hAnsi="宋体"/>
                <w:color w:val="auto"/>
                <w:highlight w:val="none"/>
                <w:u w:val="none"/>
                <w:lang w:eastAsia="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tabs>
                <w:tab w:val="left" w:pos="2127"/>
              </w:tabs>
              <w:spacing w:line="360" w:lineRule="auto"/>
              <w:jc w:val="center"/>
              <w:rPr>
                <w:rFonts w:hAnsi="宋体" w:cs="仿宋_GB2312"/>
                <w:color w:val="auto"/>
                <w:kern w:val="0"/>
                <w:szCs w:val="21"/>
                <w:highlight w:val="none"/>
              </w:rPr>
            </w:pPr>
            <w:r>
              <w:rPr>
                <w:rFonts w:hint="eastAsia" w:hAnsi="宋体" w:cs="仿宋_GB2312"/>
                <w:color w:val="auto"/>
                <w:kern w:val="0"/>
                <w:szCs w:val="21"/>
                <w:highlight w:val="none"/>
              </w:rPr>
              <w:t>招标范围</w:t>
            </w:r>
          </w:p>
        </w:tc>
        <w:tc>
          <w:tcPr>
            <w:tcW w:w="7020" w:type="dxa"/>
            <w:vAlign w:val="center"/>
          </w:tcPr>
          <w:p>
            <w:pPr>
              <w:pStyle w:val="22"/>
              <w:tabs>
                <w:tab w:val="left" w:pos="2127"/>
              </w:tabs>
              <w:spacing w:line="360" w:lineRule="auto"/>
              <w:rPr>
                <w:rFonts w:hAnsi="宋体"/>
                <w:color w:val="auto"/>
                <w:highlight w:val="none"/>
                <w:u w:val="single"/>
              </w:rPr>
            </w:pPr>
            <w:r>
              <w:rPr>
                <w:rFonts w:hint="eastAsia" w:hAnsi="宋体"/>
                <w:color w:val="auto"/>
                <w:highlight w:val="none"/>
                <w:u w:val="none"/>
                <w:lang w:eastAsia="zh-CN"/>
              </w:rPr>
              <w:t>详见</w:t>
            </w:r>
            <w:r>
              <w:rPr>
                <w:rFonts w:hint="eastAsia" w:hAnsi="宋体"/>
                <w:color w:val="auto"/>
                <w:highlight w:val="none"/>
                <w:u w:val="none"/>
                <w:lang w:val="en-US" w:eastAsia="zh-CN"/>
              </w:rPr>
              <w:t>招标</w:t>
            </w:r>
            <w:r>
              <w:rPr>
                <w:rFonts w:hint="eastAsia" w:hAnsi="宋体"/>
                <w:color w:val="auto"/>
                <w:highlight w:val="none"/>
                <w:u w:val="none"/>
                <w:lang w:eastAsia="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tcBorders>
              <w:top w:val="nil"/>
            </w:tcBorders>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tcBorders>
              <w:top w:val="nil"/>
            </w:tcBorders>
            <w:vAlign w:val="center"/>
          </w:tcPr>
          <w:p>
            <w:pPr>
              <w:pStyle w:val="22"/>
              <w:tabs>
                <w:tab w:val="left" w:pos="2127"/>
              </w:tabs>
              <w:spacing w:line="360" w:lineRule="auto"/>
              <w:jc w:val="center"/>
              <w:rPr>
                <w:rFonts w:hint="default" w:hAnsi="宋体" w:eastAsia="宋体"/>
                <w:color w:val="auto"/>
                <w:highlight w:val="none"/>
                <w:lang w:val="en-US" w:eastAsia="zh-CN"/>
              </w:rPr>
            </w:pPr>
            <w:r>
              <w:rPr>
                <w:rFonts w:hint="eastAsia" w:hAnsi="宋体"/>
                <w:color w:val="auto"/>
                <w:highlight w:val="none"/>
                <w:lang w:val="en-US" w:eastAsia="zh-CN"/>
              </w:rPr>
              <w:t>计划工期</w:t>
            </w:r>
          </w:p>
        </w:tc>
        <w:tc>
          <w:tcPr>
            <w:tcW w:w="7020" w:type="dxa"/>
            <w:tcBorders>
              <w:top w:val="nil"/>
            </w:tcBorders>
            <w:vAlign w:val="center"/>
          </w:tcPr>
          <w:p>
            <w:pPr>
              <w:pStyle w:val="22"/>
              <w:tabs>
                <w:tab w:val="left" w:pos="2127"/>
              </w:tabs>
              <w:spacing w:line="360" w:lineRule="auto"/>
              <w:rPr>
                <w:rFonts w:hint="default" w:hAnsi="宋体"/>
                <w:color w:val="auto"/>
                <w:highlight w:val="none"/>
                <w:u w:val="none"/>
                <w:lang w:val="en-US" w:eastAsia="zh-CN"/>
              </w:rPr>
            </w:pPr>
            <w:r>
              <w:rPr>
                <w:rFonts w:hint="eastAsia" w:hAnsi="宋体"/>
                <w:color w:val="auto"/>
                <w:highlight w:val="none"/>
                <w:u w:val="none"/>
                <w:lang w:eastAsia="zh-CN"/>
              </w:rPr>
              <w:t>详见</w:t>
            </w:r>
            <w:r>
              <w:rPr>
                <w:rFonts w:hint="eastAsia" w:hAnsi="宋体"/>
                <w:color w:val="auto"/>
                <w:highlight w:val="none"/>
                <w:u w:val="none"/>
                <w:lang w:val="en-US" w:eastAsia="zh-CN"/>
              </w:rPr>
              <w:t>招标</w:t>
            </w:r>
            <w:r>
              <w:rPr>
                <w:rFonts w:hint="eastAsia" w:hAnsi="宋体"/>
                <w:color w:val="auto"/>
                <w:highlight w:val="none"/>
                <w:u w:val="none"/>
                <w:lang w:eastAsia="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tcBorders>
              <w:top w:val="nil"/>
            </w:tcBorders>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tcBorders>
              <w:top w:val="nil"/>
            </w:tcBorders>
            <w:vAlign w:val="center"/>
          </w:tcPr>
          <w:p>
            <w:pPr>
              <w:pStyle w:val="22"/>
              <w:tabs>
                <w:tab w:val="left" w:pos="2127"/>
              </w:tabs>
              <w:spacing w:line="360" w:lineRule="auto"/>
              <w:jc w:val="center"/>
              <w:rPr>
                <w:rFonts w:hint="default" w:hAnsi="宋体" w:eastAsia="宋体"/>
                <w:color w:val="auto"/>
                <w:highlight w:val="none"/>
                <w:lang w:val="en-US" w:eastAsia="zh-CN"/>
              </w:rPr>
            </w:pPr>
            <w:r>
              <w:rPr>
                <w:rFonts w:hint="eastAsia" w:hAnsi="宋体"/>
                <w:color w:val="auto"/>
                <w:highlight w:val="none"/>
                <w:lang w:val="en-US" w:eastAsia="zh-CN"/>
              </w:rPr>
              <w:t>投标有效期</w:t>
            </w:r>
          </w:p>
        </w:tc>
        <w:tc>
          <w:tcPr>
            <w:tcW w:w="7020" w:type="dxa"/>
            <w:tcBorders>
              <w:top w:val="nil"/>
            </w:tcBorders>
            <w:vAlign w:val="center"/>
          </w:tcPr>
          <w:p>
            <w:pPr>
              <w:pStyle w:val="22"/>
              <w:tabs>
                <w:tab w:val="left" w:pos="2127"/>
              </w:tabs>
              <w:spacing w:line="360" w:lineRule="auto"/>
              <w:rPr>
                <w:rFonts w:hint="eastAsia" w:hAnsi="宋体" w:eastAsia="宋体"/>
                <w:b w:val="0"/>
                <w:bCs/>
                <w:color w:val="auto"/>
                <w:highlight w:val="none"/>
                <w:lang w:eastAsia="zh-CN"/>
              </w:rPr>
            </w:pPr>
            <w:r>
              <w:rPr>
                <w:rFonts w:hint="eastAsia" w:hAnsi="宋体"/>
                <w:color w:val="auto"/>
                <w:highlight w:val="none"/>
                <w:u w:val="none"/>
                <w:lang w:eastAsia="zh-CN"/>
              </w:rPr>
              <w:t>详见</w:t>
            </w:r>
            <w:r>
              <w:rPr>
                <w:rFonts w:hint="eastAsia" w:hAnsi="宋体"/>
                <w:color w:val="auto"/>
                <w:highlight w:val="none"/>
                <w:u w:val="none"/>
                <w:lang w:val="en-US" w:eastAsia="zh-CN"/>
              </w:rPr>
              <w:t>招标</w:t>
            </w:r>
            <w:r>
              <w:rPr>
                <w:rFonts w:hint="eastAsia" w:hAnsi="宋体"/>
                <w:color w:val="auto"/>
                <w:highlight w:val="none"/>
                <w:u w:val="none"/>
                <w:lang w:eastAsia="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tcBorders>
              <w:top w:val="nil"/>
            </w:tcBorders>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tcBorders>
              <w:top w:val="nil"/>
            </w:tcBorders>
            <w:vAlign w:val="center"/>
          </w:tcPr>
          <w:p>
            <w:pPr>
              <w:pStyle w:val="22"/>
              <w:tabs>
                <w:tab w:val="left" w:pos="2127"/>
              </w:tabs>
              <w:spacing w:line="360" w:lineRule="auto"/>
              <w:jc w:val="center"/>
              <w:rPr>
                <w:rFonts w:hint="eastAsia" w:hAnsi="宋体"/>
                <w:color w:val="auto"/>
                <w:highlight w:val="none"/>
                <w:lang w:val="en-US" w:eastAsia="zh-CN"/>
              </w:rPr>
            </w:pPr>
            <w:r>
              <w:rPr>
                <w:rFonts w:hint="eastAsia" w:hAnsi="宋体"/>
                <w:color w:val="auto"/>
                <w:highlight w:val="none"/>
                <w:lang w:val="en-US" w:eastAsia="zh-CN"/>
              </w:rPr>
              <w:t>质量、安全、文明施工要求</w:t>
            </w:r>
          </w:p>
        </w:tc>
        <w:tc>
          <w:tcPr>
            <w:tcW w:w="7020" w:type="dxa"/>
            <w:tcBorders>
              <w:top w:val="nil"/>
            </w:tcBorders>
            <w:vAlign w:val="center"/>
          </w:tcPr>
          <w:p>
            <w:pPr>
              <w:pStyle w:val="22"/>
              <w:tabs>
                <w:tab w:val="left" w:pos="2127"/>
              </w:tabs>
              <w:spacing w:line="360" w:lineRule="auto"/>
              <w:rPr>
                <w:rFonts w:hint="eastAsia" w:hAnsi="宋体"/>
                <w:color w:val="auto"/>
                <w:highlight w:val="none"/>
                <w:u w:val="none"/>
                <w:lang w:eastAsia="zh-CN"/>
              </w:rPr>
            </w:pPr>
            <w:r>
              <w:rPr>
                <w:rFonts w:hint="eastAsia" w:hAnsi="宋体"/>
                <w:color w:val="auto"/>
                <w:highlight w:val="none"/>
                <w:u w:val="none"/>
                <w:lang w:eastAsia="zh-CN"/>
              </w:rPr>
              <w:t>详见</w:t>
            </w:r>
            <w:r>
              <w:rPr>
                <w:rFonts w:hint="eastAsia" w:hAnsi="宋体"/>
                <w:color w:val="auto"/>
                <w:highlight w:val="none"/>
                <w:u w:val="none"/>
                <w:lang w:val="en-US" w:eastAsia="zh-CN"/>
              </w:rPr>
              <w:t>招标</w:t>
            </w:r>
            <w:r>
              <w:rPr>
                <w:rFonts w:hint="eastAsia" w:hAnsi="宋体"/>
                <w:color w:val="auto"/>
                <w:highlight w:val="none"/>
                <w:u w:val="none"/>
                <w:lang w:eastAsia="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tcBorders>
              <w:top w:val="nil"/>
            </w:tcBorders>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tcBorders>
              <w:top w:val="nil"/>
            </w:tcBorders>
            <w:vAlign w:val="center"/>
          </w:tcPr>
          <w:p>
            <w:pPr>
              <w:pStyle w:val="22"/>
              <w:tabs>
                <w:tab w:val="left" w:pos="2127"/>
              </w:tabs>
              <w:spacing w:line="360" w:lineRule="auto"/>
              <w:jc w:val="center"/>
              <w:rPr>
                <w:rFonts w:hint="eastAsia" w:hAnsi="宋体"/>
                <w:color w:val="auto"/>
                <w:highlight w:val="none"/>
                <w:lang w:val="en-US" w:eastAsia="zh-CN"/>
              </w:rPr>
            </w:pPr>
            <w:r>
              <w:rPr>
                <w:rFonts w:hint="eastAsia" w:hAnsi="宋体"/>
                <w:color w:val="auto"/>
                <w:highlight w:val="none"/>
                <w:lang w:val="en-US" w:eastAsia="zh-CN"/>
              </w:rPr>
              <w:t>施工承包方式</w:t>
            </w:r>
          </w:p>
        </w:tc>
        <w:tc>
          <w:tcPr>
            <w:tcW w:w="7020" w:type="dxa"/>
            <w:tcBorders>
              <w:top w:val="nil"/>
            </w:tcBorders>
            <w:vAlign w:val="center"/>
          </w:tcPr>
          <w:p>
            <w:pPr>
              <w:pStyle w:val="22"/>
              <w:tabs>
                <w:tab w:val="left" w:pos="2127"/>
              </w:tabs>
              <w:spacing w:line="360" w:lineRule="auto"/>
              <w:rPr>
                <w:rFonts w:hint="eastAsia" w:hAnsi="宋体"/>
                <w:color w:val="auto"/>
                <w:highlight w:val="none"/>
                <w:u w:val="none"/>
                <w:lang w:eastAsia="zh-CN"/>
              </w:rPr>
            </w:pPr>
            <w:r>
              <w:rPr>
                <w:rFonts w:hint="eastAsia" w:hAnsi="宋体"/>
                <w:color w:val="auto"/>
                <w:highlight w:val="none"/>
                <w:u w:val="none"/>
                <w:lang w:eastAsia="zh-CN"/>
              </w:rPr>
              <w:t>详见</w:t>
            </w:r>
            <w:r>
              <w:rPr>
                <w:rFonts w:hint="eastAsia" w:hAnsi="宋体"/>
                <w:color w:val="auto"/>
                <w:highlight w:val="none"/>
                <w:u w:val="none"/>
                <w:lang w:val="en-US" w:eastAsia="zh-CN"/>
              </w:rPr>
              <w:t>招标</w:t>
            </w:r>
            <w:r>
              <w:rPr>
                <w:rFonts w:hint="eastAsia" w:hAnsi="宋体"/>
                <w:color w:val="auto"/>
                <w:highlight w:val="none"/>
                <w:u w:val="none"/>
                <w:lang w:eastAsia="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tabs>
                <w:tab w:val="left" w:pos="2127"/>
              </w:tabs>
              <w:spacing w:line="360" w:lineRule="auto"/>
              <w:jc w:val="center"/>
              <w:rPr>
                <w:rFonts w:hAnsi="宋体"/>
                <w:color w:val="auto"/>
                <w:highlight w:val="none"/>
              </w:rPr>
            </w:pPr>
            <w:r>
              <w:rPr>
                <w:rFonts w:hint="eastAsia" w:hAnsi="宋体"/>
                <w:color w:val="auto"/>
                <w:highlight w:val="none"/>
              </w:rPr>
              <w:t>投标人资质条件、能力、信誉</w:t>
            </w:r>
          </w:p>
        </w:tc>
        <w:tc>
          <w:tcPr>
            <w:tcW w:w="7020" w:type="dxa"/>
            <w:vAlign w:val="center"/>
          </w:tcPr>
          <w:p>
            <w:pPr>
              <w:spacing w:before="120" w:after="120"/>
              <w:jc w:val="left"/>
              <w:rPr>
                <w:rFonts w:hint="default" w:ascii="宋体" w:hAnsi="宋体" w:eastAsia="宋体" w:cs="Dialog"/>
                <w:color w:val="auto"/>
                <w:kern w:val="2"/>
                <w:sz w:val="21"/>
                <w:szCs w:val="21"/>
                <w:highlight w:val="none"/>
                <w:lang w:val="en-US" w:eastAsia="zh-CN" w:bidi="ar-SA"/>
              </w:rPr>
            </w:pPr>
            <w:r>
              <w:rPr>
                <w:rFonts w:hint="eastAsia" w:hAnsi="宋体"/>
                <w:color w:val="auto"/>
                <w:highlight w:val="none"/>
                <w:u w:val="none"/>
                <w:lang w:eastAsia="zh-CN"/>
              </w:rPr>
              <w:t>详见</w:t>
            </w:r>
            <w:r>
              <w:rPr>
                <w:rFonts w:hint="eastAsia" w:hAnsi="宋体"/>
                <w:color w:val="auto"/>
                <w:highlight w:val="none"/>
                <w:u w:val="none"/>
                <w:lang w:val="en-US" w:eastAsia="zh-CN"/>
              </w:rPr>
              <w:t>招标</w:t>
            </w:r>
            <w:r>
              <w:rPr>
                <w:rFonts w:hint="eastAsia" w:hAnsi="宋体"/>
                <w:color w:val="auto"/>
                <w:highlight w:val="none"/>
                <w:u w:val="none"/>
                <w:lang w:eastAsia="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tabs>
                <w:tab w:val="left" w:pos="2127"/>
              </w:tabs>
              <w:spacing w:line="360" w:lineRule="auto"/>
              <w:jc w:val="center"/>
              <w:rPr>
                <w:rFonts w:hint="eastAsia" w:ascii="宋体" w:hAnsi="宋体" w:eastAsia="宋体" w:cs="仿宋_GB2312"/>
                <w:color w:val="auto"/>
                <w:kern w:val="0"/>
                <w:sz w:val="21"/>
                <w:szCs w:val="21"/>
                <w:highlight w:val="none"/>
                <w:lang w:val="en-US" w:eastAsia="zh-CN" w:bidi="ar-SA"/>
              </w:rPr>
            </w:pPr>
            <w:r>
              <w:rPr>
                <w:rFonts w:hint="eastAsia" w:ascii="宋体" w:hAnsi="宋体" w:eastAsia="宋体" w:cs="仿宋_GB2312"/>
                <w:color w:val="auto"/>
                <w:kern w:val="0"/>
                <w:sz w:val="21"/>
                <w:szCs w:val="21"/>
                <w:highlight w:val="none"/>
                <w:lang w:val="en-US" w:eastAsia="zh-CN" w:bidi="ar-SA"/>
              </w:rPr>
              <w:t>投标报价</w:t>
            </w:r>
          </w:p>
        </w:tc>
        <w:tc>
          <w:tcPr>
            <w:tcW w:w="7020" w:type="dxa"/>
            <w:vAlign w:val="center"/>
          </w:tcPr>
          <w:p>
            <w:pPr>
              <w:pStyle w:val="22"/>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计价模式：采用定额计价模式。</w:t>
            </w:r>
          </w:p>
          <w:p>
            <w:pPr>
              <w:pStyle w:val="22"/>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报价形式：采用投标报价方式。</w:t>
            </w:r>
          </w:p>
          <w:p>
            <w:pPr>
              <w:pStyle w:val="22"/>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投标报价：投标报价≤最高投标限价。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tabs>
                <w:tab w:val="left" w:pos="2127"/>
              </w:tabs>
              <w:spacing w:line="360" w:lineRule="auto"/>
              <w:jc w:val="center"/>
              <w:rPr>
                <w:rFonts w:hint="default" w:ascii="宋体" w:hAnsi="宋体" w:eastAsia="宋体" w:cs="仿宋_GB2312"/>
                <w:color w:val="auto"/>
                <w:kern w:val="0"/>
                <w:sz w:val="21"/>
                <w:szCs w:val="21"/>
                <w:highlight w:val="none"/>
                <w:lang w:val="en-US" w:eastAsia="zh-CN" w:bidi="ar-SA"/>
              </w:rPr>
            </w:pPr>
            <w:r>
              <w:rPr>
                <w:rFonts w:hint="eastAsia" w:hAnsi="宋体" w:cs="仿宋_GB2312"/>
                <w:color w:val="auto"/>
                <w:kern w:val="0"/>
                <w:sz w:val="21"/>
                <w:szCs w:val="21"/>
                <w:highlight w:val="none"/>
                <w:lang w:val="en-US" w:eastAsia="zh-CN" w:bidi="ar-SA"/>
              </w:rPr>
              <w:t>有效报价</w:t>
            </w:r>
          </w:p>
        </w:tc>
        <w:tc>
          <w:tcPr>
            <w:tcW w:w="7020" w:type="dxa"/>
            <w:vAlign w:val="center"/>
          </w:tcPr>
          <w:p>
            <w:pPr>
              <w:pStyle w:val="22"/>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投标函只能有一个有效报价，且符合：</w:t>
            </w:r>
          </w:p>
          <w:p>
            <w:pPr>
              <w:pStyle w:val="22"/>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(1)有效投标报价：投标</w:t>
            </w:r>
            <w:r>
              <w:rPr>
                <w:rFonts w:hint="eastAsia" w:hAnsi="宋体" w:cs="Times New Roman"/>
                <w:color w:val="auto"/>
                <w:kern w:val="2"/>
                <w:sz w:val="21"/>
                <w:szCs w:val="21"/>
                <w:highlight w:val="none"/>
                <w:lang w:val="en-US" w:eastAsia="zh-CN" w:bidi="ar-SA"/>
              </w:rPr>
              <w:t>总价</w:t>
            </w:r>
            <w:r>
              <w:rPr>
                <w:rFonts w:hint="eastAsia" w:ascii="宋体" w:hAnsi="宋体" w:eastAsia="宋体" w:cs="Times New Roman"/>
                <w:color w:val="auto"/>
                <w:kern w:val="2"/>
                <w:sz w:val="21"/>
                <w:szCs w:val="21"/>
                <w:highlight w:val="none"/>
                <w:lang w:val="en-US" w:eastAsia="zh-CN" w:bidi="ar-SA"/>
              </w:rPr>
              <w:t>≤</w:t>
            </w:r>
            <w:r>
              <w:rPr>
                <w:rFonts w:hint="eastAsia" w:ascii="宋体" w:hAnsi="宋体" w:eastAsia="宋体" w:cs="仿宋_GB2312"/>
                <w:color w:val="auto"/>
                <w:kern w:val="0"/>
                <w:sz w:val="21"/>
                <w:szCs w:val="21"/>
                <w:highlight w:val="none"/>
                <w:lang w:val="en-US" w:eastAsia="zh-CN" w:bidi="ar-SA"/>
              </w:rPr>
              <w:t>最高投标限价（公布最高投标限价的总价及各单项工程）</w:t>
            </w:r>
            <w:r>
              <w:rPr>
                <w:rFonts w:hint="eastAsia" w:ascii="宋体" w:hAnsi="宋体" w:eastAsia="宋体" w:cs="Times New Roman"/>
                <w:color w:val="auto"/>
                <w:kern w:val="2"/>
                <w:sz w:val="21"/>
                <w:szCs w:val="21"/>
                <w:highlight w:val="none"/>
                <w:lang w:val="en-US" w:eastAsia="zh-CN" w:bidi="ar-SA"/>
              </w:rPr>
              <w:t>。</w:t>
            </w:r>
          </w:p>
          <w:p>
            <w:pPr>
              <w:pStyle w:val="22"/>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成本警示价：最高投标限价的90%。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pStyle w:val="22"/>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(3)安全文明施工费、暂估价等非竞争性费用报价项(如有)按照最高投标限价公布的金额固定报价，不得自行变更，否则视为原则性不响应招标文件要求，作否决投标处理。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tabs>
                <w:tab w:val="left" w:pos="2127"/>
              </w:tabs>
              <w:spacing w:line="360" w:lineRule="auto"/>
              <w:jc w:val="center"/>
              <w:rPr>
                <w:rFonts w:hint="eastAsia" w:ascii="宋体" w:hAnsi="宋体" w:eastAsia="宋体" w:cs="仿宋_GB2312"/>
                <w:color w:val="auto"/>
                <w:kern w:val="0"/>
                <w:sz w:val="21"/>
                <w:szCs w:val="21"/>
                <w:highlight w:val="none"/>
                <w:lang w:val="en-US" w:eastAsia="zh-CN" w:bidi="ar-SA"/>
              </w:rPr>
            </w:pPr>
            <w:r>
              <w:rPr>
                <w:rFonts w:hint="eastAsia" w:ascii="宋体" w:hAnsi="宋体" w:eastAsia="宋体" w:cs="仿宋_GB2312"/>
                <w:color w:val="auto"/>
                <w:kern w:val="0"/>
                <w:sz w:val="21"/>
                <w:szCs w:val="21"/>
                <w:highlight w:val="none"/>
                <w:lang w:val="en-US" w:eastAsia="zh-CN" w:bidi="ar-SA"/>
              </w:rPr>
              <w:t>最高投标限价</w:t>
            </w:r>
          </w:p>
        </w:tc>
        <w:tc>
          <w:tcPr>
            <w:tcW w:w="7020" w:type="dxa"/>
            <w:vAlign w:val="center"/>
          </w:tcPr>
          <w:p>
            <w:pPr>
              <w:pStyle w:val="22"/>
              <w:spacing w:line="360" w:lineRule="auto"/>
              <w:rPr>
                <w:rFonts w:hint="default" w:hAnsi="宋体" w:cs="Times New Roman"/>
                <w:color w:val="auto"/>
                <w:kern w:val="2"/>
                <w:sz w:val="21"/>
                <w:szCs w:val="21"/>
                <w:highlight w:val="none"/>
                <w:lang w:val="en-US" w:eastAsia="zh-CN" w:bidi="ar-SA"/>
              </w:rPr>
            </w:pPr>
            <w:r>
              <w:rPr>
                <w:rFonts w:hint="eastAsia" w:hAnsi="宋体"/>
                <w:color w:val="auto"/>
                <w:highlight w:val="none"/>
                <w:u w:val="none"/>
                <w:lang w:eastAsia="zh-CN"/>
              </w:rPr>
              <w:t>详见</w:t>
            </w:r>
            <w:r>
              <w:rPr>
                <w:rFonts w:hint="eastAsia" w:hAnsi="宋体"/>
                <w:color w:val="auto"/>
                <w:highlight w:val="none"/>
                <w:u w:val="none"/>
                <w:lang w:val="en-US" w:eastAsia="zh-CN"/>
              </w:rPr>
              <w:t>招标</w:t>
            </w:r>
            <w:r>
              <w:rPr>
                <w:rFonts w:hint="eastAsia" w:hAnsi="宋体"/>
                <w:color w:val="auto"/>
                <w:highlight w:val="none"/>
                <w:u w:val="none"/>
                <w:lang w:eastAsia="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tabs>
                <w:tab w:val="left" w:pos="2127"/>
              </w:tabs>
              <w:spacing w:line="360" w:lineRule="auto"/>
              <w:jc w:val="center"/>
              <w:rPr>
                <w:rFonts w:hint="eastAsia" w:hAnsi="宋体" w:cs="仿宋_GB2312"/>
                <w:color w:val="auto"/>
                <w:kern w:val="0"/>
                <w:szCs w:val="21"/>
                <w:highlight w:val="none"/>
              </w:rPr>
            </w:pPr>
            <w:r>
              <w:rPr>
                <w:rFonts w:hint="eastAsia" w:hAnsi="宋体" w:cs="仿宋_GB2312"/>
                <w:color w:val="auto"/>
                <w:kern w:val="0"/>
                <w:szCs w:val="21"/>
                <w:highlight w:val="none"/>
                <w:lang w:val="en-US" w:eastAsia="zh-CN"/>
              </w:rPr>
              <w:t>结算方式</w:t>
            </w:r>
          </w:p>
        </w:tc>
        <w:tc>
          <w:tcPr>
            <w:tcW w:w="7020" w:type="dxa"/>
            <w:vAlign w:val="center"/>
          </w:tcPr>
          <w:p>
            <w:pPr>
              <w:pStyle w:val="22"/>
              <w:tabs>
                <w:tab w:val="left" w:pos="2127"/>
              </w:tabs>
              <w:spacing w:line="360" w:lineRule="auto"/>
              <w:rPr>
                <w:rFonts w:hint="default" w:hAnsi="宋体" w:eastAsia="宋体"/>
                <w:bCs/>
                <w:color w:val="auto"/>
                <w:szCs w:val="21"/>
                <w:highlight w:val="none"/>
                <w:lang w:val="en-US" w:eastAsia="zh-CN"/>
              </w:rPr>
            </w:pPr>
            <w:r>
              <w:rPr>
                <w:rFonts w:hint="default" w:hAnsi="宋体" w:eastAsia="宋体"/>
                <w:bCs/>
                <w:color w:val="auto"/>
                <w:szCs w:val="21"/>
                <w:highlight w:val="none"/>
                <w:lang w:val="en-US" w:eastAsia="zh-CN"/>
              </w:rPr>
              <w:t>招标施工图纸范围内采用总价包干。施工过程中产生的设计变更、业主委托变更、签证部分以第三方审定的价格作为审定结算价（详见施工合同结算方式）。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tabs>
                <w:tab w:val="left" w:pos="2127"/>
              </w:tabs>
              <w:spacing w:line="360" w:lineRule="auto"/>
              <w:jc w:val="center"/>
              <w:rPr>
                <w:rFonts w:hAnsi="宋体"/>
                <w:color w:val="auto"/>
                <w:highlight w:val="none"/>
              </w:rPr>
            </w:pPr>
            <w:r>
              <w:rPr>
                <w:rFonts w:hint="eastAsia" w:hAnsi="宋体" w:cs="仿宋_GB2312"/>
                <w:color w:val="auto"/>
                <w:kern w:val="0"/>
                <w:szCs w:val="21"/>
                <w:highlight w:val="none"/>
              </w:rPr>
              <w:t>是否接受联合体投标</w:t>
            </w:r>
          </w:p>
        </w:tc>
        <w:tc>
          <w:tcPr>
            <w:tcW w:w="7020" w:type="dxa"/>
            <w:vAlign w:val="center"/>
          </w:tcPr>
          <w:p>
            <w:pPr>
              <w:spacing w:before="50" w:line="222" w:lineRule="auto"/>
              <w:rPr>
                <w:rFonts w:ascii="宋体" w:hAnsi="宋体" w:eastAsia="宋体" w:cs="宋体"/>
                <w:color w:val="auto"/>
                <w:sz w:val="21"/>
                <w:szCs w:val="21"/>
                <w:highlight w:val="none"/>
              </w:rPr>
            </w:pPr>
            <w:r>
              <w:rPr>
                <w:rFonts w:ascii="黑体" w:hAnsi="黑体" w:eastAsia="黑体" w:cs="黑体"/>
                <w:color w:val="auto"/>
                <w:spacing w:val="-6"/>
                <w:sz w:val="21"/>
                <w:szCs w:val="21"/>
                <w:highlight w:val="none"/>
              </w:rPr>
              <w:t>■</w:t>
            </w:r>
            <w:r>
              <w:rPr>
                <w:rFonts w:ascii="宋体" w:hAnsi="宋体" w:eastAsia="宋体" w:cs="宋体"/>
                <w:color w:val="auto"/>
                <w:spacing w:val="-3"/>
                <w:sz w:val="21"/>
                <w:szCs w:val="21"/>
                <w:highlight w:val="none"/>
              </w:rPr>
              <w:t>不接受</w:t>
            </w:r>
          </w:p>
          <w:p>
            <w:pPr>
              <w:pStyle w:val="22"/>
              <w:tabs>
                <w:tab w:val="left" w:pos="2127"/>
              </w:tabs>
              <w:spacing w:line="360" w:lineRule="auto"/>
              <w:rPr>
                <w:rFonts w:hAnsi="宋体"/>
                <w:bCs/>
                <w:color w:val="auto"/>
                <w:highlight w:val="none"/>
              </w:rPr>
            </w:pPr>
            <w:r>
              <w:rPr>
                <w:rFonts w:ascii="宋体" w:hAnsi="宋体" w:eastAsia="宋体" w:cs="宋体"/>
                <w:color w:val="auto"/>
                <w:spacing w:val="-4"/>
                <w:sz w:val="21"/>
                <w:szCs w:val="21"/>
                <w:highlight w:val="none"/>
              </w:rPr>
              <w:t>□</w:t>
            </w:r>
            <w:r>
              <w:rPr>
                <w:rFonts w:ascii="宋体" w:hAnsi="宋体" w:eastAsia="宋体" w:cs="宋体"/>
                <w:color w:val="auto"/>
                <w:spacing w:val="-2"/>
                <w:sz w:val="21"/>
                <w:szCs w:val="21"/>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tabs>
                <w:tab w:val="left" w:pos="2127"/>
              </w:tabs>
              <w:spacing w:line="360" w:lineRule="auto"/>
              <w:jc w:val="center"/>
              <w:rPr>
                <w:rFonts w:hAnsi="宋体"/>
                <w:color w:val="auto"/>
                <w:szCs w:val="21"/>
                <w:highlight w:val="none"/>
              </w:rPr>
            </w:pPr>
            <w:r>
              <w:rPr>
                <w:rFonts w:ascii="宋体" w:hAnsi="宋体" w:eastAsia="宋体" w:cs="宋体"/>
                <w:color w:val="auto"/>
                <w:spacing w:val="-2"/>
                <w:sz w:val="21"/>
                <w:szCs w:val="21"/>
                <w:highlight w:val="none"/>
              </w:rPr>
              <w:t>踏勘</w:t>
            </w:r>
            <w:r>
              <w:rPr>
                <w:rFonts w:ascii="宋体" w:hAnsi="宋体" w:eastAsia="宋体" w:cs="宋体"/>
                <w:color w:val="auto"/>
                <w:spacing w:val="-1"/>
                <w:sz w:val="21"/>
                <w:szCs w:val="21"/>
                <w:highlight w:val="none"/>
              </w:rPr>
              <w:t>现场</w:t>
            </w:r>
          </w:p>
        </w:tc>
        <w:tc>
          <w:tcPr>
            <w:tcW w:w="7020" w:type="dxa"/>
            <w:vAlign w:val="center"/>
          </w:tcPr>
          <w:p>
            <w:pPr>
              <w:spacing w:before="59" w:line="223" w:lineRule="auto"/>
              <w:rPr>
                <w:rFonts w:ascii="宋体" w:hAnsi="宋体" w:eastAsia="宋体" w:cs="宋体"/>
                <w:color w:val="auto"/>
                <w:sz w:val="21"/>
                <w:szCs w:val="21"/>
                <w:highlight w:val="none"/>
              </w:rPr>
            </w:pPr>
            <w:r>
              <w:rPr>
                <w:rFonts w:ascii="黑体" w:hAnsi="黑体" w:eastAsia="黑体" w:cs="黑体"/>
                <w:color w:val="auto"/>
                <w:spacing w:val="-6"/>
                <w:sz w:val="21"/>
                <w:szCs w:val="21"/>
                <w:highlight w:val="none"/>
              </w:rPr>
              <w:t>■</w:t>
            </w:r>
            <w:r>
              <w:rPr>
                <w:rFonts w:ascii="宋体" w:hAnsi="宋体" w:eastAsia="宋体" w:cs="宋体"/>
                <w:color w:val="auto"/>
                <w:spacing w:val="-3"/>
                <w:sz w:val="21"/>
                <w:szCs w:val="21"/>
                <w:highlight w:val="none"/>
              </w:rPr>
              <w:t>不组织</w:t>
            </w:r>
          </w:p>
          <w:p>
            <w:pPr>
              <w:pStyle w:val="22"/>
              <w:tabs>
                <w:tab w:val="left" w:pos="2127"/>
              </w:tabs>
              <w:spacing w:line="360" w:lineRule="auto"/>
              <w:rPr>
                <w:rFonts w:hint="default" w:hAnsi="宋体"/>
                <w:color w:val="auto"/>
                <w:szCs w:val="21"/>
                <w:highlight w:val="none"/>
                <w:lang w:val="en-US" w:eastAsia="zh-CN"/>
              </w:rPr>
            </w:pPr>
            <w:r>
              <w:rPr>
                <w:rFonts w:ascii="宋体" w:hAnsi="宋体" w:eastAsia="宋体" w:cs="宋体"/>
                <w:color w:val="auto"/>
                <w:spacing w:val="-8"/>
                <w:sz w:val="21"/>
                <w:szCs w:val="21"/>
                <w:highlight w:val="none"/>
              </w:rPr>
              <w:t>□组织，</w:t>
            </w:r>
            <w:r>
              <w:rPr>
                <w:rFonts w:ascii="宋体" w:hAnsi="宋体" w:eastAsia="宋体" w:cs="宋体"/>
                <w:color w:val="auto"/>
                <w:spacing w:val="-4"/>
                <w:sz w:val="21"/>
                <w:szCs w:val="21"/>
                <w:highlight w:val="none"/>
              </w:rPr>
              <w:t>踏勘时间：</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踏</w:t>
            </w:r>
            <w:r>
              <w:rPr>
                <w:rFonts w:ascii="宋体" w:hAnsi="宋体" w:eastAsia="宋体" w:cs="宋体"/>
                <w:color w:val="auto"/>
                <w:spacing w:val="-4"/>
                <w:sz w:val="21"/>
                <w:szCs w:val="21"/>
                <w:highlight w:val="none"/>
              </w:rPr>
              <w:t>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tabs>
                <w:tab w:val="left" w:pos="2127"/>
              </w:tabs>
              <w:spacing w:line="360"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投标预</w:t>
            </w:r>
            <w:r>
              <w:rPr>
                <w:rFonts w:ascii="宋体" w:hAnsi="宋体" w:eastAsia="宋体" w:cs="宋体"/>
                <w:color w:val="auto"/>
                <w:spacing w:val="-1"/>
                <w:sz w:val="21"/>
                <w:szCs w:val="21"/>
                <w:highlight w:val="none"/>
              </w:rPr>
              <w:t>备会</w:t>
            </w:r>
          </w:p>
        </w:tc>
        <w:tc>
          <w:tcPr>
            <w:tcW w:w="7020" w:type="dxa"/>
            <w:vAlign w:val="center"/>
          </w:tcPr>
          <w:p>
            <w:pPr>
              <w:spacing w:before="62" w:line="222" w:lineRule="auto"/>
              <w:rPr>
                <w:rFonts w:ascii="宋体" w:hAnsi="宋体" w:eastAsia="宋体" w:cs="宋体"/>
                <w:color w:val="auto"/>
                <w:sz w:val="21"/>
                <w:szCs w:val="21"/>
                <w:highlight w:val="none"/>
              </w:rPr>
            </w:pPr>
            <w:r>
              <w:rPr>
                <w:rFonts w:ascii="黑体" w:hAnsi="黑体" w:eastAsia="黑体" w:cs="黑体"/>
                <w:color w:val="auto"/>
                <w:spacing w:val="-6"/>
                <w:sz w:val="21"/>
                <w:szCs w:val="21"/>
                <w:highlight w:val="none"/>
              </w:rPr>
              <w:t>■</w:t>
            </w:r>
            <w:r>
              <w:rPr>
                <w:rFonts w:ascii="宋体" w:hAnsi="宋体" w:eastAsia="宋体" w:cs="宋体"/>
                <w:color w:val="auto"/>
                <w:spacing w:val="-3"/>
                <w:sz w:val="21"/>
                <w:szCs w:val="21"/>
                <w:highlight w:val="none"/>
              </w:rPr>
              <w:t>不召开</w:t>
            </w:r>
          </w:p>
          <w:p>
            <w:pPr>
              <w:pStyle w:val="22"/>
              <w:tabs>
                <w:tab w:val="left" w:pos="2127"/>
              </w:tabs>
              <w:spacing w:line="360" w:lineRule="auto"/>
              <w:rPr>
                <w:rFonts w:ascii="宋体" w:hAnsi="宋体" w:eastAsia="宋体" w:cs="宋体"/>
                <w:color w:val="auto"/>
                <w:spacing w:val="-8"/>
                <w:sz w:val="21"/>
                <w:szCs w:val="21"/>
                <w:highlight w:val="none"/>
              </w:rPr>
            </w:pPr>
            <w:r>
              <w:rPr>
                <w:rFonts w:ascii="宋体" w:hAnsi="宋体" w:eastAsia="宋体" w:cs="宋体"/>
                <w:color w:val="auto"/>
                <w:spacing w:val="-8"/>
                <w:sz w:val="21"/>
                <w:szCs w:val="21"/>
                <w:highlight w:val="none"/>
              </w:rPr>
              <w:t>□召开，</w:t>
            </w:r>
            <w:r>
              <w:rPr>
                <w:rFonts w:ascii="宋体" w:hAnsi="宋体" w:eastAsia="宋体" w:cs="宋体"/>
                <w:color w:val="auto"/>
                <w:spacing w:val="-4"/>
                <w:sz w:val="21"/>
                <w:szCs w:val="21"/>
                <w:highlight w:val="none"/>
              </w:rPr>
              <w:t>召开时间：</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z w:val="21"/>
                <w:szCs w:val="21"/>
                <w:highlight w:val="none"/>
              </w:rPr>
              <w:t xml:space="preserve"> </w:t>
            </w:r>
            <w:r>
              <w:rPr>
                <w:rFonts w:ascii="宋体" w:hAnsi="宋体" w:eastAsia="宋体" w:cs="宋体"/>
                <w:color w:val="auto"/>
                <w:spacing w:val="-10"/>
                <w:sz w:val="21"/>
                <w:szCs w:val="21"/>
                <w:highlight w:val="none"/>
              </w:rPr>
              <w:t>召</w:t>
            </w:r>
            <w:r>
              <w:rPr>
                <w:rFonts w:ascii="宋体" w:hAnsi="宋体" w:eastAsia="宋体" w:cs="宋体"/>
                <w:color w:val="auto"/>
                <w:spacing w:val="-7"/>
                <w:sz w:val="21"/>
                <w:szCs w:val="21"/>
                <w:highlight w:val="none"/>
              </w:rPr>
              <w:t>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tabs>
                <w:tab w:val="left" w:pos="2127"/>
              </w:tabs>
              <w:spacing w:line="360" w:lineRule="auto"/>
              <w:jc w:val="center"/>
              <w:rPr>
                <w:rFonts w:hint="eastAsia" w:hAnsi="宋体" w:cs="仿宋_GB2312"/>
                <w:color w:val="auto"/>
                <w:kern w:val="0"/>
                <w:szCs w:val="21"/>
                <w:highlight w:val="none"/>
              </w:rPr>
            </w:pPr>
            <w:r>
              <w:rPr>
                <w:rFonts w:hint="eastAsia" w:hAnsi="宋体" w:cs="仿宋_GB2312"/>
                <w:color w:val="auto"/>
                <w:kern w:val="0"/>
                <w:szCs w:val="21"/>
                <w:highlight w:val="none"/>
              </w:rPr>
              <w:t>构成招标文件的其他材料</w:t>
            </w:r>
          </w:p>
        </w:tc>
        <w:tc>
          <w:tcPr>
            <w:tcW w:w="7020" w:type="dxa"/>
            <w:vAlign w:val="center"/>
          </w:tcPr>
          <w:p>
            <w:pPr>
              <w:pStyle w:val="22"/>
              <w:tabs>
                <w:tab w:val="left" w:pos="2127"/>
              </w:tabs>
              <w:spacing w:line="360" w:lineRule="auto"/>
              <w:rPr>
                <w:rFonts w:hint="eastAsia" w:hAnsi="宋体"/>
                <w:color w:val="auto"/>
                <w:szCs w:val="21"/>
                <w:highlight w:val="none"/>
              </w:rPr>
            </w:pPr>
            <w:r>
              <w:rPr>
                <w:rFonts w:hint="eastAsia" w:hAnsi="宋体"/>
                <w:bCs/>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tabs>
                <w:tab w:val="left" w:pos="2127"/>
              </w:tabs>
              <w:spacing w:line="360" w:lineRule="auto"/>
              <w:jc w:val="center"/>
              <w:rPr>
                <w:rFonts w:hAnsi="宋体"/>
                <w:color w:val="auto"/>
                <w:szCs w:val="21"/>
                <w:highlight w:val="none"/>
              </w:rPr>
            </w:pPr>
            <w:r>
              <w:rPr>
                <w:rFonts w:hint="eastAsia" w:hAnsi="宋体" w:cs="仿宋_GB2312"/>
                <w:color w:val="auto"/>
                <w:kern w:val="0"/>
                <w:szCs w:val="21"/>
                <w:highlight w:val="none"/>
              </w:rPr>
              <w:t>投标人提出问题的截止时间</w:t>
            </w:r>
          </w:p>
        </w:tc>
        <w:tc>
          <w:tcPr>
            <w:tcW w:w="7020" w:type="dxa"/>
            <w:vAlign w:val="center"/>
          </w:tcPr>
          <w:p>
            <w:pPr>
              <w:pStyle w:val="22"/>
              <w:tabs>
                <w:tab w:val="left" w:pos="2127"/>
              </w:tabs>
              <w:spacing w:line="360" w:lineRule="auto"/>
              <w:rPr>
                <w:rFonts w:hint="eastAsia" w:hAnsi="宋体"/>
                <w:color w:val="auto"/>
                <w:szCs w:val="21"/>
                <w:highlight w:val="none"/>
              </w:rPr>
            </w:pPr>
            <w:r>
              <w:rPr>
                <w:rFonts w:hint="eastAsia" w:hAnsi="宋体"/>
                <w:color w:val="auto"/>
                <w:szCs w:val="21"/>
                <w:highlight w:val="none"/>
              </w:rPr>
              <w:t>1、方式：网上提问。</w:t>
            </w:r>
          </w:p>
          <w:p>
            <w:pPr>
              <w:pStyle w:val="22"/>
              <w:tabs>
                <w:tab w:val="left" w:pos="2127"/>
              </w:tabs>
              <w:spacing w:line="360" w:lineRule="auto"/>
              <w:rPr>
                <w:rFonts w:hint="eastAsia" w:hAnsi="宋体"/>
                <w:color w:val="auto"/>
                <w:szCs w:val="21"/>
                <w:highlight w:val="none"/>
              </w:rPr>
            </w:pPr>
            <w:r>
              <w:rPr>
                <w:rFonts w:hint="eastAsia" w:hAnsi="宋体"/>
                <w:color w:val="auto"/>
                <w:szCs w:val="21"/>
                <w:highlight w:val="none"/>
              </w:rPr>
              <w:t>投标人若对招标文件有疑问的，可在规定的时间内通过广州公共资源交易中心网站凭密码进入提问区域将问题提交给招标人或招标代理人，提交问题时一律不得署名。(网上答疑的操作指南为：登陆广州公共资源交易中心网站 →业务系统登入 →招标答疑提问→通过项目编号或名称找到所需的项目→在答疑时间内点击“答疑提问”，详见广州公共资源交易中心网站发布的最新版操作指引。)</w:t>
            </w:r>
          </w:p>
          <w:p>
            <w:pPr>
              <w:pStyle w:val="22"/>
              <w:numPr>
                <w:ilvl w:val="0"/>
                <w:numId w:val="7"/>
              </w:numPr>
              <w:tabs>
                <w:tab w:val="left" w:pos="2127"/>
              </w:tabs>
              <w:spacing w:line="360" w:lineRule="auto"/>
              <w:rPr>
                <w:rFonts w:hint="eastAsia" w:hAnsi="宋体"/>
                <w:color w:val="auto"/>
                <w:szCs w:val="21"/>
                <w:highlight w:val="none"/>
              </w:rPr>
            </w:pPr>
            <w:r>
              <w:rPr>
                <w:rFonts w:hint="eastAsia" w:hAnsi="宋体"/>
                <w:color w:val="auto"/>
                <w:szCs w:val="21"/>
                <w:highlight w:val="none"/>
              </w:rPr>
              <w:t>投标人提出问题的截止时间：2023年</w:t>
            </w:r>
            <w:r>
              <w:rPr>
                <w:rFonts w:hint="eastAsia" w:hAnsi="宋体"/>
                <w:color w:val="auto"/>
                <w:szCs w:val="21"/>
                <w:highlight w:val="none"/>
                <w:lang w:val="en-US" w:eastAsia="zh-CN"/>
              </w:rPr>
              <w:t xml:space="preserve">  </w:t>
            </w:r>
            <w:r>
              <w:rPr>
                <w:rFonts w:hint="eastAsia" w:hAnsi="宋体"/>
                <w:color w:val="auto"/>
                <w:szCs w:val="21"/>
                <w:highlight w:val="none"/>
              </w:rPr>
              <w:t>月</w:t>
            </w:r>
            <w:r>
              <w:rPr>
                <w:rFonts w:hint="eastAsia" w:hAnsi="宋体"/>
                <w:color w:val="auto"/>
                <w:szCs w:val="21"/>
                <w:highlight w:val="none"/>
                <w:lang w:val="en-US" w:eastAsia="zh-CN"/>
              </w:rPr>
              <w:t xml:space="preserve">  </w:t>
            </w:r>
            <w:r>
              <w:rPr>
                <w:rFonts w:hint="eastAsia" w:hAnsi="宋体"/>
                <w:color w:val="auto"/>
                <w:szCs w:val="21"/>
                <w:highlight w:val="none"/>
              </w:rPr>
              <w:t>日</w:t>
            </w:r>
            <w:r>
              <w:rPr>
                <w:rFonts w:hint="eastAsia" w:hAnsi="宋体"/>
                <w:color w:val="auto"/>
                <w:szCs w:val="21"/>
                <w:highlight w:val="none"/>
                <w:lang w:val="en-US" w:eastAsia="zh-CN"/>
              </w:rPr>
              <w:t xml:space="preserve">  </w:t>
            </w:r>
            <w:r>
              <w:rPr>
                <w:rFonts w:hint="eastAsia" w:hAnsi="宋体"/>
                <w:color w:val="auto"/>
                <w:szCs w:val="21"/>
                <w:highlight w:val="none"/>
              </w:rPr>
              <w:t>时</w:t>
            </w:r>
            <w:r>
              <w:rPr>
                <w:rFonts w:hint="eastAsia" w:hAnsi="宋体"/>
                <w:color w:val="auto"/>
                <w:szCs w:val="21"/>
                <w:highlight w:val="none"/>
                <w:lang w:val="en-US" w:eastAsia="zh-CN"/>
              </w:rPr>
              <w:t xml:space="preserve">  </w:t>
            </w:r>
            <w:r>
              <w:rPr>
                <w:rFonts w:hint="eastAsia" w:hAnsi="宋体"/>
                <w:color w:val="auto"/>
                <w:szCs w:val="21"/>
                <w:highlight w:val="none"/>
              </w:rPr>
              <w:t>分前。</w:t>
            </w:r>
          </w:p>
          <w:p>
            <w:pPr>
              <w:pStyle w:val="22"/>
              <w:numPr>
                <w:ilvl w:val="0"/>
                <w:numId w:val="0"/>
              </w:numPr>
              <w:tabs>
                <w:tab w:val="left" w:pos="2127"/>
              </w:tabs>
              <w:spacing w:line="360" w:lineRule="auto"/>
              <w:rPr>
                <w:rFonts w:hAnsi="宋体"/>
                <w:color w:val="auto"/>
                <w:szCs w:val="21"/>
                <w:highlight w:val="none"/>
              </w:rPr>
            </w:pPr>
            <w:r>
              <w:rPr>
                <w:rFonts w:hint="eastAsia" w:hAnsi="宋体"/>
                <w:color w:val="auto"/>
                <w:szCs w:val="21"/>
                <w:highlight w:val="none"/>
              </w:rPr>
              <w:t>3、招标答疑纪要为招标文件的一部分。投标人可在广州公共资源交易中心网站浏览、下载招标答疑纪要。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tabs>
                <w:tab w:val="left" w:pos="2127"/>
              </w:tabs>
              <w:spacing w:line="360" w:lineRule="auto"/>
              <w:jc w:val="center"/>
              <w:rPr>
                <w:rFonts w:hint="eastAsia" w:hAnsi="宋体" w:cs="仿宋_GB2312"/>
                <w:color w:val="auto"/>
                <w:kern w:val="0"/>
                <w:szCs w:val="21"/>
                <w:highlight w:val="none"/>
              </w:rPr>
            </w:pPr>
            <w:r>
              <w:rPr>
                <w:rFonts w:hint="eastAsia" w:hAnsi="宋体" w:cs="仿宋_GB2312"/>
                <w:color w:val="auto"/>
                <w:kern w:val="0"/>
                <w:szCs w:val="21"/>
                <w:highlight w:val="none"/>
              </w:rPr>
              <w:t>招标人澄清的时间</w:t>
            </w:r>
          </w:p>
        </w:tc>
        <w:tc>
          <w:tcPr>
            <w:tcW w:w="7020" w:type="dxa"/>
            <w:vAlign w:val="center"/>
          </w:tcPr>
          <w:p>
            <w:pPr>
              <w:pStyle w:val="22"/>
              <w:tabs>
                <w:tab w:val="left" w:pos="2127"/>
              </w:tabs>
              <w:spacing w:line="360" w:lineRule="auto"/>
              <w:rPr>
                <w:rFonts w:hint="eastAsia" w:hAnsi="宋体"/>
                <w:color w:val="auto"/>
                <w:szCs w:val="21"/>
                <w:highlight w:val="none"/>
              </w:rPr>
            </w:pPr>
            <w:r>
              <w:rPr>
                <w:rFonts w:hint="eastAsia" w:hAnsi="宋体"/>
                <w:color w:val="auto"/>
                <w:szCs w:val="21"/>
                <w:highlight w:val="none"/>
              </w:rPr>
              <w:t>在投标截止时间15日前，在广州公共资源交易中心网站“招标答疑”专区发布。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tabs>
                <w:tab w:val="left" w:pos="2127"/>
              </w:tabs>
              <w:spacing w:line="360" w:lineRule="auto"/>
              <w:jc w:val="center"/>
              <w:rPr>
                <w:rFonts w:hint="eastAsia" w:hAnsi="宋体" w:cs="仿宋_GB2312"/>
                <w:color w:val="auto"/>
                <w:kern w:val="0"/>
                <w:szCs w:val="21"/>
                <w:highlight w:val="none"/>
              </w:rPr>
            </w:pPr>
            <w:r>
              <w:rPr>
                <w:rFonts w:hint="eastAsia" w:hAnsi="宋体" w:cs="仿宋_GB2312"/>
                <w:color w:val="auto"/>
                <w:kern w:val="0"/>
                <w:szCs w:val="21"/>
                <w:highlight w:val="none"/>
              </w:rPr>
              <w:t>投标人确认收到招标文件澄清</w:t>
            </w:r>
          </w:p>
        </w:tc>
        <w:tc>
          <w:tcPr>
            <w:tcW w:w="7020" w:type="dxa"/>
            <w:vAlign w:val="center"/>
          </w:tcPr>
          <w:p>
            <w:pPr>
              <w:pStyle w:val="22"/>
              <w:tabs>
                <w:tab w:val="left" w:pos="2127"/>
              </w:tabs>
              <w:spacing w:line="360" w:lineRule="auto"/>
              <w:rPr>
                <w:rFonts w:hint="eastAsia" w:hAnsi="宋体"/>
                <w:color w:val="auto"/>
                <w:szCs w:val="21"/>
                <w:highlight w:val="none"/>
              </w:rPr>
            </w:pPr>
            <w:r>
              <w:rPr>
                <w:rFonts w:hint="eastAsia" w:hAnsi="宋体"/>
                <w:color w:val="auto"/>
                <w:szCs w:val="21"/>
                <w:highlight w:val="none"/>
              </w:rPr>
              <w:t>招标文件澄清(招标答疑纪要)一经在广州公共资源交易中心网站发布,视作已发放给所有投标人。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tabs>
                <w:tab w:val="left" w:pos="2127"/>
              </w:tabs>
              <w:spacing w:line="360" w:lineRule="auto"/>
              <w:jc w:val="center"/>
              <w:rPr>
                <w:rFonts w:hAnsi="宋体"/>
                <w:color w:val="auto"/>
                <w:szCs w:val="21"/>
                <w:highlight w:val="none"/>
              </w:rPr>
            </w:pPr>
            <w:r>
              <w:rPr>
                <w:rFonts w:hint="eastAsia" w:hAnsi="宋体"/>
                <w:color w:val="auto"/>
                <w:szCs w:val="21"/>
                <w:highlight w:val="none"/>
              </w:rPr>
              <w:t>招标文件修改发出的形式</w:t>
            </w:r>
          </w:p>
        </w:tc>
        <w:tc>
          <w:tcPr>
            <w:tcW w:w="7020" w:type="dxa"/>
            <w:vAlign w:val="center"/>
          </w:tcPr>
          <w:p>
            <w:pPr>
              <w:pStyle w:val="22"/>
              <w:tabs>
                <w:tab w:val="left" w:pos="2127"/>
              </w:tabs>
              <w:spacing w:line="360" w:lineRule="auto"/>
              <w:rPr>
                <w:rFonts w:hint="default" w:hAnsi="宋体" w:eastAsia="宋体"/>
                <w:color w:val="auto"/>
                <w:szCs w:val="21"/>
                <w:highlight w:val="none"/>
                <w:lang w:val="en-US" w:eastAsia="zh-CN"/>
              </w:rPr>
            </w:pPr>
            <w:r>
              <w:rPr>
                <w:rFonts w:hint="default" w:hAnsi="宋体" w:eastAsia="宋体"/>
                <w:color w:val="auto"/>
                <w:szCs w:val="21"/>
                <w:highlight w:val="none"/>
                <w:lang w:val="en-US" w:eastAsia="zh-CN"/>
              </w:rPr>
              <w:t>以补充公告或项目答疑澄清的方式在广州公共资源交易中心网站发布。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tabs>
                <w:tab w:val="left" w:pos="2127"/>
              </w:tabs>
              <w:spacing w:line="360" w:lineRule="auto"/>
              <w:jc w:val="center"/>
              <w:rPr>
                <w:rFonts w:hint="eastAsia" w:hAnsi="宋体"/>
                <w:color w:val="auto"/>
                <w:szCs w:val="21"/>
                <w:highlight w:val="none"/>
              </w:rPr>
            </w:pPr>
            <w:r>
              <w:rPr>
                <w:rFonts w:hint="eastAsia" w:hAnsi="宋体"/>
                <w:color w:val="auto"/>
                <w:szCs w:val="21"/>
                <w:highlight w:val="none"/>
              </w:rPr>
              <w:t>投标人确认收到招标文件修改</w:t>
            </w:r>
          </w:p>
        </w:tc>
        <w:tc>
          <w:tcPr>
            <w:tcW w:w="7020" w:type="dxa"/>
            <w:vAlign w:val="center"/>
          </w:tcPr>
          <w:p>
            <w:pPr>
              <w:pStyle w:val="22"/>
              <w:tabs>
                <w:tab w:val="left" w:pos="2127"/>
              </w:tabs>
              <w:spacing w:line="360" w:lineRule="auto"/>
              <w:rPr>
                <w:rFonts w:hint="eastAsia" w:hAnsi="宋体"/>
                <w:bCs/>
                <w:color w:val="auto"/>
                <w:highlight w:val="none"/>
              </w:rPr>
            </w:pPr>
            <w:r>
              <w:rPr>
                <w:rFonts w:hint="eastAsia" w:hAnsi="宋体"/>
                <w:bCs/>
                <w:color w:val="auto"/>
                <w:highlight w:val="none"/>
              </w:rPr>
              <w:t>招标文件修改一经在广州公共资源交易中心网站发布,视作已发放给所有投标人，无需确认。潜在投标人应自行关注招标公告发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tabs>
                <w:tab w:val="left" w:pos="2127"/>
              </w:tabs>
              <w:spacing w:line="360" w:lineRule="auto"/>
              <w:jc w:val="center"/>
              <w:rPr>
                <w:rFonts w:hAnsi="宋体" w:cs="仿宋_GB2312"/>
                <w:color w:val="auto"/>
                <w:kern w:val="0"/>
                <w:szCs w:val="21"/>
                <w:highlight w:val="none"/>
              </w:rPr>
            </w:pPr>
            <w:r>
              <w:rPr>
                <w:rFonts w:hint="eastAsia" w:hAnsi="宋体" w:cs="仿宋_GB2312"/>
                <w:color w:val="auto"/>
                <w:kern w:val="0"/>
                <w:szCs w:val="21"/>
                <w:highlight w:val="none"/>
              </w:rPr>
              <w:t>投标保证金</w:t>
            </w:r>
          </w:p>
        </w:tc>
        <w:tc>
          <w:tcPr>
            <w:tcW w:w="7020" w:type="dxa"/>
            <w:vAlign w:val="center"/>
          </w:tcPr>
          <w:p>
            <w:pPr>
              <w:numPr>
                <w:ilvl w:val="0"/>
                <w:numId w:val="0"/>
              </w:numPr>
              <w:tabs>
                <w:tab w:val="left" w:pos="360"/>
              </w:tabs>
              <w:spacing w:line="360" w:lineRule="auto"/>
              <w:rPr>
                <w:rFonts w:hint="eastAsia"/>
                <w:color w:val="auto"/>
                <w:highlight w:val="none"/>
              </w:rPr>
            </w:pPr>
            <w:r>
              <w:rPr>
                <w:rFonts w:hint="eastAsia"/>
                <w:color w:val="auto"/>
                <w:highlight w:val="none"/>
                <w:lang w:val="en-US" w:eastAsia="zh-CN"/>
              </w:rPr>
              <w:t>1.</w:t>
            </w:r>
            <w:r>
              <w:rPr>
                <w:rFonts w:hint="eastAsia"/>
                <w:color w:val="auto"/>
                <w:highlight w:val="none"/>
              </w:rPr>
              <w:t>投标保证金的金额</w:t>
            </w:r>
            <w:r>
              <w:rPr>
                <w:rFonts w:hint="eastAsia"/>
                <w:color w:val="auto"/>
                <w:highlight w:val="none"/>
                <w:u w:val="single"/>
              </w:rPr>
              <w:t>人民币</w:t>
            </w:r>
            <w:r>
              <w:rPr>
                <w:rFonts w:hint="eastAsia"/>
                <w:color w:val="auto"/>
                <w:highlight w:val="none"/>
                <w:u w:val="single"/>
                <w:lang w:val="en-US" w:eastAsia="zh-CN"/>
              </w:rPr>
              <w:t>30</w:t>
            </w:r>
            <w:r>
              <w:rPr>
                <w:rFonts w:hint="eastAsia"/>
                <w:color w:val="auto"/>
                <w:highlight w:val="none"/>
                <w:u w:val="single"/>
              </w:rPr>
              <w:t>万元</w:t>
            </w:r>
            <w:r>
              <w:rPr>
                <w:rFonts w:hint="eastAsia"/>
                <w:color w:val="auto"/>
                <w:highlight w:val="none"/>
              </w:rPr>
              <w:t>。</w:t>
            </w:r>
          </w:p>
          <w:p>
            <w:pPr>
              <w:numPr>
                <w:ilvl w:val="0"/>
                <w:numId w:val="0"/>
              </w:numPr>
              <w:tabs>
                <w:tab w:val="left" w:pos="360"/>
              </w:tabs>
              <w:spacing w:line="360" w:lineRule="auto"/>
              <w:rPr>
                <w:rFonts w:hint="eastAsia"/>
                <w:color w:val="auto"/>
                <w:highlight w:val="none"/>
              </w:rPr>
            </w:pPr>
            <w:r>
              <w:rPr>
                <w:rFonts w:hint="eastAsia"/>
                <w:color w:val="auto"/>
                <w:highlight w:val="none"/>
              </w:rPr>
              <w:t>2.投标保证金有效期：与投标有效期一致。</w:t>
            </w:r>
          </w:p>
          <w:p>
            <w:pPr>
              <w:numPr>
                <w:ilvl w:val="0"/>
                <w:numId w:val="0"/>
              </w:numPr>
              <w:tabs>
                <w:tab w:val="left" w:pos="360"/>
              </w:tabs>
              <w:spacing w:line="360" w:lineRule="auto"/>
              <w:rPr>
                <w:rFonts w:hint="eastAsia"/>
                <w:color w:val="auto"/>
                <w:highlight w:val="none"/>
              </w:rPr>
            </w:pPr>
            <w:r>
              <w:rPr>
                <w:rFonts w:hint="eastAsia"/>
                <w:color w:val="auto"/>
                <w:highlight w:val="none"/>
              </w:rPr>
              <w:t>3.投标保证金可采用转账、现金、支票、投标保函或保险的形式，须在递交投标文件截止时间前完成缴纳。</w:t>
            </w:r>
          </w:p>
          <w:p>
            <w:pPr>
              <w:numPr>
                <w:ilvl w:val="0"/>
                <w:numId w:val="0"/>
              </w:numPr>
              <w:tabs>
                <w:tab w:val="left" w:pos="360"/>
              </w:tabs>
              <w:spacing w:line="360" w:lineRule="auto"/>
              <w:rPr>
                <w:rFonts w:hint="eastAsia"/>
                <w:color w:val="auto"/>
                <w:highlight w:val="none"/>
              </w:rPr>
            </w:pPr>
            <w:r>
              <w:rPr>
                <w:rFonts w:hint="eastAsia"/>
                <w:color w:val="auto"/>
                <w:highlight w:val="none"/>
              </w:rPr>
              <w:t>4.如采用转账、现金、支票形式提交的，投标保证金须从投标人基本账户递交，由广州公共资源交易中心代收。具体操作要求详见广州公共资源交易中心有关指引，递交事宜请自行咨询交易中心；请各投标人在投标文件递交截止时间前按上述金额递交至广州公共资源交易中心，缴纳情况以广州公共资源交易中心查询为准。电汇(转账)方式缴纳情况以广州公共资源交易中心数据库记录的信息为准。</w:t>
            </w:r>
          </w:p>
          <w:p>
            <w:pPr>
              <w:numPr>
                <w:ilvl w:val="0"/>
                <w:numId w:val="0"/>
              </w:numPr>
              <w:tabs>
                <w:tab w:val="left" w:pos="360"/>
              </w:tabs>
              <w:spacing w:line="360" w:lineRule="auto"/>
              <w:rPr>
                <w:rFonts w:hint="eastAsia" w:ascii="Times New Roman" w:hAnsi="Times New Roman" w:cs="Times New Roman"/>
                <w:color w:val="auto"/>
                <w:highlight w:val="none"/>
              </w:rPr>
            </w:pPr>
            <w:r>
              <w:rPr>
                <w:rFonts w:hint="eastAsia" w:ascii="Times New Roman" w:hAnsi="Times New Roman" w:cs="Times New Roman"/>
                <w:color w:val="auto"/>
                <w:highlight w:val="none"/>
              </w:rPr>
              <w:t>收款单位：广州交易集团有限公司</w:t>
            </w:r>
          </w:p>
          <w:p>
            <w:pPr>
              <w:numPr>
                <w:ilvl w:val="0"/>
                <w:numId w:val="0"/>
              </w:numPr>
              <w:tabs>
                <w:tab w:val="left" w:pos="360"/>
              </w:tabs>
              <w:spacing w:line="360" w:lineRule="auto"/>
              <w:rPr>
                <w:rFonts w:hint="eastAsia" w:ascii="Times New Roman" w:hAnsi="Times New Roman" w:cs="Times New Roman"/>
                <w:color w:val="auto"/>
                <w:highlight w:val="none"/>
              </w:rPr>
            </w:pPr>
            <w:r>
              <w:rPr>
                <w:rFonts w:hint="eastAsia" w:ascii="Times New Roman" w:hAnsi="Times New Roman" w:cs="Times New Roman"/>
                <w:color w:val="auto"/>
                <w:highlight w:val="none"/>
              </w:rPr>
              <w:t>开户银行：中国建设银行广州天润路支行</w:t>
            </w:r>
          </w:p>
          <w:p>
            <w:pPr>
              <w:numPr>
                <w:ilvl w:val="0"/>
                <w:numId w:val="0"/>
              </w:numPr>
              <w:tabs>
                <w:tab w:val="left" w:pos="360"/>
              </w:tabs>
              <w:spacing w:line="360" w:lineRule="auto"/>
              <w:rPr>
                <w:rFonts w:hint="eastAsia" w:ascii="Times New Roman" w:hAnsi="Times New Roman" w:cs="Times New Roman"/>
                <w:color w:val="auto"/>
                <w:highlight w:val="none"/>
              </w:rPr>
            </w:pPr>
            <w:r>
              <w:rPr>
                <w:rFonts w:hint="eastAsia" w:ascii="Times New Roman" w:hAnsi="Times New Roman" w:cs="Times New Roman"/>
                <w:color w:val="auto"/>
                <w:highlight w:val="none"/>
              </w:rPr>
              <w:t>银行账号： 44001583404059333333</w:t>
            </w:r>
          </w:p>
          <w:p>
            <w:pPr>
              <w:numPr>
                <w:ilvl w:val="0"/>
                <w:numId w:val="0"/>
              </w:numPr>
              <w:tabs>
                <w:tab w:val="left" w:pos="360"/>
              </w:tabs>
              <w:spacing w:line="360" w:lineRule="auto"/>
              <w:rPr>
                <w:rFonts w:hint="eastAsia" w:ascii="Times New Roman" w:hAnsi="Times New Roman" w:cs="Times New Roman"/>
                <w:color w:val="auto"/>
                <w:highlight w:val="none"/>
              </w:rPr>
            </w:pPr>
            <w:r>
              <w:rPr>
                <w:rFonts w:hint="eastAsia" w:ascii="Times New Roman" w:hAnsi="Times New Roman" w:cs="Times New Roman"/>
                <w:color w:val="auto"/>
                <w:highlight w:val="none"/>
              </w:rPr>
              <w:t>5.如采用保函或保证保险形式提交的,需开具给招标人。如采用非电子形式的投标保函或保证保险提交投标保证金的，投标人应在投标文件中提交投标保函或保证保险扫描件并加盖投标人公章或电子章。</w:t>
            </w:r>
          </w:p>
          <w:p>
            <w:pPr>
              <w:numPr>
                <w:ilvl w:val="0"/>
                <w:numId w:val="0"/>
              </w:numPr>
              <w:tabs>
                <w:tab w:val="left" w:pos="360"/>
              </w:tabs>
              <w:spacing w:line="360" w:lineRule="auto"/>
              <w:rPr>
                <w:rFonts w:hint="eastAsia" w:ascii="Times New Roman" w:hAnsi="Times New Roman" w:cs="Times New Roman"/>
                <w:color w:val="auto"/>
                <w:highlight w:val="none"/>
              </w:rPr>
            </w:pPr>
            <w:r>
              <w:rPr>
                <w:rFonts w:hint="eastAsia" w:ascii="Times New Roman" w:hAnsi="Times New Roman" w:cs="Times New Roman"/>
                <w:color w:val="auto"/>
                <w:highlight w:val="none"/>
              </w:rPr>
              <w:t>5.1  投标保证金采用保函或保证保险方式递交的，保函或保证保险有效期应与投标有效期一致。需注明项目名称，并按照</w:t>
            </w:r>
            <w:r>
              <w:rPr>
                <w:rFonts w:hint="eastAsia" w:ascii="Times New Roman" w:hAnsi="Times New Roman" w:cs="Times New Roman"/>
                <w:color w:val="auto"/>
                <w:highlight w:val="none"/>
                <w:lang w:val="en-US" w:eastAsia="zh-CN"/>
              </w:rPr>
              <w:t>项目</w:t>
            </w:r>
            <w:r>
              <w:rPr>
                <w:rFonts w:hint="eastAsia" w:ascii="Times New Roman" w:hAnsi="Times New Roman" w:cs="Times New Roman"/>
                <w:color w:val="auto"/>
                <w:highlight w:val="none"/>
              </w:rPr>
              <w:t>开具提交。</w:t>
            </w:r>
          </w:p>
          <w:p>
            <w:pPr>
              <w:numPr>
                <w:ilvl w:val="0"/>
                <w:numId w:val="0"/>
              </w:numPr>
              <w:tabs>
                <w:tab w:val="left" w:pos="360"/>
              </w:tabs>
              <w:spacing w:line="360" w:lineRule="auto"/>
              <w:rPr>
                <w:rFonts w:hint="eastAsia" w:ascii="Times New Roman" w:hAnsi="Times New Roman" w:cs="Times New Roman"/>
                <w:color w:val="auto"/>
                <w:highlight w:val="none"/>
              </w:rPr>
            </w:pPr>
            <w:r>
              <w:rPr>
                <w:rFonts w:hint="eastAsia" w:ascii="Times New Roman" w:hAnsi="Times New Roman" w:cs="Times New Roman"/>
                <w:color w:val="auto"/>
                <w:highlight w:val="none"/>
              </w:rPr>
              <w:t>5.2  若采用非电子形式保函或保证保险的，保函或保证保险原件在投标截止时间前单独递交至招标代理。</w:t>
            </w:r>
          </w:p>
          <w:p>
            <w:pPr>
              <w:numPr>
                <w:ilvl w:val="0"/>
                <w:numId w:val="0"/>
              </w:numPr>
              <w:tabs>
                <w:tab w:val="left" w:pos="360"/>
              </w:tabs>
              <w:spacing w:line="360" w:lineRule="auto"/>
              <w:rPr>
                <w:rFonts w:hint="eastAsia" w:ascii="Times New Roman" w:hAnsi="Times New Roman" w:cs="Times New Roman"/>
                <w:color w:val="auto"/>
                <w:highlight w:val="none"/>
              </w:rPr>
            </w:pPr>
            <w:r>
              <w:rPr>
                <w:rFonts w:hint="eastAsia" w:ascii="Times New Roman" w:hAnsi="Times New Roman" w:cs="Times New Roman"/>
                <w:color w:val="auto"/>
                <w:highlight w:val="none"/>
              </w:rPr>
              <w:t>5.2.1.现场递交方式：</w:t>
            </w:r>
          </w:p>
          <w:p>
            <w:pPr>
              <w:numPr>
                <w:ilvl w:val="0"/>
                <w:numId w:val="0"/>
              </w:numPr>
              <w:tabs>
                <w:tab w:val="left" w:pos="360"/>
              </w:tabs>
              <w:spacing w:line="360" w:lineRule="auto"/>
              <w:rPr>
                <w:rFonts w:hint="eastAsia" w:ascii="Times New Roman" w:hAnsi="Times New Roman" w:cs="Times New Roman"/>
                <w:color w:val="auto"/>
                <w:highlight w:val="none"/>
              </w:rPr>
            </w:pPr>
            <w:r>
              <w:rPr>
                <w:rFonts w:hint="eastAsia" w:ascii="Times New Roman" w:hAnsi="Times New Roman" w:cs="Times New Roman"/>
                <w:color w:val="auto"/>
                <w:highlight w:val="none"/>
              </w:rPr>
              <w:t>接收原件的时间为： 投标截止时间前 15 分钟至投标截止时间。</w:t>
            </w:r>
          </w:p>
          <w:p>
            <w:pPr>
              <w:numPr>
                <w:ilvl w:val="0"/>
                <w:numId w:val="0"/>
              </w:numPr>
              <w:tabs>
                <w:tab w:val="left" w:pos="360"/>
              </w:tabs>
              <w:spacing w:line="360" w:lineRule="auto"/>
              <w:rPr>
                <w:rFonts w:hint="eastAsia" w:ascii="Times New Roman" w:hAnsi="Times New Roman" w:cs="Times New Roman"/>
                <w:color w:val="auto"/>
                <w:highlight w:val="none"/>
              </w:rPr>
            </w:pPr>
            <w:r>
              <w:rPr>
                <w:rFonts w:hint="eastAsia" w:ascii="Times New Roman" w:hAnsi="Times New Roman" w:cs="Times New Roman"/>
                <w:color w:val="auto"/>
                <w:highlight w:val="none"/>
              </w:rPr>
              <w:t>接收地点： 开标室。</w:t>
            </w:r>
          </w:p>
          <w:p>
            <w:pPr>
              <w:numPr>
                <w:ilvl w:val="0"/>
                <w:numId w:val="0"/>
              </w:numPr>
              <w:tabs>
                <w:tab w:val="left" w:pos="360"/>
              </w:tabs>
              <w:spacing w:line="360" w:lineRule="auto"/>
              <w:rPr>
                <w:rFonts w:hint="eastAsia" w:ascii="Times New Roman" w:hAnsi="Times New Roman" w:cs="Times New Roman"/>
                <w:color w:val="auto"/>
                <w:highlight w:val="none"/>
              </w:rPr>
            </w:pPr>
            <w:r>
              <w:rPr>
                <w:rFonts w:hint="eastAsia" w:ascii="Times New Roman" w:hAnsi="Times New Roman" w:cs="Times New Roman"/>
                <w:color w:val="auto"/>
                <w:highlight w:val="none"/>
              </w:rPr>
              <w:t>5.2.2.邮寄递交方式：</w:t>
            </w:r>
          </w:p>
          <w:p>
            <w:pPr>
              <w:numPr>
                <w:ilvl w:val="0"/>
                <w:numId w:val="0"/>
              </w:numPr>
              <w:tabs>
                <w:tab w:val="left" w:pos="360"/>
              </w:tabs>
              <w:spacing w:line="360" w:lineRule="auto"/>
              <w:rPr>
                <w:rFonts w:hint="eastAsia" w:ascii="Times New Roman" w:hAnsi="Times New Roman" w:cs="Times New Roman"/>
                <w:color w:val="auto"/>
                <w:highlight w:val="none"/>
              </w:rPr>
            </w:pPr>
            <w:r>
              <w:rPr>
                <w:rFonts w:hint="eastAsia" w:ascii="Times New Roman" w:hAnsi="Times New Roman" w:cs="Times New Roman"/>
                <w:color w:val="auto"/>
                <w:highlight w:val="none"/>
              </w:rPr>
              <w:t>原件邮寄地点：广州竣盛工程造价咨询有限公司</w:t>
            </w:r>
          </w:p>
          <w:p>
            <w:pPr>
              <w:numPr>
                <w:ilvl w:val="0"/>
                <w:numId w:val="0"/>
              </w:numPr>
              <w:tabs>
                <w:tab w:val="left" w:pos="360"/>
              </w:tabs>
              <w:spacing w:line="360" w:lineRule="auto"/>
              <w:rPr>
                <w:rFonts w:hint="eastAsia" w:ascii="Times New Roman" w:hAnsi="Times New Roman" w:cs="Times New Roman"/>
                <w:color w:val="auto"/>
                <w:highlight w:val="none"/>
              </w:rPr>
            </w:pPr>
            <w:r>
              <w:rPr>
                <w:rFonts w:hint="eastAsia" w:ascii="Times New Roman" w:hAnsi="Times New Roman" w:cs="Times New Roman"/>
                <w:color w:val="auto"/>
                <w:highlight w:val="none"/>
              </w:rPr>
              <w:t>收件地址：</w:t>
            </w:r>
            <w:r>
              <w:rPr>
                <w:rFonts w:hint="eastAsia" w:ascii="Times New Roman" w:hAnsi="Times New Roman" w:cs="Times New Roman"/>
                <w:color w:val="auto"/>
                <w:highlight w:val="none"/>
                <w:lang w:eastAsia="zh-CN"/>
              </w:rPr>
              <w:t>广州市海珠区琶洲大道188-190号南方投资大厦12层</w:t>
            </w:r>
          </w:p>
          <w:p>
            <w:pPr>
              <w:numPr>
                <w:ilvl w:val="0"/>
                <w:numId w:val="0"/>
              </w:numPr>
              <w:tabs>
                <w:tab w:val="left" w:pos="360"/>
              </w:tabs>
              <w:spacing w:line="360" w:lineRule="auto"/>
              <w:rPr>
                <w:rFonts w:hint="eastAsia" w:ascii="Times New Roman" w:hAnsi="Times New Roman" w:cs="Times New Roman"/>
                <w:color w:val="auto"/>
                <w:highlight w:val="none"/>
              </w:rPr>
            </w:pPr>
            <w:r>
              <w:rPr>
                <w:rFonts w:hint="eastAsia" w:ascii="Times New Roman" w:hAnsi="Times New Roman" w:cs="Times New Roman"/>
                <w:color w:val="auto"/>
                <w:highlight w:val="none"/>
              </w:rPr>
              <w:t>收件人：</w:t>
            </w:r>
            <w:r>
              <w:rPr>
                <w:rFonts w:hint="eastAsia" w:ascii="Times New Roman" w:hAnsi="Times New Roman" w:cs="Times New Roman"/>
                <w:color w:val="auto"/>
                <w:highlight w:val="none"/>
                <w:lang w:val="en-US" w:eastAsia="zh-CN"/>
              </w:rPr>
              <w:t>林</w:t>
            </w:r>
            <w:r>
              <w:rPr>
                <w:rFonts w:hint="eastAsia" w:ascii="Times New Roman" w:hAnsi="Times New Roman" w:cs="Times New Roman"/>
                <w:color w:val="auto"/>
                <w:highlight w:val="none"/>
              </w:rPr>
              <w:t>工(电话：</w:t>
            </w:r>
            <w:r>
              <w:rPr>
                <w:rFonts w:hint="eastAsia" w:ascii="Times New Roman" w:hAnsi="Times New Roman" w:cs="Times New Roman"/>
                <w:color w:val="auto"/>
                <w:highlight w:val="none"/>
                <w:lang w:val="en-US" w:eastAsia="zh-CN"/>
              </w:rPr>
              <w:t>15017511249</w:t>
            </w:r>
            <w:r>
              <w:rPr>
                <w:rFonts w:hint="eastAsia" w:ascii="Times New Roman" w:hAnsi="Times New Roman" w:cs="Times New Roman"/>
                <w:color w:val="auto"/>
                <w:highlight w:val="none"/>
              </w:rPr>
              <w:t>)</w:t>
            </w:r>
          </w:p>
          <w:p>
            <w:pPr>
              <w:numPr>
                <w:ilvl w:val="0"/>
                <w:numId w:val="0"/>
              </w:numPr>
              <w:tabs>
                <w:tab w:val="left" w:pos="360"/>
              </w:tabs>
              <w:spacing w:line="360" w:lineRule="auto"/>
              <w:rPr>
                <w:rFonts w:hint="eastAsia" w:ascii="Times New Roman" w:hAnsi="Times New Roman" w:cs="Times New Roman"/>
                <w:color w:val="auto"/>
                <w:highlight w:val="none"/>
              </w:rPr>
            </w:pPr>
            <w:r>
              <w:rPr>
                <w:rFonts w:hint="eastAsia" w:ascii="Times New Roman" w:hAnsi="Times New Roman" w:cs="Times New Roman"/>
                <w:color w:val="auto"/>
                <w:highlight w:val="none"/>
              </w:rPr>
              <w:t>因快递或其他原因导致保函或保证保险未在投标截止时间前寄(送)达的风险由投标人自行承担。</w:t>
            </w:r>
          </w:p>
          <w:p>
            <w:pPr>
              <w:numPr>
                <w:ilvl w:val="0"/>
                <w:numId w:val="0"/>
              </w:numPr>
              <w:tabs>
                <w:tab w:val="left" w:pos="360"/>
              </w:tabs>
              <w:spacing w:line="360" w:lineRule="auto"/>
              <w:rPr>
                <w:rFonts w:hint="eastAsia" w:ascii="Times New Roman" w:hAnsi="Times New Roman" w:cs="Times New Roman"/>
                <w:color w:val="auto"/>
                <w:highlight w:val="none"/>
              </w:rPr>
            </w:pPr>
            <w:r>
              <w:rPr>
                <w:rFonts w:hint="eastAsia" w:ascii="Times New Roman" w:hAnsi="Times New Roman" w:cs="Times New Roman"/>
                <w:color w:val="auto"/>
                <w:highlight w:val="none"/>
              </w:rPr>
              <w:t>注：1.对于未能按要求交纳投标保证金的投标人，招标人将视为不响应招标文件而予以拒绝，责任由投标人自负。</w:t>
            </w:r>
          </w:p>
          <w:p>
            <w:pPr>
              <w:numPr>
                <w:ilvl w:val="0"/>
                <w:numId w:val="0"/>
              </w:numPr>
              <w:tabs>
                <w:tab w:val="left" w:pos="360"/>
              </w:tabs>
              <w:spacing w:line="360" w:lineRule="auto"/>
              <w:rPr>
                <w:color w:val="auto"/>
                <w:highlight w:val="none"/>
              </w:rPr>
            </w:pPr>
            <w:r>
              <w:rPr>
                <w:rFonts w:hint="eastAsia" w:ascii="Times New Roman" w:hAnsi="Times New Roman" w:cs="Times New Roman"/>
                <w:color w:val="auto"/>
                <w:highlight w:val="none"/>
              </w:rPr>
              <w:t>2.若投标人采用保函或保证保险方式递交投标保证金的，在开标一览表中开标系统不能识别，评审时由评标委员会根据投标文件提供的证明文件判断是否符合招标文件要求。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tabs>
                <w:tab w:val="left" w:pos="2127"/>
              </w:tabs>
              <w:spacing w:line="360" w:lineRule="auto"/>
              <w:jc w:val="center"/>
              <w:rPr>
                <w:rFonts w:hint="eastAsia" w:ascii="宋体" w:hAnsi="宋体" w:eastAsia="宋体" w:cs="Times New Roman"/>
                <w:color w:val="auto"/>
                <w:kern w:val="2"/>
                <w:sz w:val="21"/>
                <w:highlight w:val="none"/>
                <w:lang w:val="en-US" w:eastAsia="zh-CN" w:bidi="ar-SA"/>
              </w:rPr>
            </w:pPr>
            <w:r>
              <w:rPr>
                <w:rFonts w:hint="eastAsia" w:hAnsi="宋体"/>
                <w:color w:val="auto"/>
                <w:highlight w:val="none"/>
              </w:rPr>
              <w:t>是否允许递交备选投标方案</w:t>
            </w:r>
          </w:p>
        </w:tc>
        <w:tc>
          <w:tcPr>
            <w:tcW w:w="7020" w:type="dxa"/>
            <w:vAlign w:val="center"/>
          </w:tcPr>
          <w:p>
            <w:pPr>
              <w:pStyle w:val="22"/>
              <w:tabs>
                <w:tab w:val="left" w:pos="2127"/>
              </w:tabs>
              <w:spacing w:line="360" w:lineRule="auto"/>
              <w:rPr>
                <w:rFonts w:hint="eastAsia" w:ascii="宋体" w:hAnsi="宋体" w:eastAsia="宋体" w:cs="Times New Roman"/>
                <w:bCs/>
                <w:color w:val="auto"/>
                <w:kern w:val="2"/>
                <w:sz w:val="21"/>
                <w:highlight w:val="none"/>
                <w:lang w:val="en-US" w:eastAsia="zh-CN" w:bidi="ar-SA"/>
              </w:rPr>
            </w:pPr>
            <w:r>
              <w:rPr>
                <w:rFonts w:hint="eastAsia" w:hAnsi="宋体"/>
                <w:bCs/>
                <w:color w:val="auto"/>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tabs>
                <w:tab w:val="left" w:pos="2127"/>
              </w:tabs>
              <w:spacing w:line="360" w:lineRule="auto"/>
              <w:jc w:val="center"/>
              <w:rPr>
                <w:rFonts w:hAnsi="宋体"/>
                <w:color w:val="auto"/>
                <w:szCs w:val="21"/>
                <w:highlight w:val="none"/>
              </w:rPr>
            </w:pPr>
            <w:r>
              <w:rPr>
                <w:rFonts w:hint="eastAsia" w:hAnsi="宋体" w:cs="仿宋_GB2312"/>
                <w:color w:val="auto"/>
                <w:kern w:val="0"/>
                <w:szCs w:val="21"/>
                <w:highlight w:val="none"/>
              </w:rPr>
              <w:t>签字或盖章要求</w:t>
            </w:r>
          </w:p>
        </w:tc>
        <w:tc>
          <w:tcPr>
            <w:tcW w:w="7020" w:type="dxa"/>
            <w:vAlign w:val="center"/>
          </w:tcPr>
          <w:p>
            <w:pPr>
              <w:pStyle w:val="22"/>
              <w:tabs>
                <w:tab w:val="left" w:pos="2127"/>
              </w:tabs>
              <w:spacing w:line="360" w:lineRule="auto"/>
              <w:rPr>
                <w:rFonts w:hint="eastAsia"/>
                <w:color w:val="auto"/>
                <w:highlight w:val="none"/>
              </w:rPr>
            </w:pPr>
            <w:r>
              <w:rPr>
                <w:rFonts w:hint="eastAsia"/>
                <w:color w:val="auto"/>
                <w:highlight w:val="none"/>
              </w:rPr>
              <w:t>投标文件全部采用电子文档，投标文件所附证书证件均为原件扫描件，并采用单位数字证书，按招标文件要求在相应位置加盖电子印章。投标文件中需个人签字或盖章的，应手签后扫描上传。具体操作按照广州公共资源交易中心平台【通用版】新电子招投标系统通用版操作指引(适用于建设工程不使用范本的各类电子标项目)的相关指南进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tabs>
                <w:tab w:val="left" w:pos="2127"/>
              </w:tabs>
              <w:spacing w:line="360" w:lineRule="auto"/>
              <w:jc w:val="center"/>
              <w:rPr>
                <w:rFonts w:hint="eastAsia" w:hAnsi="宋体" w:cs="仿宋_GB2312"/>
                <w:color w:val="auto"/>
                <w:kern w:val="0"/>
                <w:szCs w:val="21"/>
                <w:highlight w:val="none"/>
              </w:rPr>
            </w:pPr>
            <w:r>
              <w:rPr>
                <w:rFonts w:hint="eastAsia" w:hAnsi="宋体" w:cs="仿宋_GB2312"/>
                <w:color w:val="auto"/>
                <w:kern w:val="0"/>
                <w:szCs w:val="21"/>
                <w:highlight w:val="none"/>
              </w:rPr>
              <w:t>投标文件文档要求</w:t>
            </w:r>
          </w:p>
        </w:tc>
        <w:tc>
          <w:tcPr>
            <w:tcW w:w="7020" w:type="dxa"/>
            <w:vAlign w:val="center"/>
          </w:tcPr>
          <w:p>
            <w:pPr>
              <w:pStyle w:val="22"/>
              <w:tabs>
                <w:tab w:val="left" w:pos="2127"/>
              </w:tabs>
              <w:spacing w:line="360" w:lineRule="auto"/>
              <w:rPr>
                <w:rFonts w:hint="eastAsia"/>
                <w:color w:val="auto"/>
                <w:highlight w:val="none"/>
              </w:rPr>
            </w:pPr>
            <w:r>
              <w:rPr>
                <w:rFonts w:hint="eastAsia"/>
                <w:color w:val="auto"/>
                <w:highlight w:val="none"/>
              </w:rPr>
              <w:t xml:space="preserve">1、投标文件为含电子签章的加密电子投标文件：商务文件、技术文件、投标函及报价书各分别为 1 套。其具体要求如下： </w:t>
            </w:r>
          </w:p>
          <w:p>
            <w:pPr>
              <w:pStyle w:val="22"/>
              <w:tabs>
                <w:tab w:val="left" w:pos="2127"/>
              </w:tabs>
              <w:spacing w:line="360" w:lineRule="auto"/>
              <w:rPr>
                <w:rFonts w:hint="eastAsia"/>
                <w:color w:val="auto"/>
                <w:highlight w:val="none"/>
              </w:rPr>
            </w:pPr>
            <w:r>
              <w:rPr>
                <w:rFonts w:hint="eastAsia"/>
                <w:color w:val="auto"/>
                <w:highlight w:val="none"/>
              </w:rPr>
              <w:t>(1) 投标人应使用投标文件制作工具制作生成投标文件，并按要求对电子投标文件进行电子签章。</w:t>
            </w:r>
          </w:p>
          <w:p>
            <w:pPr>
              <w:pStyle w:val="22"/>
              <w:tabs>
                <w:tab w:val="left" w:pos="2127"/>
              </w:tabs>
              <w:spacing w:line="360" w:lineRule="auto"/>
              <w:rPr>
                <w:rFonts w:hint="eastAsia"/>
                <w:color w:val="auto"/>
                <w:highlight w:val="none"/>
              </w:rPr>
            </w:pPr>
            <w:r>
              <w:rPr>
                <w:rFonts w:hint="eastAsia"/>
                <w:color w:val="auto"/>
                <w:highlight w:val="none"/>
              </w:rPr>
              <w:t>(2) 投标文件的内容均以电子文件(word、Excel)编制(格式 要求签字及盖章的内容为纸质原件的扫描件)，其格式要求详见投标 文件格式章节的说明。</w:t>
            </w:r>
          </w:p>
          <w:p>
            <w:pPr>
              <w:pStyle w:val="22"/>
              <w:tabs>
                <w:tab w:val="left" w:pos="2127"/>
              </w:tabs>
              <w:spacing w:line="360" w:lineRule="auto"/>
              <w:rPr>
                <w:rFonts w:hint="eastAsia"/>
                <w:color w:val="auto"/>
                <w:highlight w:val="none"/>
              </w:rPr>
            </w:pPr>
            <w:r>
              <w:rPr>
                <w:rFonts w:hint="eastAsia"/>
                <w:color w:val="auto"/>
                <w:highlight w:val="none"/>
              </w:rPr>
              <w:t>2、配合归档要求：</w:t>
            </w:r>
          </w:p>
          <w:p>
            <w:pPr>
              <w:pStyle w:val="22"/>
              <w:tabs>
                <w:tab w:val="left" w:pos="2127"/>
              </w:tabs>
              <w:spacing w:line="360" w:lineRule="auto"/>
              <w:rPr>
                <w:rFonts w:hint="eastAsia"/>
                <w:color w:val="auto"/>
                <w:highlight w:val="none"/>
              </w:rPr>
            </w:pPr>
            <w:r>
              <w:rPr>
                <w:rFonts w:hint="eastAsia"/>
                <w:color w:val="auto"/>
                <w:highlight w:val="none"/>
              </w:rPr>
              <w:t>招标人因资料归档需要，中标单位应在中标结果公告发布之日起三天内无偿提供及邮寄(递交)一套纸质版投标文件(包括商务、技术、价格部分)，且须保证所提供的纸质版投标文件内容与上传至的电子版投标文件内容一致。</w:t>
            </w:r>
          </w:p>
          <w:p>
            <w:pPr>
              <w:pStyle w:val="22"/>
              <w:tabs>
                <w:tab w:val="left" w:pos="2127"/>
              </w:tabs>
              <w:spacing w:line="360" w:lineRule="auto"/>
              <w:rPr>
                <w:rFonts w:hint="eastAsia"/>
                <w:color w:val="auto"/>
                <w:highlight w:val="none"/>
              </w:rPr>
            </w:pPr>
            <w:r>
              <w:rPr>
                <w:rFonts w:hint="eastAsia"/>
                <w:color w:val="auto"/>
                <w:highlight w:val="none"/>
              </w:rPr>
              <w:t>投标单位应自行留存电子版投标文件，如招标人因资料归档需要投标文件电子版的，投标单位并予以配合提供电子版投标文件(Word、Excel、PDF等格式)，且须保证所提供电子版投标文件与上传至广州公共资源交易平台的电子版投标文件内容一致。</w:t>
            </w:r>
          </w:p>
          <w:p>
            <w:pPr>
              <w:pStyle w:val="22"/>
              <w:tabs>
                <w:tab w:val="left" w:pos="2127"/>
              </w:tabs>
              <w:spacing w:line="360" w:lineRule="auto"/>
              <w:rPr>
                <w:rFonts w:hint="eastAsia"/>
                <w:color w:val="auto"/>
                <w:highlight w:val="none"/>
              </w:rPr>
            </w:pPr>
            <w:r>
              <w:rPr>
                <w:rFonts w:hint="eastAsia"/>
                <w:color w:val="auto"/>
                <w:highlight w:val="none"/>
              </w:rPr>
              <w:t>如投标(含中标)单位不予配合或提供文件内容不一致的，且未在投标文件中对该条款提出异议，招标人将认为投标单位未按照承诺执行，存在投标/采购文件弄虚作假，保留对该单位列入不良诚信记录及按照《中国南方电网有限责任公司供应商失信扣分管理细则》扣分处罚的权利。</w:t>
            </w:r>
          </w:p>
          <w:p>
            <w:pPr>
              <w:pStyle w:val="22"/>
              <w:tabs>
                <w:tab w:val="left" w:pos="2127"/>
              </w:tabs>
              <w:spacing w:line="360" w:lineRule="auto"/>
              <w:rPr>
                <w:rFonts w:hint="eastAsia"/>
                <w:color w:val="auto"/>
                <w:highlight w:val="none"/>
              </w:rPr>
            </w:pPr>
            <w:r>
              <w:rPr>
                <w:rFonts w:hint="eastAsia"/>
                <w:color w:val="auto"/>
                <w:highlight w:val="none"/>
              </w:rPr>
              <w:t>邮寄(递交)地址：</w:t>
            </w:r>
            <w:r>
              <w:rPr>
                <w:rFonts w:hint="eastAsia" w:hAnsi="宋体"/>
                <w:color w:val="auto"/>
                <w:szCs w:val="21"/>
                <w:highlight w:val="none"/>
                <w:lang w:eastAsia="zh-CN"/>
              </w:rPr>
              <w:t>广州市海珠区琶洲大道188-190号南方投资大厦12层</w:t>
            </w:r>
          </w:p>
          <w:p>
            <w:pPr>
              <w:pStyle w:val="22"/>
              <w:tabs>
                <w:tab w:val="left" w:pos="2127"/>
              </w:tabs>
              <w:spacing w:line="360" w:lineRule="auto"/>
              <w:rPr>
                <w:rFonts w:hint="default" w:eastAsia="宋体"/>
                <w:color w:val="auto"/>
                <w:highlight w:val="none"/>
                <w:lang w:val="en-US" w:eastAsia="zh-CN"/>
              </w:rPr>
            </w:pPr>
            <w:r>
              <w:rPr>
                <w:rFonts w:hint="eastAsia"/>
                <w:color w:val="auto"/>
                <w:highlight w:val="none"/>
              </w:rPr>
              <w:t>收件人：</w:t>
            </w:r>
            <w:r>
              <w:rPr>
                <w:rFonts w:hint="eastAsia"/>
                <w:color w:val="auto"/>
                <w:highlight w:val="none"/>
                <w:lang w:val="en-US" w:eastAsia="zh-CN"/>
              </w:rPr>
              <w:t>林工</w:t>
            </w:r>
          </w:p>
          <w:p>
            <w:pPr>
              <w:pStyle w:val="22"/>
              <w:tabs>
                <w:tab w:val="left" w:pos="2127"/>
              </w:tabs>
              <w:spacing w:line="360" w:lineRule="auto"/>
              <w:rPr>
                <w:rFonts w:hint="default" w:eastAsia="宋体"/>
                <w:color w:val="auto"/>
                <w:highlight w:val="none"/>
                <w:lang w:val="en-US" w:eastAsia="zh-CN"/>
              </w:rPr>
            </w:pPr>
            <w:r>
              <w:rPr>
                <w:rFonts w:hint="eastAsia"/>
                <w:color w:val="auto"/>
                <w:highlight w:val="none"/>
              </w:rPr>
              <w:t>联系电话：</w:t>
            </w:r>
            <w:r>
              <w:rPr>
                <w:rFonts w:hint="eastAsia"/>
                <w:color w:val="auto"/>
                <w:highlight w:val="none"/>
                <w:lang w:val="en-US" w:eastAsia="zh-CN"/>
              </w:rPr>
              <w:t>15017511249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tabs>
                <w:tab w:val="left" w:pos="2127"/>
              </w:tabs>
              <w:spacing w:line="360" w:lineRule="auto"/>
              <w:jc w:val="center"/>
              <w:rPr>
                <w:rFonts w:hAnsi="宋体"/>
                <w:color w:val="auto"/>
                <w:highlight w:val="none"/>
              </w:rPr>
            </w:pPr>
            <w:r>
              <w:rPr>
                <w:rFonts w:hint="eastAsia" w:hAnsi="宋体"/>
                <w:color w:val="auto"/>
                <w:highlight w:val="none"/>
              </w:rPr>
              <w:t>编制要求</w:t>
            </w:r>
          </w:p>
        </w:tc>
        <w:tc>
          <w:tcPr>
            <w:tcW w:w="7020" w:type="dxa"/>
            <w:vAlign w:val="center"/>
          </w:tcPr>
          <w:p>
            <w:pPr>
              <w:pStyle w:val="22"/>
              <w:tabs>
                <w:tab w:val="left" w:pos="2127"/>
              </w:tabs>
              <w:spacing w:line="360" w:lineRule="auto"/>
              <w:rPr>
                <w:rFonts w:hint="eastAsia" w:hAnsi="宋体"/>
                <w:bCs/>
                <w:color w:val="auto"/>
                <w:highlight w:val="none"/>
              </w:rPr>
            </w:pPr>
            <w:r>
              <w:rPr>
                <w:rFonts w:hint="eastAsia" w:hAnsi="宋体"/>
                <w:bCs/>
                <w:color w:val="auto"/>
                <w:highlight w:val="none"/>
              </w:rPr>
              <w:t>1、投标文件需编制目录，投标函及报价书、商务文件、技术文件分别各为一册。</w:t>
            </w:r>
          </w:p>
          <w:p>
            <w:pPr>
              <w:pStyle w:val="22"/>
              <w:tabs>
                <w:tab w:val="left" w:pos="2127"/>
              </w:tabs>
              <w:spacing w:line="360" w:lineRule="auto"/>
              <w:rPr>
                <w:rFonts w:hint="eastAsia" w:hAnsi="宋体"/>
                <w:bCs/>
                <w:color w:val="auto"/>
                <w:highlight w:val="none"/>
              </w:rPr>
            </w:pPr>
            <w:r>
              <w:rPr>
                <w:rFonts w:hint="eastAsia" w:hAnsi="宋体"/>
                <w:bCs/>
                <w:color w:val="auto"/>
                <w:highlight w:val="none"/>
              </w:rPr>
              <w:t>2、为了让系统可以检索到投标文件内容，电子投标文件的编制需在Word、Excel格式编制完成后再导入投标文件制作工具进行生成。</w:t>
            </w:r>
          </w:p>
          <w:p>
            <w:pPr>
              <w:pStyle w:val="22"/>
              <w:tabs>
                <w:tab w:val="left" w:pos="2127"/>
              </w:tabs>
              <w:spacing w:line="360" w:lineRule="auto"/>
              <w:rPr>
                <w:rFonts w:hAnsi="宋体"/>
                <w:bCs/>
                <w:color w:val="auto"/>
                <w:highlight w:val="none"/>
              </w:rPr>
            </w:pPr>
            <w:r>
              <w:rPr>
                <w:rFonts w:hint="eastAsia" w:hAnsi="宋体"/>
                <w:bCs/>
                <w:color w:val="auto"/>
                <w:highlight w:val="none"/>
              </w:rPr>
              <w:t>3、若未按要求进行编制电子投标文件，无法满足评标需要的，评标委员会在评标中将予以考虑，因此导致评标扣分的，严重时导致否决投标的，由投标人自行承担。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tabs>
                <w:tab w:val="left" w:pos="2127"/>
              </w:tabs>
              <w:spacing w:line="360" w:lineRule="auto"/>
              <w:jc w:val="center"/>
              <w:rPr>
                <w:rFonts w:hint="eastAsia" w:hAnsi="宋体" w:cs="仿宋_GB2312"/>
                <w:color w:val="auto"/>
                <w:kern w:val="0"/>
                <w:szCs w:val="21"/>
                <w:highlight w:val="none"/>
              </w:rPr>
            </w:pPr>
            <w:r>
              <w:rPr>
                <w:rFonts w:hint="eastAsia" w:hAnsi="宋体" w:cs="仿宋_GB2312"/>
                <w:color w:val="auto"/>
                <w:kern w:val="0"/>
                <w:szCs w:val="21"/>
                <w:highlight w:val="none"/>
              </w:rPr>
              <w:t>投标文件加密要求</w:t>
            </w:r>
          </w:p>
        </w:tc>
        <w:tc>
          <w:tcPr>
            <w:tcW w:w="7020" w:type="dxa"/>
            <w:vAlign w:val="center"/>
          </w:tcPr>
          <w:p>
            <w:pPr>
              <w:pStyle w:val="22"/>
              <w:tabs>
                <w:tab w:val="left" w:pos="2127"/>
              </w:tabs>
              <w:spacing w:line="360" w:lineRule="auto"/>
              <w:rPr>
                <w:rFonts w:hint="eastAsia" w:hAnsi="宋体"/>
                <w:bCs/>
                <w:color w:val="auto"/>
                <w:highlight w:val="none"/>
              </w:rPr>
            </w:pPr>
            <w:r>
              <w:rPr>
                <w:rFonts w:hint="eastAsia" w:hAnsi="宋体"/>
                <w:bCs/>
                <w:color w:val="auto"/>
                <w:highlight w:val="none"/>
              </w:rPr>
              <w:t>网上递交的电子投标文件须进行加密。具体操作按照广州公共资源交易平台【通用版】新电子招投标系统通用版操作指引(适用于建设工程不使用范本的各类电子标项目)的相关指南进行操作。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tabs>
                <w:tab w:val="left" w:pos="2127"/>
              </w:tabs>
              <w:spacing w:line="360" w:lineRule="auto"/>
              <w:jc w:val="center"/>
              <w:rPr>
                <w:rFonts w:hint="eastAsia" w:hAnsi="宋体" w:cs="仿宋_GB2312"/>
                <w:color w:val="auto"/>
                <w:kern w:val="0"/>
                <w:szCs w:val="21"/>
                <w:highlight w:val="none"/>
              </w:rPr>
            </w:pPr>
            <w:r>
              <w:rPr>
                <w:rFonts w:ascii="宋体" w:hAnsi="宋体" w:eastAsia="宋体" w:cs="宋体"/>
                <w:color w:val="auto"/>
                <w:spacing w:val="-2"/>
                <w:sz w:val="21"/>
                <w:szCs w:val="21"/>
                <w:highlight w:val="none"/>
              </w:rPr>
              <w:t>投标</w:t>
            </w:r>
            <w:r>
              <w:rPr>
                <w:rFonts w:ascii="宋体" w:hAnsi="宋体" w:eastAsia="宋体" w:cs="宋体"/>
                <w:color w:val="auto"/>
                <w:spacing w:val="-1"/>
                <w:sz w:val="21"/>
                <w:szCs w:val="21"/>
                <w:highlight w:val="none"/>
              </w:rPr>
              <w:t>截止时间</w:t>
            </w:r>
          </w:p>
        </w:tc>
        <w:tc>
          <w:tcPr>
            <w:tcW w:w="7020" w:type="dxa"/>
            <w:vAlign w:val="center"/>
          </w:tcPr>
          <w:p>
            <w:pPr>
              <w:pStyle w:val="22"/>
              <w:tabs>
                <w:tab w:val="left" w:pos="2127"/>
              </w:tabs>
              <w:spacing w:line="360" w:lineRule="auto"/>
              <w:rPr>
                <w:rFonts w:hint="eastAsia" w:hAnsi="宋体"/>
                <w:bCs/>
                <w:color w:val="auto"/>
                <w:highlight w:val="none"/>
              </w:rPr>
            </w:pPr>
            <w:r>
              <w:rPr>
                <w:rFonts w:ascii="宋体" w:hAnsi="宋体" w:eastAsia="宋体" w:cs="宋体"/>
                <w:color w:val="auto"/>
                <w:spacing w:val="-5"/>
                <w:sz w:val="21"/>
                <w:szCs w:val="21"/>
                <w:highlight w:val="none"/>
              </w:rPr>
              <w:t>详</w:t>
            </w:r>
            <w:r>
              <w:rPr>
                <w:rFonts w:ascii="宋体" w:hAnsi="宋体" w:eastAsia="宋体" w:cs="宋体"/>
                <w:color w:val="auto"/>
                <w:spacing w:val="-3"/>
                <w:sz w:val="21"/>
                <w:szCs w:val="21"/>
                <w:highlight w:val="none"/>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tabs>
                <w:tab w:val="left" w:pos="2127"/>
              </w:tabs>
              <w:spacing w:line="360"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递</w:t>
            </w:r>
            <w:r>
              <w:rPr>
                <w:rFonts w:ascii="宋体" w:hAnsi="宋体" w:eastAsia="宋体" w:cs="宋体"/>
                <w:color w:val="auto"/>
                <w:spacing w:val="-1"/>
                <w:sz w:val="21"/>
                <w:szCs w:val="21"/>
                <w:highlight w:val="none"/>
              </w:rPr>
              <w:t>交投标文件</w:t>
            </w:r>
            <w:r>
              <w:rPr>
                <w:rFonts w:ascii="宋体" w:hAnsi="宋体" w:eastAsia="宋体" w:cs="宋体"/>
                <w:color w:val="auto"/>
                <w:spacing w:val="-2"/>
                <w:sz w:val="21"/>
                <w:szCs w:val="21"/>
                <w:highlight w:val="none"/>
              </w:rPr>
              <w:t>地</w:t>
            </w:r>
            <w:r>
              <w:rPr>
                <w:rFonts w:ascii="宋体" w:hAnsi="宋体" w:eastAsia="宋体" w:cs="宋体"/>
                <w:color w:val="auto"/>
                <w:spacing w:val="-1"/>
                <w:sz w:val="21"/>
                <w:szCs w:val="21"/>
                <w:highlight w:val="none"/>
              </w:rPr>
              <w:t>点</w:t>
            </w:r>
          </w:p>
        </w:tc>
        <w:tc>
          <w:tcPr>
            <w:tcW w:w="7020" w:type="dxa"/>
            <w:vAlign w:val="center"/>
          </w:tcPr>
          <w:p>
            <w:pPr>
              <w:pStyle w:val="22"/>
              <w:tabs>
                <w:tab w:val="left" w:pos="2127"/>
              </w:tabs>
              <w:spacing w:line="360" w:lineRule="auto"/>
              <w:rPr>
                <w:rFonts w:ascii="宋体" w:hAnsi="宋体" w:eastAsia="宋体" w:cs="宋体"/>
                <w:color w:val="auto"/>
                <w:spacing w:val="-5"/>
                <w:sz w:val="21"/>
                <w:szCs w:val="21"/>
                <w:highlight w:val="none"/>
              </w:rPr>
            </w:pPr>
            <w:r>
              <w:rPr>
                <w:rFonts w:ascii="宋体" w:hAnsi="宋体" w:eastAsia="宋体" w:cs="宋体"/>
                <w:color w:val="auto"/>
                <w:spacing w:val="-5"/>
                <w:sz w:val="21"/>
                <w:szCs w:val="21"/>
                <w:highlight w:val="none"/>
              </w:rPr>
              <w:t>详</w:t>
            </w:r>
            <w:r>
              <w:rPr>
                <w:rFonts w:ascii="宋体" w:hAnsi="宋体" w:eastAsia="宋体" w:cs="宋体"/>
                <w:color w:val="auto"/>
                <w:spacing w:val="-3"/>
                <w:sz w:val="21"/>
                <w:szCs w:val="21"/>
                <w:highlight w:val="none"/>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top"/>
          </w:tcPr>
          <w:p>
            <w:pPr>
              <w:spacing w:before="55" w:line="247" w:lineRule="auto"/>
              <w:ind w:right="177" w:right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是否退还投标文件</w:t>
            </w:r>
          </w:p>
        </w:tc>
        <w:tc>
          <w:tcPr>
            <w:tcW w:w="7020" w:type="dxa"/>
            <w:vAlign w:val="top"/>
          </w:tcPr>
          <w:p>
            <w:pPr>
              <w:spacing w:before="54" w:line="221" w:lineRule="auto"/>
              <w:ind w:left="121"/>
              <w:rPr>
                <w:rFonts w:ascii="宋体" w:hAnsi="宋体" w:eastAsia="宋体" w:cs="宋体"/>
                <w:color w:val="auto"/>
                <w:sz w:val="21"/>
                <w:szCs w:val="21"/>
                <w:highlight w:val="none"/>
              </w:rPr>
            </w:pPr>
            <w:r>
              <w:rPr>
                <w:rFonts w:ascii="黑体" w:hAnsi="黑体" w:eastAsia="黑体" w:cs="黑体"/>
                <w:color w:val="auto"/>
                <w:spacing w:val="-8"/>
                <w:sz w:val="21"/>
                <w:szCs w:val="21"/>
                <w:highlight w:val="none"/>
              </w:rPr>
              <w:t>■</w:t>
            </w:r>
            <w:r>
              <w:rPr>
                <w:rFonts w:ascii="宋体" w:hAnsi="宋体" w:eastAsia="宋体" w:cs="宋体"/>
                <w:color w:val="auto"/>
                <w:spacing w:val="-8"/>
                <w:sz w:val="21"/>
                <w:szCs w:val="21"/>
                <w:highlight w:val="none"/>
              </w:rPr>
              <w:t>否</w:t>
            </w:r>
          </w:p>
          <w:p>
            <w:pPr>
              <w:spacing w:before="60" w:line="224" w:lineRule="auto"/>
              <w:ind w:left="133" w:leftChars="0"/>
              <w:rPr>
                <w:rFonts w:ascii="宋体" w:hAnsi="宋体" w:eastAsia="宋体" w:cs="宋体"/>
                <w:color w:val="auto"/>
                <w:kern w:val="2"/>
                <w:sz w:val="21"/>
                <w:szCs w:val="21"/>
                <w:highlight w:val="none"/>
                <w:lang w:val="en-US" w:eastAsia="zh-CN" w:bidi="ar-SA"/>
              </w:rPr>
            </w:pPr>
            <w:r>
              <w:rPr>
                <w:rFonts w:ascii="宋体" w:hAnsi="宋体" w:eastAsia="宋体" w:cs="宋体"/>
                <w:color w:val="auto"/>
                <w:spacing w:val="-15"/>
                <w:sz w:val="21"/>
                <w:szCs w:val="21"/>
                <w:highlight w:val="none"/>
              </w:rPr>
              <w:t>□</w:t>
            </w:r>
            <w:r>
              <w:rPr>
                <w:rFonts w:ascii="宋体" w:hAnsi="宋体" w:eastAsia="宋体" w:cs="宋体"/>
                <w:color w:val="auto"/>
                <w:spacing w:val="-13"/>
                <w:sz w:val="21"/>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top"/>
          </w:tcPr>
          <w:p>
            <w:pPr>
              <w:spacing w:before="55" w:line="247" w:lineRule="auto"/>
              <w:ind w:left="604" w:leftChars="0" w:right="177" w:rightChars="0" w:hanging="418" w:firstLineChars="0"/>
              <w:jc w:val="left"/>
              <w:rPr>
                <w:rFonts w:hint="eastAsia" w:ascii="宋体" w:hAnsi="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递交投标</w:t>
            </w:r>
          </w:p>
          <w:p>
            <w:pPr>
              <w:spacing w:before="55" w:line="247" w:lineRule="auto"/>
              <w:ind w:left="604" w:leftChars="0" w:right="177" w:rightChars="0" w:hanging="418" w:firstLineChars="0"/>
              <w:jc w:val="left"/>
              <w:rPr>
                <w:rFonts w:hint="eastAsia" w:ascii="宋体" w:hAnsi="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文件的其</w:t>
            </w:r>
          </w:p>
          <w:p>
            <w:pPr>
              <w:spacing w:before="55" w:line="247" w:lineRule="auto"/>
              <w:ind w:left="604" w:leftChars="0" w:right="177" w:rightChars="0" w:hanging="418" w:firstLineChars="0"/>
              <w:jc w:val="left"/>
              <w:rPr>
                <w:rFonts w:hint="default" w:ascii="宋体" w:hAnsi="宋体" w:eastAsia="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他要求</w:t>
            </w:r>
          </w:p>
        </w:tc>
        <w:tc>
          <w:tcPr>
            <w:tcW w:w="7020" w:type="dxa"/>
            <w:vAlign w:val="top"/>
          </w:tcPr>
          <w:p>
            <w:pPr>
              <w:spacing w:before="60" w:line="224" w:lineRule="auto"/>
              <w:ind w:left="133" w:leftChars="0"/>
              <w:rPr>
                <w:rFonts w:ascii="宋体" w:hAnsi="宋体" w:eastAsia="宋体" w:cs="宋体"/>
                <w:color w:val="auto"/>
                <w:spacing w:val="-15"/>
                <w:sz w:val="21"/>
                <w:szCs w:val="21"/>
                <w:highlight w:val="none"/>
              </w:rPr>
            </w:pPr>
            <w:r>
              <w:rPr>
                <w:rFonts w:ascii="宋体" w:hAnsi="宋体" w:eastAsia="宋体" w:cs="宋体"/>
                <w:color w:val="auto"/>
                <w:sz w:val="21"/>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top"/>
          </w:tcPr>
          <w:p>
            <w:pPr>
              <w:spacing w:before="55" w:line="247" w:lineRule="auto"/>
              <w:ind w:left="604" w:leftChars="0" w:right="177" w:rightChars="0" w:hanging="418" w:firstLineChars="0"/>
              <w:jc w:val="both"/>
              <w:rPr>
                <w:rFonts w:hint="eastAsia" w:ascii="宋体" w:hAnsi="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开标时间和地点</w:t>
            </w:r>
          </w:p>
        </w:tc>
        <w:tc>
          <w:tcPr>
            <w:tcW w:w="7020" w:type="dxa"/>
            <w:vAlign w:val="top"/>
          </w:tcPr>
          <w:p>
            <w:pPr>
              <w:spacing w:before="60" w:line="224"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开标时间：同投标截止时间(具体以广州公共资源交易网(www.gzggzy.cn)公布的时间、地点安排为准)</w:t>
            </w:r>
          </w:p>
          <w:p>
            <w:pPr>
              <w:spacing w:before="60" w:line="224"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开标地点：具体以广州公共资源交易网(www.gzggzy.cn)公布的时间、地点安排为准。</w:t>
            </w:r>
          </w:p>
          <w:p>
            <w:pPr>
              <w:spacing w:before="60" w:line="224"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开标时，投标人代表有权出席开标会，也可以自主决定不参加开标会，未参加开标会或未对开标结果进行签字确认的投标人，将视为对开标结果默认、无异议。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tabs>
                <w:tab w:val="left" w:pos="2127"/>
              </w:tabs>
              <w:spacing w:line="360" w:lineRule="auto"/>
              <w:jc w:val="center"/>
              <w:rPr>
                <w:rFonts w:hAnsi="宋体" w:cs="仿宋_GB2312"/>
                <w:color w:val="auto"/>
                <w:kern w:val="0"/>
                <w:szCs w:val="21"/>
                <w:highlight w:val="none"/>
              </w:rPr>
            </w:pPr>
            <w:r>
              <w:rPr>
                <w:rFonts w:hint="eastAsia" w:hAnsi="宋体" w:cs="仿宋_GB2312"/>
                <w:color w:val="auto"/>
                <w:kern w:val="0"/>
                <w:szCs w:val="21"/>
                <w:highlight w:val="none"/>
              </w:rPr>
              <w:t>中标候选人公示媒介</w:t>
            </w:r>
          </w:p>
        </w:tc>
        <w:tc>
          <w:tcPr>
            <w:tcW w:w="7020" w:type="dxa"/>
            <w:vAlign w:val="center"/>
          </w:tcPr>
          <w:p>
            <w:pPr>
              <w:pStyle w:val="22"/>
              <w:spacing w:line="360" w:lineRule="auto"/>
              <w:rPr>
                <w:rFonts w:hint="eastAsia" w:hAnsi="宋体"/>
                <w:color w:val="auto"/>
                <w:szCs w:val="21"/>
                <w:highlight w:val="none"/>
              </w:rPr>
            </w:pPr>
            <w:r>
              <w:rPr>
                <w:rFonts w:hint="eastAsia" w:hAnsi="宋体"/>
                <w:color w:val="auto"/>
                <w:szCs w:val="21"/>
                <w:highlight w:val="none"/>
              </w:rPr>
              <w:t>中国招标投标公共服务平台(www.cebpubservice.com)、广州交易集团有限公司(广州公共资源交易中心)网站( www.gzggzy.cn)、广东省招标投标监管网( zbtb.gd.gov.cn)、广州市公共交通集团有限公司网站（www.gzbus.com）</w:t>
            </w:r>
            <w:r>
              <w:rPr>
                <w:rFonts w:hint="eastAsia" w:ascii="宋体" w:hAnsi="宋体" w:eastAsia="宋体" w:cs="宋体"/>
                <w:color w:val="auto"/>
                <w:sz w:val="21"/>
                <w:szCs w:val="21"/>
                <w:highlight w:val="none"/>
                <w:lang w:val="en-US" w:eastAsia="zh-CN"/>
              </w:rPr>
              <w:t>、广州公交集团新能源发展有限责任公司网站（https://www.gzgjxny.com）、广州国企阳光采购信息发布平台（https://ygcg.gzggzy.cn）</w:t>
            </w:r>
            <w:r>
              <w:rPr>
                <w:rFonts w:hint="eastAsia" w:hAnsi="宋体"/>
                <w:color w:val="auto"/>
                <w:szCs w:val="21"/>
                <w:highlight w:val="none"/>
              </w:rPr>
              <w:t>等媒介。</w:t>
            </w:r>
          </w:p>
          <w:p>
            <w:pPr>
              <w:pStyle w:val="22"/>
              <w:spacing w:line="360" w:lineRule="auto"/>
              <w:rPr>
                <w:rFonts w:hAnsi="宋体"/>
                <w:color w:val="auto"/>
                <w:szCs w:val="21"/>
                <w:highlight w:val="none"/>
              </w:rPr>
            </w:pPr>
            <w:r>
              <w:rPr>
                <w:rFonts w:hint="eastAsia" w:hAnsi="宋体"/>
                <w:color w:val="auto"/>
                <w:szCs w:val="21"/>
                <w:highlight w:val="none"/>
              </w:rPr>
              <w:t>注：发出招标公告、招标文件、截标、开标、评标、中标候选人公示等，具体时间、地点可能会因广州交易集团有限公司(广州公共资源交易中心)场地的安排有所调整，发布内容在其他法定媒体发布的文本如有不同之处，最终安排以广州交易集团有限公司(广州公共资源交易中心)  (www.gzggzy.cn )公布的为准。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spacing w:line="360" w:lineRule="auto"/>
              <w:jc w:val="center"/>
              <w:rPr>
                <w:rFonts w:hAnsi="宋体" w:cs="仿宋_GB2312"/>
                <w:color w:val="auto"/>
                <w:kern w:val="0"/>
                <w:szCs w:val="21"/>
                <w:highlight w:val="none"/>
              </w:rPr>
            </w:pPr>
            <w:r>
              <w:rPr>
                <w:rFonts w:hint="eastAsia" w:hAnsi="宋体" w:cs="仿宋_GB2312"/>
                <w:color w:val="auto"/>
                <w:kern w:val="0"/>
                <w:szCs w:val="21"/>
                <w:highlight w:val="none"/>
              </w:rPr>
              <w:t>中标公告媒介</w:t>
            </w:r>
          </w:p>
        </w:tc>
        <w:tc>
          <w:tcPr>
            <w:tcW w:w="7020" w:type="dxa"/>
            <w:vAlign w:val="center"/>
          </w:tcPr>
          <w:p>
            <w:pPr>
              <w:pStyle w:val="22"/>
              <w:spacing w:line="360" w:lineRule="auto"/>
              <w:rPr>
                <w:rFonts w:hint="eastAsia" w:hAnsi="宋体" w:eastAsia="宋体"/>
                <w:color w:val="auto"/>
                <w:szCs w:val="21"/>
                <w:highlight w:val="none"/>
                <w:lang w:eastAsia="zh-CN"/>
              </w:rPr>
            </w:pPr>
            <w:r>
              <w:rPr>
                <w:rFonts w:hint="eastAsia" w:hAnsi="宋体"/>
                <w:color w:val="auto"/>
                <w:szCs w:val="21"/>
                <w:highlight w:val="none"/>
              </w:rPr>
              <w:t>中国招标投标公共服务平台(www.cebpubservice.com)、广东省招标投标监管网(zbtb.gd.gov.cn)</w:t>
            </w:r>
            <w:r>
              <w:rPr>
                <w:rFonts w:hint="eastAsia" w:hAnsi="宋体"/>
                <w:color w:val="auto"/>
                <w:szCs w:val="21"/>
                <w:highlight w:val="none"/>
                <w:lang w:eastAsia="zh-CN"/>
              </w:rPr>
              <w:t>、</w:t>
            </w:r>
            <w:r>
              <w:rPr>
                <w:rFonts w:hint="eastAsia" w:hAnsi="宋体"/>
                <w:color w:val="auto"/>
                <w:szCs w:val="21"/>
                <w:highlight w:val="none"/>
              </w:rPr>
              <w:t>广州交易集团有限公司(广州公共资源交易中心)网站( www.gzggzy.cn)、广州市公共交通集团有限公司网站（www.gzbus.com）</w:t>
            </w:r>
            <w:r>
              <w:rPr>
                <w:rFonts w:hint="eastAsia" w:ascii="宋体" w:hAnsi="宋体" w:eastAsia="宋体" w:cs="宋体"/>
                <w:color w:val="auto"/>
                <w:sz w:val="21"/>
                <w:szCs w:val="21"/>
                <w:highlight w:val="none"/>
                <w:lang w:val="en-US" w:eastAsia="zh-CN"/>
              </w:rPr>
              <w:t>、广州公交集团新能源发展有限责任公司网站（https://www.gzgjxny.com）、广州国企阳光采购信息发布平台（https://ygcg.gzggzy.cn）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spacing w:line="360" w:lineRule="auto"/>
              <w:jc w:val="center"/>
              <w:rPr>
                <w:rFonts w:hAnsi="宋体" w:cs="仿宋_GB2312"/>
                <w:color w:val="auto"/>
                <w:kern w:val="0"/>
                <w:szCs w:val="21"/>
                <w:highlight w:val="none"/>
              </w:rPr>
            </w:pPr>
            <w:r>
              <w:rPr>
                <w:rFonts w:ascii="宋体" w:hAnsi="宋体" w:eastAsia="宋体" w:cs="宋体"/>
                <w:color w:val="auto"/>
                <w:spacing w:val="-3"/>
                <w:sz w:val="21"/>
                <w:szCs w:val="21"/>
                <w:highlight w:val="none"/>
              </w:rPr>
              <w:t>履</w:t>
            </w:r>
            <w:r>
              <w:rPr>
                <w:rFonts w:ascii="宋体" w:hAnsi="宋体" w:eastAsia="宋体" w:cs="宋体"/>
                <w:color w:val="auto"/>
                <w:spacing w:val="-2"/>
                <w:sz w:val="21"/>
                <w:szCs w:val="21"/>
                <w:highlight w:val="none"/>
              </w:rPr>
              <w:t>约担保</w:t>
            </w:r>
          </w:p>
        </w:tc>
        <w:tc>
          <w:tcPr>
            <w:tcW w:w="7020" w:type="dxa"/>
            <w:vAlign w:val="center"/>
          </w:tcPr>
          <w:p>
            <w:pPr>
              <w:pStyle w:val="22"/>
              <w:numPr>
                <w:ilvl w:val="0"/>
                <w:numId w:val="0"/>
              </w:numPr>
              <w:spacing w:line="360" w:lineRule="auto"/>
              <w:rPr>
                <w:rFonts w:hint="eastAsia" w:hAnsi="宋体"/>
                <w:color w:val="auto"/>
                <w:szCs w:val="21"/>
                <w:highlight w:val="none"/>
                <w:lang w:val="en-US" w:eastAsia="zh-CN"/>
              </w:rPr>
            </w:pPr>
            <w:r>
              <w:rPr>
                <w:rFonts w:hint="eastAsia" w:hAnsi="宋体"/>
                <w:color w:val="auto"/>
                <w:szCs w:val="21"/>
                <w:highlight w:val="none"/>
                <w:lang w:val="en-US" w:eastAsia="zh-CN"/>
              </w:rPr>
              <w:t>履约担保的形式：银行保函</w:t>
            </w:r>
          </w:p>
          <w:p>
            <w:pPr>
              <w:pStyle w:val="22"/>
              <w:numPr>
                <w:ilvl w:val="0"/>
                <w:numId w:val="0"/>
              </w:numPr>
              <w:spacing w:line="360" w:lineRule="auto"/>
              <w:rPr>
                <w:rFonts w:hint="eastAsia" w:hAnsi="宋体"/>
                <w:color w:val="auto"/>
                <w:szCs w:val="21"/>
                <w:highlight w:val="none"/>
                <w:lang w:val="en-US" w:eastAsia="zh-CN"/>
              </w:rPr>
            </w:pPr>
            <w:r>
              <w:rPr>
                <w:rFonts w:hint="eastAsia" w:hAnsi="宋体"/>
                <w:color w:val="auto"/>
                <w:szCs w:val="21"/>
                <w:highlight w:val="none"/>
                <w:lang w:val="en-US" w:eastAsia="zh-CN"/>
              </w:rPr>
              <w:t>履约担保的金额：合同价的5%。</w:t>
            </w:r>
          </w:p>
          <w:p>
            <w:pPr>
              <w:pStyle w:val="22"/>
              <w:numPr>
                <w:ilvl w:val="0"/>
                <w:numId w:val="0"/>
              </w:numPr>
              <w:spacing w:line="360" w:lineRule="auto"/>
              <w:rPr>
                <w:rFonts w:hint="eastAsia" w:hAnsi="宋体"/>
                <w:color w:val="auto"/>
                <w:szCs w:val="21"/>
                <w:highlight w:val="none"/>
                <w:lang w:val="en-US" w:eastAsia="zh-CN"/>
              </w:rPr>
            </w:pPr>
            <w:r>
              <w:rPr>
                <w:rFonts w:hint="eastAsia" w:hAnsi="宋体"/>
                <w:color w:val="auto"/>
                <w:szCs w:val="21"/>
                <w:highlight w:val="none"/>
                <w:lang w:val="en-US" w:eastAsia="zh-CN"/>
              </w:rPr>
              <w:t>(合同价50万元以下的，不需要履约担保)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spacing w:line="360" w:lineRule="auto"/>
              <w:jc w:val="center"/>
              <w:rPr>
                <w:rFonts w:hint="eastAsia" w:hAnsi="宋体"/>
                <w:color w:val="auto"/>
                <w:szCs w:val="21"/>
                <w:highlight w:val="none"/>
              </w:rPr>
            </w:pPr>
            <w:r>
              <w:rPr>
                <w:rFonts w:hint="eastAsia" w:hAnsi="宋体"/>
                <w:color w:val="auto"/>
                <w:szCs w:val="21"/>
                <w:highlight w:val="none"/>
              </w:rPr>
              <w:t>交易服务费</w:t>
            </w:r>
          </w:p>
        </w:tc>
        <w:tc>
          <w:tcPr>
            <w:tcW w:w="7020" w:type="dxa"/>
            <w:vAlign w:val="center"/>
          </w:tcPr>
          <w:p>
            <w:pPr>
              <w:pStyle w:val="22"/>
              <w:spacing w:line="360" w:lineRule="auto"/>
              <w:rPr>
                <w:rFonts w:hint="eastAsia" w:hAnsi="宋体"/>
                <w:color w:val="auto"/>
                <w:szCs w:val="21"/>
                <w:highlight w:val="none"/>
                <w:lang w:val="en-US" w:eastAsia="zh-CN"/>
              </w:rPr>
            </w:pPr>
            <w:r>
              <w:rPr>
                <w:rFonts w:hint="eastAsia" w:hAnsi="宋体"/>
                <w:color w:val="auto"/>
                <w:szCs w:val="21"/>
                <w:highlight w:val="none"/>
                <w:lang w:val="en-US" w:eastAsia="zh-CN"/>
              </w:rPr>
              <w:t>本招标项目由中标人向广州公共资源交易中心缴纳交易服务费，交易服务费缴费标准详见广州公共资源交易中心，本费用由投标人自行考虑，招标人不另行支付。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27" w:type="dxa"/>
            <w:vAlign w:val="center"/>
          </w:tcPr>
          <w:p>
            <w:pPr>
              <w:pStyle w:val="22"/>
              <w:numPr>
                <w:ilvl w:val="0"/>
                <w:numId w:val="6"/>
              </w:numPr>
              <w:tabs>
                <w:tab w:val="left" w:pos="2127"/>
              </w:tabs>
              <w:spacing w:line="360" w:lineRule="auto"/>
              <w:ind w:left="635" w:leftChars="0" w:hanging="425" w:firstLineChars="0"/>
              <w:jc w:val="right"/>
              <w:rPr>
                <w:rFonts w:hint="eastAsia" w:ascii="宋体" w:hAnsi="宋体" w:eastAsia="宋体" w:cs="Times New Roman"/>
                <w:color w:val="auto"/>
                <w:highlight w:val="none"/>
                <w:lang w:val="en-US" w:eastAsia="zh-CN"/>
              </w:rPr>
            </w:pPr>
          </w:p>
        </w:tc>
        <w:tc>
          <w:tcPr>
            <w:tcW w:w="1743" w:type="dxa"/>
            <w:vAlign w:val="center"/>
          </w:tcPr>
          <w:p>
            <w:pPr>
              <w:pStyle w:val="22"/>
              <w:spacing w:line="360" w:lineRule="auto"/>
              <w:jc w:val="center"/>
              <w:rPr>
                <w:rFonts w:hAnsi="宋体" w:cs="仿宋_GB2312"/>
                <w:color w:val="auto"/>
                <w:szCs w:val="21"/>
                <w:highlight w:val="none"/>
              </w:rPr>
            </w:pPr>
            <w:r>
              <w:rPr>
                <w:rFonts w:hint="eastAsia" w:hAnsi="宋体" w:cs="仿宋_GB2312"/>
                <w:color w:val="auto"/>
                <w:szCs w:val="21"/>
                <w:highlight w:val="none"/>
              </w:rPr>
              <w:t>招标代理服务费</w:t>
            </w:r>
          </w:p>
        </w:tc>
        <w:tc>
          <w:tcPr>
            <w:tcW w:w="7020" w:type="dxa"/>
          </w:tcPr>
          <w:p>
            <w:pPr>
              <w:numPr>
                <w:ilvl w:val="0"/>
                <w:numId w:val="8"/>
              </w:numPr>
              <w:spacing w:line="360" w:lineRule="auto"/>
              <w:rPr>
                <w:rFonts w:hint="eastAsia" w:ascii="宋体" w:hAnsi="宋体"/>
                <w:color w:val="auto"/>
                <w:szCs w:val="21"/>
                <w:highlight w:val="none"/>
              </w:rPr>
            </w:pPr>
            <w:r>
              <w:rPr>
                <w:rFonts w:hint="eastAsia" w:ascii="宋体" w:hAnsi="宋体"/>
                <w:color w:val="auto"/>
                <w:szCs w:val="21"/>
                <w:highlight w:val="none"/>
              </w:rPr>
              <w:t>代理费类型：</w:t>
            </w:r>
            <w:r>
              <w:rPr>
                <w:rFonts w:hint="eastAsia" w:ascii="宋体" w:hAnsi="宋体"/>
                <w:color w:val="auto"/>
                <w:szCs w:val="21"/>
                <w:highlight w:val="none"/>
                <w:lang w:val="en-US" w:eastAsia="zh-CN"/>
              </w:rPr>
              <w:t>工程</w:t>
            </w:r>
            <w:r>
              <w:rPr>
                <w:rFonts w:hint="eastAsia" w:ascii="宋体" w:hAnsi="宋体"/>
                <w:color w:val="auto"/>
                <w:szCs w:val="21"/>
                <w:highlight w:val="none"/>
              </w:rPr>
              <w:t>类。</w:t>
            </w:r>
          </w:p>
          <w:p>
            <w:pPr>
              <w:numPr>
                <w:ilvl w:val="0"/>
                <w:numId w:val="8"/>
              </w:numPr>
              <w:spacing w:line="360" w:lineRule="auto"/>
              <w:rPr>
                <w:rFonts w:hint="eastAsia" w:hAnsi="宋体"/>
                <w:b/>
                <w:color w:val="auto"/>
                <w:szCs w:val="21"/>
                <w:highlight w:val="none"/>
                <w:lang w:eastAsia="zh-CN"/>
              </w:rPr>
            </w:pPr>
            <w:r>
              <w:rPr>
                <w:rFonts w:hint="eastAsia" w:hAnsi="宋体"/>
                <w:color w:val="auto"/>
                <w:szCs w:val="21"/>
                <w:highlight w:val="none"/>
              </w:rPr>
              <w:t>招标代理服务费：本项目招标代理费用参照国家计委计价格[2002]1980号文为收费标准，</w:t>
            </w:r>
            <w:r>
              <w:rPr>
                <w:rFonts w:hint="eastAsia" w:hAnsi="宋体"/>
                <w:color w:val="auto"/>
                <w:szCs w:val="21"/>
                <w:highlight w:val="none"/>
                <w:lang w:eastAsia="zh-CN"/>
              </w:rPr>
              <w:t>中标</w:t>
            </w:r>
            <w:r>
              <w:rPr>
                <w:rFonts w:hint="eastAsia" w:hAnsi="宋体"/>
                <w:color w:val="auto"/>
                <w:szCs w:val="21"/>
                <w:highlight w:val="none"/>
                <w:lang w:val="en-US" w:eastAsia="zh-CN"/>
              </w:rPr>
              <w:t>单位</w:t>
            </w:r>
            <w:r>
              <w:rPr>
                <w:rFonts w:hint="eastAsia" w:hAnsi="宋体"/>
                <w:color w:val="auto"/>
                <w:szCs w:val="21"/>
                <w:highlight w:val="none"/>
              </w:rPr>
              <w:t>向</w:t>
            </w:r>
            <w:r>
              <w:rPr>
                <w:rFonts w:hint="eastAsia" w:hAnsi="宋体"/>
                <w:color w:val="auto"/>
                <w:szCs w:val="21"/>
                <w:highlight w:val="none"/>
                <w:lang w:eastAsia="zh-CN"/>
              </w:rPr>
              <w:t>招标</w:t>
            </w:r>
            <w:r>
              <w:rPr>
                <w:rFonts w:hint="eastAsia" w:hAnsi="宋体"/>
                <w:color w:val="auto"/>
                <w:szCs w:val="21"/>
                <w:highlight w:val="none"/>
              </w:rPr>
              <w:t>代理机构</w:t>
            </w:r>
            <w:r>
              <w:rPr>
                <w:rFonts w:hint="eastAsia" w:hAnsi="宋体"/>
                <w:color w:val="auto"/>
                <w:szCs w:val="21"/>
                <w:highlight w:val="none"/>
                <w:lang w:eastAsia="zh-CN"/>
              </w:rPr>
              <w:t>广州竣盛工程造价咨询有限公司</w:t>
            </w:r>
            <w:r>
              <w:rPr>
                <w:rFonts w:hint="eastAsia" w:hAnsi="宋体"/>
                <w:color w:val="auto"/>
                <w:szCs w:val="21"/>
                <w:highlight w:val="none"/>
              </w:rPr>
              <w:t>支付</w:t>
            </w:r>
          </w:p>
          <w:p>
            <w:pPr>
              <w:keepNext w:val="0"/>
              <w:keepLines w:val="0"/>
              <w:pageBreakBefore w:val="0"/>
              <w:widowControl w:val="0"/>
              <w:kinsoku/>
              <w:wordWrap/>
              <w:overflowPunct/>
              <w:topLinePunct w:val="0"/>
              <w:bidi w:val="0"/>
              <w:snapToGrid/>
              <w:spacing w:line="360" w:lineRule="auto"/>
              <w:ind w:left="0" w:leftChars="0"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金额为固定包干价格</w:t>
            </w:r>
            <w:r>
              <w:rPr>
                <w:rFonts w:hint="eastAsia" w:ascii="宋体" w:hAnsi="宋体" w:eastAsia="宋体" w:cs="宋体"/>
                <w:b/>
                <w:bCs/>
                <w:color w:val="auto"/>
                <w:sz w:val="21"/>
                <w:szCs w:val="21"/>
                <w:highlight w:val="none"/>
              </w:rPr>
              <w:t>人民币94652.5</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元</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大写：</w:t>
            </w:r>
            <w:r>
              <w:rPr>
                <w:rFonts w:hint="eastAsia" w:ascii="宋体" w:hAnsi="宋体" w:cs="宋体"/>
                <w:color w:val="auto"/>
                <w:sz w:val="21"/>
                <w:szCs w:val="21"/>
                <w:highlight w:val="none"/>
                <w:lang w:val="en-US" w:eastAsia="zh-CN"/>
              </w:rPr>
              <w:t>玖万肆仟陆佰伍拾贰元伍角伍分</w:t>
            </w:r>
            <w:r>
              <w:rPr>
                <w:rFonts w:hint="eastAsia" w:ascii="宋体" w:hAnsi="宋体" w:eastAsia="宋体" w:cs="宋体"/>
                <w:color w:val="auto"/>
                <w:sz w:val="21"/>
                <w:szCs w:val="21"/>
                <w:highlight w:val="none"/>
              </w:rPr>
              <w:t>）；</w:t>
            </w:r>
          </w:p>
          <w:p>
            <w:pPr>
              <w:pStyle w:val="22"/>
              <w:spacing w:line="360" w:lineRule="auto"/>
              <w:rPr>
                <w:rFonts w:hAnsi="宋体"/>
                <w:color w:val="auto"/>
                <w:szCs w:val="21"/>
                <w:highlight w:val="none"/>
              </w:rPr>
            </w:pPr>
            <w:r>
              <w:rPr>
                <w:rFonts w:hint="eastAsia" w:hAnsi="宋体"/>
                <w:color w:val="auto"/>
                <w:szCs w:val="21"/>
                <w:highlight w:val="none"/>
              </w:rPr>
              <w:t>3）费用支付方式：</w:t>
            </w:r>
            <w:r>
              <w:rPr>
                <w:rFonts w:hint="eastAsia" w:hAnsi="宋体"/>
                <w:color w:val="auto"/>
                <w:szCs w:val="21"/>
                <w:highlight w:val="none"/>
                <w:lang w:val="en-US" w:eastAsia="zh-CN"/>
              </w:rPr>
              <w:t>中标单位</w:t>
            </w:r>
            <w:r>
              <w:rPr>
                <w:rFonts w:hint="eastAsia" w:hAnsi="宋体"/>
                <w:color w:val="auto"/>
                <w:szCs w:val="21"/>
                <w:highlight w:val="none"/>
              </w:rPr>
              <w:t>在领取</w:t>
            </w:r>
            <w:r>
              <w:rPr>
                <w:rFonts w:hint="eastAsia" w:hAnsi="宋体"/>
                <w:color w:val="auto"/>
                <w:szCs w:val="21"/>
                <w:highlight w:val="none"/>
                <w:lang w:eastAsia="zh-CN"/>
              </w:rPr>
              <w:t>中标</w:t>
            </w:r>
            <w:r>
              <w:rPr>
                <w:rFonts w:hint="eastAsia" w:hAnsi="宋体"/>
                <w:color w:val="auto"/>
                <w:szCs w:val="21"/>
                <w:highlight w:val="none"/>
              </w:rPr>
              <w:t>通知书前向</w:t>
            </w:r>
            <w:r>
              <w:rPr>
                <w:rFonts w:hint="eastAsia" w:hAnsi="宋体"/>
                <w:color w:val="auto"/>
                <w:szCs w:val="21"/>
                <w:highlight w:val="none"/>
                <w:lang w:eastAsia="zh-CN"/>
              </w:rPr>
              <w:t>招标</w:t>
            </w:r>
            <w:r>
              <w:rPr>
                <w:rFonts w:hint="eastAsia" w:hAnsi="宋体"/>
                <w:color w:val="auto"/>
                <w:szCs w:val="21"/>
                <w:highlight w:val="none"/>
              </w:rPr>
              <w:t>代理机构</w:t>
            </w:r>
            <w:r>
              <w:rPr>
                <w:rFonts w:hint="eastAsia" w:hAnsi="宋体"/>
                <w:color w:val="auto"/>
                <w:szCs w:val="21"/>
                <w:highlight w:val="none"/>
                <w:lang w:eastAsia="zh-CN"/>
              </w:rPr>
              <w:t>广州竣盛工程造价咨询有限公司</w:t>
            </w:r>
            <w:r>
              <w:rPr>
                <w:rFonts w:hint="eastAsia" w:hAnsi="宋体"/>
                <w:color w:val="auto"/>
                <w:szCs w:val="21"/>
                <w:highlight w:val="none"/>
              </w:rPr>
              <w:t>一次性支付。代理机构同时向缴费单位开具发票。</w:t>
            </w:r>
          </w:p>
          <w:p>
            <w:pPr>
              <w:pStyle w:val="22"/>
              <w:spacing w:line="360" w:lineRule="auto"/>
              <w:rPr>
                <w:rFonts w:hAnsi="宋体"/>
                <w:color w:val="auto"/>
                <w:szCs w:val="21"/>
                <w:highlight w:val="none"/>
              </w:rPr>
            </w:pPr>
            <w:r>
              <w:rPr>
                <w:rFonts w:hint="eastAsia" w:hAnsi="宋体"/>
                <w:color w:val="auto"/>
                <w:szCs w:val="21"/>
                <w:highlight w:val="none"/>
              </w:rPr>
              <w:t>4）汇款</w:t>
            </w:r>
            <w:r>
              <w:rPr>
                <w:rFonts w:hAnsi="宋体"/>
                <w:color w:val="auto"/>
                <w:szCs w:val="21"/>
                <w:highlight w:val="none"/>
              </w:rPr>
              <w:t>帐号</w:t>
            </w:r>
            <w:r>
              <w:rPr>
                <w:rFonts w:hint="eastAsia" w:hAnsi="宋体"/>
                <w:color w:val="auto"/>
                <w:szCs w:val="21"/>
                <w:highlight w:val="none"/>
              </w:rPr>
              <w:t>：</w:t>
            </w:r>
          </w:p>
          <w:p>
            <w:pPr>
              <w:pStyle w:val="22"/>
              <w:spacing w:line="360" w:lineRule="auto"/>
              <w:rPr>
                <w:rFonts w:hint="eastAsia" w:hAnsi="宋体" w:eastAsia="宋体"/>
                <w:b/>
                <w:bCs/>
                <w:color w:val="auto"/>
                <w:szCs w:val="21"/>
                <w:highlight w:val="none"/>
                <w:u w:val="single"/>
                <w:lang w:eastAsia="zh-CN"/>
              </w:rPr>
            </w:pPr>
            <w:r>
              <w:rPr>
                <w:rFonts w:hint="eastAsia" w:hAnsi="宋体"/>
                <w:color w:val="auto"/>
                <w:szCs w:val="21"/>
                <w:highlight w:val="none"/>
              </w:rPr>
              <w:t>收款单位：</w:t>
            </w:r>
            <w:r>
              <w:rPr>
                <w:rFonts w:hint="eastAsia" w:hAnsi="宋体"/>
                <w:color w:val="auto"/>
                <w:szCs w:val="21"/>
                <w:highlight w:val="none"/>
                <w:lang w:eastAsia="zh-CN"/>
              </w:rPr>
              <w:t>广州竣盛工程造价咨询有限公司</w:t>
            </w:r>
          </w:p>
          <w:p>
            <w:pPr>
              <w:pStyle w:val="22"/>
              <w:spacing w:line="360" w:lineRule="auto"/>
              <w:rPr>
                <w:rFonts w:hint="eastAsia" w:hAnsi="宋体"/>
                <w:color w:val="auto"/>
                <w:szCs w:val="21"/>
                <w:highlight w:val="none"/>
              </w:rPr>
            </w:pPr>
            <w:r>
              <w:rPr>
                <w:rFonts w:hAnsi="宋体"/>
                <w:color w:val="auto"/>
                <w:szCs w:val="21"/>
                <w:highlight w:val="none"/>
              </w:rPr>
              <w:t>开户行</w:t>
            </w:r>
            <w:r>
              <w:rPr>
                <w:rFonts w:hint="eastAsia" w:hAnsi="宋体"/>
                <w:color w:val="auto"/>
                <w:szCs w:val="21"/>
                <w:highlight w:val="none"/>
              </w:rPr>
              <w:t>：建行广州供电局大厦支行</w:t>
            </w:r>
          </w:p>
          <w:p>
            <w:pPr>
              <w:pStyle w:val="22"/>
              <w:spacing w:line="360" w:lineRule="auto"/>
              <w:rPr>
                <w:rFonts w:hAnsi="宋体"/>
                <w:color w:val="auto"/>
                <w:szCs w:val="21"/>
                <w:highlight w:val="none"/>
              </w:rPr>
            </w:pPr>
            <w:r>
              <w:rPr>
                <w:rFonts w:hint="eastAsia" w:hAnsi="宋体"/>
                <w:color w:val="auto"/>
                <w:szCs w:val="21"/>
                <w:highlight w:val="none"/>
              </w:rPr>
              <w:t>银行账号：44001101260052500061</w:t>
            </w:r>
          </w:p>
          <w:p>
            <w:pPr>
              <w:pStyle w:val="22"/>
              <w:spacing w:line="360" w:lineRule="auto"/>
              <w:rPr>
                <w:rFonts w:hAnsi="宋体"/>
                <w:color w:val="auto"/>
                <w:szCs w:val="21"/>
                <w:highlight w:val="none"/>
              </w:rPr>
            </w:pPr>
          </w:p>
          <w:p>
            <w:pPr>
              <w:pStyle w:val="22"/>
              <w:spacing w:line="360" w:lineRule="auto"/>
              <w:rPr>
                <w:rFonts w:hAnsi="宋体"/>
                <w:color w:val="auto"/>
                <w:szCs w:val="21"/>
                <w:highlight w:val="none"/>
              </w:rPr>
            </w:pPr>
            <w:r>
              <w:rPr>
                <w:rFonts w:hint="eastAsia" w:hAnsi="宋体"/>
                <w:color w:val="auto"/>
                <w:szCs w:val="21"/>
                <w:highlight w:val="none"/>
              </w:rPr>
              <w:t>*2017年7月1日起招标代理业务必须开具增值税发票，为不影响招标代理业务顺利进行，请各单位开票前准备以下资料发送至junshengzb@126.com：</w:t>
            </w:r>
          </w:p>
          <w:p>
            <w:pPr>
              <w:pStyle w:val="22"/>
              <w:spacing w:line="360" w:lineRule="auto"/>
              <w:rPr>
                <w:rFonts w:hAnsi="宋体"/>
                <w:color w:val="auto"/>
                <w:szCs w:val="21"/>
                <w:highlight w:val="none"/>
              </w:rPr>
            </w:pPr>
            <w:r>
              <w:rPr>
                <w:rFonts w:hint="eastAsia" w:hAnsi="宋体"/>
                <w:color w:val="auto"/>
                <w:szCs w:val="21"/>
                <w:highlight w:val="none"/>
              </w:rPr>
              <w:t>1、营业执照副本复印件；</w:t>
            </w:r>
          </w:p>
          <w:p>
            <w:pPr>
              <w:pStyle w:val="22"/>
              <w:spacing w:line="360" w:lineRule="auto"/>
              <w:rPr>
                <w:rFonts w:hAnsi="宋体"/>
                <w:color w:val="auto"/>
                <w:szCs w:val="21"/>
                <w:highlight w:val="none"/>
              </w:rPr>
            </w:pPr>
            <w:r>
              <w:rPr>
                <w:rFonts w:hint="eastAsia" w:hAnsi="宋体"/>
                <w:color w:val="auto"/>
                <w:szCs w:val="21"/>
                <w:highlight w:val="none"/>
              </w:rPr>
              <w:t>2、国税登记证副本复印件(已办理三证合一的不需提供)；</w:t>
            </w:r>
          </w:p>
          <w:p>
            <w:pPr>
              <w:pStyle w:val="22"/>
              <w:spacing w:line="360" w:lineRule="auto"/>
              <w:rPr>
                <w:rFonts w:hAnsi="宋体"/>
                <w:color w:val="auto"/>
                <w:szCs w:val="21"/>
                <w:highlight w:val="none"/>
              </w:rPr>
            </w:pPr>
            <w:r>
              <w:rPr>
                <w:rFonts w:hint="eastAsia" w:hAnsi="宋体"/>
                <w:color w:val="auto"/>
                <w:szCs w:val="21"/>
                <w:highlight w:val="none"/>
              </w:rPr>
              <w:t>3、开户许可证复印件；</w:t>
            </w:r>
          </w:p>
          <w:p>
            <w:pPr>
              <w:pStyle w:val="22"/>
              <w:spacing w:line="360" w:lineRule="auto"/>
              <w:rPr>
                <w:rFonts w:hint="eastAsia" w:hAnsi="宋体"/>
                <w:color w:val="auto"/>
                <w:szCs w:val="21"/>
                <w:highlight w:val="none"/>
              </w:rPr>
            </w:pPr>
            <w:r>
              <w:rPr>
                <w:rFonts w:hint="eastAsia" w:hAnsi="宋体"/>
                <w:color w:val="auto"/>
                <w:szCs w:val="21"/>
                <w:highlight w:val="none"/>
              </w:rPr>
              <w:t>4、一般纳税人证明复印件（或税务事项通知书（认定通知）。</w:t>
            </w:r>
          </w:p>
          <w:p>
            <w:pPr>
              <w:pStyle w:val="22"/>
              <w:spacing w:line="360" w:lineRule="auto"/>
              <w:rPr>
                <w:rFonts w:hint="eastAsia" w:hAnsi="宋体"/>
                <w:color w:val="auto"/>
                <w:szCs w:val="21"/>
                <w:highlight w:val="none"/>
              </w:rPr>
            </w:pPr>
            <w:r>
              <w:rPr>
                <w:rFonts w:hint="eastAsia" w:ascii="宋体" w:hAnsi="宋体"/>
                <w:color w:val="auto"/>
                <w:highlight w:val="none"/>
              </w:rPr>
              <w:t>5、如需开具增值税专用发票，请提供公司名称、纳税人识别号、地址电话、开户行及账号信息。</w:t>
            </w:r>
          </w:p>
          <w:p>
            <w:pPr>
              <w:pStyle w:val="22"/>
              <w:spacing w:line="360" w:lineRule="auto"/>
              <w:rPr>
                <w:rFonts w:hAnsi="宋体"/>
                <w:color w:val="auto"/>
                <w:szCs w:val="21"/>
                <w:highlight w:val="none"/>
              </w:rPr>
            </w:pPr>
            <w:r>
              <w:rPr>
                <w:rFonts w:hint="eastAsia" w:hAnsi="宋体"/>
                <w:color w:val="auto"/>
                <w:szCs w:val="21"/>
                <w:highlight w:val="none"/>
              </w:rPr>
              <w:t>上述资料需加盖公章。</w:t>
            </w:r>
          </w:p>
          <w:p>
            <w:pPr>
              <w:spacing w:line="360" w:lineRule="auto"/>
              <w:rPr>
                <w:rFonts w:ascii="宋体" w:hAnsi="宋体"/>
                <w:color w:val="auto"/>
                <w:szCs w:val="21"/>
                <w:highlight w:val="none"/>
              </w:rPr>
            </w:pPr>
            <w:r>
              <w:rPr>
                <w:rFonts w:hint="eastAsia" w:hAnsi="宋体"/>
                <w:color w:val="auto"/>
                <w:szCs w:val="21"/>
                <w:highlight w:val="none"/>
              </w:rPr>
              <w:t>注：由于增值税专用发票抵扣期为自开票之日起360天内（不是</w:t>
            </w:r>
            <w:r>
              <w:rPr>
                <w:rFonts w:hint="eastAsia" w:hAnsi="宋体"/>
                <w:color w:val="auto"/>
                <w:szCs w:val="21"/>
                <w:highlight w:val="none"/>
                <w:lang w:eastAsia="zh-CN"/>
              </w:rPr>
              <w:t>一</w:t>
            </w:r>
            <w:r>
              <w:rPr>
                <w:rFonts w:hint="eastAsia" w:hAnsi="宋体"/>
                <w:color w:val="auto"/>
                <w:szCs w:val="21"/>
                <w:highlight w:val="none"/>
              </w:rPr>
              <w:t>年），超过360天未抵扣的专用发票不能抵扣不能作废</w:t>
            </w:r>
            <w:r>
              <w:rPr>
                <w:rFonts w:hint="eastAsia" w:hAnsi="宋体"/>
                <w:color w:val="auto"/>
                <w:szCs w:val="21"/>
                <w:highlight w:val="none"/>
                <w:lang w:eastAsia="zh-CN"/>
              </w:rPr>
              <w:t>。</w:t>
            </w:r>
          </w:p>
        </w:tc>
      </w:tr>
    </w:tbl>
    <w:p>
      <w:pPr>
        <w:pStyle w:val="22"/>
        <w:tabs>
          <w:tab w:val="left" w:pos="2127"/>
        </w:tabs>
        <w:spacing w:line="360" w:lineRule="auto"/>
        <w:jc w:val="center"/>
        <w:rPr>
          <w:rFonts w:hAnsi="宋体"/>
          <w:color w:val="auto"/>
          <w:highlight w:val="none"/>
        </w:rPr>
        <w:sectPr>
          <w:footerReference r:id="rId9" w:type="default"/>
          <w:pgSz w:w="11906" w:h="16838"/>
          <w:pgMar w:top="1418" w:right="1418" w:bottom="1418" w:left="1418" w:header="964"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pStyle w:val="2"/>
        <w:pageBreakBefore/>
        <w:widowControl/>
        <w:tabs>
          <w:tab w:val="left" w:pos="2127"/>
        </w:tabs>
        <w:spacing w:before="0" w:after="0" w:line="360" w:lineRule="auto"/>
        <w:rPr>
          <w:rFonts w:ascii="宋体" w:hAnsi="宋体" w:eastAsia="宋体"/>
          <w:color w:val="auto"/>
          <w:sz w:val="24"/>
          <w:szCs w:val="24"/>
          <w:highlight w:val="none"/>
        </w:rPr>
      </w:pPr>
      <w:bookmarkStart w:id="37" w:name="_Toc16323"/>
      <w:bookmarkStart w:id="38" w:name="_Toc30066"/>
      <w:bookmarkStart w:id="39" w:name="_Toc22466"/>
      <w:bookmarkStart w:id="40" w:name="_Toc7163"/>
      <w:bookmarkStart w:id="41" w:name="_Toc24995"/>
      <w:bookmarkStart w:id="42" w:name="_Toc5412"/>
      <w:bookmarkStart w:id="43" w:name="_Toc1679"/>
      <w:bookmarkStart w:id="44" w:name="_Toc17368"/>
      <w:bookmarkStart w:id="45" w:name="_Toc24100"/>
      <w:bookmarkStart w:id="46" w:name="_Toc26712"/>
      <w:bookmarkStart w:id="47" w:name="_Toc3352"/>
      <w:bookmarkStart w:id="48" w:name="_Toc10624"/>
      <w:bookmarkStart w:id="49" w:name="_Toc26502"/>
      <w:bookmarkStart w:id="50" w:name="_Toc21527"/>
      <w:bookmarkStart w:id="51" w:name="_Toc17357"/>
      <w:r>
        <w:rPr>
          <w:rFonts w:hint="eastAsia" w:ascii="宋体" w:hAnsi="宋体" w:eastAsia="宋体"/>
          <w:color w:val="auto"/>
          <w:sz w:val="24"/>
          <w:szCs w:val="24"/>
          <w:highlight w:val="none"/>
        </w:rPr>
        <w:t>1. 总则</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pPr>
        <w:pStyle w:val="22"/>
        <w:tabs>
          <w:tab w:val="left" w:pos="2127"/>
        </w:tabs>
        <w:spacing w:line="360" w:lineRule="auto"/>
        <w:outlineLvl w:val="2"/>
        <w:rPr>
          <w:rFonts w:hAnsi="宋体"/>
          <w:b/>
          <w:color w:val="auto"/>
          <w:highlight w:val="none"/>
        </w:rPr>
      </w:pPr>
      <w:bookmarkStart w:id="52" w:name="_Toc4806"/>
      <w:bookmarkStart w:id="53" w:name="_Toc25979"/>
      <w:bookmarkStart w:id="54" w:name="_Toc17283"/>
      <w:bookmarkStart w:id="55" w:name="_Toc484792183"/>
      <w:bookmarkStart w:id="56" w:name="_Toc27278"/>
      <w:bookmarkStart w:id="57" w:name="_Toc24178"/>
      <w:bookmarkStart w:id="58" w:name="_Toc7632"/>
      <w:bookmarkStart w:id="59" w:name="_Toc19890"/>
      <w:bookmarkStart w:id="60" w:name="_Toc30093"/>
      <w:bookmarkStart w:id="61" w:name="_Toc20654"/>
      <w:bookmarkStart w:id="62" w:name="_Toc29916"/>
      <w:bookmarkStart w:id="63" w:name="_Toc13387"/>
      <w:bookmarkStart w:id="64" w:name="_Toc29265"/>
      <w:bookmarkStart w:id="65" w:name="_Toc26902"/>
      <w:bookmarkStart w:id="66" w:name="_Toc14826"/>
      <w:bookmarkStart w:id="67" w:name="_Toc26266"/>
      <w:bookmarkStart w:id="68" w:name="_Toc26785"/>
      <w:bookmarkStart w:id="69" w:name="_Toc13135"/>
      <w:bookmarkStart w:id="70" w:name="_Toc18271"/>
      <w:bookmarkStart w:id="71" w:name="_Toc19618"/>
      <w:bookmarkStart w:id="72" w:name="_Toc30097"/>
      <w:bookmarkStart w:id="73" w:name="_Toc23451"/>
      <w:bookmarkStart w:id="74" w:name="_Toc26855"/>
      <w:bookmarkStart w:id="75" w:name="_Toc17079"/>
      <w:bookmarkStart w:id="76" w:name="_Toc7561"/>
      <w:bookmarkStart w:id="77" w:name="_Toc482803070"/>
      <w:bookmarkStart w:id="78" w:name="_Toc19602"/>
      <w:bookmarkStart w:id="79" w:name="_Toc13267"/>
      <w:bookmarkStart w:id="80" w:name="_Toc848"/>
      <w:bookmarkStart w:id="81" w:name="_Toc29850"/>
      <w:bookmarkStart w:id="82" w:name="_Toc20199"/>
      <w:bookmarkStart w:id="83" w:name="_Toc2290"/>
      <w:bookmarkStart w:id="84" w:name="_Toc17748"/>
      <w:bookmarkStart w:id="85" w:name="_Toc26343"/>
      <w:bookmarkStart w:id="86" w:name="_Toc16170"/>
      <w:bookmarkStart w:id="87" w:name="_Toc18681"/>
      <w:bookmarkStart w:id="88" w:name="_Toc22963"/>
      <w:bookmarkStart w:id="89" w:name="_Toc8451"/>
      <w:bookmarkStart w:id="90" w:name="_Toc18111"/>
      <w:bookmarkStart w:id="91" w:name="_Toc10347"/>
      <w:bookmarkStart w:id="92" w:name="_Toc7937"/>
      <w:bookmarkStart w:id="93" w:name="_Toc12418"/>
      <w:r>
        <w:rPr>
          <w:rFonts w:hint="eastAsia" w:hAnsi="宋体"/>
          <w:b/>
          <w:color w:val="auto"/>
          <w:highlight w:val="none"/>
        </w:rPr>
        <w:t>1.1 项目概况</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pStyle w:val="22"/>
        <w:tabs>
          <w:tab w:val="left" w:pos="2127"/>
        </w:tabs>
        <w:spacing w:line="360" w:lineRule="auto"/>
        <w:ind w:firstLine="315" w:firstLineChars="150"/>
        <w:rPr>
          <w:rFonts w:hAnsi="宋体"/>
          <w:color w:val="auto"/>
          <w:highlight w:val="none"/>
        </w:rPr>
      </w:pPr>
      <w:r>
        <w:rPr>
          <w:rFonts w:hint="eastAsia" w:hAnsi="宋体"/>
          <w:color w:val="auto"/>
          <w:highlight w:val="none"/>
        </w:rPr>
        <w:t>1.1.1</w:t>
      </w:r>
      <w:r>
        <w:rPr>
          <w:rFonts w:hint="eastAsia" w:hAnsi="宋体" w:cs="仿宋_GB2312"/>
          <w:color w:val="auto"/>
          <w:kern w:val="0"/>
          <w:szCs w:val="21"/>
          <w:highlight w:val="none"/>
        </w:rPr>
        <w:t>根据《中华人民共和国招标投标法》、《中华人民共和国招标投标法实施条例》等有关法律、法规和规章的规定，本招标项目已具备招标条件，现对该</w:t>
      </w:r>
      <w:r>
        <w:rPr>
          <w:rFonts w:hint="eastAsia" w:hAnsi="宋体" w:cs="仿宋_GB2312"/>
          <w:color w:val="auto"/>
          <w:kern w:val="0"/>
          <w:szCs w:val="21"/>
          <w:highlight w:val="none"/>
          <w:lang w:eastAsia="zh-CN"/>
        </w:rPr>
        <w:t>项目</w:t>
      </w:r>
      <w:r>
        <w:rPr>
          <w:rFonts w:hint="eastAsia" w:hAnsi="宋体" w:cs="仿宋_GB2312"/>
          <w:color w:val="auto"/>
          <w:kern w:val="0"/>
          <w:szCs w:val="21"/>
          <w:highlight w:val="none"/>
        </w:rPr>
        <w:t>进行招标。</w:t>
      </w:r>
    </w:p>
    <w:p>
      <w:pPr>
        <w:pStyle w:val="22"/>
        <w:spacing w:line="360" w:lineRule="auto"/>
        <w:ind w:firstLine="315" w:firstLineChars="150"/>
        <w:rPr>
          <w:rFonts w:hAnsi="宋体"/>
          <w:color w:val="auto"/>
          <w:szCs w:val="21"/>
          <w:highlight w:val="none"/>
        </w:rPr>
      </w:pPr>
      <w:r>
        <w:rPr>
          <w:rFonts w:hint="eastAsia" w:hAnsi="宋体"/>
          <w:color w:val="auto"/>
          <w:szCs w:val="21"/>
          <w:highlight w:val="none"/>
        </w:rPr>
        <w:t>1.1.2 招标人：见投标人须知前附表。</w:t>
      </w:r>
    </w:p>
    <w:p>
      <w:pPr>
        <w:pStyle w:val="22"/>
        <w:spacing w:line="360" w:lineRule="auto"/>
        <w:ind w:firstLine="315" w:firstLineChars="150"/>
        <w:rPr>
          <w:rFonts w:hAnsi="宋体"/>
          <w:color w:val="auto"/>
          <w:szCs w:val="21"/>
          <w:highlight w:val="none"/>
        </w:rPr>
      </w:pPr>
      <w:r>
        <w:rPr>
          <w:rFonts w:hint="eastAsia" w:hAnsi="宋体"/>
          <w:color w:val="auto"/>
          <w:szCs w:val="21"/>
          <w:highlight w:val="none"/>
        </w:rPr>
        <w:t>1.1.3 招标代理机构：见投标人须知前附表。</w:t>
      </w:r>
    </w:p>
    <w:p>
      <w:pPr>
        <w:pStyle w:val="22"/>
        <w:spacing w:line="360" w:lineRule="auto"/>
        <w:ind w:firstLine="315" w:firstLineChars="150"/>
        <w:rPr>
          <w:rFonts w:hAnsi="宋体"/>
          <w:color w:val="auto"/>
          <w:szCs w:val="21"/>
          <w:highlight w:val="none"/>
        </w:rPr>
      </w:pPr>
      <w:r>
        <w:rPr>
          <w:rFonts w:hint="eastAsia" w:hAnsi="宋体"/>
          <w:color w:val="auto"/>
          <w:szCs w:val="21"/>
          <w:highlight w:val="none"/>
        </w:rPr>
        <w:t>1.1.4 项目名称：见投标人须知前附表。</w:t>
      </w:r>
    </w:p>
    <w:p>
      <w:pPr>
        <w:pStyle w:val="22"/>
        <w:spacing w:line="360" w:lineRule="auto"/>
        <w:ind w:firstLine="315" w:firstLineChars="150"/>
        <w:rPr>
          <w:rFonts w:hAnsi="宋体"/>
          <w:color w:val="auto"/>
          <w:szCs w:val="21"/>
          <w:highlight w:val="none"/>
        </w:rPr>
      </w:pPr>
      <w:r>
        <w:rPr>
          <w:rFonts w:hint="eastAsia" w:hAnsi="宋体"/>
          <w:color w:val="auto"/>
          <w:szCs w:val="21"/>
          <w:highlight w:val="none"/>
        </w:rPr>
        <w:t>1.1.5 招标范围：见投标人须知前附表。</w:t>
      </w:r>
    </w:p>
    <w:p>
      <w:pPr>
        <w:pStyle w:val="22"/>
        <w:tabs>
          <w:tab w:val="left" w:pos="2127"/>
        </w:tabs>
        <w:spacing w:line="360" w:lineRule="auto"/>
        <w:outlineLvl w:val="2"/>
        <w:rPr>
          <w:rFonts w:hAnsi="宋体"/>
          <w:b/>
          <w:color w:val="auto"/>
          <w:highlight w:val="none"/>
        </w:rPr>
      </w:pPr>
      <w:bookmarkStart w:id="94" w:name="_Toc27502"/>
      <w:bookmarkStart w:id="95" w:name="_Toc26099"/>
      <w:bookmarkStart w:id="96" w:name="_Toc17603"/>
      <w:bookmarkStart w:id="97" w:name="_Toc31750"/>
      <w:bookmarkStart w:id="98" w:name="_Toc10939"/>
      <w:bookmarkStart w:id="99" w:name="_Toc15348"/>
      <w:bookmarkStart w:id="100" w:name="_Toc12936"/>
      <w:bookmarkStart w:id="101" w:name="_Toc20078"/>
      <w:bookmarkStart w:id="102" w:name="_Toc2806"/>
      <w:bookmarkStart w:id="103" w:name="_Toc15834"/>
      <w:bookmarkStart w:id="104" w:name="_Toc31468"/>
      <w:bookmarkStart w:id="105" w:name="_Toc7608"/>
      <w:bookmarkStart w:id="106" w:name="_Toc15986"/>
      <w:bookmarkStart w:id="107" w:name="_Toc19253"/>
      <w:bookmarkStart w:id="108" w:name="_Toc5734"/>
      <w:bookmarkStart w:id="109" w:name="_Toc8458"/>
      <w:bookmarkStart w:id="110" w:name="_Toc482803071"/>
      <w:bookmarkStart w:id="111" w:name="_Toc28857"/>
      <w:bookmarkStart w:id="112" w:name="_Toc25510"/>
      <w:bookmarkStart w:id="113" w:name="_Toc28112"/>
      <w:bookmarkStart w:id="114" w:name="_Toc17061"/>
      <w:bookmarkStart w:id="115" w:name="_Toc1913"/>
      <w:bookmarkStart w:id="116" w:name="_Toc23277"/>
      <w:bookmarkStart w:id="117" w:name="_Toc484792184"/>
      <w:bookmarkStart w:id="118" w:name="_Toc9260"/>
      <w:bookmarkStart w:id="119" w:name="_Toc14135"/>
      <w:bookmarkStart w:id="120" w:name="_Toc15911"/>
      <w:bookmarkStart w:id="121" w:name="_Toc14456"/>
      <w:bookmarkStart w:id="122" w:name="_Toc30413"/>
      <w:bookmarkStart w:id="123" w:name="_Toc9227"/>
      <w:bookmarkStart w:id="124" w:name="_Toc2085"/>
      <w:bookmarkStart w:id="125" w:name="_Toc4707"/>
      <w:bookmarkStart w:id="126" w:name="_Toc31822"/>
      <w:bookmarkStart w:id="127" w:name="_Toc19323"/>
      <w:bookmarkStart w:id="128" w:name="_Toc29269"/>
      <w:bookmarkStart w:id="129" w:name="_Toc23372"/>
      <w:bookmarkStart w:id="130" w:name="_Toc21918"/>
      <w:bookmarkStart w:id="131" w:name="_Toc22791"/>
      <w:bookmarkStart w:id="132" w:name="_Toc15427"/>
      <w:bookmarkStart w:id="133" w:name="_Toc8401"/>
      <w:bookmarkStart w:id="134" w:name="_Toc10928"/>
      <w:bookmarkStart w:id="135" w:name="_Toc13677"/>
      <w:r>
        <w:rPr>
          <w:rFonts w:hint="eastAsia" w:hAnsi="宋体"/>
          <w:b/>
          <w:color w:val="auto"/>
          <w:highlight w:val="none"/>
        </w:rPr>
        <w:t>1.2 资金来源和落实情况</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pStyle w:val="22"/>
        <w:spacing w:line="360" w:lineRule="auto"/>
        <w:ind w:firstLine="315" w:firstLineChars="150"/>
        <w:rPr>
          <w:rFonts w:hAnsi="宋体"/>
          <w:color w:val="auto"/>
          <w:szCs w:val="21"/>
          <w:highlight w:val="none"/>
        </w:rPr>
      </w:pPr>
      <w:r>
        <w:rPr>
          <w:rFonts w:hint="eastAsia" w:hAnsi="宋体"/>
          <w:color w:val="auto"/>
          <w:szCs w:val="21"/>
          <w:highlight w:val="none"/>
        </w:rPr>
        <w:t>1.2.1</w:t>
      </w:r>
      <w:r>
        <w:rPr>
          <w:rFonts w:hint="eastAsia" w:hAnsi="宋体" w:cs="仿宋_GB2312"/>
          <w:color w:val="auto"/>
          <w:szCs w:val="21"/>
          <w:highlight w:val="none"/>
        </w:rPr>
        <w:t>资金来源</w:t>
      </w:r>
      <w:r>
        <w:rPr>
          <w:rFonts w:hint="eastAsia" w:hAnsi="宋体"/>
          <w:color w:val="auto"/>
          <w:szCs w:val="21"/>
          <w:highlight w:val="none"/>
        </w:rPr>
        <w:t>：见投标人须知前附表。</w:t>
      </w:r>
    </w:p>
    <w:p>
      <w:pPr>
        <w:pStyle w:val="22"/>
        <w:spacing w:line="360" w:lineRule="auto"/>
        <w:ind w:firstLine="315" w:firstLineChars="150"/>
        <w:rPr>
          <w:rFonts w:hAnsi="宋体"/>
          <w:color w:val="auto"/>
          <w:szCs w:val="21"/>
          <w:highlight w:val="none"/>
        </w:rPr>
      </w:pPr>
      <w:r>
        <w:rPr>
          <w:rFonts w:hint="eastAsia" w:hAnsi="宋体"/>
          <w:color w:val="auto"/>
          <w:szCs w:val="21"/>
          <w:highlight w:val="none"/>
        </w:rPr>
        <w:t>1.2.2</w:t>
      </w:r>
      <w:r>
        <w:rPr>
          <w:rFonts w:hint="eastAsia" w:hAnsi="宋体" w:cs="仿宋_GB2312"/>
          <w:color w:val="auto"/>
          <w:szCs w:val="21"/>
          <w:highlight w:val="none"/>
        </w:rPr>
        <w:t>资金落实情况</w:t>
      </w:r>
      <w:r>
        <w:rPr>
          <w:rFonts w:hint="eastAsia" w:hAnsi="宋体"/>
          <w:color w:val="auto"/>
          <w:szCs w:val="21"/>
          <w:highlight w:val="none"/>
        </w:rPr>
        <w:t>：见投标人须知前附表。</w:t>
      </w:r>
    </w:p>
    <w:p>
      <w:pPr>
        <w:pStyle w:val="22"/>
        <w:tabs>
          <w:tab w:val="left" w:pos="2127"/>
        </w:tabs>
        <w:spacing w:line="360" w:lineRule="auto"/>
        <w:outlineLvl w:val="2"/>
        <w:rPr>
          <w:rFonts w:hint="default" w:hAnsi="宋体" w:eastAsia="宋体"/>
          <w:b/>
          <w:color w:val="auto"/>
          <w:highlight w:val="none"/>
          <w:lang w:val="en-US" w:eastAsia="zh-CN"/>
        </w:rPr>
      </w:pPr>
      <w:bookmarkStart w:id="136" w:name="_Toc482803072"/>
      <w:bookmarkStart w:id="137" w:name="_Toc24494"/>
      <w:bookmarkStart w:id="138" w:name="_Toc23450"/>
      <w:bookmarkStart w:id="139" w:name="_Toc20251"/>
      <w:bookmarkStart w:id="140" w:name="_Toc15709"/>
      <w:bookmarkStart w:id="141" w:name="_Toc6216"/>
      <w:bookmarkStart w:id="142" w:name="_Toc19892"/>
      <w:bookmarkStart w:id="143" w:name="_Toc26769"/>
      <w:bookmarkStart w:id="144" w:name="_Toc29012"/>
      <w:bookmarkStart w:id="145" w:name="_Toc2403"/>
      <w:bookmarkStart w:id="146" w:name="_Toc14474"/>
      <w:bookmarkStart w:id="147" w:name="_Toc17733"/>
      <w:bookmarkStart w:id="148" w:name="_Toc25320"/>
      <w:bookmarkStart w:id="149" w:name="_Toc20226"/>
      <w:bookmarkStart w:id="150" w:name="_Toc7457"/>
      <w:bookmarkStart w:id="151" w:name="_Toc1640"/>
      <w:bookmarkStart w:id="152" w:name="_Toc29308"/>
      <w:bookmarkStart w:id="153" w:name="_Toc8508"/>
      <w:bookmarkStart w:id="154" w:name="_Toc2223"/>
      <w:bookmarkStart w:id="155" w:name="_Toc28834"/>
      <w:bookmarkStart w:id="156" w:name="_Toc32586"/>
      <w:bookmarkStart w:id="157" w:name="_Toc28550"/>
      <w:bookmarkStart w:id="158" w:name="_Toc484792185"/>
      <w:bookmarkStart w:id="159" w:name="_Toc8361"/>
      <w:bookmarkStart w:id="160" w:name="_Toc18231"/>
      <w:bookmarkStart w:id="161" w:name="_Toc5354"/>
      <w:bookmarkStart w:id="162" w:name="_Toc8417"/>
      <w:bookmarkStart w:id="163" w:name="_Toc6082"/>
      <w:bookmarkStart w:id="164" w:name="_Toc4764"/>
      <w:bookmarkStart w:id="165" w:name="_Toc8177"/>
      <w:bookmarkStart w:id="166" w:name="_Toc22564"/>
      <w:bookmarkStart w:id="167" w:name="_Toc406"/>
      <w:bookmarkStart w:id="168" w:name="_Toc11840"/>
      <w:bookmarkStart w:id="169" w:name="_Toc24156"/>
      <w:bookmarkStart w:id="170" w:name="_Toc1052"/>
      <w:bookmarkStart w:id="171" w:name="_Toc10695"/>
      <w:bookmarkStart w:id="172" w:name="_Toc24695"/>
      <w:bookmarkStart w:id="173" w:name="_Toc15666"/>
      <w:bookmarkStart w:id="174" w:name="_Toc1806"/>
      <w:bookmarkStart w:id="175" w:name="_Toc5740"/>
      <w:bookmarkStart w:id="176" w:name="_Toc25912"/>
      <w:bookmarkStart w:id="177" w:name="_Toc30780"/>
      <w:r>
        <w:rPr>
          <w:rFonts w:hint="eastAsia" w:hAnsi="宋体"/>
          <w:b/>
          <w:color w:val="auto"/>
          <w:highlight w:val="none"/>
        </w:rPr>
        <w:t>1.3 招标范围、</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Pr>
          <w:rFonts w:hint="eastAsia" w:hAnsi="宋体"/>
          <w:b/>
          <w:color w:val="auto"/>
          <w:highlight w:val="none"/>
          <w:lang w:val="en-US" w:eastAsia="zh-CN"/>
        </w:rPr>
        <w:t>计划工期、质量要求和施工承包方式</w:t>
      </w:r>
    </w:p>
    <w:p>
      <w:pPr>
        <w:pStyle w:val="22"/>
        <w:spacing w:line="360" w:lineRule="auto"/>
        <w:ind w:firstLine="315" w:firstLineChars="150"/>
        <w:rPr>
          <w:rFonts w:hAnsi="宋体"/>
          <w:color w:val="auto"/>
          <w:szCs w:val="21"/>
          <w:highlight w:val="none"/>
        </w:rPr>
      </w:pPr>
      <w:r>
        <w:rPr>
          <w:rFonts w:hint="eastAsia" w:hAnsi="宋体"/>
          <w:color w:val="auto"/>
          <w:szCs w:val="21"/>
          <w:highlight w:val="none"/>
        </w:rPr>
        <w:t>1.3.1</w:t>
      </w:r>
      <w:r>
        <w:rPr>
          <w:rFonts w:hint="eastAsia" w:hAnsi="宋体" w:cs="仿宋_GB2312"/>
          <w:color w:val="auto"/>
          <w:szCs w:val="21"/>
          <w:highlight w:val="none"/>
        </w:rPr>
        <w:t>招标范围：</w:t>
      </w:r>
      <w:r>
        <w:rPr>
          <w:rFonts w:hint="eastAsia" w:hAnsi="宋体"/>
          <w:color w:val="auto"/>
          <w:szCs w:val="21"/>
          <w:highlight w:val="none"/>
        </w:rPr>
        <w:t>见投标人须知前附表。</w:t>
      </w:r>
    </w:p>
    <w:p>
      <w:pPr>
        <w:pStyle w:val="22"/>
        <w:spacing w:line="360" w:lineRule="auto"/>
        <w:ind w:firstLine="315" w:firstLineChars="150"/>
        <w:rPr>
          <w:rFonts w:hint="eastAsia" w:hAnsi="宋体"/>
          <w:color w:val="auto"/>
          <w:szCs w:val="21"/>
          <w:highlight w:val="none"/>
        </w:rPr>
      </w:pPr>
      <w:r>
        <w:rPr>
          <w:rFonts w:hint="eastAsia" w:hAnsi="宋体"/>
          <w:color w:val="auto"/>
          <w:szCs w:val="21"/>
          <w:highlight w:val="none"/>
        </w:rPr>
        <w:t>1.3.2计划工期：见投标人须知前附表。</w:t>
      </w:r>
    </w:p>
    <w:p>
      <w:pPr>
        <w:pStyle w:val="22"/>
        <w:spacing w:line="360" w:lineRule="auto"/>
        <w:ind w:firstLine="315" w:firstLineChars="150"/>
        <w:rPr>
          <w:rFonts w:ascii="宋体" w:hAnsi="宋体" w:eastAsia="宋体" w:cs="宋体"/>
          <w:color w:val="auto"/>
          <w:spacing w:val="-2"/>
          <w:sz w:val="21"/>
          <w:szCs w:val="21"/>
          <w:highlight w:val="none"/>
        </w:rPr>
      </w:pPr>
      <w:r>
        <w:rPr>
          <w:rFonts w:hint="eastAsia" w:hAnsi="宋体"/>
          <w:color w:val="auto"/>
          <w:szCs w:val="21"/>
          <w:highlight w:val="none"/>
        </w:rPr>
        <w:t>1.3.</w:t>
      </w:r>
      <w:r>
        <w:rPr>
          <w:rFonts w:hint="eastAsia" w:hAnsi="宋体"/>
          <w:color w:val="auto"/>
          <w:szCs w:val="21"/>
          <w:highlight w:val="none"/>
          <w:lang w:val="en-US" w:eastAsia="zh-CN"/>
        </w:rPr>
        <w:t>3</w:t>
      </w:r>
      <w:r>
        <w:rPr>
          <w:rFonts w:ascii="宋体" w:hAnsi="宋体" w:eastAsia="宋体" w:cs="宋体"/>
          <w:color w:val="auto"/>
          <w:spacing w:val="-2"/>
          <w:sz w:val="21"/>
          <w:szCs w:val="21"/>
          <w:highlight w:val="none"/>
        </w:rPr>
        <w:t>质量、安全、文明施工要求：见投标人须知前附表。</w:t>
      </w:r>
    </w:p>
    <w:p>
      <w:pPr>
        <w:pStyle w:val="22"/>
        <w:spacing w:line="360" w:lineRule="auto"/>
        <w:ind w:firstLine="315" w:firstLineChars="150"/>
        <w:rPr>
          <w:rFonts w:hint="eastAsia" w:ascii="宋体" w:hAnsi="宋体" w:eastAsia="宋体" w:cs="宋体"/>
          <w:color w:val="auto"/>
          <w:spacing w:val="-2"/>
          <w:sz w:val="21"/>
          <w:szCs w:val="21"/>
          <w:highlight w:val="none"/>
          <w:lang w:eastAsia="zh-CN"/>
        </w:rPr>
      </w:pPr>
      <w:r>
        <w:rPr>
          <w:rFonts w:hint="eastAsia" w:hAnsi="宋体"/>
          <w:color w:val="auto"/>
          <w:szCs w:val="21"/>
          <w:highlight w:val="none"/>
        </w:rPr>
        <w:t>1.3.</w:t>
      </w:r>
      <w:r>
        <w:rPr>
          <w:rFonts w:hint="eastAsia" w:hAnsi="宋体"/>
          <w:color w:val="auto"/>
          <w:szCs w:val="21"/>
          <w:highlight w:val="none"/>
          <w:lang w:val="en-US" w:eastAsia="zh-CN"/>
        </w:rPr>
        <w:t>4施工承包方式：见投标人须知前附表。</w:t>
      </w:r>
    </w:p>
    <w:p>
      <w:pPr>
        <w:pStyle w:val="22"/>
        <w:tabs>
          <w:tab w:val="left" w:pos="2127"/>
        </w:tabs>
        <w:spacing w:line="360" w:lineRule="auto"/>
        <w:outlineLvl w:val="2"/>
        <w:rPr>
          <w:rFonts w:hAnsi="宋体"/>
          <w:b/>
          <w:color w:val="auto"/>
          <w:highlight w:val="none"/>
        </w:rPr>
      </w:pPr>
      <w:bookmarkStart w:id="178" w:name="_Toc12784"/>
      <w:bookmarkStart w:id="179" w:name="_Toc6600"/>
      <w:bookmarkStart w:id="180" w:name="_Toc3669"/>
      <w:bookmarkStart w:id="181" w:name="_Toc29554"/>
      <w:bookmarkStart w:id="182" w:name="_Toc28466"/>
      <w:bookmarkStart w:id="183" w:name="_Toc26783"/>
      <w:bookmarkStart w:id="184" w:name="_Toc18844"/>
      <w:bookmarkStart w:id="185" w:name="_Toc17895"/>
      <w:bookmarkStart w:id="186" w:name="_Toc25841"/>
      <w:bookmarkStart w:id="187" w:name="_Toc32237"/>
      <w:bookmarkStart w:id="188" w:name="_Toc32099"/>
      <w:bookmarkStart w:id="189" w:name="_Toc28329"/>
      <w:bookmarkStart w:id="190" w:name="_Toc15721"/>
      <w:bookmarkStart w:id="191" w:name="_Toc14379"/>
      <w:bookmarkStart w:id="192" w:name="_Toc210"/>
      <w:bookmarkStart w:id="193" w:name="_Toc31759"/>
      <w:bookmarkStart w:id="194" w:name="_Toc1072"/>
      <w:bookmarkStart w:id="195" w:name="_Toc26756"/>
      <w:bookmarkStart w:id="196" w:name="_Toc23079"/>
      <w:bookmarkStart w:id="197" w:name="_Toc20812"/>
      <w:bookmarkStart w:id="198" w:name="_Toc25647"/>
      <w:bookmarkStart w:id="199" w:name="_Toc24838"/>
      <w:bookmarkStart w:id="200" w:name="_Toc11505"/>
      <w:bookmarkStart w:id="201" w:name="_Toc8396"/>
      <w:bookmarkStart w:id="202" w:name="_Toc6766"/>
      <w:bookmarkStart w:id="203" w:name="_Toc13232"/>
      <w:bookmarkStart w:id="204" w:name="_Toc650"/>
      <w:bookmarkStart w:id="205" w:name="_Toc11797"/>
      <w:bookmarkStart w:id="206" w:name="_Toc14062"/>
      <w:bookmarkStart w:id="207" w:name="_Toc30505"/>
      <w:bookmarkStart w:id="208" w:name="_Toc16264"/>
      <w:bookmarkStart w:id="209" w:name="_Toc11990"/>
      <w:bookmarkStart w:id="210" w:name="_Toc12971"/>
      <w:bookmarkStart w:id="211" w:name="_Toc17139"/>
      <w:bookmarkStart w:id="212" w:name="_Toc482803073"/>
      <w:bookmarkStart w:id="213" w:name="_Toc19282"/>
      <w:bookmarkStart w:id="214" w:name="_Toc10148"/>
      <w:bookmarkStart w:id="215" w:name="_Toc30492"/>
      <w:bookmarkStart w:id="216" w:name="_Toc7694"/>
      <w:bookmarkStart w:id="217" w:name="_Toc4546"/>
      <w:bookmarkStart w:id="218" w:name="_Toc24048"/>
      <w:bookmarkStart w:id="219" w:name="_Toc484792186"/>
      <w:r>
        <w:rPr>
          <w:rFonts w:hint="eastAsia" w:hAnsi="宋体"/>
          <w:b/>
          <w:color w:val="auto"/>
          <w:highlight w:val="none"/>
        </w:rPr>
        <w:t>1.4 投标人资格要求</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pPr>
        <w:pStyle w:val="22"/>
        <w:tabs>
          <w:tab w:val="left" w:pos="2127"/>
        </w:tabs>
        <w:spacing w:line="360" w:lineRule="auto"/>
        <w:ind w:firstLine="315" w:firstLineChars="150"/>
        <w:rPr>
          <w:rFonts w:hint="eastAsia" w:hAnsi="宋体" w:cs="仿宋_GB2312"/>
          <w:color w:val="auto"/>
          <w:kern w:val="0"/>
          <w:szCs w:val="21"/>
          <w:highlight w:val="none"/>
        </w:rPr>
      </w:pPr>
      <w:r>
        <w:rPr>
          <w:rFonts w:hint="eastAsia" w:hAnsi="宋体"/>
          <w:color w:val="auto"/>
          <w:highlight w:val="none"/>
        </w:rPr>
        <w:t>1.4.1</w:t>
      </w:r>
      <w:r>
        <w:rPr>
          <w:rFonts w:hint="eastAsia" w:hAnsi="宋体"/>
          <w:color w:val="auto"/>
          <w:szCs w:val="21"/>
          <w:highlight w:val="none"/>
        </w:rPr>
        <w:t>见投标人须知前附表。</w:t>
      </w:r>
    </w:p>
    <w:p>
      <w:pPr>
        <w:pStyle w:val="22"/>
        <w:tabs>
          <w:tab w:val="left" w:pos="2127"/>
        </w:tabs>
        <w:spacing w:line="360" w:lineRule="auto"/>
        <w:ind w:firstLine="283" w:firstLineChars="135"/>
        <w:rPr>
          <w:rFonts w:hAnsi="宋体"/>
          <w:color w:val="auto"/>
          <w:highlight w:val="none"/>
        </w:rPr>
      </w:pPr>
      <w:r>
        <w:rPr>
          <w:rFonts w:hint="eastAsia" w:hAnsi="宋体"/>
          <w:color w:val="auto"/>
          <w:highlight w:val="none"/>
        </w:rPr>
        <w:t>1.4.2</w:t>
      </w:r>
      <w:r>
        <w:rPr>
          <w:rFonts w:hint="eastAsia" w:hAnsi="宋体" w:cs="仿宋_GB2312"/>
          <w:color w:val="auto"/>
          <w:kern w:val="0"/>
          <w:szCs w:val="21"/>
          <w:highlight w:val="none"/>
        </w:rPr>
        <w:t>投标人须知前附表规定接受联合体投标的，除应符合本章第</w:t>
      </w:r>
      <w:r>
        <w:rPr>
          <w:rFonts w:hAnsi="宋体" w:cs="TimesNewRomanPSMT"/>
          <w:color w:val="auto"/>
          <w:kern w:val="0"/>
          <w:szCs w:val="21"/>
          <w:highlight w:val="none"/>
        </w:rPr>
        <w:t xml:space="preserve">1.4.1 </w:t>
      </w:r>
      <w:r>
        <w:rPr>
          <w:rFonts w:hint="eastAsia" w:hAnsi="宋体" w:cs="仿宋_GB2312"/>
          <w:color w:val="auto"/>
          <w:kern w:val="0"/>
          <w:szCs w:val="21"/>
          <w:highlight w:val="none"/>
        </w:rPr>
        <w:t>项和投标人须知前附表的要求外，</w:t>
      </w:r>
      <w:r>
        <w:rPr>
          <w:rFonts w:hint="eastAsia" w:hAnsi="宋体"/>
          <w:color w:val="auto"/>
          <w:highlight w:val="none"/>
        </w:rPr>
        <w:t>还应遵守以下规定：</w:t>
      </w:r>
    </w:p>
    <w:p>
      <w:pPr>
        <w:pStyle w:val="22"/>
        <w:tabs>
          <w:tab w:val="left" w:pos="2127"/>
        </w:tabs>
        <w:spacing w:line="360" w:lineRule="auto"/>
        <w:ind w:firstLine="315" w:firstLineChars="150"/>
        <w:rPr>
          <w:rFonts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）联合体各方应按招标文件提供的格式签订联合体协议书，明确联合体牵头人和各方权利义务；</w:t>
      </w:r>
    </w:p>
    <w:p>
      <w:pPr>
        <w:pStyle w:val="22"/>
        <w:tabs>
          <w:tab w:val="left" w:pos="2127"/>
        </w:tabs>
        <w:spacing w:line="360" w:lineRule="auto"/>
        <w:ind w:firstLine="315" w:firstLineChars="15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）由同一专业的单位组成的联合体，按照资质等级较低的单位确定资质等级；</w:t>
      </w:r>
    </w:p>
    <w:p>
      <w:pPr>
        <w:pStyle w:val="22"/>
        <w:tabs>
          <w:tab w:val="left" w:pos="2127"/>
        </w:tabs>
        <w:spacing w:line="360" w:lineRule="auto"/>
        <w:ind w:firstLine="315" w:firstLineChars="150"/>
        <w:jc w:val="left"/>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）联合体各方不得再以自己名义单独或参加其他联合体在同一标段中投标。</w:t>
      </w:r>
    </w:p>
    <w:p>
      <w:pPr>
        <w:pStyle w:val="22"/>
        <w:tabs>
          <w:tab w:val="left" w:pos="2127"/>
        </w:tabs>
        <w:spacing w:line="360" w:lineRule="auto"/>
        <w:ind w:firstLine="315" w:firstLineChars="150"/>
        <w:jc w:val="left"/>
        <w:rPr>
          <w:rFonts w:hAnsi="宋体"/>
          <w:color w:val="auto"/>
          <w:highlight w:val="none"/>
        </w:rPr>
      </w:pPr>
      <w:r>
        <w:rPr>
          <w:rFonts w:hAnsi="宋体"/>
          <w:color w:val="auto"/>
          <w:highlight w:val="none"/>
        </w:rPr>
        <w:t xml:space="preserve">1.4.3 </w:t>
      </w:r>
      <w:r>
        <w:rPr>
          <w:rFonts w:hint="eastAsia" w:hAnsi="宋体"/>
          <w:color w:val="auto"/>
          <w:highlight w:val="none"/>
        </w:rPr>
        <w:t>投标人不得存在下列情形之一：</w:t>
      </w:r>
    </w:p>
    <w:p>
      <w:pPr>
        <w:pStyle w:val="22"/>
        <w:tabs>
          <w:tab w:val="left" w:pos="2127"/>
        </w:tabs>
        <w:spacing w:line="360" w:lineRule="auto"/>
        <w:ind w:firstLine="420" w:firstLineChars="200"/>
        <w:outlineLvl w:val="2"/>
        <w:rPr>
          <w:rFonts w:hint="eastAsia" w:hAnsi="宋体"/>
          <w:color w:val="auto"/>
          <w:highlight w:val="none"/>
        </w:rPr>
      </w:pPr>
      <w:bookmarkStart w:id="220" w:name="_Toc12348"/>
      <w:bookmarkStart w:id="221" w:name="_Toc13481"/>
      <w:bookmarkStart w:id="222" w:name="_Toc2606"/>
      <w:bookmarkStart w:id="223" w:name="_Toc490"/>
      <w:bookmarkStart w:id="224" w:name="_Toc15836"/>
      <w:bookmarkStart w:id="225" w:name="_Toc6538"/>
      <w:bookmarkStart w:id="226" w:name="_Toc1036"/>
      <w:bookmarkStart w:id="227" w:name="_Toc10937"/>
      <w:bookmarkStart w:id="228" w:name="_Toc8844"/>
      <w:bookmarkStart w:id="229" w:name="_Toc10562"/>
      <w:bookmarkStart w:id="230" w:name="_Toc4182"/>
      <w:bookmarkStart w:id="231" w:name="_Toc29206"/>
      <w:bookmarkStart w:id="232" w:name="_Toc30481"/>
      <w:bookmarkStart w:id="233" w:name="_Toc27696"/>
      <w:bookmarkStart w:id="234" w:name="_Toc6704"/>
      <w:bookmarkStart w:id="235" w:name="_Toc23821"/>
      <w:bookmarkStart w:id="236" w:name="_Toc2863"/>
      <w:bookmarkStart w:id="237" w:name="_Toc10283"/>
      <w:bookmarkStart w:id="238" w:name="_Toc32608"/>
      <w:bookmarkStart w:id="239" w:name="_Toc2020"/>
      <w:bookmarkStart w:id="240" w:name="_Toc15818"/>
      <w:bookmarkStart w:id="241" w:name="_Toc17817"/>
      <w:bookmarkStart w:id="242" w:name="_Toc10618"/>
      <w:bookmarkStart w:id="243" w:name="_Toc32199"/>
      <w:bookmarkStart w:id="244" w:name="_Toc12570"/>
      <w:bookmarkStart w:id="245" w:name="_Toc24089"/>
      <w:bookmarkStart w:id="246" w:name="_Toc16880"/>
      <w:bookmarkStart w:id="247" w:name="_Toc482803074"/>
      <w:bookmarkStart w:id="248" w:name="_Toc28479"/>
      <w:bookmarkStart w:id="249" w:name="_Toc22151"/>
      <w:bookmarkStart w:id="250" w:name="_Toc18803"/>
      <w:bookmarkStart w:id="251" w:name="_Toc12318"/>
      <w:bookmarkStart w:id="252" w:name="_Toc5252"/>
      <w:bookmarkStart w:id="253" w:name="_Toc7294"/>
      <w:bookmarkStart w:id="254" w:name="_Toc20022"/>
      <w:bookmarkStart w:id="255" w:name="_Toc19556"/>
      <w:bookmarkStart w:id="256" w:name="_Toc10630"/>
      <w:bookmarkStart w:id="257" w:name="_Toc13388"/>
      <w:bookmarkStart w:id="258" w:name="_Toc484792187"/>
      <w:bookmarkStart w:id="259" w:name="_Toc15002"/>
      <w:bookmarkStart w:id="260" w:name="_Toc18001"/>
      <w:bookmarkStart w:id="261" w:name="_Toc17470"/>
      <w:r>
        <w:rPr>
          <w:rFonts w:hint="eastAsia" w:hAnsi="宋体"/>
          <w:color w:val="auto"/>
          <w:highlight w:val="none"/>
        </w:rPr>
        <w:t>（1）为招标人不具有独立法人资格的附属机构（单位）；</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pPr>
        <w:pStyle w:val="22"/>
        <w:tabs>
          <w:tab w:val="left" w:pos="2127"/>
        </w:tabs>
        <w:spacing w:line="360" w:lineRule="auto"/>
        <w:ind w:firstLine="420" w:firstLineChars="200"/>
        <w:outlineLvl w:val="2"/>
        <w:rPr>
          <w:rFonts w:hint="eastAsia" w:hAnsi="宋体"/>
          <w:color w:val="auto"/>
          <w:highlight w:val="none"/>
        </w:rPr>
      </w:pPr>
      <w:bookmarkStart w:id="262" w:name="_Toc8537"/>
      <w:bookmarkStart w:id="263" w:name="_Toc8394"/>
      <w:bookmarkStart w:id="264" w:name="_Toc28630"/>
      <w:bookmarkStart w:id="265" w:name="_Toc17947"/>
      <w:bookmarkStart w:id="266" w:name="_Toc12405"/>
      <w:bookmarkStart w:id="267" w:name="_Toc16044"/>
      <w:bookmarkStart w:id="268" w:name="_Toc1482"/>
      <w:bookmarkStart w:id="269" w:name="_Toc3861"/>
      <w:bookmarkStart w:id="270" w:name="_Toc21944"/>
      <w:bookmarkStart w:id="271" w:name="_Toc29288"/>
      <w:bookmarkStart w:id="272" w:name="_Toc18646"/>
      <w:bookmarkStart w:id="273" w:name="_Toc3718"/>
      <w:bookmarkStart w:id="274" w:name="_Toc3638"/>
      <w:bookmarkStart w:id="275" w:name="_Toc19349"/>
      <w:bookmarkStart w:id="276" w:name="_Toc17740"/>
      <w:bookmarkStart w:id="277" w:name="_Toc4006"/>
      <w:bookmarkStart w:id="278" w:name="_Toc26625"/>
      <w:bookmarkStart w:id="279" w:name="_Toc19463"/>
      <w:bookmarkStart w:id="280" w:name="_Toc23815"/>
      <w:bookmarkStart w:id="281" w:name="_Toc3495"/>
      <w:bookmarkStart w:id="282" w:name="_Toc4485"/>
      <w:bookmarkStart w:id="283" w:name="_Toc10024"/>
      <w:bookmarkStart w:id="284" w:name="_Toc26248"/>
      <w:bookmarkStart w:id="285" w:name="_Toc7117"/>
      <w:bookmarkStart w:id="286" w:name="_Toc23512"/>
      <w:r>
        <w:rPr>
          <w:rFonts w:hint="eastAsia" w:hAnsi="宋体"/>
          <w:color w:val="auto"/>
          <w:highlight w:val="none"/>
        </w:rPr>
        <w:t>（2）为本标段前期准备提供设计或咨询服务的，但设计施工总承包的除外；</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pPr>
        <w:pStyle w:val="22"/>
        <w:tabs>
          <w:tab w:val="left" w:pos="2127"/>
        </w:tabs>
        <w:spacing w:line="360" w:lineRule="auto"/>
        <w:ind w:firstLine="420" w:firstLineChars="200"/>
        <w:outlineLvl w:val="2"/>
        <w:rPr>
          <w:rFonts w:hint="eastAsia" w:hAnsi="宋体"/>
          <w:color w:val="auto"/>
          <w:highlight w:val="none"/>
        </w:rPr>
      </w:pPr>
      <w:bookmarkStart w:id="287" w:name="_Toc21581"/>
      <w:bookmarkStart w:id="288" w:name="_Toc7584"/>
      <w:bookmarkStart w:id="289" w:name="_Toc25467"/>
      <w:bookmarkStart w:id="290" w:name="_Toc16066"/>
      <w:bookmarkStart w:id="291" w:name="_Toc10858"/>
      <w:bookmarkStart w:id="292" w:name="_Toc32207"/>
      <w:bookmarkStart w:id="293" w:name="_Toc1302"/>
      <w:bookmarkStart w:id="294" w:name="_Toc26216"/>
      <w:bookmarkStart w:id="295" w:name="_Toc4128"/>
      <w:bookmarkStart w:id="296" w:name="_Toc29969"/>
      <w:bookmarkStart w:id="297" w:name="_Toc18861"/>
      <w:bookmarkStart w:id="298" w:name="_Toc29165"/>
      <w:bookmarkStart w:id="299" w:name="_Toc23949"/>
      <w:bookmarkStart w:id="300" w:name="_Toc15038"/>
      <w:bookmarkStart w:id="301" w:name="_Toc20375"/>
      <w:bookmarkStart w:id="302" w:name="_Toc25716"/>
      <w:bookmarkStart w:id="303" w:name="_Toc22237"/>
      <w:bookmarkStart w:id="304" w:name="_Toc26473"/>
      <w:bookmarkStart w:id="305" w:name="_Toc12647"/>
      <w:bookmarkStart w:id="306" w:name="_Toc24519"/>
      <w:bookmarkStart w:id="307" w:name="_Toc6856"/>
      <w:bookmarkStart w:id="308" w:name="_Toc28562"/>
      <w:bookmarkStart w:id="309" w:name="_Toc7477"/>
      <w:bookmarkStart w:id="310" w:name="_Toc18658"/>
      <w:bookmarkStart w:id="311" w:name="_Toc24257"/>
      <w:r>
        <w:rPr>
          <w:rFonts w:hint="eastAsia" w:hAnsi="宋体"/>
          <w:color w:val="auto"/>
          <w:highlight w:val="none"/>
        </w:rPr>
        <w:t>（3）为本标段的监理人；</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pPr>
        <w:pStyle w:val="22"/>
        <w:tabs>
          <w:tab w:val="left" w:pos="2127"/>
        </w:tabs>
        <w:spacing w:line="360" w:lineRule="auto"/>
        <w:ind w:firstLine="420" w:firstLineChars="200"/>
        <w:outlineLvl w:val="2"/>
        <w:rPr>
          <w:rFonts w:hint="eastAsia" w:hAnsi="宋体"/>
          <w:color w:val="auto"/>
          <w:highlight w:val="none"/>
        </w:rPr>
      </w:pPr>
      <w:bookmarkStart w:id="312" w:name="_Toc24661"/>
      <w:bookmarkStart w:id="313" w:name="_Toc24093"/>
      <w:bookmarkStart w:id="314" w:name="_Toc32282"/>
      <w:bookmarkStart w:id="315" w:name="_Toc9723"/>
      <w:bookmarkStart w:id="316" w:name="_Toc26539"/>
      <w:bookmarkStart w:id="317" w:name="_Toc30387"/>
      <w:bookmarkStart w:id="318" w:name="_Toc29465"/>
      <w:bookmarkStart w:id="319" w:name="_Toc9346"/>
      <w:bookmarkStart w:id="320" w:name="_Toc5746"/>
      <w:bookmarkStart w:id="321" w:name="_Toc7287"/>
      <w:bookmarkStart w:id="322" w:name="_Toc22604"/>
      <w:bookmarkStart w:id="323" w:name="_Toc12728"/>
      <w:bookmarkStart w:id="324" w:name="_Toc1518"/>
      <w:bookmarkStart w:id="325" w:name="_Toc16826"/>
      <w:bookmarkStart w:id="326" w:name="_Toc16079"/>
      <w:bookmarkStart w:id="327" w:name="_Toc28325"/>
      <w:bookmarkStart w:id="328" w:name="_Toc5965"/>
      <w:bookmarkStart w:id="329" w:name="_Toc9429"/>
      <w:bookmarkStart w:id="330" w:name="_Toc26371"/>
      <w:bookmarkStart w:id="331" w:name="_Toc18604"/>
      <w:bookmarkStart w:id="332" w:name="_Toc24832"/>
      <w:bookmarkStart w:id="333" w:name="_Toc23865"/>
      <w:bookmarkStart w:id="334" w:name="_Toc15788"/>
      <w:bookmarkStart w:id="335" w:name="_Toc1831"/>
      <w:bookmarkStart w:id="336" w:name="_Toc15083"/>
      <w:r>
        <w:rPr>
          <w:rFonts w:hint="eastAsia" w:hAnsi="宋体"/>
          <w:color w:val="auto"/>
          <w:highlight w:val="none"/>
        </w:rPr>
        <w:t>（4）为本标段的代建人；</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pPr>
        <w:pStyle w:val="22"/>
        <w:tabs>
          <w:tab w:val="left" w:pos="2127"/>
        </w:tabs>
        <w:spacing w:line="360" w:lineRule="auto"/>
        <w:ind w:firstLine="420" w:firstLineChars="200"/>
        <w:outlineLvl w:val="2"/>
        <w:rPr>
          <w:rFonts w:hint="eastAsia" w:hAnsi="宋体"/>
          <w:color w:val="auto"/>
          <w:highlight w:val="none"/>
        </w:rPr>
      </w:pPr>
      <w:bookmarkStart w:id="337" w:name="_Toc23495"/>
      <w:bookmarkStart w:id="338" w:name="_Toc24201"/>
      <w:bookmarkStart w:id="339" w:name="_Toc16137"/>
      <w:bookmarkStart w:id="340" w:name="_Toc30385"/>
      <w:bookmarkStart w:id="341" w:name="_Toc1622"/>
      <w:bookmarkStart w:id="342" w:name="_Toc11424"/>
      <w:bookmarkStart w:id="343" w:name="_Toc21886"/>
      <w:bookmarkStart w:id="344" w:name="_Toc23981"/>
      <w:bookmarkStart w:id="345" w:name="_Toc4922"/>
      <w:bookmarkStart w:id="346" w:name="_Toc809"/>
      <w:bookmarkStart w:id="347" w:name="_Toc25297"/>
      <w:bookmarkStart w:id="348" w:name="_Toc17"/>
      <w:bookmarkStart w:id="349" w:name="_Toc13405"/>
      <w:bookmarkStart w:id="350" w:name="_Toc25489"/>
      <w:bookmarkStart w:id="351" w:name="_Toc13317"/>
      <w:bookmarkStart w:id="352" w:name="_Toc26332"/>
      <w:bookmarkStart w:id="353" w:name="_Toc7511"/>
      <w:bookmarkStart w:id="354" w:name="_Toc31"/>
      <w:bookmarkStart w:id="355" w:name="_Toc22900"/>
      <w:bookmarkStart w:id="356" w:name="_Toc10425"/>
      <w:bookmarkStart w:id="357" w:name="_Toc27073"/>
      <w:bookmarkStart w:id="358" w:name="_Toc32255"/>
      <w:bookmarkStart w:id="359" w:name="_Toc944"/>
      <w:bookmarkStart w:id="360" w:name="_Toc4096"/>
      <w:bookmarkStart w:id="361" w:name="_Toc25010"/>
      <w:r>
        <w:rPr>
          <w:rFonts w:hint="eastAsia" w:hAnsi="宋体"/>
          <w:color w:val="auto"/>
          <w:highlight w:val="none"/>
        </w:rPr>
        <w:t>（5）为本标段提供招标代理服务的；</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pPr>
        <w:pStyle w:val="22"/>
        <w:tabs>
          <w:tab w:val="left" w:pos="2127"/>
        </w:tabs>
        <w:spacing w:line="360" w:lineRule="auto"/>
        <w:ind w:firstLine="420" w:firstLineChars="200"/>
        <w:outlineLvl w:val="2"/>
        <w:rPr>
          <w:rFonts w:hint="eastAsia" w:hAnsi="宋体"/>
          <w:color w:val="auto"/>
          <w:highlight w:val="none"/>
        </w:rPr>
      </w:pPr>
      <w:bookmarkStart w:id="362" w:name="_Toc22273"/>
      <w:bookmarkStart w:id="363" w:name="_Toc22304"/>
      <w:bookmarkStart w:id="364" w:name="_Toc12469"/>
      <w:bookmarkStart w:id="365" w:name="_Toc28447"/>
      <w:bookmarkStart w:id="366" w:name="_Toc30471"/>
      <w:bookmarkStart w:id="367" w:name="_Toc19148"/>
      <w:bookmarkStart w:id="368" w:name="_Toc22426"/>
      <w:bookmarkStart w:id="369" w:name="_Toc6175"/>
      <w:bookmarkStart w:id="370" w:name="_Toc8936"/>
      <w:bookmarkStart w:id="371" w:name="_Toc30976"/>
      <w:bookmarkStart w:id="372" w:name="_Toc11372"/>
      <w:bookmarkStart w:id="373" w:name="_Toc12019"/>
      <w:bookmarkStart w:id="374" w:name="_Toc11110"/>
      <w:bookmarkStart w:id="375" w:name="_Toc17051"/>
      <w:bookmarkStart w:id="376" w:name="_Toc14169"/>
      <w:bookmarkStart w:id="377" w:name="_Toc28750"/>
      <w:bookmarkStart w:id="378" w:name="_Toc25683"/>
      <w:bookmarkStart w:id="379" w:name="_Toc32346"/>
      <w:bookmarkStart w:id="380" w:name="_Toc5520"/>
      <w:bookmarkStart w:id="381" w:name="_Toc13899"/>
      <w:bookmarkStart w:id="382" w:name="_Toc11635"/>
      <w:bookmarkStart w:id="383" w:name="_Toc2702"/>
      <w:bookmarkStart w:id="384" w:name="_Toc9692"/>
      <w:bookmarkStart w:id="385" w:name="_Toc9955"/>
      <w:bookmarkStart w:id="386" w:name="_Toc13211"/>
      <w:r>
        <w:rPr>
          <w:rFonts w:hint="eastAsia" w:hAnsi="宋体"/>
          <w:color w:val="auto"/>
          <w:highlight w:val="none"/>
        </w:rPr>
        <w:t>（6）与本标段的监理人或代建人或招标代理机构同为一个法定代表人的；</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22"/>
        <w:tabs>
          <w:tab w:val="left" w:pos="2127"/>
        </w:tabs>
        <w:spacing w:line="360" w:lineRule="auto"/>
        <w:ind w:firstLine="420" w:firstLineChars="200"/>
        <w:outlineLvl w:val="2"/>
        <w:rPr>
          <w:rFonts w:hint="eastAsia" w:hAnsi="宋体"/>
          <w:color w:val="auto"/>
          <w:highlight w:val="none"/>
        </w:rPr>
      </w:pPr>
      <w:bookmarkStart w:id="387" w:name="_Toc6438"/>
      <w:bookmarkStart w:id="388" w:name="_Toc22444"/>
      <w:bookmarkStart w:id="389" w:name="_Toc5098"/>
      <w:bookmarkStart w:id="390" w:name="_Toc24096"/>
      <w:bookmarkStart w:id="391" w:name="_Toc11645"/>
      <w:bookmarkStart w:id="392" w:name="_Toc10835"/>
      <w:bookmarkStart w:id="393" w:name="_Toc4047"/>
      <w:bookmarkStart w:id="394" w:name="_Toc3475"/>
      <w:bookmarkStart w:id="395" w:name="_Toc22016"/>
      <w:bookmarkStart w:id="396" w:name="_Toc10600"/>
      <w:bookmarkStart w:id="397" w:name="_Toc23774"/>
      <w:bookmarkStart w:id="398" w:name="_Toc29401"/>
      <w:bookmarkStart w:id="399" w:name="_Toc2949"/>
      <w:bookmarkStart w:id="400" w:name="_Toc6269"/>
      <w:bookmarkStart w:id="401" w:name="_Toc16540"/>
      <w:bookmarkStart w:id="402" w:name="_Toc19158"/>
      <w:bookmarkStart w:id="403" w:name="_Toc24834"/>
      <w:bookmarkStart w:id="404" w:name="_Toc32591"/>
      <w:bookmarkStart w:id="405" w:name="_Toc26177"/>
      <w:bookmarkStart w:id="406" w:name="_Toc4353"/>
      <w:bookmarkStart w:id="407" w:name="_Toc28406"/>
      <w:bookmarkStart w:id="408" w:name="_Toc20598"/>
      <w:bookmarkStart w:id="409" w:name="_Toc2895"/>
      <w:bookmarkStart w:id="410" w:name="_Toc27561"/>
      <w:bookmarkStart w:id="411" w:name="_Toc28900"/>
      <w:r>
        <w:rPr>
          <w:rFonts w:hint="eastAsia" w:hAnsi="宋体"/>
          <w:color w:val="auto"/>
          <w:highlight w:val="none"/>
        </w:rPr>
        <w:t>（7）与本标段的监理人或代建人或招标代理机构相互控股或参股的；</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pPr>
        <w:pStyle w:val="22"/>
        <w:tabs>
          <w:tab w:val="left" w:pos="2127"/>
        </w:tabs>
        <w:spacing w:line="360" w:lineRule="auto"/>
        <w:ind w:firstLine="420" w:firstLineChars="200"/>
        <w:outlineLvl w:val="2"/>
        <w:rPr>
          <w:rFonts w:hint="eastAsia" w:hAnsi="宋体"/>
          <w:color w:val="auto"/>
          <w:highlight w:val="none"/>
        </w:rPr>
      </w:pPr>
      <w:bookmarkStart w:id="412" w:name="_Toc19830"/>
      <w:bookmarkStart w:id="413" w:name="_Toc13541"/>
      <w:bookmarkStart w:id="414" w:name="_Toc14267"/>
      <w:bookmarkStart w:id="415" w:name="_Toc20493"/>
      <w:bookmarkStart w:id="416" w:name="_Toc82"/>
      <w:bookmarkStart w:id="417" w:name="_Toc24460"/>
      <w:bookmarkStart w:id="418" w:name="_Toc6731"/>
      <w:bookmarkStart w:id="419" w:name="_Toc29079"/>
      <w:bookmarkStart w:id="420" w:name="_Toc13911"/>
      <w:bookmarkStart w:id="421" w:name="_Toc7079"/>
      <w:bookmarkStart w:id="422" w:name="_Toc24962"/>
      <w:bookmarkStart w:id="423" w:name="_Toc19924"/>
      <w:bookmarkStart w:id="424" w:name="_Toc27099"/>
      <w:bookmarkStart w:id="425" w:name="_Toc5440"/>
      <w:bookmarkStart w:id="426" w:name="_Toc929"/>
      <w:bookmarkStart w:id="427" w:name="_Toc22687"/>
      <w:bookmarkStart w:id="428" w:name="_Toc2496"/>
      <w:bookmarkStart w:id="429" w:name="_Toc15021"/>
      <w:bookmarkStart w:id="430" w:name="_Toc9875"/>
      <w:bookmarkStart w:id="431" w:name="_Toc20710"/>
      <w:bookmarkStart w:id="432" w:name="_Toc31590"/>
      <w:bookmarkStart w:id="433" w:name="_Toc26602"/>
      <w:bookmarkStart w:id="434" w:name="_Toc27807"/>
      <w:bookmarkStart w:id="435" w:name="_Toc9988"/>
      <w:bookmarkStart w:id="436" w:name="_Toc252"/>
      <w:r>
        <w:rPr>
          <w:rFonts w:hint="eastAsia" w:hAnsi="宋体"/>
          <w:color w:val="auto"/>
          <w:highlight w:val="none"/>
        </w:rPr>
        <w:t>（8）与本标段的监理人或代建人或招标代理机构有员工相互任职或工作的；</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pPr>
        <w:pStyle w:val="22"/>
        <w:tabs>
          <w:tab w:val="left" w:pos="2127"/>
        </w:tabs>
        <w:spacing w:line="360" w:lineRule="auto"/>
        <w:ind w:firstLine="420" w:firstLineChars="200"/>
        <w:outlineLvl w:val="2"/>
        <w:rPr>
          <w:rFonts w:hint="eastAsia" w:hAnsi="宋体"/>
          <w:color w:val="auto"/>
          <w:highlight w:val="none"/>
        </w:rPr>
      </w:pPr>
      <w:bookmarkStart w:id="437" w:name="_Toc4448"/>
      <w:bookmarkStart w:id="438" w:name="_Toc16604"/>
      <w:bookmarkStart w:id="439" w:name="_Toc9690"/>
      <w:bookmarkStart w:id="440" w:name="_Toc10250"/>
      <w:bookmarkStart w:id="441" w:name="_Toc27684"/>
      <w:bookmarkStart w:id="442" w:name="_Toc16339"/>
      <w:bookmarkStart w:id="443" w:name="_Toc13165"/>
      <w:bookmarkStart w:id="444" w:name="_Toc6129"/>
      <w:bookmarkStart w:id="445" w:name="_Toc6595"/>
      <w:bookmarkStart w:id="446" w:name="_Toc8919"/>
      <w:bookmarkStart w:id="447" w:name="_Toc2277"/>
      <w:bookmarkStart w:id="448" w:name="_Toc18813"/>
      <w:bookmarkStart w:id="449" w:name="_Toc6382"/>
      <w:bookmarkStart w:id="450" w:name="_Toc26378"/>
      <w:bookmarkStart w:id="451" w:name="_Toc1361"/>
      <w:bookmarkStart w:id="452" w:name="_Toc17527"/>
      <w:bookmarkStart w:id="453" w:name="_Toc11834"/>
      <w:bookmarkStart w:id="454" w:name="_Toc30270"/>
      <w:bookmarkStart w:id="455" w:name="_Toc25113"/>
      <w:bookmarkStart w:id="456" w:name="_Toc22009"/>
      <w:bookmarkStart w:id="457" w:name="_Toc12320"/>
      <w:bookmarkStart w:id="458" w:name="_Toc3140"/>
      <w:bookmarkStart w:id="459" w:name="_Toc26985"/>
      <w:bookmarkStart w:id="460" w:name="_Toc29681"/>
      <w:bookmarkStart w:id="461" w:name="_Toc31861"/>
      <w:r>
        <w:rPr>
          <w:rFonts w:hint="eastAsia" w:hAnsi="宋体"/>
          <w:color w:val="auto"/>
          <w:highlight w:val="none"/>
        </w:rPr>
        <w:t>（9）被责令停业的；</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pPr>
        <w:pStyle w:val="22"/>
        <w:tabs>
          <w:tab w:val="left" w:pos="2127"/>
        </w:tabs>
        <w:spacing w:line="360" w:lineRule="auto"/>
        <w:ind w:firstLine="420" w:firstLineChars="200"/>
        <w:outlineLvl w:val="2"/>
        <w:rPr>
          <w:rFonts w:hint="eastAsia" w:hAnsi="宋体"/>
          <w:color w:val="auto"/>
          <w:highlight w:val="none"/>
        </w:rPr>
      </w:pPr>
      <w:bookmarkStart w:id="462" w:name="_Toc1667"/>
      <w:bookmarkStart w:id="463" w:name="_Toc18917"/>
      <w:bookmarkStart w:id="464" w:name="_Toc25526"/>
      <w:bookmarkStart w:id="465" w:name="_Toc4567"/>
      <w:bookmarkStart w:id="466" w:name="_Toc853"/>
      <w:bookmarkStart w:id="467" w:name="_Toc31418"/>
      <w:bookmarkStart w:id="468" w:name="_Toc13739"/>
      <w:bookmarkStart w:id="469" w:name="_Toc20819"/>
      <w:bookmarkStart w:id="470" w:name="_Toc29569"/>
      <w:bookmarkStart w:id="471" w:name="_Toc8831"/>
      <w:bookmarkStart w:id="472" w:name="_Toc22844"/>
      <w:bookmarkStart w:id="473" w:name="_Toc17186"/>
      <w:bookmarkStart w:id="474" w:name="_Toc29017"/>
      <w:bookmarkStart w:id="475" w:name="_Toc5433"/>
      <w:bookmarkStart w:id="476" w:name="_Toc19461"/>
      <w:bookmarkStart w:id="477" w:name="_Toc339"/>
      <w:bookmarkStart w:id="478" w:name="_Toc24255"/>
      <w:bookmarkStart w:id="479" w:name="_Toc26080"/>
      <w:bookmarkStart w:id="480" w:name="_Toc17296"/>
      <w:bookmarkStart w:id="481" w:name="_Toc12429"/>
      <w:bookmarkStart w:id="482" w:name="_Toc5448"/>
      <w:bookmarkStart w:id="483" w:name="_Toc6918"/>
      <w:bookmarkStart w:id="484" w:name="_Toc9484"/>
      <w:bookmarkStart w:id="485" w:name="_Toc26891"/>
      <w:bookmarkStart w:id="486" w:name="_Toc4440"/>
      <w:r>
        <w:rPr>
          <w:rFonts w:hint="eastAsia" w:hAnsi="宋体"/>
          <w:color w:val="auto"/>
          <w:highlight w:val="none"/>
        </w:rPr>
        <w:t>（10）被暂停或取消投标资格的；</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pPr>
        <w:pStyle w:val="22"/>
        <w:tabs>
          <w:tab w:val="left" w:pos="2127"/>
        </w:tabs>
        <w:spacing w:line="360" w:lineRule="auto"/>
        <w:ind w:firstLine="420" w:firstLineChars="200"/>
        <w:outlineLvl w:val="2"/>
        <w:rPr>
          <w:rFonts w:hint="eastAsia" w:hAnsi="宋体"/>
          <w:color w:val="auto"/>
          <w:highlight w:val="none"/>
        </w:rPr>
      </w:pPr>
      <w:bookmarkStart w:id="487" w:name="_Toc11685"/>
      <w:bookmarkStart w:id="488" w:name="_Toc22622"/>
      <w:bookmarkStart w:id="489" w:name="_Toc3627"/>
      <w:bookmarkStart w:id="490" w:name="_Toc16892"/>
      <w:bookmarkStart w:id="491" w:name="_Toc9969"/>
      <w:bookmarkStart w:id="492" w:name="_Toc5364"/>
      <w:bookmarkStart w:id="493" w:name="_Toc5368"/>
      <w:bookmarkStart w:id="494" w:name="_Toc8992"/>
      <w:bookmarkStart w:id="495" w:name="_Toc27329"/>
      <w:bookmarkStart w:id="496" w:name="_Toc15637"/>
      <w:bookmarkStart w:id="497" w:name="_Toc32740"/>
      <w:bookmarkStart w:id="498" w:name="_Toc6178"/>
      <w:bookmarkStart w:id="499" w:name="_Toc3050"/>
      <w:bookmarkStart w:id="500" w:name="_Toc21266"/>
      <w:bookmarkStart w:id="501" w:name="_Toc28976"/>
      <w:bookmarkStart w:id="502" w:name="_Toc24499"/>
      <w:bookmarkStart w:id="503" w:name="_Toc25968"/>
      <w:bookmarkStart w:id="504" w:name="_Toc23407"/>
      <w:bookmarkStart w:id="505" w:name="_Toc8212"/>
      <w:bookmarkStart w:id="506" w:name="_Toc23872"/>
      <w:bookmarkStart w:id="507" w:name="_Toc6287"/>
      <w:bookmarkStart w:id="508" w:name="_Toc19268"/>
      <w:bookmarkStart w:id="509" w:name="_Toc13268"/>
      <w:bookmarkStart w:id="510" w:name="_Toc22680"/>
      <w:bookmarkStart w:id="511" w:name="_Toc8783"/>
      <w:r>
        <w:rPr>
          <w:rFonts w:hint="eastAsia" w:hAnsi="宋体"/>
          <w:color w:val="auto"/>
          <w:highlight w:val="none"/>
        </w:rPr>
        <w:t>（11）财产被接管或冻结的；</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pPr>
        <w:pStyle w:val="22"/>
        <w:tabs>
          <w:tab w:val="left" w:pos="2127"/>
        </w:tabs>
        <w:spacing w:line="360" w:lineRule="auto"/>
        <w:ind w:firstLine="420" w:firstLineChars="200"/>
        <w:outlineLvl w:val="2"/>
        <w:rPr>
          <w:rFonts w:hint="eastAsia" w:hAnsi="宋体"/>
          <w:color w:val="auto"/>
          <w:highlight w:val="none"/>
        </w:rPr>
      </w:pPr>
      <w:bookmarkStart w:id="512" w:name="_Toc21733"/>
      <w:bookmarkStart w:id="513" w:name="_Toc102"/>
      <w:bookmarkStart w:id="514" w:name="_Toc9380"/>
      <w:bookmarkStart w:id="515" w:name="_Toc29413"/>
      <w:bookmarkStart w:id="516" w:name="_Toc32254"/>
      <w:bookmarkStart w:id="517" w:name="_Toc23363"/>
      <w:bookmarkStart w:id="518" w:name="_Toc25743"/>
      <w:bookmarkStart w:id="519" w:name="_Toc1546"/>
      <w:bookmarkStart w:id="520" w:name="_Toc17302"/>
      <w:bookmarkStart w:id="521" w:name="_Toc28582"/>
      <w:bookmarkStart w:id="522" w:name="_Toc11968"/>
      <w:bookmarkStart w:id="523" w:name="_Toc24366"/>
      <w:bookmarkStart w:id="524" w:name="_Toc3964"/>
      <w:bookmarkStart w:id="525" w:name="_Toc26468"/>
      <w:bookmarkStart w:id="526" w:name="_Toc29041"/>
      <w:bookmarkStart w:id="527" w:name="_Toc23910"/>
      <w:bookmarkStart w:id="528" w:name="_Toc13359"/>
      <w:bookmarkStart w:id="529" w:name="_Toc9326"/>
      <w:bookmarkStart w:id="530" w:name="_Toc19662"/>
      <w:bookmarkStart w:id="531" w:name="_Toc8434"/>
      <w:bookmarkStart w:id="532" w:name="_Toc19422"/>
      <w:bookmarkStart w:id="533" w:name="_Toc8116"/>
      <w:bookmarkStart w:id="534" w:name="_Toc9564"/>
      <w:bookmarkStart w:id="535" w:name="_Toc12839"/>
      <w:bookmarkStart w:id="536" w:name="_Toc18224"/>
      <w:r>
        <w:rPr>
          <w:rFonts w:hint="eastAsia" w:hAnsi="宋体"/>
          <w:color w:val="auto"/>
          <w:highlight w:val="none"/>
        </w:rPr>
        <w:t>（12）母公司与下属全资子公司或母公司与其控股公司同时参与同一标段投标。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pPr>
        <w:pStyle w:val="22"/>
        <w:tabs>
          <w:tab w:val="left" w:pos="2127"/>
        </w:tabs>
        <w:spacing w:line="360" w:lineRule="auto"/>
        <w:outlineLvl w:val="2"/>
        <w:rPr>
          <w:rFonts w:hAnsi="宋体"/>
          <w:b/>
          <w:color w:val="auto"/>
          <w:highlight w:val="none"/>
        </w:rPr>
      </w:pPr>
      <w:bookmarkStart w:id="537" w:name="_Toc20901"/>
      <w:bookmarkStart w:id="538" w:name="_Toc12838"/>
      <w:bookmarkStart w:id="539" w:name="_Toc23409"/>
      <w:bookmarkStart w:id="540" w:name="_Toc27761"/>
      <w:bookmarkStart w:id="541" w:name="_Toc21202"/>
      <w:bookmarkStart w:id="542" w:name="_Toc12126"/>
      <w:bookmarkStart w:id="543" w:name="_Toc5981"/>
      <w:bookmarkStart w:id="544" w:name="_Toc7792"/>
      <w:bookmarkStart w:id="545" w:name="_Toc6648"/>
      <w:bookmarkStart w:id="546" w:name="_Toc1735"/>
      <w:bookmarkStart w:id="547" w:name="_Toc3655"/>
      <w:bookmarkStart w:id="548" w:name="_Toc18173"/>
      <w:bookmarkStart w:id="549" w:name="_Toc23755"/>
      <w:bookmarkStart w:id="550" w:name="_Toc21602"/>
      <w:bookmarkStart w:id="551" w:name="_Toc6265"/>
      <w:bookmarkStart w:id="552" w:name="_Toc13260"/>
      <w:bookmarkStart w:id="553" w:name="_Toc25388"/>
      <w:bookmarkStart w:id="554" w:name="_Toc18753"/>
      <w:bookmarkStart w:id="555" w:name="_Toc27067"/>
      <w:bookmarkStart w:id="556" w:name="_Toc6622"/>
      <w:bookmarkStart w:id="557" w:name="_Toc8551"/>
      <w:bookmarkStart w:id="558" w:name="_Toc23482"/>
      <w:bookmarkStart w:id="559" w:name="_Toc11255"/>
      <w:bookmarkStart w:id="560" w:name="_Toc8355"/>
      <w:bookmarkStart w:id="561" w:name="_Toc9197"/>
      <w:r>
        <w:rPr>
          <w:rFonts w:hint="eastAsia" w:hAnsi="宋体"/>
          <w:b/>
          <w:color w:val="auto"/>
          <w:highlight w:val="none"/>
        </w:rPr>
        <w:t>1.5 费用承担</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pPr>
        <w:pStyle w:val="22"/>
        <w:tabs>
          <w:tab w:val="left" w:pos="2127"/>
        </w:tabs>
        <w:spacing w:line="360" w:lineRule="auto"/>
        <w:ind w:firstLine="420" w:firstLineChars="200"/>
        <w:rPr>
          <w:rFonts w:hAnsi="宋体"/>
          <w:color w:val="auto"/>
          <w:highlight w:val="none"/>
        </w:rPr>
      </w:pPr>
      <w:r>
        <w:rPr>
          <w:rFonts w:hint="eastAsia" w:hAnsi="宋体"/>
          <w:color w:val="auto"/>
          <w:highlight w:val="none"/>
        </w:rPr>
        <w:t>投标人准备和参加投标活动发生的费用自理。</w:t>
      </w:r>
    </w:p>
    <w:p>
      <w:pPr>
        <w:pStyle w:val="22"/>
        <w:tabs>
          <w:tab w:val="left" w:pos="2127"/>
        </w:tabs>
        <w:spacing w:line="360" w:lineRule="auto"/>
        <w:outlineLvl w:val="2"/>
        <w:rPr>
          <w:rFonts w:hAnsi="宋体"/>
          <w:b/>
          <w:color w:val="auto"/>
          <w:highlight w:val="none"/>
        </w:rPr>
      </w:pPr>
      <w:bookmarkStart w:id="562" w:name="_Toc27437"/>
      <w:bookmarkStart w:id="563" w:name="_Toc25097"/>
      <w:bookmarkStart w:id="564" w:name="_Toc25337"/>
      <w:bookmarkStart w:id="565" w:name="_Toc20554"/>
      <w:bookmarkStart w:id="566" w:name="_Toc482803075"/>
      <w:bookmarkStart w:id="567" w:name="_Toc22553"/>
      <w:bookmarkStart w:id="568" w:name="_Toc9585"/>
      <w:bookmarkStart w:id="569" w:name="_Toc21294"/>
      <w:bookmarkStart w:id="570" w:name="_Toc4993"/>
      <w:bookmarkStart w:id="571" w:name="_Toc26667"/>
      <w:bookmarkStart w:id="572" w:name="_Toc11132"/>
      <w:bookmarkStart w:id="573" w:name="_Toc30806"/>
      <w:bookmarkStart w:id="574" w:name="_Toc26094"/>
      <w:bookmarkStart w:id="575" w:name="_Toc14710"/>
      <w:bookmarkStart w:id="576" w:name="_Toc24938"/>
      <w:bookmarkStart w:id="577" w:name="_Toc25008"/>
      <w:bookmarkStart w:id="578" w:name="_Toc2441"/>
      <w:bookmarkStart w:id="579" w:name="_Toc13104"/>
      <w:bookmarkStart w:id="580" w:name="_Toc6850"/>
      <w:bookmarkStart w:id="581" w:name="_Toc16171"/>
      <w:bookmarkStart w:id="582" w:name="_Toc5278"/>
      <w:bookmarkStart w:id="583" w:name="_Toc16539"/>
      <w:bookmarkStart w:id="584" w:name="_Toc6372"/>
      <w:bookmarkStart w:id="585" w:name="_Toc4578"/>
      <w:bookmarkStart w:id="586" w:name="_Toc23524"/>
      <w:bookmarkStart w:id="587" w:name="_Toc484792188"/>
      <w:bookmarkStart w:id="588" w:name="_Toc12514"/>
      <w:bookmarkStart w:id="589" w:name="_Toc7328"/>
      <w:bookmarkStart w:id="590" w:name="_Toc5565"/>
      <w:bookmarkStart w:id="591" w:name="_Toc25869"/>
      <w:bookmarkStart w:id="592" w:name="_Toc16051"/>
      <w:bookmarkStart w:id="593" w:name="_Toc29441"/>
      <w:bookmarkStart w:id="594" w:name="_Toc15523"/>
      <w:bookmarkStart w:id="595" w:name="_Toc10777"/>
      <w:bookmarkStart w:id="596" w:name="_Toc9596"/>
      <w:bookmarkStart w:id="597" w:name="_Toc22388"/>
      <w:bookmarkStart w:id="598" w:name="_Toc26264"/>
      <w:bookmarkStart w:id="599" w:name="_Toc29196"/>
      <w:bookmarkStart w:id="600" w:name="_Toc28507"/>
      <w:bookmarkStart w:id="601" w:name="_Toc9135"/>
      <w:bookmarkStart w:id="602" w:name="_Toc27078"/>
      <w:bookmarkStart w:id="603" w:name="_Toc27667"/>
      <w:r>
        <w:rPr>
          <w:rFonts w:hint="eastAsia" w:hAnsi="宋体"/>
          <w:b/>
          <w:color w:val="auto"/>
          <w:highlight w:val="none"/>
        </w:rPr>
        <w:t>1.6 保密</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pPr>
        <w:pStyle w:val="22"/>
        <w:tabs>
          <w:tab w:val="left" w:pos="2127"/>
        </w:tabs>
        <w:spacing w:line="360" w:lineRule="auto"/>
        <w:ind w:firstLine="435"/>
        <w:rPr>
          <w:rFonts w:hAnsi="宋体"/>
          <w:color w:val="auto"/>
          <w:highlight w:val="none"/>
        </w:rPr>
      </w:pPr>
      <w:r>
        <w:rPr>
          <w:rFonts w:hint="eastAsia" w:hAnsi="宋体"/>
          <w:color w:val="auto"/>
          <w:highlight w:val="none"/>
        </w:rPr>
        <w:t>参与招标投标活动的各方应对招标文件和投标文件中的商业和技术等秘密保密，违者应对由此造成的后果承担法律责任。</w:t>
      </w:r>
    </w:p>
    <w:p>
      <w:pPr>
        <w:pStyle w:val="22"/>
        <w:tabs>
          <w:tab w:val="left" w:pos="2127"/>
        </w:tabs>
        <w:spacing w:line="360" w:lineRule="auto"/>
        <w:outlineLvl w:val="2"/>
        <w:rPr>
          <w:rFonts w:hAnsi="宋体"/>
          <w:b/>
          <w:color w:val="auto"/>
          <w:highlight w:val="none"/>
        </w:rPr>
      </w:pPr>
      <w:bookmarkStart w:id="604" w:name="_Toc7720"/>
      <w:bookmarkStart w:id="605" w:name="_Toc2140"/>
      <w:bookmarkStart w:id="606" w:name="_Toc7225"/>
      <w:bookmarkStart w:id="607" w:name="_Toc31114"/>
      <w:bookmarkStart w:id="608" w:name="_Toc27386"/>
      <w:bookmarkStart w:id="609" w:name="_Toc3364"/>
      <w:bookmarkStart w:id="610" w:name="_Toc23550"/>
      <w:bookmarkStart w:id="611" w:name="_Toc22355"/>
      <w:bookmarkStart w:id="612" w:name="_Toc5801"/>
      <w:bookmarkStart w:id="613" w:name="_Toc482803076"/>
      <w:bookmarkStart w:id="614" w:name="_Toc26273"/>
      <w:bookmarkStart w:id="615" w:name="_Toc3872"/>
      <w:bookmarkStart w:id="616" w:name="_Toc19350"/>
      <w:bookmarkStart w:id="617" w:name="_Toc6346"/>
      <w:bookmarkStart w:id="618" w:name="_Toc17746"/>
      <w:bookmarkStart w:id="619" w:name="_Toc484792189"/>
      <w:bookmarkStart w:id="620" w:name="_Toc27917"/>
      <w:bookmarkStart w:id="621" w:name="_Toc18701"/>
      <w:bookmarkStart w:id="622" w:name="_Toc15081"/>
      <w:bookmarkStart w:id="623" w:name="_Toc18313"/>
      <w:bookmarkStart w:id="624" w:name="_Toc26752"/>
      <w:bookmarkStart w:id="625" w:name="_Toc16199"/>
      <w:bookmarkStart w:id="626" w:name="_Toc7110"/>
      <w:bookmarkStart w:id="627" w:name="_Toc18635"/>
      <w:bookmarkStart w:id="628" w:name="_Toc15293"/>
      <w:bookmarkStart w:id="629" w:name="_Toc24926"/>
      <w:bookmarkStart w:id="630" w:name="_Toc6482"/>
      <w:bookmarkStart w:id="631" w:name="_Toc9483"/>
      <w:bookmarkStart w:id="632" w:name="_Toc32007"/>
      <w:bookmarkStart w:id="633" w:name="_Toc24428"/>
      <w:bookmarkStart w:id="634" w:name="_Toc7108"/>
      <w:bookmarkStart w:id="635" w:name="_Toc30364"/>
      <w:bookmarkStart w:id="636" w:name="_Toc16233"/>
      <w:bookmarkStart w:id="637" w:name="_Toc30771"/>
      <w:bookmarkStart w:id="638" w:name="_Toc1675"/>
      <w:bookmarkStart w:id="639" w:name="_Toc10833"/>
      <w:bookmarkStart w:id="640" w:name="_Toc28485"/>
      <w:bookmarkStart w:id="641" w:name="_Toc23613"/>
      <w:bookmarkStart w:id="642" w:name="_Toc15287"/>
      <w:bookmarkStart w:id="643" w:name="_Toc12006"/>
      <w:bookmarkStart w:id="644" w:name="_Toc5193"/>
      <w:bookmarkStart w:id="645" w:name="_Toc9458"/>
      <w:r>
        <w:rPr>
          <w:rFonts w:hint="eastAsia" w:hAnsi="宋体"/>
          <w:b/>
          <w:color w:val="auto"/>
          <w:highlight w:val="none"/>
        </w:rPr>
        <w:t>1.7 语言文字</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pPr>
        <w:pStyle w:val="22"/>
        <w:tabs>
          <w:tab w:val="left" w:pos="2127"/>
        </w:tabs>
        <w:spacing w:line="360" w:lineRule="auto"/>
        <w:rPr>
          <w:rFonts w:hAnsi="宋体"/>
          <w:b/>
          <w:color w:val="auto"/>
          <w:highlight w:val="none"/>
        </w:rPr>
      </w:pPr>
      <w:r>
        <w:rPr>
          <w:rFonts w:hint="eastAsia" w:hAnsi="宋体"/>
          <w:b/>
          <w:color w:val="auto"/>
          <w:highlight w:val="none"/>
        </w:rPr>
        <w:t xml:space="preserve">    </w:t>
      </w:r>
      <w:r>
        <w:rPr>
          <w:rFonts w:hint="eastAsia" w:hAnsi="宋体"/>
          <w:color w:val="auto"/>
          <w:highlight w:val="none"/>
        </w:rPr>
        <w:t>除专业术语外，与招标投标有关的语言均使用中文。必要时专业术语应附有中文注释。</w:t>
      </w:r>
    </w:p>
    <w:p>
      <w:pPr>
        <w:pStyle w:val="22"/>
        <w:tabs>
          <w:tab w:val="left" w:pos="2127"/>
        </w:tabs>
        <w:spacing w:line="360" w:lineRule="auto"/>
        <w:outlineLvl w:val="2"/>
        <w:rPr>
          <w:rFonts w:hAnsi="宋体"/>
          <w:b/>
          <w:color w:val="auto"/>
          <w:highlight w:val="none"/>
        </w:rPr>
      </w:pPr>
      <w:bookmarkStart w:id="646" w:name="_Toc10578"/>
      <w:bookmarkStart w:id="647" w:name="_Toc12225"/>
      <w:bookmarkStart w:id="648" w:name="_Toc310"/>
      <w:bookmarkStart w:id="649" w:name="_Toc26718"/>
      <w:bookmarkStart w:id="650" w:name="_Toc21177"/>
      <w:bookmarkStart w:id="651" w:name="_Toc1243"/>
      <w:bookmarkStart w:id="652" w:name="_Toc6253"/>
      <w:bookmarkStart w:id="653" w:name="_Toc13518"/>
      <w:bookmarkStart w:id="654" w:name="_Toc22904"/>
      <w:bookmarkStart w:id="655" w:name="_Toc17788"/>
      <w:bookmarkStart w:id="656" w:name="_Toc31905"/>
      <w:bookmarkStart w:id="657" w:name="_Toc21638"/>
      <w:bookmarkStart w:id="658" w:name="_Toc1417"/>
      <w:bookmarkStart w:id="659" w:name="_Toc25143"/>
      <w:bookmarkStart w:id="660" w:name="_Toc19663"/>
      <w:bookmarkStart w:id="661" w:name="_Toc22042"/>
      <w:bookmarkStart w:id="662" w:name="_Toc1146"/>
      <w:bookmarkStart w:id="663" w:name="_Toc1845"/>
      <w:bookmarkStart w:id="664" w:name="_Toc15439"/>
      <w:bookmarkStart w:id="665" w:name="_Toc17298"/>
      <w:bookmarkStart w:id="666" w:name="_Toc19285"/>
      <w:bookmarkStart w:id="667" w:name="_Toc30859"/>
      <w:bookmarkStart w:id="668" w:name="_Toc484792190"/>
      <w:bookmarkStart w:id="669" w:name="_Toc25825"/>
      <w:bookmarkStart w:id="670" w:name="_Toc10201"/>
      <w:bookmarkStart w:id="671" w:name="_Toc25570"/>
      <w:bookmarkStart w:id="672" w:name="_Toc482803077"/>
      <w:bookmarkStart w:id="673" w:name="_Toc29395"/>
      <w:bookmarkStart w:id="674" w:name="_Toc5636"/>
      <w:bookmarkStart w:id="675" w:name="_Toc825"/>
      <w:bookmarkStart w:id="676" w:name="_Toc8330"/>
      <w:bookmarkStart w:id="677" w:name="_Toc3610"/>
      <w:bookmarkStart w:id="678" w:name="_Toc14796"/>
      <w:bookmarkStart w:id="679" w:name="_Toc5858"/>
      <w:bookmarkStart w:id="680" w:name="_Toc30800"/>
      <w:bookmarkStart w:id="681" w:name="_Toc15623"/>
      <w:bookmarkStart w:id="682" w:name="_Toc4430"/>
      <w:bookmarkStart w:id="683" w:name="_Toc323"/>
      <w:bookmarkStart w:id="684" w:name="_Toc4308"/>
      <w:bookmarkStart w:id="685" w:name="_Toc16886"/>
      <w:bookmarkStart w:id="686" w:name="_Toc5744"/>
      <w:bookmarkStart w:id="687" w:name="_Toc25268"/>
      <w:r>
        <w:rPr>
          <w:rFonts w:hint="eastAsia" w:hAnsi="宋体"/>
          <w:b/>
          <w:color w:val="auto"/>
          <w:highlight w:val="none"/>
        </w:rPr>
        <w:t>1.8 计量单位</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pPr>
        <w:pStyle w:val="22"/>
        <w:tabs>
          <w:tab w:val="left" w:pos="2127"/>
        </w:tabs>
        <w:spacing w:line="360" w:lineRule="auto"/>
        <w:rPr>
          <w:rFonts w:hAnsi="宋体"/>
          <w:color w:val="auto"/>
          <w:highlight w:val="none"/>
        </w:rPr>
      </w:pPr>
      <w:r>
        <w:rPr>
          <w:rFonts w:hint="eastAsia" w:hAnsi="宋体"/>
          <w:b/>
          <w:color w:val="auto"/>
          <w:highlight w:val="none"/>
        </w:rPr>
        <w:t xml:space="preserve">   </w:t>
      </w:r>
      <w:r>
        <w:rPr>
          <w:rFonts w:hint="eastAsia" w:hAnsi="宋体"/>
          <w:color w:val="auto"/>
          <w:highlight w:val="none"/>
        </w:rPr>
        <w:t xml:space="preserve"> 所有计量单位均采用中华人民共和国法定计量单位。</w:t>
      </w:r>
    </w:p>
    <w:p>
      <w:pPr>
        <w:pStyle w:val="22"/>
        <w:tabs>
          <w:tab w:val="left" w:pos="2127"/>
        </w:tabs>
        <w:spacing w:line="360" w:lineRule="auto"/>
        <w:outlineLvl w:val="2"/>
        <w:rPr>
          <w:rFonts w:hint="eastAsia" w:hAnsi="宋体"/>
          <w:b/>
          <w:color w:val="auto"/>
          <w:highlight w:val="none"/>
        </w:rPr>
      </w:pPr>
      <w:bookmarkStart w:id="688" w:name="_Toc5990"/>
      <w:bookmarkStart w:id="689" w:name="_Toc484792191"/>
      <w:bookmarkStart w:id="690" w:name="_Toc18563"/>
      <w:bookmarkStart w:id="691" w:name="_Toc8565"/>
      <w:bookmarkStart w:id="692" w:name="_Toc26474"/>
      <w:bookmarkStart w:id="693" w:name="_Toc15317"/>
      <w:bookmarkStart w:id="694" w:name="_Toc20921"/>
      <w:bookmarkStart w:id="695" w:name="_Toc13247"/>
      <w:bookmarkStart w:id="696" w:name="_Toc17169"/>
      <w:bookmarkStart w:id="697" w:name="_Toc11679"/>
      <w:bookmarkStart w:id="698" w:name="_Toc31602"/>
      <w:bookmarkStart w:id="699" w:name="_Toc13098"/>
      <w:bookmarkStart w:id="700" w:name="_Toc22005"/>
      <w:bookmarkStart w:id="701" w:name="_Toc23724"/>
      <w:bookmarkStart w:id="702" w:name="_Toc8935"/>
      <w:bookmarkStart w:id="703" w:name="_Toc4114"/>
      <w:bookmarkStart w:id="704" w:name="_Toc32622"/>
      <w:bookmarkStart w:id="705" w:name="_Toc32752"/>
      <w:bookmarkStart w:id="706" w:name="_Toc31136"/>
      <w:bookmarkStart w:id="707" w:name="_Toc16697"/>
      <w:bookmarkStart w:id="708" w:name="_Toc25700"/>
      <w:bookmarkStart w:id="709" w:name="_Toc967"/>
      <w:bookmarkStart w:id="710" w:name="_Toc27299"/>
      <w:bookmarkStart w:id="711" w:name="_Toc21608"/>
      <w:bookmarkStart w:id="712" w:name="_Toc9415"/>
      <w:bookmarkStart w:id="713" w:name="_Toc24000"/>
      <w:bookmarkStart w:id="714" w:name="_Toc17871"/>
      <w:bookmarkStart w:id="715" w:name="_Toc20850"/>
      <w:bookmarkStart w:id="716" w:name="_Toc482803078"/>
      <w:bookmarkStart w:id="717" w:name="_Toc10557"/>
      <w:bookmarkStart w:id="718" w:name="_Toc9166"/>
      <w:bookmarkStart w:id="719" w:name="_Toc10310"/>
      <w:bookmarkStart w:id="720" w:name="_Toc293"/>
      <w:bookmarkStart w:id="721" w:name="_Toc27539"/>
      <w:bookmarkStart w:id="722" w:name="_Toc5496"/>
      <w:bookmarkStart w:id="723" w:name="_Toc23676"/>
      <w:bookmarkStart w:id="724" w:name="_Toc29853"/>
      <w:bookmarkStart w:id="725" w:name="_Toc25282"/>
      <w:bookmarkStart w:id="726" w:name="_Toc15188"/>
      <w:bookmarkStart w:id="727" w:name="_Toc25901"/>
      <w:bookmarkStart w:id="728" w:name="_Toc27611"/>
      <w:bookmarkStart w:id="729" w:name="_Toc18502"/>
      <w:r>
        <w:rPr>
          <w:rFonts w:hint="eastAsia" w:hAnsi="宋体"/>
          <w:b/>
          <w:color w:val="auto"/>
          <w:highlight w:val="none"/>
        </w:rPr>
        <w:t>1.9 踏勘现场</w:t>
      </w:r>
    </w:p>
    <w:p>
      <w:pPr>
        <w:spacing w:before="61" w:line="274" w:lineRule="auto"/>
        <w:ind w:left="4" w:right="60" w:firstLine="447"/>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 xml:space="preserve">1.9.1 </w:t>
      </w:r>
      <w:r>
        <w:rPr>
          <w:rFonts w:ascii="宋体" w:hAnsi="宋体" w:eastAsia="宋体" w:cs="宋体"/>
          <w:color w:val="auto"/>
          <w:sz w:val="21"/>
          <w:szCs w:val="21"/>
          <w:highlight w:val="none"/>
        </w:rPr>
        <w:t>投标人须知前附表规定组织踏勘现场的，招标人按投标人须知前附表规定的时间、地点</w:t>
      </w:r>
      <w:r>
        <w:rPr>
          <w:rFonts w:ascii="宋体" w:hAnsi="宋体" w:eastAsia="宋体" w:cs="宋体"/>
          <w:color w:val="auto"/>
          <w:spacing w:val="-1"/>
          <w:sz w:val="21"/>
          <w:szCs w:val="21"/>
          <w:highlight w:val="none"/>
        </w:rPr>
        <w:t>组织投标人踏勘</w:t>
      </w:r>
      <w:r>
        <w:rPr>
          <w:rFonts w:ascii="宋体" w:hAnsi="宋体" w:eastAsia="宋体" w:cs="宋体"/>
          <w:color w:val="auto"/>
          <w:sz w:val="21"/>
          <w:szCs w:val="21"/>
          <w:highlight w:val="none"/>
        </w:rPr>
        <w:t>项目现场。</w:t>
      </w:r>
    </w:p>
    <w:p>
      <w:pPr>
        <w:spacing w:before="1" w:line="220" w:lineRule="auto"/>
        <w:ind w:left="45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1.9.2 投标人踏勘现场</w:t>
      </w:r>
      <w:r>
        <w:rPr>
          <w:rFonts w:ascii="宋体" w:hAnsi="宋体" w:eastAsia="宋体" w:cs="宋体"/>
          <w:color w:val="auto"/>
          <w:spacing w:val="-1"/>
          <w:sz w:val="21"/>
          <w:szCs w:val="21"/>
          <w:highlight w:val="none"/>
        </w:rPr>
        <w:t>发生的费用自理。</w:t>
      </w:r>
    </w:p>
    <w:p>
      <w:pPr>
        <w:spacing w:before="61" w:line="221" w:lineRule="auto"/>
        <w:ind w:left="45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1.9.3 除招标人的原因外，投</w:t>
      </w:r>
      <w:r>
        <w:rPr>
          <w:rFonts w:ascii="宋体" w:hAnsi="宋体" w:eastAsia="宋体" w:cs="宋体"/>
          <w:color w:val="auto"/>
          <w:sz w:val="21"/>
          <w:szCs w:val="21"/>
          <w:highlight w:val="none"/>
        </w:rPr>
        <w:t>标人自行负责在踏勘现场中所发生的人员伤亡和财产损失。</w:t>
      </w:r>
    </w:p>
    <w:p>
      <w:pPr>
        <w:spacing w:before="62" w:line="274" w:lineRule="auto"/>
        <w:ind w:left="11" w:right="60" w:firstLine="440"/>
        <w:rPr>
          <w:rFonts w:hint="eastAsia" w:hAnsi="宋体"/>
          <w:b/>
          <w:color w:val="auto"/>
          <w:highlight w:val="none"/>
        </w:rPr>
      </w:pPr>
      <w:r>
        <w:rPr>
          <w:rFonts w:ascii="宋体" w:hAnsi="宋体" w:eastAsia="宋体" w:cs="宋体"/>
          <w:color w:val="auto"/>
          <w:spacing w:val="1"/>
          <w:sz w:val="21"/>
          <w:szCs w:val="21"/>
          <w:highlight w:val="none"/>
        </w:rPr>
        <w:t xml:space="preserve">1.9.4 </w:t>
      </w:r>
      <w:r>
        <w:rPr>
          <w:rFonts w:ascii="宋体" w:hAnsi="宋体" w:eastAsia="宋体" w:cs="宋体"/>
          <w:color w:val="auto"/>
          <w:sz w:val="21"/>
          <w:szCs w:val="21"/>
          <w:highlight w:val="none"/>
        </w:rPr>
        <w:t>招标人在踏勘现场中介绍的工程场地和相关的周边环境情况，供投标人在编制投标文件</w:t>
      </w:r>
      <w:r>
        <w:rPr>
          <w:rFonts w:ascii="宋体" w:hAnsi="宋体" w:eastAsia="宋体" w:cs="宋体"/>
          <w:color w:val="auto"/>
          <w:spacing w:val="-2"/>
          <w:sz w:val="21"/>
          <w:szCs w:val="21"/>
          <w:highlight w:val="none"/>
        </w:rPr>
        <w:t>时参考，招标人不</w:t>
      </w:r>
      <w:r>
        <w:rPr>
          <w:rFonts w:ascii="宋体" w:hAnsi="宋体" w:eastAsia="宋体" w:cs="宋体"/>
          <w:color w:val="auto"/>
          <w:spacing w:val="-1"/>
          <w:sz w:val="21"/>
          <w:szCs w:val="21"/>
          <w:highlight w:val="none"/>
        </w:rPr>
        <w:t>对投标人据此作出的判断和决策负责。</w:t>
      </w:r>
    </w:p>
    <w:p>
      <w:pPr>
        <w:pStyle w:val="22"/>
        <w:tabs>
          <w:tab w:val="left" w:pos="2127"/>
        </w:tabs>
        <w:spacing w:line="360" w:lineRule="auto"/>
        <w:outlineLvl w:val="2"/>
        <w:rPr>
          <w:rFonts w:hAnsi="宋体"/>
          <w:b/>
          <w:color w:val="auto"/>
          <w:highlight w:val="none"/>
        </w:rPr>
      </w:pPr>
      <w:r>
        <w:rPr>
          <w:rFonts w:hint="eastAsia" w:hAnsi="宋体"/>
          <w:b/>
          <w:color w:val="auto"/>
          <w:highlight w:val="none"/>
        </w:rPr>
        <w:t>1.</w:t>
      </w:r>
      <w:r>
        <w:rPr>
          <w:rFonts w:hint="eastAsia" w:hAnsi="宋体"/>
          <w:b/>
          <w:color w:val="auto"/>
          <w:highlight w:val="none"/>
          <w:lang w:val="en-US" w:eastAsia="zh-CN"/>
        </w:rPr>
        <w:t>10</w:t>
      </w:r>
      <w:r>
        <w:rPr>
          <w:rFonts w:hint="eastAsia" w:hAnsi="宋体"/>
          <w:b/>
          <w:color w:val="auto"/>
          <w:highlight w:val="none"/>
        </w:rPr>
        <w:t xml:space="preserve"> 投标预备会</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pPr>
        <w:pStyle w:val="22"/>
        <w:tabs>
          <w:tab w:val="left" w:pos="2127"/>
        </w:tabs>
        <w:spacing w:line="360" w:lineRule="auto"/>
        <w:ind w:firstLine="435"/>
        <w:rPr>
          <w:rFonts w:hAnsi="宋体"/>
          <w:color w:val="auto"/>
          <w:highlight w:val="none"/>
        </w:rPr>
      </w:pPr>
      <w:r>
        <w:rPr>
          <w:rFonts w:hAnsi="宋体"/>
          <w:color w:val="auto"/>
          <w:highlight w:val="none"/>
        </w:rPr>
        <w:t>1.</w:t>
      </w:r>
      <w:r>
        <w:rPr>
          <w:rFonts w:hint="eastAsia" w:hAnsi="宋体"/>
          <w:color w:val="auto"/>
          <w:highlight w:val="none"/>
        </w:rPr>
        <w:t>9</w:t>
      </w:r>
      <w:r>
        <w:rPr>
          <w:rFonts w:hAnsi="宋体"/>
          <w:color w:val="auto"/>
          <w:highlight w:val="none"/>
        </w:rPr>
        <w:t xml:space="preserve">.1 </w:t>
      </w:r>
      <w:r>
        <w:rPr>
          <w:rFonts w:hint="eastAsia" w:hAnsi="宋体"/>
          <w:color w:val="auto"/>
          <w:highlight w:val="none"/>
        </w:rPr>
        <w:t>投标人须知前附表规定召开投标预备会的，招标人按投标人须知前附表规定的时间和地点召开投标预备会，澄清投标人提出的问题。</w:t>
      </w:r>
    </w:p>
    <w:p>
      <w:pPr>
        <w:pStyle w:val="22"/>
        <w:tabs>
          <w:tab w:val="left" w:pos="2127"/>
        </w:tabs>
        <w:spacing w:line="360" w:lineRule="auto"/>
        <w:ind w:firstLine="435"/>
        <w:rPr>
          <w:rFonts w:hAnsi="宋体"/>
          <w:color w:val="auto"/>
          <w:highlight w:val="none"/>
        </w:rPr>
      </w:pPr>
      <w:r>
        <w:rPr>
          <w:rFonts w:hAnsi="宋体"/>
          <w:color w:val="auto"/>
          <w:highlight w:val="none"/>
        </w:rPr>
        <w:t>1.</w:t>
      </w:r>
      <w:r>
        <w:rPr>
          <w:rFonts w:hint="eastAsia" w:hAnsi="宋体"/>
          <w:color w:val="auto"/>
          <w:highlight w:val="none"/>
        </w:rPr>
        <w:t>9</w:t>
      </w:r>
      <w:r>
        <w:rPr>
          <w:rFonts w:hAnsi="宋体"/>
          <w:color w:val="auto"/>
          <w:highlight w:val="none"/>
        </w:rPr>
        <w:t xml:space="preserve">.2 </w:t>
      </w:r>
      <w:r>
        <w:rPr>
          <w:rFonts w:hint="eastAsia" w:hAnsi="宋体"/>
          <w:color w:val="auto"/>
          <w:highlight w:val="none"/>
        </w:rPr>
        <w:t>投标人应在投标人须知前附表规定的时间前，以书面形式将提出的问题送达招标人，以便招标人在会议期间澄清。</w:t>
      </w:r>
    </w:p>
    <w:p>
      <w:pPr>
        <w:pStyle w:val="22"/>
        <w:tabs>
          <w:tab w:val="left" w:pos="2127"/>
        </w:tabs>
        <w:spacing w:line="360" w:lineRule="auto"/>
        <w:ind w:firstLine="435"/>
        <w:rPr>
          <w:rFonts w:hint="eastAsia" w:hAnsi="宋体"/>
          <w:color w:val="auto"/>
          <w:highlight w:val="none"/>
        </w:rPr>
      </w:pPr>
      <w:r>
        <w:rPr>
          <w:rFonts w:hAnsi="宋体"/>
          <w:color w:val="auto"/>
          <w:highlight w:val="none"/>
        </w:rPr>
        <w:t>1.</w:t>
      </w:r>
      <w:r>
        <w:rPr>
          <w:rFonts w:hint="eastAsia" w:hAnsi="宋体"/>
          <w:color w:val="auto"/>
          <w:highlight w:val="none"/>
        </w:rPr>
        <w:t>9</w:t>
      </w:r>
      <w:r>
        <w:rPr>
          <w:rFonts w:hAnsi="宋体"/>
          <w:color w:val="auto"/>
          <w:highlight w:val="none"/>
        </w:rPr>
        <w:t xml:space="preserve">.3 </w:t>
      </w:r>
      <w:r>
        <w:rPr>
          <w:rFonts w:hint="eastAsia" w:hAnsi="宋体"/>
          <w:color w:val="auto"/>
          <w:highlight w:val="none"/>
        </w:rPr>
        <w:t>投标预备会后，招标人在投标人须知前附表规定的时间内，将对投标人所提问题的澄清，以书面方式通知所有购买招标文件的投标人。该澄清内容为招标文件的组成部分。</w:t>
      </w:r>
    </w:p>
    <w:p>
      <w:pPr>
        <w:pStyle w:val="22"/>
        <w:tabs>
          <w:tab w:val="left" w:pos="2127"/>
        </w:tabs>
        <w:spacing w:line="360" w:lineRule="auto"/>
        <w:outlineLvl w:val="2"/>
        <w:rPr>
          <w:rFonts w:hint="eastAsia" w:hAnsi="宋体" w:eastAsia="宋体"/>
          <w:b/>
          <w:color w:val="auto"/>
          <w:highlight w:val="none"/>
          <w:lang w:val="en-US" w:eastAsia="zh-CN"/>
        </w:rPr>
      </w:pPr>
      <w:r>
        <w:rPr>
          <w:rFonts w:hint="eastAsia" w:hAnsi="宋体"/>
          <w:b/>
          <w:color w:val="auto"/>
          <w:highlight w:val="none"/>
        </w:rPr>
        <w:t>1.</w:t>
      </w:r>
      <w:r>
        <w:rPr>
          <w:rFonts w:hint="eastAsia" w:hAnsi="宋体"/>
          <w:b/>
          <w:color w:val="auto"/>
          <w:highlight w:val="none"/>
          <w:lang w:val="en-US" w:eastAsia="zh-CN"/>
        </w:rPr>
        <w:t>11</w:t>
      </w:r>
      <w:r>
        <w:rPr>
          <w:rFonts w:hint="eastAsia" w:hAnsi="宋体"/>
          <w:b/>
          <w:color w:val="auto"/>
          <w:highlight w:val="none"/>
        </w:rPr>
        <w:t xml:space="preserve"> </w:t>
      </w:r>
      <w:r>
        <w:rPr>
          <w:rFonts w:hint="eastAsia" w:hAnsi="宋体"/>
          <w:b/>
          <w:color w:val="auto"/>
          <w:highlight w:val="none"/>
          <w:lang w:val="en-US" w:eastAsia="zh-CN"/>
        </w:rPr>
        <w:t>分包</w:t>
      </w:r>
    </w:p>
    <w:p>
      <w:pPr>
        <w:spacing w:before="63" w:line="274" w:lineRule="auto"/>
        <w:ind w:right="60" w:firstLine="451"/>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1.11.1 取得施工</w:t>
      </w:r>
      <w:r>
        <w:rPr>
          <w:rFonts w:ascii="宋体" w:hAnsi="宋体" w:eastAsia="宋体" w:cs="宋体"/>
          <w:color w:val="auto"/>
          <w:spacing w:val="3"/>
          <w:sz w:val="21"/>
          <w:szCs w:val="21"/>
          <w:highlight w:val="none"/>
        </w:rPr>
        <w:t>总</w:t>
      </w:r>
      <w:r>
        <w:rPr>
          <w:rFonts w:ascii="宋体" w:hAnsi="宋体" w:eastAsia="宋体" w:cs="宋体"/>
          <w:color w:val="auto"/>
          <w:spacing w:val="2"/>
          <w:sz w:val="21"/>
          <w:szCs w:val="21"/>
          <w:highlight w:val="none"/>
        </w:rPr>
        <w:t>承包资质的承包商可以对所承接的施工总承包工程内各专业工程全部自行</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施工，也可以将专业工程依法进行分包。对设有资质的专业</w:t>
      </w:r>
      <w:r>
        <w:rPr>
          <w:rFonts w:ascii="宋体" w:hAnsi="宋体" w:eastAsia="宋体" w:cs="宋体"/>
          <w:color w:val="auto"/>
          <w:sz w:val="21"/>
          <w:szCs w:val="21"/>
          <w:highlight w:val="none"/>
        </w:rPr>
        <w:t>工程进行分包时，应分包给具有相应专</w:t>
      </w:r>
      <w:r>
        <w:rPr>
          <w:rFonts w:ascii="宋体" w:hAnsi="宋体" w:eastAsia="宋体" w:cs="宋体"/>
          <w:color w:val="auto"/>
          <w:spacing w:val="1"/>
          <w:sz w:val="21"/>
          <w:szCs w:val="21"/>
          <w:highlight w:val="none"/>
        </w:rPr>
        <w:t>业承包资质的承</w:t>
      </w:r>
      <w:r>
        <w:rPr>
          <w:rFonts w:ascii="宋体" w:hAnsi="宋体" w:eastAsia="宋体" w:cs="宋体"/>
          <w:color w:val="auto"/>
          <w:sz w:val="21"/>
          <w:szCs w:val="21"/>
          <w:highlight w:val="none"/>
        </w:rPr>
        <w:t>包商。施工总承包单位将劳务作业分包时，应分包给具有施工劳务资质的承包商。</w:t>
      </w:r>
      <w:r>
        <w:rPr>
          <w:rFonts w:ascii="宋体" w:hAnsi="宋体" w:eastAsia="宋体" w:cs="宋体"/>
          <w:color w:val="auto"/>
          <w:spacing w:val="1"/>
          <w:sz w:val="21"/>
          <w:szCs w:val="21"/>
          <w:highlight w:val="none"/>
        </w:rPr>
        <w:t>但是，除总承包合同中约定的分包外，必须经建设单位认可。总承包单位按照总承包合</w:t>
      </w:r>
      <w:r>
        <w:rPr>
          <w:rFonts w:ascii="宋体" w:hAnsi="宋体" w:eastAsia="宋体" w:cs="宋体"/>
          <w:color w:val="auto"/>
          <w:sz w:val="21"/>
          <w:szCs w:val="21"/>
          <w:highlight w:val="none"/>
        </w:rPr>
        <w:t>同的约定对</w:t>
      </w:r>
      <w:r>
        <w:rPr>
          <w:rFonts w:ascii="宋体" w:hAnsi="宋体" w:eastAsia="宋体" w:cs="宋体"/>
          <w:color w:val="auto"/>
          <w:spacing w:val="1"/>
          <w:sz w:val="21"/>
          <w:szCs w:val="21"/>
          <w:highlight w:val="none"/>
        </w:rPr>
        <w:t>建设单位负责；分包单位按照分包合同的约定对总承包单位负责。总承包单位和分包单</w:t>
      </w:r>
      <w:r>
        <w:rPr>
          <w:rFonts w:ascii="宋体" w:hAnsi="宋体" w:eastAsia="宋体" w:cs="宋体"/>
          <w:color w:val="auto"/>
          <w:sz w:val="21"/>
          <w:szCs w:val="21"/>
          <w:highlight w:val="none"/>
        </w:rPr>
        <w:t>位就分包工</w:t>
      </w:r>
      <w:r>
        <w:rPr>
          <w:rFonts w:ascii="宋体" w:hAnsi="宋体" w:eastAsia="宋体" w:cs="宋体"/>
          <w:color w:val="auto"/>
          <w:spacing w:val="1"/>
          <w:sz w:val="21"/>
          <w:szCs w:val="21"/>
          <w:highlight w:val="none"/>
        </w:rPr>
        <w:t>程</w:t>
      </w:r>
      <w:r>
        <w:rPr>
          <w:rFonts w:ascii="宋体" w:hAnsi="宋体" w:eastAsia="宋体" w:cs="宋体"/>
          <w:color w:val="auto"/>
          <w:sz w:val="21"/>
          <w:szCs w:val="21"/>
          <w:highlight w:val="none"/>
        </w:rPr>
        <w:t>对建设单位承担连带责任。禁止总承包单位将工程分包给不具备相应资质条件的单位。</w:t>
      </w:r>
    </w:p>
    <w:p>
      <w:pPr>
        <w:spacing w:line="220" w:lineRule="auto"/>
        <w:ind w:left="451"/>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1.11.</w:t>
      </w:r>
      <w:r>
        <w:rPr>
          <w:rFonts w:ascii="宋体" w:hAnsi="宋体" w:eastAsia="宋体" w:cs="宋体"/>
          <w:color w:val="auto"/>
          <w:spacing w:val="-5"/>
          <w:sz w:val="21"/>
          <w:szCs w:val="21"/>
          <w:highlight w:val="none"/>
        </w:rPr>
        <w:t>2</w:t>
      </w:r>
      <w:r>
        <w:rPr>
          <w:rFonts w:ascii="宋体" w:hAnsi="宋体" w:eastAsia="宋体" w:cs="宋体"/>
          <w:color w:val="auto"/>
          <w:spacing w:val="-4"/>
          <w:sz w:val="21"/>
          <w:szCs w:val="21"/>
          <w:highlight w:val="none"/>
        </w:rPr>
        <w:t xml:space="preserve"> 施工总承包的基建项目，工程主体的施工必须由总承包单位自行完成。</w:t>
      </w:r>
    </w:p>
    <w:p>
      <w:pPr>
        <w:spacing w:before="62" w:line="274" w:lineRule="auto"/>
        <w:ind w:right="60" w:firstLine="45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1.11.3 取得专业</w:t>
      </w:r>
      <w:r>
        <w:rPr>
          <w:rFonts w:ascii="宋体" w:hAnsi="宋体" w:eastAsia="宋体" w:cs="宋体"/>
          <w:color w:val="auto"/>
          <w:spacing w:val="3"/>
          <w:sz w:val="21"/>
          <w:szCs w:val="21"/>
          <w:highlight w:val="none"/>
        </w:rPr>
        <w:t>承</w:t>
      </w:r>
      <w:r>
        <w:rPr>
          <w:rFonts w:ascii="宋体" w:hAnsi="宋体" w:eastAsia="宋体" w:cs="宋体"/>
          <w:color w:val="auto"/>
          <w:spacing w:val="2"/>
          <w:sz w:val="21"/>
          <w:szCs w:val="21"/>
          <w:highlight w:val="none"/>
        </w:rPr>
        <w:t>包资质的承包商可以承接具有施工总承包资质的承包商依法分包的专业工</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程或建设单位依法发包的专业工程。取得专业承包资质的承包商应对所承接的专业工</w:t>
      </w:r>
      <w:r>
        <w:rPr>
          <w:rFonts w:ascii="宋体" w:hAnsi="宋体" w:eastAsia="宋体" w:cs="宋体"/>
          <w:color w:val="auto"/>
          <w:sz w:val="21"/>
          <w:szCs w:val="21"/>
          <w:highlight w:val="none"/>
        </w:rPr>
        <w:t xml:space="preserve">程全部自行组 </w:t>
      </w:r>
      <w:r>
        <w:rPr>
          <w:rFonts w:ascii="宋体" w:hAnsi="宋体" w:eastAsia="宋体" w:cs="宋体"/>
          <w:color w:val="auto"/>
          <w:spacing w:val="-1"/>
          <w:sz w:val="21"/>
          <w:szCs w:val="21"/>
          <w:highlight w:val="none"/>
        </w:rPr>
        <w:t>织施工，劳务作业可以分包，但应分</w:t>
      </w:r>
      <w:r>
        <w:rPr>
          <w:rFonts w:ascii="宋体" w:hAnsi="宋体" w:eastAsia="宋体" w:cs="宋体"/>
          <w:color w:val="auto"/>
          <w:sz w:val="21"/>
          <w:szCs w:val="21"/>
          <w:highlight w:val="none"/>
        </w:rPr>
        <w:t>包给具有施工劳务资质的承包商。</w:t>
      </w:r>
    </w:p>
    <w:p>
      <w:pPr>
        <w:pStyle w:val="22"/>
        <w:tabs>
          <w:tab w:val="left" w:pos="2127"/>
        </w:tabs>
        <w:spacing w:line="360" w:lineRule="auto"/>
        <w:ind w:firstLine="435"/>
        <w:rPr>
          <w:rFonts w:ascii="宋体" w:hAnsi="宋体" w:eastAsia="宋体" w:cs="宋体"/>
          <w:color w:val="auto"/>
          <w:spacing w:val="-2"/>
          <w:sz w:val="21"/>
          <w:szCs w:val="21"/>
          <w:highlight w:val="none"/>
        </w:rPr>
      </w:pPr>
      <w:r>
        <w:rPr>
          <w:rFonts w:ascii="宋体" w:hAnsi="宋体" w:eastAsia="宋体" w:cs="宋体"/>
          <w:color w:val="auto"/>
          <w:spacing w:val="4"/>
          <w:sz w:val="21"/>
          <w:szCs w:val="21"/>
          <w:highlight w:val="none"/>
        </w:rPr>
        <w:t>1.11.4 取得施工</w:t>
      </w:r>
      <w:r>
        <w:rPr>
          <w:rFonts w:ascii="宋体" w:hAnsi="宋体" w:eastAsia="宋体" w:cs="宋体"/>
          <w:color w:val="auto"/>
          <w:spacing w:val="3"/>
          <w:sz w:val="21"/>
          <w:szCs w:val="21"/>
          <w:highlight w:val="none"/>
        </w:rPr>
        <w:t>劳</w:t>
      </w:r>
      <w:r>
        <w:rPr>
          <w:rFonts w:ascii="宋体" w:hAnsi="宋体" w:eastAsia="宋体" w:cs="宋体"/>
          <w:color w:val="auto"/>
          <w:spacing w:val="2"/>
          <w:sz w:val="21"/>
          <w:szCs w:val="21"/>
          <w:highlight w:val="none"/>
        </w:rPr>
        <w:t>务资质的承包商可以承接具有施工总承包资质或专业承包资质的承包商分</w:t>
      </w:r>
      <w:r>
        <w:rPr>
          <w:rFonts w:ascii="宋体" w:hAnsi="宋体" w:eastAsia="宋体" w:cs="宋体"/>
          <w:color w:val="auto"/>
          <w:spacing w:val="-3"/>
          <w:sz w:val="21"/>
          <w:szCs w:val="21"/>
          <w:highlight w:val="none"/>
        </w:rPr>
        <w:t>包的劳务作业</w:t>
      </w:r>
      <w:r>
        <w:rPr>
          <w:rFonts w:ascii="宋体" w:hAnsi="宋体" w:eastAsia="宋体" w:cs="宋体"/>
          <w:color w:val="auto"/>
          <w:spacing w:val="-2"/>
          <w:sz w:val="21"/>
          <w:szCs w:val="21"/>
          <w:highlight w:val="none"/>
        </w:rPr>
        <w:t>。</w:t>
      </w:r>
    </w:p>
    <w:p>
      <w:pPr>
        <w:spacing w:line="288" w:lineRule="auto"/>
        <w:ind w:left="3" w:right="62" w:firstLine="447"/>
        <w:rPr>
          <w:rFonts w:hint="eastAsia" w:ascii="宋体" w:hAnsi="宋体" w:eastAsia="宋体" w:cs="宋体"/>
          <w:color w:val="auto"/>
          <w:spacing w:val="-2"/>
          <w:sz w:val="21"/>
          <w:szCs w:val="21"/>
          <w:highlight w:val="none"/>
        </w:rPr>
      </w:pPr>
      <w:r>
        <w:rPr>
          <w:rFonts w:ascii="宋体" w:hAnsi="宋体" w:eastAsia="宋体" w:cs="宋体"/>
          <w:color w:val="auto"/>
          <w:spacing w:val="-4"/>
          <w:sz w:val="21"/>
          <w:szCs w:val="21"/>
          <w:highlight w:val="none"/>
        </w:rPr>
        <w:t>1.11.</w:t>
      </w:r>
      <w:r>
        <w:rPr>
          <w:rFonts w:ascii="宋体" w:hAnsi="宋体" w:eastAsia="宋体" w:cs="宋体"/>
          <w:color w:val="auto"/>
          <w:spacing w:val="-3"/>
          <w:sz w:val="21"/>
          <w:szCs w:val="21"/>
          <w:highlight w:val="none"/>
        </w:rPr>
        <w:t>5</w:t>
      </w:r>
      <w:r>
        <w:rPr>
          <w:rFonts w:ascii="宋体" w:hAnsi="宋体" w:eastAsia="宋体" w:cs="宋体"/>
          <w:color w:val="auto"/>
          <w:spacing w:val="-2"/>
          <w:sz w:val="21"/>
          <w:szCs w:val="21"/>
          <w:highlight w:val="none"/>
        </w:rPr>
        <w:t xml:space="preserve"> 专业分包商必须在公司进行资信档案登记，并且在资信档案记录允许的范围内承接分包</w:t>
      </w:r>
      <w:r>
        <w:rPr>
          <w:rFonts w:ascii="宋体" w:hAnsi="宋体" w:eastAsia="宋体" w:cs="宋体"/>
          <w:color w:val="auto"/>
          <w:spacing w:val="-10"/>
          <w:sz w:val="21"/>
          <w:szCs w:val="21"/>
          <w:highlight w:val="none"/>
        </w:rPr>
        <w:t>工</w:t>
      </w:r>
      <w:r>
        <w:rPr>
          <w:rFonts w:ascii="宋体" w:hAnsi="宋体" w:eastAsia="宋体" w:cs="宋体"/>
          <w:color w:val="auto"/>
          <w:spacing w:val="-8"/>
          <w:sz w:val="21"/>
          <w:szCs w:val="21"/>
          <w:highlight w:val="none"/>
        </w:rPr>
        <w:t>程。</w:t>
      </w:r>
    </w:p>
    <w:p>
      <w:pPr>
        <w:pStyle w:val="2"/>
        <w:tabs>
          <w:tab w:val="left" w:pos="2127"/>
        </w:tabs>
        <w:spacing w:before="0" w:after="0" w:line="360" w:lineRule="auto"/>
        <w:rPr>
          <w:rFonts w:ascii="宋体" w:hAnsi="宋体" w:eastAsia="宋体"/>
          <w:color w:val="auto"/>
          <w:sz w:val="24"/>
          <w:szCs w:val="24"/>
          <w:highlight w:val="none"/>
        </w:rPr>
      </w:pPr>
      <w:bookmarkStart w:id="730" w:name="_Toc28415"/>
      <w:bookmarkStart w:id="731" w:name="_Toc18603"/>
      <w:bookmarkStart w:id="732" w:name="_Toc16703"/>
      <w:bookmarkStart w:id="733" w:name="_Toc30848"/>
      <w:bookmarkStart w:id="734" w:name="_Toc2838"/>
      <w:bookmarkStart w:id="735" w:name="_Toc26852"/>
      <w:bookmarkStart w:id="736" w:name="_Toc10704"/>
      <w:bookmarkStart w:id="737" w:name="_Toc5692"/>
      <w:bookmarkStart w:id="738" w:name="_Toc20512"/>
      <w:bookmarkStart w:id="739" w:name="_Toc168"/>
      <w:bookmarkStart w:id="740" w:name="_Toc4394"/>
      <w:bookmarkStart w:id="741" w:name="_Toc2854"/>
      <w:bookmarkStart w:id="742" w:name="_Toc20645"/>
      <w:bookmarkStart w:id="743" w:name="_Toc17358"/>
      <w:bookmarkStart w:id="744" w:name="_Toc29059"/>
      <w:r>
        <w:rPr>
          <w:rFonts w:hint="eastAsia" w:ascii="宋体" w:hAnsi="宋体" w:eastAsia="宋体"/>
          <w:color w:val="auto"/>
          <w:sz w:val="24"/>
          <w:szCs w:val="24"/>
          <w:highlight w:val="none"/>
        </w:rPr>
        <w:t>2. 招标文件</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pPr>
        <w:pStyle w:val="22"/>
        <w:tabs>
          <w:tab w:val="left" w:pos="2127"/>
        </w:tabs>
        <w:spacing w:line="360" w:lineRule="auto"/>
        <w:outlineLvl w:val="2"/>
        <w:rPr>
          <w:rFonts w:hAnsi="宋体"/>
          <w:b/>
          <w:color w:val="auto"/>
          <w:highlight w:val="none"/>
        </w:rPr>
      </w:pPr>
      <w:bookmarkStart w:id="745" w:name="_Toc482803081"/>
      <w:bookmarkStart w:id="746" w:name="_Toc8111"/>
      <w:bookmarkStart w:id="747" w:name="_Toc25069"/>
      <w:bookmarkStart w:id="748" w:name="_Toc21237"/>
      <w:bookmarkStart w:id="749" w:name="_Toc8862"/>
      <w:bookmarkStart w:id="750" w:name="_Toc29731"/>
      <w:bookmarkStart w:id="751" w:name="_Toc27789"/>
      <w:bookmarkStart w:id="752" w:name="_Toc17422"/>
      <w:bookmarkStart w:id="753" w:name="_Toc484792194"/>
      <w:bookmarkStart w:id="754" w:name="_Toc11630"/>
      <w:bookmarkStart w:id="755" w:name="_Toc19925"/>
      <w:bookmarkStart w:id="756" w:name="_Toc27578"/>
      <w:bookmarkStart w:id="757" w:name="_Toc22320"/>
      <w:bookmarkStart w:id="758" w:name="_Toc1787"/>
      <w:bookmarkStart w:id="759" w:name="_Toc9658"/>
      <w:bookmarkStart w:id="760" w:name="_Toc6046"/>
      <w:bookmarkStart w:id="761" w:name="_Toc28461"/>
      <w:bookmarkStart w:id="762" w:name="_Toc1850"/>
      <w:bookmarkStart w:id="763" w:name="_Toc26697"/>
      <w:bookmarkStart w:id="764" w:name="_Toc30041"/>
      <w:bookmarkStart w:id="765" w:name="_Toc16390"/>
      <w:bookmarkStart w:id="766" w:name="_Toc11258"/>
      <w:bookmarkStart w:id="767" w:name="_Toc2777"/>
      <w:bookmarkStart w:id="768" w:name="_Toc17856"/>
      <w:bookmarkStart w:id="769" w:name="_Toc8768"/>
      <w:bookmarkStart w:id="770" w:name="_Toc22479"/>
      <w:bookmarkStart w:id="771" w:name="_Toc14108"/>
      <w:bookmarkStart w:id="772" w:name="_Toc14455"/>
      <w:bookmarkStart w:id="773" w:name="_Toc19619"/>
      <w:bookmarkStart w:id="774" w:name="_Toc18940"/>
      <w:bookmarkStart w:id="775" w:name="_Toc7417"/>
      <w:bookmarkStart w:id="776" w:name="_Toc31374"/>
      <w:bookmarkStart w:id="777" w:name="_Toc11289"/>
      <w:bookmarkStart w:id="778" w:name="_Toc13380"/>
      <w:bookmarkStart w:id="779" w:name="_Toc6805"/>
      <w:bookmarkStart w:id="780" w:name="_Toc3536"/>
      <w:bookmarkStart w:id="781" w:name="_Toc20102"/>
      <w:bookmarkStart w:id="782" w:name="_Toc19287"/>
      <w:bookmarkStart w:id="783" w:name="_Toc11182"/>
      <w:bookmarkStart w:id="784" w:name="_Toc2503"/>
      <w:bookmarkStart w:id="785" w:name="_Toc10226"/>
      <w:r>
        <w:rPr>
          <w:rFonts w:hint="eastAsia" w:hAnsi="宋体"/>
          <w:b/>
          <w:color w:val="auto"/>
          <w:highlight w:val="none"/>
        </w:rPr>
        <w:t>2.1 招标文件的组成</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pPr>
        <w:tabs>
          <w:tab w:val="left" w:pos="2127"/>
        </w:tabs>
        <w:spacing w:line="360" w:lineRule="auto"/>
        <w:rPr>
          <w:rFonts w:ascii="宋体" w:hAnsi="宋体"/>
          <w:color w:val="auto"/>
          <w:highlight w:val="none"/>
        </w:rPr>
      </w:pPr>
      <w:r>
        <w:rPr>
          <w:rFonts w:hint="eastAsia" w:ascii="宋体" w:hAnsi="宋体"/>
          <w:color w:val="auto"/>
          <w:highlight w:val="none"/>
        </w:rPr>
        <w:t xml:space="preserve">    本招标文件包括：</w:t>
      </w:r>
    </w:p>
    <w:p>
      <w:pPr>
        <w:tabs>
          <w:tab w:val="left" w:pos="2127"/>
        </w:tabs>
        <w:spacing w:line="360" w:lineRule="auto"/>
        <w:ind w:firstLine="420" w:firstLineChars="200"/>
        <w:rPr>
          <w:rFonts w:hint="eastAsia" w:ascii="宋体" w:hAnsi="宋体" w:eastAsia="宋体"/>
          <w:color w:val="auto"/>
          <w:highlight w:val="none"/>
          <w:lang w:eastAsia="zh-CN"/>
        </w:rPr>
      </w:pPr>
      <w:r>
        <w:rPr>
          <w:rFonts w:hint="eastAsia" w:ascii="宋体" w:hAnsi="宋体"/>
          <w:color w:val="auto"/>
          <w:highlight w:val="none"/>
        </w:rPr>
        <w:t>（1）招标公告</w:t>
      </w:r>
      <w:r>
        <w:rPr>
          <w:rFonts w:hint="eastAsia" w:ascii="宋体" w:hAnsi="宋体"/>
          <w:color w:val="auto"/>
          <w:highlight w:val="none"/>
          <w:lang w:eastAsia="zh-CN"/>
        </w:rPr>
        <w:t>；</w:t>
      </w:r>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2</w:t>
      </w:r>
      <w:r>
        <w:rPr>
          <w:rFonts w:hint="eastAsia" w:ascii="宋体" w:hAnsi="宋体"/>
          <w:color w:val="auto"/>
          <w:highlight w:val="none"/>
        </w:rPr>
        <w:t>）投标人须知；</w:t>
      </w:r>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）合同条款及格式</w:t>
      </w:r>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4</w:t>
      </w:r>
      <w:r>
        <w:rPr>
          <w:rFonts w:hint="eastAsia" w:ascii="宋体" w:hAnsi="宋体"/>
          <w:color w:val="auto"/>
          <w:highlight w:val="none"/>
        </w:rPr>
        <w:t>）投标文件格式；</w:t>
      </w:r>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5</w:t>
      </w:r>
      <w:r>
        <w:rPr>
          <w:rFonts w:hint="eastAsia" w:ascii="宋体" w:hAnsi="宋体"/>
          <w:color w:val="auto"/>
          <w:highlight w:val="none"/>
        </w:rPr>
        <w:t>）评标办法；</w:t>
      </w:r>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6</w:t>
      </w:r>
      <w:r>
        <w:rPr>
          <w:rFonts w:hint="eastAsia" w:ascii="宋体" w:hAnsi="宋体"/>
          <w:color w:val="auto"/>
          <w:highlight w:val="none"/>
        </w:rPr>
        <w:t>）技术标准、要求（如有）；</w:t>
      </w:r>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7</w:t>
      </w:r>
      <w:r>
        <w:rPr>
          <w:rFonts w:hint="eastAsia" w:ascii="宋体" w:hAnsi="宋体"/>
          <w:color w:val="auto"/>
          <w:highlight w:val="none"/>
        </w:rPr>
        <w:t>）图纸及</w:t>
      </w:r>
      <w:r>
        <w:rPr>
          <w:rFonts w:hint="eastAsia" w:ascii="宋体" w:hAnsi="宋体"/>
          <w:color w:val="auto"/>
          <w:highlight w:val="none"/>
          <w:lang w:eastAsia="zh-CN"/>
        </w:rPr>
        <w:t>服务量</w:t>
      </w:r>
      <w:r>
        <w:rPr>
          <w:rFonts w:hint="eastAsia" w:ascii="宋体" w:hAnsi="宋体"/>
          <w:color w:val="auto"/>
          <w:highlight w:val="none"/>
        </w:rPr>
        <w:t>清单（如有）；</w:t>
      </w:r>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8</w:t>
      </w:r>
      <w:r>
        <w:rPr>
          <w:rFonts w:hint="eastAsia" w:ascii="宋体" w:hAnsi="宋体"/>
          <w:color w:val="auto"/>
          <w:highlight w:val="none"/>
        </w:rPr>
        <w:t>）投标人须知前附表规定的其他材料。</w:t>
      </w:r>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根据本章第1.10款、第2.2款和第2.3款对招标文件所作的澄清、修改，构成招标文件的组成部分。</w:t>
      </w:r>
    </w:p>
    <w:p>
      <w:pPr>
        <w:pStyle w:val="22"/>
        <w:tabs>
          <w:tab w:val="left" w:pos="2127"/>
        </w:tabs>
        <w:spacing w:line="360" w:lineRule="auto"/>
        <w:outlineLvl w:val="2"/>
        <w:rPr>
          <w:rFonts w:hAnsi="宋体"/>
          <w:b/>
          <w:color w:val="auto"/>
          <w:highlight w:val="none"/>
        </w:rPr>
      </w:pPr>
      <w:bookmarkStart w:id="786" w:name="_Toc23359"/>
      <w:bookmarkStart w:id="787" w:name="_Toc30356"/>
      <w:bookmarkStart w:id="788" w:name="_Toc15646"/>
      <w:bookmarkStart w:id="789" w:name="_Toc25939"/>
      <w:bookmarkStart w:id="790" w:name="_Toc5526"/>
      <w:bookmarkStart w:id="791" w:name="_Toc1525"/>
      <w:bookmarkStart w:id="792" w:name="_Toc484792195"/>
      <w:bookmarkStart w:id="793" w:name="_Toc8163"/>
      <w:bookmarkStart w:id="794" w:name="_Toc20076"/>
      <w:bookmarkStart w:id="795" w:name="_Toc8179"/>
      <w:bookmarkStart w:id="796" w:name="_Toc20702"/>
      <w:bookmarkStart w:id="797" w:name="_Toc31574"/>
      <w:bookmarkStart w:id="798" w:name="_Toc2112"/>
      <w:bookmarkStart w:id="799" w:name="_Toc28819"/>
      <w:bookmarkStart w:id="800" w:name="_Toc16487"/>
      <w:bookmarkStart w:id="801" w:name="_Toc12237"/>
      <w:bookmarkStart w:id="802" w:name="_Toc29175"/>
      <w:bookmarkStart w:id="803" w:name="_Toc482803082"/>
      <w:bookmarkStart w:id="804" w:name="_Toc18280"/>
      <w:bookmarkStart w:id="805" w:name="_Toc4484"/>
      <w:bookmarkStart w:id="806" w:name="_Toc9738"/>
      <w:bookmarkStart w:id="807" w:name="_Toc3401"/>
      <w:bookmarkStart w:id="808" w:name="_Toc2617"/>
      <w:bookmarkStart w:id="809" w:name="_Toc8665"/>
      <w:bookmarkStart w:id="810" w:name="_Toc20989"/>
      <w:bookmarkStart w:id="811" w:name="_Toc8279"/>
      <w:bookmarkStart w:id="812" w:name="_Toc19186"/>
      <w:bookmarkStart w:id="813" w:name="_Toc18519"/>
      <w:bookmarkStart w:id="814" w:name="_Toc14037"/>
      <w:bookmarkStart w:id="815" w:name="_Toc20795"/>
      <w:bookmarkStart w:id="816" w:name="_Toc16122"/>
      <w:bookmarkStart w:id="817" w:name="_Toc20698"/>
      <w:bookmarkStart w:id="818" w:name="_Toc8614"/>
      <w:bookmarkStart w:id="819" w:name="_Toc23007"/>
      <w:bookmarkStart w:id="820" w:name="_Toc244"/>
      <w:bookmarkStart w:id="821" w:name="_Toc6389"/>
      <w:bookmarkStart w:id="822" w:name="_Toc9524"/>
      <w:bookmarkStart w:id="823" w:name="_Toc5634"/>
      <w:bookmarkStart w:id="824" w:name="_Toc5394"/>
      <w:bookmarkStart w:id="825" w:name="_Toc1462"/>
      <w:bookmarkStart w:id="826" w:name="_Toc16639"/>
      <w:r>
        <w:rPr>
          <w:rFonts w:hint="eastAsia" w:hAnsi="宋体"/>
          <w:b/>
          <w:color w:val="auto"/>
          <w:highlight w:val="none"/>
        </w:rPr>
        <w:t>2.2 招标文件的澄清</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pPr>
        <w:spacing w:before="62" w:line="274" w:lineRule="auto"/>
        <w:ind w:left="2" w:firstLine="42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2.2.1 投标人应仔细阅读和检查招标文件的全部内容。如</w:t>
      </w:r>
      <w:r>
        <w:rPr>
          <w:rFonts w:ascii="宋体" w:hAnsi="宋体" w:eastAsia="宋体" w:cs="宋体"/>
          <w:color w:val="auto"/>
          <w:spacing w:val="-1"/>
          <w:sz w:val="21"/>
          <w:szCs w:val="21"/>
          <w:highlight w:val="none"/>
        </w:rPr>
        <w:t>发现缺页或附件不全，应及时向招标</w:t>
      </w:r>
      <w:r>
        <w:rPr>
          <w:rFonts w:ascii="宋体" w:hAnsi="宋体" w:eastAsia="宋体" w:cs="宋体"/>
          <w:color w:val="auto"/>
          <w:spacing w:val="-4"/>
          <w:sz w:val="21"/>
          <w:szCs w:val="21"/>
          <w:highlight w:val="none"/>
        </w:rPr>
        <w:t>人提出，以便补齐。如有疑问</w:t>
      </w:r>
      <w:r>
        <w:rPr>
          <w:rFonts w:ascii="宋体" w:hAnsi="宋体" w:eastAsia="宋体" w:cs="宋体"/>
          <w:color w:val="auto"/>
          <w:spacing w:val="-2"/>
          <w:sz w:val="21"/>
          <w:szCs w:val="21"/>
          <w:highlight w:val="none"/>
        </w:rPr>
        <w:t>，应按投标人须知前附表规定的时间和形式将提出的问题送达招标人，</w:t>
      </w:r>
      <w:r>
        <w:rPr>
          <w:rFonts w:ascii="宋体" w:hAnsi="宋体" w:eastAsia="宋体" w:cs="宋体"/>
          <w:color w:val="auto"/>
          <w:spacing w:val="-1"/>
          <w:sz w:val="21"/>
          <w:szCs w:val="21"/>
          <w:highlight w:val="none"/>
        </w:rPr>
        <w:t>要求招标</w:t>
      </w:r>
      <w:r>
        <w:rPr>
          <w:rFonts w:ascii="宋体" w:hAnsi="宋体" w:eastAsia="宋体" w:cs="宋体"/>
          <w:color w:val="auto"/>
          <w:sz w:val="21"/>
          <w:szCs w:val="21"/>
          <w:highlight w:val="none"/>
        </w:rPr>
        <w:t>人对招标文件予以澄清。</w:t>
      </w:r>
    </w:p>
    <w:p>
      <w:pPr>
        <w:spacing w:before="1" w:line="274" w:lineRule="auto"/>
        <w:ind w:left="1" w:right="59" w:firstLine="4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2.2.2 招标人在投标人须知前附表规定的形式发给所有获取招标文</w:t>
      </w:r>
      <w:r>
        <w:rPr>
          <w:rFonts w:ascii="宋体" w:hAnsi="宋体" w:eastAsia="宋体" w:cs="宋体"/>
          <w:color w:val="auto"/>
          <w:sz w:val="21"/>
          <w:szCs w:val="21"/>
          <w:highlight w:val="none"/>
        </w:rPr>
        <w:t>件的投标人，但不能指明澄</w:t>
      </w:r>
      <w:r>
        <w:rPr>
          <w:rFonts w:ascii="宋体" w:hAnsi="宋体" w:eastAsia="宋体" w:cs="宋体"/>
          <w:color w:val="auto"/>
          <w:spacing w:val="-14"/>
          <w:sz w:val="21"/>
          <w:szCs w:val="21"/>
          <w:highlight w:val="none"/>
        </w:rPr>
        <w:t>清的来</w:t>
      </w:r>
      <w:r>
        <w:rPr>
          <w:rFonts w:ascii="宋体" w:hAnsi="宋体" w:eastAsia="宋体" w:cs="宋体"/>
          <w:color w:val="auto"/>
          <w:spacing w:val="-12"/>
          <w:sz w:val="21"/>
          <w:szCs w:val="21"/>
          <w:highlight w:val="none"/>
        </w:rPr>
        <w:t>源</w:t>
      </w:r>
      <w:r>
        <w:rPr>
          <w:rFonts w:ascii="宋体" w:hAnsi="宋体" w:eastAsia="宋体" w:cs="宋体"/>
          <w:color w:val="auto"/>
          <w:spacing w:val="-7"/>
          <w:sz w:val="21"/>
          <w:szCs w:val="21"/>
          <w:highlight w:val="none"/>
        </w:rPr>
        <w:t>。澄清发出的时间据本章第 4.2.1 项规定的投标截止时间不足 15 日的， 并且澄清内容可能</w:t>
      </w:r>
      <w:r>
        <w:rPr>
          <w:rFonts w:ascii="宋体" w:hAnsi="宋体" w:eastAsia="宋体" w:cs="宋体"/>
          <w:color w:val="auto"/>
          <w:spacing w:val="-1"/>
          <w:sz w:val="21"/>
          <w:szCs w:val="21"/>
          <w:highlight w:val="none"/>
        </w:rPr>
        <w:t>影响投标文件编制的，将相应延长投标截</w:t>
      </w:r>
      <w:r>
        <w:rPr>
          <w:rFonts w:ascii="宋体" w:hAnsi="宋体" w:eastAsia="宋体" w:cs="宋体"/>
          <w:color w:val="auto"/>
          <w:sz w:val="21"/>
          <w:szCs w:val="21"/>
          <w:highlight w:val="none"/>
        </w:rPr>
        <w:t>止时间。</w:t>
      </w:r>
    </w:p>
    <w:p>
      <w:pPr>
        <w:spacing w:before="1" w:line="274" w:lineRule="auto"/>
        <w:ind w:right="59" w:firstLine="423"/>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2.2.3 除非招</w:t>
      </w:r>
      <w:r>
        <w:rPr>
          <w:rFonts w:ascii="宋体" w:hAnsi="宋体" w:eastAsia="宋体" w:cs="宋体"/>
          <w:color w:val="auto"/>
          <w:spacing w:val="-4"/>
          <w:sz w:val="21"/>
          <w:szCs w:val="21"/>
          <w:highlight w:val="none"/>
        </w:rPr>
        <w:t>标</w:t>
      </w:r>
      <w:r>
        <w:rPr>
          <w:rFonts w:ascii="宋体" w:hAnsi="宋体" w:eastAsia="宋体" w:cs="宋体"/>
          <w:color w:val="auto"/>
          <w:spacing w:val="-3"/>
          <w:sz w:val="21"/>
          <w:szCs w:val="21"/>
          <w:highlight w:val="none"/>
        </w:rPr>
        <w:t>人认为有必要答复，否则，招标人有权拒绝回复投标人在本章第 2.2.1 项规定</w:t>
      </w:r>
      <w:r>
        <w:rPr>
          <w:rFonts w:ascii="宋体" w:hAnsi="宋体" w:eastAsia="宋体" w:cs="宋体"/>
          <w:color w:val="auto"/>
          <w:spacing w:val="6"/>
          <w:sz w:val="21"/>
          <w:szCs w:val="21"/>
          <w:highlight w:val="none"/>
        </w:rPr>
        <w:t>的时间</w:t>
      </w:r>
      <w:r>
        <w:rPr>
          <w:rFonts w:ascii="宋体" w:hAnsi="宋体" w:eastAsia="宋体" w:cs="宋体"/>
          <w:color w:val="auto"/>
          <w:spacing w:val="3"/>
          <w:sz w:val="21"/>
          <w:szCs w:val="21"/>
          <w:highlight w:val="none"/>
        </w:rPr>
        <w:t>后的任何澄清要求。招标文件澄清(招标答疑纪要)一经在广州公共资源交易中心网站发布,</w:t>
      </w:r>
      <w:r>
        <w:rPr>
          <w:rFonts w:ascii="宋体" w:hAnsi="宋体" w:eastAsia="宋体" w:cs="宋体"/>
          <w:color w:val="auto"/>
          <w:spacing w:val="-1"/>
          <w:sz w:val="21"/>
          <w:szCs w:val="21"/>
          <w:highlight w:val="none"/>
        </w:rPr>
        <w:t>视作已发</w:t>
      </w:r>
      <w:r>
        <w:rPr>
          <w:rFonts w:ascii="宋体" w:hAnsi="宋体" w:eastAsia="宋体" w:cs="宋体"/>
          <w:color w:val="auto"/>
          <w:sz w:val="21"/>
          <w:szCs w:val="21"/>
          <w:highlight w:val="none"/>
        </w:rPr>
        <w:t>放给所有投标人。</w:t>
      </w:r>
    </w:p>
    <w:p>
      <w:pPr>
        <w:spacing w:before="1" w:line="220" w:lineRule="auto"/>
        <w:ind w:left="423"/>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2</w:t>
      </w:r>
      <w:r>
        <w:rPr>
          <w:rFonts w:ascii="宋体" w:hAnsi="宋体" w:eastAsia="宋体" w:cs="宋体"/>
          <w:color w:val="auto"/>
          <w:spacing w:val="-2"/>
          <w:sz w:val="21"/>
          <w:szCs w:val="21"/>
          <w:highlight w:val="none"/>
        </w:rPr>
        <w:t>.2.4 招标文件修改发出的形式：见投标人须知前附表。</w:t>
      </w:r>
    </w:p>
    <w:p>
      <w:pPr>
        <w:spacing w:before="61" w:line="220" w:lineRule="auto"/>
        <w:ind w:left="423"/>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 xml:space="preserve">2.2.5 </w:t>
      </w:r>
      <w:r>
        <w:rPr>
          <w:rFonts w:ascii="宋体" w:hAnsi="宋体" w:eastAsia="宋体" w:cs="宋体"/>
          <w:color w:val="auto"/>
          <w:spacing w:val="-6"/>
          <w:sz w:val="21"/>
          <w:szCs w:val="21"/>
          <w:highlight w:val="none"/>
        </w:rPr>
        <w:t>投</w:t>
      </w:r>
      <w:r>
        <w:rPr>
          <w:rFonts w:ascii="宋体" w:hAnsi="宋体" w:eastAsia="宋体" w:cs="宋体"/>
          <w:color w:val="auto"/>
          <w:spacing w:val="-4"/>
          <w:sz w:val="21"/>
          <w:szCs w:val="21"/>
          <w:highlight w:val="none"/>
        </w:rPr>
        <w:t>标人确认收到招标文件修改的说明：见投标人须知前附表。</w:t>
      </w:r>
    </w:p>
    <w:p>
      <w:pPr>
        <w:pStyle w:val="22"/>
        <w:tabs>
          <w:tab w:val="left" w:pos="2127"/>
        </w:tabs>
        <w:spacing w:line="360" w:lineRule="auto"/>
        <w:ind w:firstLine="420" w:firstLineChars="200"/>
        <w:rPr>
          <w:rFonts w:hint="default" w:hAnsi="宋体" w:eastAsia="宋体"/>
          <w:color w:val="auto"/>
          <w:highlight w:val="none"/>
          <w:lang w:val="en-US" w:eastAsia="zh-CN"/>
        </w:rPr>
      </w:pPr>
      <w:r>
        <w:rPr>
          <w:rFonts w:hint="eastAsia" w:hAnsi="宋体"/>
          <w:color w:val="auto"/>
          <w:highlight w:val="none"/>
          <w:lang w:val="en-US" w:eastAsia="zh-CN"/>
        </w:rPr>
        <w:t>2.2.6</w:t>
      </w:r>
      <w:r>
        <w:rPr>
          <w:rFonts w:hint="eastAsia" w:ascii="宋体" w:hAnsi="宋体" w:cs="Times New Roman"/>
          <w:color w:val="auto"/>
          <w:spacing w:val="0"/>
          <w:szCs w:val="21"/>
          <w:highlight w:val="none"/>
          <w:lang w:val="en-US" w:eastAsia="zh-CN"/>
        </w:rPr>
        <w:t>本项目严格按照发包人与广州市供电局签订的《</w:t>
      </w:r>
      <w:r>
        <w:rPr>
          <w:rFonts w:hint="eastAsia" w:ascii="宋体" w:hAnsi="宋体" w:eastAsia="宋体" w:cs="Times New Roman"/>
          <w:b w:val="0"/>
          <w:bCs w:val="0"/>
          <w:color w:val="auto"/>
          <w:spacing w:val="0"/>
          <w:sz w:val="21"/>
          <w:szCs w:val="21"/>
          <w:highlight w:val="none"/>
          <w:lang w:val="en-US" w:eastAsia="zh-CN"/>
        </w:rPr>
        <w:t>广东电网公司广州供电局开发项目配套变电站建设移交合同</w:t>
      </w:r>
      <w:r>
        <w:rPr>
          <w:rFonts w:hint="eastAsia" w:ascii="宋体" w:hAnsi="宋体" w:cs="Times New Roman"/>
          <w:color w:val="auto"/>
          <w:spacing w:val="0"/>
          <w:szCs w:val="21"/>
          <w:highlight w:val="none"/>
          <w:lang w:val="en-US" w:eastAsia="zh-CN"/>
        </w:rPr>
        <w:t>》执行，若因其它原因最终未签订上述合同，本次项目终止，各方互不追究责任，也不承担任何损失及赔偿责任。</w:t>
      </w:r>
    </w:p>
    <w:p>
      <w:pPr>
        <w:pStyle w:val="22"/>
        <w:tabs>
          <w:tab w:val="left" w:pos="2127"/>
        </w:tabs>
        <w:spacing w:line="360" w:lineRule="auto"/>
        <w:outlineLvl w:val="2"/>
        <w:rPr>
          <w:rFonts w:hAnsi="宋体"/>
          <w:b/>
          <w:color w:val="auto"/>
          <w:highlight w:val="none"/>
        </w:rPr>
      </w:pPr>
      <w:bookmarkStart w:id="827" w:name="_Toc25505"/>
      <w:bookmarkStart w:id="828" w:name="_Toc16694"/>
      <w:bookmarkStart w:id="829" w:name="_Toc17695"/>
      <w:bookmarkStart w:id="830" w:name="_Toc31044"/>
      <w:bookmarkStart w:id="831" w:name="_Toc14914"/>
      <w:bookmarkStart w:id="832" w:name="_Toc25455"/>
      <w:bookmarkStart w:id="833" w:name="_Toc25982"/>
      <w:bookmarkStart w:id="834" w:name="_Toc26934"/>
      <w:bookmarkStart w:id="835" w:name="_Toc22890"/>
      <w:bookmarkStart w:id="836" w:name="_Toc2515"/>
      <w:bookmarkStart w:id="837" w:name="_Toc15963"/>
      <w:bookmarkStart w:id="838" w:name="_Toc28385"/>
      <w:bookmarkStart w:id="839" w:name="_Toc16003"/>
      <w:bookmarkStart w:id="840" w:name="_Toc12683"/>
      <w:bookmarkStart w:id="841" w:name="_Toc7521"/>
      <w:bookmarkStart w:id="842" w:name="_Toc13465"/>
      <w:bookmarkStart w:id="843" w:name="_Toc30799"/>
      <w:bookmarkStart w:id="844" w:name="_Toc718"/>
      <w:bookmarkStart w:id="845" w:name="_Toc2115"/>
      <w:bookmarkStart w:id="846" w:name="_Toc28165"/>
      <w:bookmarkStart w:id="847" w:name="_Toc28189"/>
      <w:bookmarkStart w:id="848" w:name="_Toc26384"/>
      <w:bookmarkStart w:id="849" w:name="_Toc20444"/>
      <w:bookmarkStart w:id="850" w:name="_Toc22677"/>
      <w:bookmarkStart w:id="851" w:name="_Toc12415"/>
      <w:bookmarkStart w:id="852" w:name="_Toc7920"/>
      <w:bookmarkStart w:id="853" w:name="_Toc19407"/>
      <w:bookmarkStart w:id="854" w:name="_Toc10583"/>
      <w:bookmarkStart w:id="855" w:name="_Toc5371"/>
      <w:bookmarkStart w:id="856" w:name="_Toc10774"/>
      <w:bookmarkStart w:id="857" w:name="_Toc4135"/>
      <w:bookmarkStart w:id="858" w:name="_Toc6221"/>
      <w:bookmarkStart w:id="859" w:name="_Toc24487"/>
      <w:bookmarkStart w:id="860" w:name="_Toc10113"/>
      <w:bookmarkStart w:id="861" w:name="_Toc12589"/>
      <w:bookmarkStart w:id="862" w:name="_Toc484792196"/>
      <w:bookmarkStart w:id="863" w:name="_Toc26160"/>
      <w:bookmarkStart w:id="864" w:name="_Toc21462"/>
      <w:bookmarkStart w:id="865" w:name="_Toc482803083"/>
      <w:bookmarkStart w:id="866" w:name="_Toc6014"/>
      <w:bookmarkStart w:id="867" w:name="_Toc25785"/>
      <w:r>
        <w:rPr>
          <w:rFonts w:hint="eastAsia" w:hAnsi="宋体"/>
          <w:b/>
          <w:color w:val="auto"/>
          <w:highlight w:val="none"/>
        </w:rPr>
        <w:t>2.3 招标文件的修改</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p>
      <w:pPr>
        <w:spacing w:before="62" w:line="274" w:lineRule="auto"/>
        <w:ind w:left="1" w:right="61" w:firstLine="422"/>
        <w:rPr>
          <w:rFonts w:ascii="宋体" w:hAnsi="宋体" w:eastAsia="宋体" w:cs="宋体"/>
          <w:color w:val="auto"/>
          <w:sz w:val="21"/>
          <w:szCs w:val="21"/>
          <w:highlight w:val="none"/>
        </w:rPr>
      </w:pPr>
      <w:bookmarkStart w:id="868" w:name="_Toc14853"/>
      <w:bookmarkStart w:id="869" w:name="_Toc9938"/>
      <w:bookmarkStart w:id="870" w:name="_Toc5516"/>
      <w:bookmarkStart w:id="871" w:name="_Toc17547"/>
      <w:bookmarkStart w:id="872" w:name="_Toc10546"/>
      <w:bookmarkStart w:id="873" w:name="_Toc2243"/>
      <w:bookmarkStart w:id="874" w:name="_Toc21510"/>
      <w:bookmarkStart w:id="875" w:name="_Toc15486"/>
      <w:bookmarkStart w:id="876" w:name="_Toc4029"/>
      <w:bookmarkStart w:id="877" w:name="_Toc32393"/>
      <w:bookmarkStart w:id="878" w:name="_Toc22145"/>
      <w:bookmarkStart w:id="879" w:name="_Toc14234"/>
      <w:bookmarkStart w:id="880" w:name="_Toc3144"/>
      <w:bookmarkStart w:id="881" w:name="_Toc19534"/>
      <w:bookmarkStart w:id="882" w:name="_Toc27405"/>
      <w:bookmarkStart w:id="883" w:name="_Toc7211"/>
      <w:r>
        <w:rPr>
          <w:rFonts w:ascii="宋体" w:hAnsi="宋体" w:eastAsia="宋体" w:cs="宋体"/>
          <w:color w:val="auto"/>
          <w:spacing w:val="-8"/>
          <w:sz w:val="21"/>
          <w:szCs w:val="21"/>
          <w:highlight w:val="none"/>
        </w:rPr>
        <w:t>2.3.1 招标文件发出后，在提交投标文件截止时间 15 日前， 招标人可对招标文件进行必要的</w:t>
      </w:r>
      <w:r>
        <w:rPr>
          <w:rFonts w:ascii="宋体" w:hAnsi="宋体" w:eastAsia="宋体" w:cs="宋体"/>
          <w:color w:val="auto"/>
          <w:spacing w:val="-4"/>
          <w:sz w:val="21"/>
          <w:szCs w:val="21"/>
          <w:highlight w:val="none"/>
        </w:rPr>
        <w:t>澄清或修改。</w:t>
      </w:r>
    </w:p>
    <w:p>
      <w:pPr>
        <w:spacing w:before="1" w:line="219" w:lineRule="auto"/>
        <w:ind w:left="423"/>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2.3.2 投</w:t>
      </w:r>
      <w:r>
        <w:rPr>
          <w:rFonts w:ascii="宋体" w:hAnsi="宋体" w:eastAsia="宋体" w:cs="宋体"/>
          <w:color w:val="auto"/>
          <w:spacing w:val="-4"/>
          <w:sz w:val="21"/>
          <w:szCs w:val="21"/>
          <w:highlight w:val="none"/>
        </w:rPr>
        <w:t>标人收到修改内容，按投标人须知前附表的规定执行。</w:t>
      </w:r>
    </w:p>
    <w:p>
      <w:pPr>
        <w:pStyle w:val="2"/>
        <w:tabs>
          <w:tab w:val="left" w:pos="2127"/>
        </w:tabs>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3. 投标文件</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
      <w:pPr>
        <w:pStyle w:val="22"/>
        <w:tabs>
          <w:tab w:val="left" w:pos="2127"/>
        </w:tabs>
        <w:spacing w:line="360" w:lineRule="auto"/>
        <w:outlineLvl w:val="2"/>
        <w:rPr>
          <w:rFonts w:hAnsi="宋体"/>
          <w:b/>
          <w:color w:val="auto"/>
          <w:highlight w:val="none"/>
        </w:rPr>
      </w:pPr>
      <w:bookmarkStart w:id="884" w:name="_Toc24653"/>
      <w:bookmarkStart w:id="885" w:name="_Toc12091"/>
      <w:bookmarkStart w:id="886" w:name="_Toc13131"/>
      <w:bookmarkStart w:id="887" w:name="_Toc12361"/>
      <w:bookmarkStart w:id="888" w:name="_Toc10081"/>
      <w:bookmarkStart w:id="889" w:name="_Toc22841"/>
      <w:bookmarkStart w:id="890" w:name="_Toc23379"/>
      <w:bookmarkStart w:id="891" w:name="_Toc23250"/>
      <w:bookmarkStart w:id="892" w:name="_Toc5656"/>
      <w:bookmarkStart w:id="893" w:name="_Toc5925"/>
      <w:bookmarkStart w:id="894" w:name="_Toc5367"/>
      <w:bookmarkStart w:id="895" w:name="_Toc8531"/>
      <w:bookmarkStart w:id="896" w:name="_Toc7989"/>
      <w:bookmarkStart w:id="897" w:name="_Toc2857"/>
      <w:bookmarkStart w:id="898" w:name="_Toc31709"/>
      <w:bookmarkStart w:id="899" w:name="_Toc13873"/>
      <w:bookmarkStart w:id="900" w:name="_Toc15122"/>
      <w:bookmarkStart w:id="901" w:name="_Toc482803085"/>
      <w:bookmarkStart w:id="902" w:name="_Toc31034"/>
      <w:bookmarkStart w:id="903" w:name="_Toc1074"/>
      <w:bookmarkStart w:id="904" w:name="_Toc12398"/>
      <w:bookmarkStart w:id="905" w:name="_Toc18546"/>
      <w:bookmarkStart w:id="906" w:name="_Toc29527"/>
      <w:bookmarkStart w:id="907" w:name="_Toc7911"/>
      <w:bookmarkStart w:id="908" w:name="_Toc27138"/>
      <w:bookmarkStart w:id="909" w:name="_Toc1909"/>
      <w:bookmarkStart w:id="910" w:name="_Toc20563"/>
      <w:bookmarkStart w:id="911" w:name="_Toc28617"/>
      <w:bookmarkStart w:id="912" w:name="_Toc12597"/>
      <w:bookmarkStart w:id="913" w:name="_Toc30917"/>
      <w:bookmarkStart w:id="914" w:name="_Toc10165"/>
      <w:bookmarkStart w:id="915" w:name="_Toc4866"/>
      <w:bookmarkStart w:id="916" w:name="_Toc10620"/>
      <w:bookmarkStart w:id="917" w:name="_Toc5969"/>
      <w:bookmarkStart w:id="918" w:name="_Toc14585"/>
      <w:bookmarkStart w:id="919" w:name="_Toc20625"/>
      <w:bookmarkStart w:id="920" w:name="_Toc9805"/>
      <w:bookmarkStart w:id="921" w:name="_Toc484792198"/>
      <w:bookmarkStart w:id="922" w:name="_Toc15137"/>
      <w:bookmarkStart w:id="923" w:name="_Toc29847"/>
      <w:bookmarkStart w:id="924" w:name="_Toc391"/>
      <w:r>
        <w:rPr>
          <w:rFonts w:hint="eastAsia" w:hAnsi="宋体"/>
          <w:b/>
          <w:color w:val="auto"/>
          <w:highlight w:val="none"/>
        </w:rPr>
        <w:t>3.1 投标文件的组成</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p>
      <w:pPr>
        <w:tabs>
          <w:tab w:val="left" w:pos="2127"/>
        </w:tabs>
        <w:spacing w:line="360" w:lineRule="auto"/>
        <w:ind w:firstLine="315" w:firstLineChars="150"/>
        <w:rPr>
          <w:rFonts w:ascii="宋体" w:hAnsi="宋体"/>
          <w:color w:val="auto"/>
          <w:highlight w:val="none"/>
        </w:rPr>
      </w:pPr>
      <w:r>
        <w:rPr>
          <w:rFonts w:hint="eastAsia" w:ascii="宋体" w:hAnsi="宋体"/>
          <w:color w:val="auto"/>
          <w:highlight w:val="none"/>
        </w:rPr>
        <w:t>3.1.1投标文件应包括下列内容，具体详见第</w:t>
      </w:r>
      <w:r>
        <w:rPr>
          <w:rFonts w:hint="eastAsia" w:ascii="宋体" w:hAnsi="宋体"/>
          <w:color w:val="auto"/>
          <w:highlight w:val="none"/>
          <w:lang w:val="en-US" w:eastAsia="zh-CN"/>
        </w:rPr>
        <w:t>四</w:t>
      </w:r>
      <w:r>
        <w:rPr>
          <w:rFonts w:hint="eastAsia" w:ascii="宋体" w:hAnsi="宋体"/>
          <w:color w:val="auto"/>
          <w:highlight w:val="none"/>
        </w:rPr>
        <w:t>章的“投标文件格式”：</w:t>
      </w:r>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（1）商务文件；</w:t>
      </w:r>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（2）技术文件；</w:t>
      </w:r>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（3）投标报价文件：投标函、报价书；</w:t>
      </w:r>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及按本须知前附表规定提供或投标人认为有必要提供的其他资料。</w:t>
      </w:r>
    </w:p>
    <w:p>
      <w:pPr>
        <w:pStyle w:val="22"/>
        <w:tabs>
          <w:tab w:val="left" w:pos="2127"/>
        </w:tabs>
        <w:spacing w:line="360" w:lineRule="auto"/>
        <w:ind w:firstLine="420" w:firstLineChars="200"/>
        <w:rPr>
          <w:rFonts w:hAnsi="宋体"/>
          <w:color w:val="auto"/>
          <w:highlight w:val="none"/>
        </w:rPr>
      </w:pPr>
      <w:r>
        <w:rPr>
          <w:rFonts w:hAnsi="宋体"/>
          <w:color w:val="auto"/>
          <w:highlight w:val="none"/>
        </w:rPr>
        <w:t xml:space="preserve">3.1.2 </w:t>
      </w:r>
      <w:r>
        <w:rPr>
          <w:rFonts w:hint="eastAsia" w:hAnsi="宋体"/>
          <w:color w:val="auto"/>
          <w:highlight w:val="none"/>
        </w:rPr>
        <w:t>投标人须知前附表规定不接受联合体投标的，或投标人没有组成联合体的，投标文件不包括联合体协议书。</w:t>
      </w:r>
    </w:p>
    <w:p>
      <w:pPr>
        <w:pStyle w:val="22"/>
        <w:tabs>
          <w:tab w:val="left" w:pos="2127"/>
        </w:tabs>
        <w:spacing w:line="360" w:lineRule="auto"/>
        <w:outlineLvl w:val="2"/>
        <w:rPr>
          <w:rFonts w:hint="eastAsia" w:hAnsi="宋体" w:eastAsia="宋体"/>
          <w:b/>
          <w:color w:val="auto"/>
          <w:highlight w:val="none"/>
          <w:lang w:eastAsia="zh-CN"/>
        </w:rPr>
      </w:pPr>
      <w:bookmarkStart w:id="925" w:name="_Toc26923"/>
      <w:bookmarkStart w:id="926" w:name="_Toc13238"/>
      <w:bookmarkStart w:id="927" w:name="_Toc7316"/>
      <w:bookmarkStart w:id="928" w:name="_Toc7748"/>
      <w:bookmarkStart w:id="929" w:name="_Toc25732"/>
      <w:bookmarkStart w:id="930" w:name="_Toc18208"/>
      <w:bookmarkStart w:id="931" w:name="_Toc26910"/>
      <w:bookmarkStart w:id="932" w:name="_Toc338"/>
      <w:bookmarkStart w:id="933" w:name="_Toc18466"/>
      <w:bookmarkStart w:id="934" w:name="_Toc31431"/>
      <w:bookmarkStart w:id="935" w:name="_Toc29396"/>
      <w:bookmarkStart w:id="936" w:name="_Toc5323"/>
      <w:bookmarkStart w:id="937" w:name="_Toc22698"/>
      <w:bookmarkStart w:id="938" w:name="_Toc8577"/>
      <w:bookmarkStart w:id="939" w:name="_Toc2511"/>
      <w:bookmarkStart w:id="940" w:name="_Toc26146"/>
      <w:bookmarkStart w:id="941" w:name="_Toc3753"/>
      <w:bookmarkStart w:id="942" w:name="_Toc484792199"/>
      <w:bookmarkStart w:id="943" w:name="_Toc8697"/>
      <w:bookmarkStart w:id="944" w:name="_Toc30120"/>
      <w:bookmarkStart w:id="945" w:name="_Toc482803086"/>
      <w:bookmarkStart w:id="946" w:name="_Toc11194"/>
      <w:bookmarkStart w:id="947" w:name="_Toc5694"/>
      <w:bookmarkStart w:id="948" w:name="_Toc13144"/>
      <w:bookmarkStart w:id="949" w:name="_Toc23820"/>
      <w:bookmarkStart w:id="950" w:name="_Toc16687"/>
      <w:bookmarkStart w:id="951" w:name="_Toc14222"/>
      <w:bookmarkStart w:id="952" w:name="_Toc25013"/>
      <w:bookmarkStart w:id="953" w:name="_Toc10394"/>
      <w:bookmarkStart w:id="954" w:name="_Toc3755"/>
      <w:bookmarkStart w:id="955" w:name="_Toc2234"/>
      <w:bookmarkStart w:id="956" w:name="_Toc9732"/>
      <w:bookmarkStart w:id="957" w:name="_Toc29103"/>
      <w:bookmarkStart w:id="958" w:name="_Toc5742"/>
      <w:bookmarkStart w:id="959" w:name="_Toc6322"/>
      <w:bookmarkStart w:id="960" w:name="_Toc16462"/>
      <w:bookmarkStart w:id="961" w:name="_Toc31669"/>
      <w:bookmarkStart w:id="962" w:name="_Toc31357"/>
      <w:bookmarkStart w:id="963" w:name="_Toc28835"/>
      <w:bookmarkStart w:id="964" w:name="_Toc1512"/>
      <w:bookmarkStart w:id="965" w:name="_Toc17583"/>
      <w:r>
        <w:rPr>
          <w:rFonts w:hint="eastAsia" w:hAnsi="宋体"/>
          <w:b/>
          <w:color w:val="auto"/>
          <w:highlight w:val="none"/>
        </w:rPr>
        <w:t>3.2 投标报价</w:t>
      </w:r>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r>
        <w:rPr>
          <w:rFonts w:hint="eastAsia" w:hAnsi="宋体"/>
          <w:b/>
          <w:color w:val="auto"/>
          <w:highlight w:val="none"/>
        </w:rPr>
        <w:t>(采用定额计价模式)</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3.2.1 </w:t>
      </w:r>
      <w:r>
        <w:rPr>
          <w:rFonts w:ascii="宋体" w:hAnsi="宋体" w:eastAsia="宋体" w:cs="宋体"/>
          <w:color w:val="auto"/>
          <w:spacing w:val="-3"/>
          <w:sz w:val="21"/>
          <w:szCs w:val="21"/>
          <w:highlight w:val="none"/>
        </w:rPr>
        <w:t>最高投标限价：见投标人须知前附表。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3.2.2 有效的投标报价：见投标人须知前附表。</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3.2.3 投标报价</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3.2.3.1 投标人的标价为在工程项目建设期和保修期内，完成招标文件规定的工作内容的各项费用：</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 竞争性报价部分应包括但不限于：人工、材料、机械、设备、施工管理、施工进场、临时设施、利润、风险包干费(风险包干费包括本招标文件合同专用条款第13 款一项工程变更工程量变化金额在H万元以下费用，以及承担合同规定及包含的所有风险、责任等的费用)。投标人根据上述工作范围计算工程量，自行测算报价。</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 安全文明施工费为非竞争性费用，投标报价按最高投标限价公布的安全文明施工费计列。</w:t>
      </w:r>
    </w:p>
    <w:p>
      <w:pPr>
        <w:spacing w:line="360" w:lineRule="auto"/>
        <w:ind w:firstLine="420" w:firstLineChars="200"/>
        <w:rPr>
          <w:rFonts w:ascii="宋体" w:hAnsi="宋体" w:cs="宋体"/>
          <w:color w:val="auto"/>
          <w:highlight w:val="none"/>
          <w:u w:val="none"/>
        </w:rPr>
      </w:pPr>
      <w:r>
        <w:rPr>
          <w:rFonts w:hint="eastAsia" w:ascii="宋体" w:hAnsi="宋体" w:cs="宋体"/>
          <w:color w:val="auto"/>
          <w:highlight w:val="none"/>
          <w:u w:val="none"/>
        </w:rPr>
        <w:t>3.2.</w:t>
      </w:r>
      <w:r>
        <w:rPr>
          <w:rFonts w:hint="eastAsia" w:ascii="宋体" w:hAnsi="宋体" w:cs="宋体"/>
          <w:color w:val="auto"/>
          <w:highlight w:val="none"/>
          <w:u w:val="none"/>
          <w:lang w:val="en-US" w:eastAsia="zh-CN"/>
        </w:rPr>
        <w:t>3.2</w:t>
      </w:r>
      <w:r>
        <w:rPr>
          <w:rFonts w:hint="eastAsia" w:ascii="宋体" w:hAnsi="宋体" w:cs="宋体"/>
          <w:color w:val="auto"/>
          <w:highlight w:val="none"/>
          <w:u w:val="none"/>
        </w:rPr>
        <w:t xml:space="preserve"> 投标报价</w:t>
      </w:r>
    </w:p>
    <w:p>
      <w:pPr>
        <w:spacing w:line="360" w:lineRule="auto"/>
        <w:ind w:firstLine="420" w:firstLineChars="200"/>
        <w:rPr>
          <w:rFonts w:hint="eastAsia" w:ascii="宋体" w:hAnsi="宋体" w:cs="宋体"/>
          <w:color w:val="auto"/>
          <w:highlight w:val="none"/>
          <w:u w:val="none"/>
        </w:rPr>
      </w:pPr>
      <w:r>
        <w:rPr>
          <w:rFonts w:hint="eastAsia" w:ascii="宋体" w:hAnsi="宋体" w:cs="宋体"/>
          <w:color w:val="auto"/>
          <w:highlight w:val="none"/>
          <w:u w:val="none"/>
        </w:rPr>
        <w:t>(1) 取费项目及标准：《电网工程建设预算编制与计算规定(2018年版)》、《关于印发广东省电网工程建设预算编制与计算规定实施细则(2018年版)的通知》(粤电定[2020]5号文)及工程所在地电网公司的相关最新规定，取费项目中的安全文明施工费根据分项报价定额直接费的报价比例分摊入各专业取费表中。</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 定额参照套用《电力建设工程预算定额(2018年版)》。</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 人工单价调整:执行《电力工程造价与定额管理总站关于发布2018版电力建设工程概预算定额2022年度价格水平调整的通知》(定额〔2023〕1号)。</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 材料价差调整：安装工程定额材料调整执行《电力工程造价与定额管理总站关于发布2018版电力建设工程概预算定额2022年度价格水平调整的通知》(定额〔2023〕1号)；安装工程装置性材料市场价按《关于印发南方电网公司2022年第四季度电网工程主要设备材料信息价的通知》(南方电网定额〔2023〕1号)计取价差(已招标的未计价材料价格按招标价)；建筑工程参照执行工程所在地建设工程造价管理机构公布的工程所在地建设工程造价管理机构公布的投标截止日前最新信息价计取材料价差。</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 安装工程定额机械调整：执行《电力工程造价与定额管理总站关于发布2018版电力建设工程概预算定额2022年度价格水平调整的通知》(定额〔2023〕1号)；建筑工程施工机械价差调整执行《电力工程造价与定额管理总站关于发布2018版电力建设工程概预算定额2022年度价格水平调整的通知》(定额〔2023〕1号)。</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 其他：</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站外电源、临时施工电源执行国家能源局发布的《20kV及以下配电网工程建设预算编制与计算规定(2016年版)》、《20kV及以下配电网工程预算定额(2016版)》、《关于印发广东省20kV及以下配电网工程建设预算编制与计算规定实施细则的通知》(粤电定〔2017〕5号文)和《关于2016版配电网建设预规和配套定额使用问题的答复》(粤电定〔2018〕4号文)。人材机价差按《电力工程造价与定额管理总站关于发布2016版20kV及以下配电网工程估算指标及概预算定额2022年下半年价格水平调整的通知》(定额〔2023〕6号)执行。</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②安全文明施工费执行《中国南方电网有限责任公司电力建设定额站转发电力工程造价与定额管理总站关于调整安全文明施工费的通知》(南方电网定额〔2023〕3号)。</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3.2.3.2.1 税金费用执行以下第②条约定：</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①税金费用执行《关于全面推开营业税改征增值税试点的通知》(财税[2016]36号)及国家最新税收政策，采用一般纳税人计税方法计列增值税。</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②其他：税金费用执行工程所在地政府的相关规定，并执行《转发电力定额总站关于调整电力工程计价依据增值税税率的通知》(粤电定〔2019〕2号文)，采用一般计税方法计税，建筑业增值税税率为9%。</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3.2.3.2.2 其它未说明的事项，由投标人参照电力行业现行标准和各投标人自身情况测算后计入投标报价。招标人提供招标范围内施工图，投标人可以在此基础上根据经验和现场调查情况自行测算调整。招标人未给出而实际上存在的其它工程量由投标人自行测定并列出明细报价，如未报，及投标人未填写单价和合价的项目，招标人认为此项费用已包括在其它项目的单价和合价中。</w:t>
      </w:r>
    </w:p>
    <w:p>
      <w:pPr>
        <w:spacing w:line="360" w:lineRule="auto"/>
        <w:ind w:firstLine="424" w:firstLineChars="200"/>
        <w:rPr>
          <w:rFonts w:hint="eastAsia" w:ascii="宋体" w:hAnsi="宋体" w:cs="宋体"/>
          <w:color w:val="auto"/>
          <w:highlight w:val="none"/>
        </w:rPr>
      </w:pPr>
      <w:r>
        <w:rPr>
          <w:rFonts w:ascii="宋体" w:hAnsi="宋体" w:eastAsia="宋体" w:cs="宋体"/>
          <w:color w:val="auto"/>
          <w:spacing w:val="1"/>
          <w:sz w:val="21"/>
          <w:szCs w:val="21"/>
          <w:highlight w:val="none"/>
        </w:rPr>
        <w:t>3.2.3.3 其它费用的取费项目和取费标准由投标人自行测定报</w:t>
      </w:r>
      <w:r>
        <w:rPr>
          <w:rFonts w:ascii="宋体" w:hAnsi="宋体" w:eastAsia="宋体" w:cs="宋体"/>
          <w:color w:val="auto"/>
          <w:sz w:val="21"/>
          <w:szCs w:val="21"/>
          <w:highlight w:val="none"/>
        </w:rPr>
        <w:t>价。其中应包括但不限于：施工</w:t>
      </w:r>
      <w:r>
        <w:rPr>
          <w:rFonts w:ascii="宋体" w:hAnsi="宋体" w:eastAsia="宋体" w:cs="宋体"/>
          <w:color w:val="auto"/>
          <w:spacing w:val="1"/>
          <w:sz w:val="21"/>
          <w:szCs w:val="21"/>
          <w:highlight w:val="none"/>
        </w:rPr>
        <w:t>用临时道路及临时场地租用、修筑、桥梁修补、临时围堰、施工措施费、成品保护费</w:t>
      </w:r>
      <w:r>
        <w:rPr>
          <w:rFonts w:ascii="宋体" w:hAnsi="宋体" w:eastAsia="宋体" w:cs="宋体"/>
          <w:color w:val="auto"/>
          <w:sz w:val="21"/>
          <w:szCs w:val="21"/>
          <w:highlight w:val="none"/>
        </w:rPr>
        <w:t>、竣工移交前</w:t>
      </w:r>
      <w:r>
        <w:rPr>
          <w:rFonts w:ascii="宋体" w:hAnsi="宋体" w:eastAsia="宋体" w:cs="宋体"/>
          <w:color w:val="auto"/>
          <w:spacing w:val="1"/>
          <w:sz w:val="21"/>
          <w:szCs w:val="21"/>
          <w:highlight w:val="none"/>
        </w:rPr>
        <w:t>的站区场地维护修复加固费、电子化移交、投标报价及送审结算书需按中国南方电网有</w:t>
      </w:r>
      <w:r>
        <w:rPr>
          <w:rFonts w:ascii="宋体" w:hAnsi="宋体" w:eastAsia="宋体" w:cs="宋体"/>
          <w:color w:val="auto"/>
          <w:sz w:val="21"/>
          <w:szCs w:val="21"/>
          <w:highlight w:val="none"/>
        </w:rPr>
        <w:t>限责任公司</w:t>
      </w:r>
      <w:r>
        <w:rPr>
          <w:rFonts w:ascii="宋体" w:hAnsi="宋体" w:eastAsia="宋体" w:cs="宋体"/>
          <w:color w:val="auto"/>
          <w:spacing w:val="-1"/>
          <w:sz w:val="21"/>
          <w:szCs w:val="21"/>
          <w:highlight w:val="none"/>
        </w:rPr>
        <w:t>造价规</w:t>
      </w:r>
      <w:r>
        <w:rPr>
          <w:rFonts w:ascii="宋体" w:hAnsi="宋体" w:eastAsia="宋体" w:cs="宋体"/>
          <w:color w:val="auto"/>
          <w:sz w:val="21"/>
          <w:szCs w:val="21"/>
          <w:highlight w:val="none"/>
        </w:rPr>
        <w:t>约约定的报表格式上报等工作。</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3.2.3.</w:t>
      </w:r>
      <w:r>
        <w:rPr>
          <w:rFonts w:hint="eastAsia" w:ascii="宋体" w:hAnsi="宋体" w:cs="宋体"/>
          <w:color w:val="auto"/>
          <w:highlight w:val="none"/>
          <w:lang w:val="en-US" w:eastAsia="zh-CN"/>
        </w:rPr>
        <w:t>4</w:t>
      </w:r>
      <w:r>
        <w:rPr>
          <w:rFonts w:hint="eastAsia" w:ascii="宋体" w:hAnsi="宋体" w:cs="宋体"/>
          <w:color w:val="auto"/>
          <w:highlight w:val="none"/>
        </w:rPr>
        <w:t xml:space="preserve"> 投标人应考虑工程投标至竣工验收(以实际竣工报告为准)为止期间，合同调整范围内的物价上涨等诸多因素以及由此引起的费用变动并计入报价。工程中间检查、竣工验收等发生的费用，均计入风险包干费中。投标单位认为在工程建设期间可能发生的其他费用也可计入风险包干费。</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3.2.3.</w:t>
      </w:r>
      <w:r>
        <w:rPr>
          <w:rFonts w:hint="eastAsia" w:ascii="宋体" w:hAnsi="宋体" w:cs="宋体"/>
          <w:color w:val="auto"/>
          <w:highlight w:val="none"/>
          <w:lang w:val="en-US" w:eastAsia="zh-CN"/>
        </w:rPr>
        <w:t>5</w:t>
      </w:r>
      <w:r>
        <w:rPr>
          <w:rFonts w:hint="eastAsia" w:ascii="宋体" w:hAnsi="宋体" w:cs="宋体"/>
          <w:color w:val="auto"/>
          <w:highlight w:val="none"/>
        </w:rPr>
        <w:t xml:space="preserve"> 投标人应考虑工程投标至竣工验收(以实际竣工报告为准)为止期间，合同调整范围内的物价上涨等诸多因素以及由此引起的费用变动并计入报价。工程中间检查、竣工验收等发生的费用，均计入风险包干费中。投标单位认为在工程建设期间可能发生的其他费用也可计入风险包干费。</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3.2.3.</w:t>
      </w:r>
      <w:r>
        <w:rPr>
          <w:rFonts w:hint="eastAsia" w:ascii="宋体" w:hAnsi="宋体" w:cs="宋体"/>
          <w:color w:val="auto"/>
          <w:highlight w:val="none"/>
          <w:lang w:val="en-US" w:eastAsia="zh-CN"/>
        </w:rPr>
        <w:t>6</w:t>
      </w:r>
      <w:r>
        <w:rPr>
          <w:rFonts w:hint="eastAsia" w:ascii="宋体" w:hAnsi="宋体" w:cs="宋体"/>
          <w:color w:val="auto"/>
          <w:highlight w:val="none"/>
        </w:rPr>
        <w:t xml:space="preserve"> 工程建设过程中，中标单位对外的交涉与纠纷，以及所造成的损失，除招标书中有明确规定者外，均由中标单位自行解决。如确需建设单位进行协调时，协调解决问题所发生的一切费用仍由中标单位承担。</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3.2.4 投标函的总价或投标截止前投标人最后修正的总价在中标后即为签订合同总价的唯一依据，招、投标双方均不得修改。</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3.2.4.1 如投标函总价与报价书总价不一致时，以投标函为准；</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3.2.4.2 如报价金额大写与小写不一致时，以大写为准；</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3.2.4.3 投标函总价与分项报价合计数不一致时，以投标函总价为准，但在签订合同时由中标单位修正分项的价格使之等于总价。若投标报价明细中投标范围错误或工程量计算错误(含漏项、多项)，在评标时将在报价质量评分中予以扣分；若为中标单位，还必须以投标函总价为准对报价书进行修正，修正后合同总价不变。</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3.2.5 投标人投标报价总额一经中标后，即作为中标单位与建设单位签订该工程施工合同的总价。</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3.2.6 投标人所填写的单价和合价全部采用人民币表示。</w:t>
      </w:r>
    </w:p>
    <w:p>
      <w:pPr>
        <w:pStyle w:val="22"/>
        <w:tabs>
          <w:tab w:val="left" w:pos="2127"/>
        </w:tabs>
        <w:spacing w:line="360" w:lineRule="auto"/>
        <w:outlineLvl w:val="2"/>
        <w:rPr>
          <w:rFonts w:hAnsi="宋体"/>
          <w:b/>
          <w:color w:val="auto"/>
          <w:highlight w:val="none"/>
        </w:rPr>
      </w:pPr>
      <w:bookmarkStart w:id="966" w:name="_Toc18672"/>
      <w:bookmarkStart w:id="967" w:name="_Toc14285"/>
      <w:bookmarkStart w:id="968" w:name="_Toc27231"/>
      <w:bookmarkStart w:id="969" w:name="_Toc30716"/>
      <w:bookmarkStart w:id="970" w:name="_Toc7545"/>
      <w:bookmarkStart w:id="971" w:name="_Toc4476"/>
      <w:bookmarkStart w:id="972" w:name="_Toc23100"/>
      <w:bookmarkStart w:id="973" w:name="_Toc20376"/>
      <w:bookmarkStart w:id="974" w:name="_Toc31017"/>
      <w:bookmarkStart w:id="975" w:name="_Toc15806"/>
      <w:bookmarkStart w:id="976" w:name="_Toc1089"/>
      <w:bookmarkStart w:id="977" w:name="_Toc7551"/>
      <w:bookmarkStart w:id="978" w:name="_Toc19378"/>
      <w:bookmarkStart w:id="979" w:name="_Toc524"/>
      <w:bookmarkStart w:id="980" w:name="_Toc9847"/>
      <w:bookmarkStart w:id="981" w:name="_Toc25913"/>
      <w:bookmarkStart w:id="982" w:name="_Toc22229"/>
      <w:bookmarkStart w:id="983" w:name="_Toc30138"/>
      <w:bookmarkStart w:id="984" w:name="_Toc8797"/>
      <w:bookmarkStart w:id="985" w:name="_Toc11168"/>
      <w:bookmarkStart w:id="986" w:name="_Toc9882"/>
      <w:bookmarkStart w:id="987" w:name="_Toc10932"/>
      <w:bookmarkStart w:id="988" w:name="_Toc482803087"/>
      <w:bookmarkStart w:id="989" w:name="_Toc19544"/>
      <w:bookmarkStart w:id="990" w:name="_Toc5654"/>
      <w:bookmarkStart w:id="991" w:name="_Toc23283"/>
      <w:bookmarkStart w:id="992" w:name="_Toc19913"/>
      <w:bookmarkStart w:id="993" w:name="_Toc3758"/>
      <w:bookmarkStart w:id="994" w:name="_Toc21236"/>
      <w:bookmarkStart w:id="995" w:name="_Toc11156"/>
      <w:bookmarkStart w:id="996" w:name="_Toc15869"/>
      <w:bookmarkStart w:id="997" w:name="_Toc10001"/>
      <w:bookmarkStart w:id="998" w:name="_Toc23681"/>
      <w:bookmarkStart w:id="999" w:name="_Toc9439"/>
      <w:bookmarkStart w:id="1000" w:name="_Toc16924"/>
      <w:bookmarkStart w:id="1001" w:name="_Toc15361"/>
      <w:bookmarkStart w:id="1002" w:name="_Toc21310"/>
      <w:bookmarkStart w:id="1003" w:name="_Toc2476"/>
      <w:bookmarkStart w:id="1004" w:name="_Toc22840"/>
      <w:bookmarkStart w:id="1005" w:name="_Toc484792200"/>
      <w:bookmarkStart w:id="1006" w:name="_Toc11060"/>
      <w:r>
        <w:rPr>
          <w:rFonts w:hint="eastAsia" w:hAnsi="宋体"/>
          <w:b/>
          <w:color w:val="auto"/>
          <w:highlight w:val="none"/>
        </w:rPr>
        <w:t>3.3 投标有效期</w:t>
      </w:r>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p>
    <w:p>
      <w:pPr>
        <w:tabs>
          <w:tab w:val="left" w:pos="2127"/>
        </w:tabs>
        <w:spacing w:line="360" w:lineRule="auto"/>
        <w:ind w:firstLine="420" w:firstLineChars="200"/>
        <w:rPr>
          <w:rFonts w:hint="default" w:ascii="宋体" w:hAnsi="宋体" w:eastAsia="宋体"/>
          <w:color w:val="auto"/>
          <w:highlight w:val="none"/>
          <w:lang w:val="en-US" w:eastAsia="zh-CN"/>
        </w:rPr>
      </w:pPr>
      <w:r>
        <w:rPr>
          <w:rFonts w:hint="eastAsia" w:ascii="宋体" w:hAnsi="宋体"/>
          <w:color w:val="auto"/>
          <w:highlight w:val="none"/>
        </w:rPr>
        <w:t xml:space="preserve">3.3.1 </w:t>
      </w:r>
      <w:r>
        <w:rPr>
          <w:rFonts w:hint="eastAsia" w:ascii="宋体" w:hAnsi="宋体"/>
          <w:color w:val="auto"/>
          <w:highlight w:val="none"/>
          <w:lang w:val="en-US" w:eastAsia="zh-CN"/>
        </w:rPr>
        <w:t>投标有效期：</w:t>
      </w:r>
      <w:r>
        <w:rPr>
          <w:rFonts w:hint="eastAsia" w:hAnsi="宋体"/>
          <w:color w:val="auto"/>
          <w:szCs w:val="21"/>
          <w:highlight w:val="none"/>
        </w:rPr>
        <w:t>见投标人须知前附表。</w:t>
      </w:r>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lang w:val="en-US" w:eastAsia="zh-CN"/>
        </w:rPr>
        <w:t>3.3.2在投标有效期内，投标人撤销投标文件的，应承担招标文件和法律规定的责任。</w:t>
      </w:r>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3.3.</w:t>
      </w:r>
      <w:r>
        <w:rPr>
          <w:rFonts w:hint="eastAsia" w:ascii="宋体" w:hAnsi="宋体"/>
          <w:color w:val="auto"/>
          <w:highlight w:val="none"/>
          <w:lang w:val="en-US" w:eastAsia="zh-CN"/>
        </w:rPr>
        <w:t>3</w:t>
      </w:r>
      <w:r>
        <w:rPr>
          <w:rFonts w:hint="eastAsia" w:ascii="宋体" w:hAnsi="宋体"/>
          <w:color w:val="auto"/>
          <w:highlight w:val="none"/>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22"/>
        <w:tabs>
          <w:tab w:val="left" w:pos="2127"/>
        </w:tabs>
        <w:spacing w:line="360" w:lineRule="auto"/>
        <w:outlineLvl w:val="2"/>
        <w:rPr>
          <w:rFonts w:hint="eastAsia" w:hAnsi="宋体" w:eastAsia="宋体"/>
          <w:b/>
          <w:color w:val="auto"/>
          <w:highlight w:val="none"/>
          <w:lang w:val="en-US" w:eastAsia="zh-CN"/>
        </w:rPr>
      </w:pPr>
      <w:bookmarkStart w:id="1007" w:name="_Toc6076"/>
      <w:bookmarkStart w:id="1008" w:name="_Toc4920"/>
      <w:bookmarkStart w:id="1009" w:name="_Toc8752"/>
      <w:bookmarkStart w:id="1010" w:name="_Toc482803088"/>
      <w:bookmarkStart w:id="1011" w:name="_Toc24864"/>
      <w:bookmarkStart w:id="1012" w:name="_Toc3589"/>
      <w:bookmarkStart w:id="1013" w:name="_Toc4995"/>
      <w:bookmarkStart w:id="1014" w:name="_Toc26613"/>
      <w:bookmarkStart w:id="1015" w:name="_Toc20555"/>
      <w:bookmarkStart w:id="1016" w:name="_Toc11816"/>
      <w:bookmarkStart w:id="1017" w:name="_Toc18843"/>
      <w:bookmarkStart w:id="1018" w:name="_Toc16217"/>
      <w:bookmarkStart w:id="1019" w:name="_Toc2373"/>
      <w:bookmarkStart w:id="1020" w:name="_Toc7083"/>
      <w:bookmarkStart w:id="1021" w:name="_Toc8924"/>
      <w:bookmarkStart w:id="1022" w:name="_Toc12704"/>
      <w:bookmarkStart w:id="1023" w:name="_Toc32291"/>
      <w:bookmarkStart w:id="1024" w:name="_Toc23638"/>
      <w:bookmarkStart w:id="1025" w:name="_Toc14530"/>
      <w:bookmarkStart w:id="1026" w:name="_Toc484792201"/>
      <w:bookmarkStart w:id="1027" w:name="_Toc30583"/>
      <w:bookmarkStart w:id="1028" w:name="_Toc17148"/>
      <w:bookmarkStart w:id="1029" w:name="_Toc18092"/>
      <w:bookmarkStart w:id="1030" w:name="_Toc29782"/>
      <w:bookmarkStart w:id="1031" w:name="_Toc32306"/>
      <w:bookmarkStart w:id="1032" w:name="_Toc6653"/>
      <w:bookmarkStart w:id="1033" w:name="_Toc21590"/>
      <w:bookmarkStart w:id="1034" w:name="_Toc24560"/>
      <w:bookmarkStart w:id="1035" w:name="_Toc16596"/>
      <w:bookmarkStart w:id="1036" w:name="_Toc20878"/>
      <w:bookmarkStart w:id="1037" w:name="_Toc17042"/>
      <w:bookmarkStart w:id="1038" w:name="_Toc22574"/>
      <w:bookmarkStart w:id="1039" w:name="_Toc12041"/>
      <w:bookmarkStart w:id="1040" w:name="_Toc22621"/>
      <w:bookmarkStart w:id="1041" w:name="_Toc26872"/>
      <w:bookmarkStart w:id="1042" w:name="_Toc19370"/>
      <w:bookmarkStart w:id="1043" w:name="_Toc8500"/>
      <w:bookmarkStart w:id="1044" w:name="_Toc31454"/>
      <w:bookmarkStart w:id="1045" w:name="_Toc17377"/>
      <w:bookmarkStart w:id="1046" w:name="_Toc5103"/>
      <w:bookmarkStart w:id="1047" w:name="_Toc15853"/>
      <w:r>
        <w:rPr>
          <w:rFonts w:hint="eastAsia" w:hAnsi="宋体"/>
          <w:b/>
          <w:color w:val="auto"/>
          <w:highlight w:val="none"/>
        </w:rPr>
        <w:t>3.4 投标保证金</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tabs>
          <w:tab w:val="left" w:pos="2127"/>
        </w:tabs>
        <w:spacing w:line="360" w:lineRule="auto"/>
        <w:ind w:firstLine="420" w:firstLineChars="200"/>
        <w:rPr>
          <w:rFonts w:ascii="宋体" w:hAnsi="宋体"/>
          <w:color w:val="auto"/>
          <w:highlight w:val="none"/>
        </w:rPr>
      </w:pPr>
      <w:r>
        <w:rPr>
          <w:rFonts w:ascii="宋体" w:hAnsi="宋体"/>
          <w:color w:val="auto"/>
          <w:highlight w:val="none"/>
        </w:rPr>
        <w:t xml:space="preserve">3.4.1 </w:t>
      </w:r>
      <w:r>
        <w:rPr>
          <w:rFonts w:hint="eastAsia" w:ascii="宋体" w:hAnsi="宋体"/>
          <w:color w:val="auto"/>
          <w:highlight w:val="none"/>
        </w:rPr>
        <w:t>投标人在递交投标文件的同时，应按不少于投标人须知前附表规定的金额、及前附表规定的担保形式和“投标文件格式”规定的投标保证金要求递交投标保证金(证明)，并作为其投标文件的组成部分。联合体投标的，其投标保证金由牵头人递交，并应符合投标人须知前附表的规定。</w:t>
      </w:r>
    </w:p>
    <w:p>
      <w:pPr>
        <w:tabs>
          <w:tab w:val="left" w:pos="2127"/>
        </w:tabs>
        <w:spacing w:line="360" w:lineRule="auto"/>
        <w:ind w:firstLine="420" w:firstLineChars="200"/>
        <w:rPr>
          <w:rFonts w:ascii="宋体" w:hAnsi="宋体"/>
          <w:color w:val="auto"/>
          <w:highlight w:val="none"/>
        </w:rPr>
      </w:pPr>
      <w:r>
        <w:rPr>
          <w:rFonts w:ascii="宋体" w:hAnsi="宋体"/>
          <w:color w:val="auto"/>
          <w:highlight w:val="none"/>
        </w:rPr>
        <w:t xml:space="preserve">3.4.2 </w:t>
      </w:r>
      <w:r>
        <w:rPr>
          <w:rFonts w:hint="eastAsia" w:ascii="宋体" w:hAnsi="宋体"/>
          <w:color w:val="auto"/>
          <w:highlight w:val="none"/>
        </w:rPr>
        <w:t>投标人不按本章第</w:t>
      </w:r>
      <w:r>
        <w:rPr>
          <w:rFonts w:ascii="宋体" w:hAnsi="宋体"/>
          <w:color w:val="auto"/>
          <w:highlight w:val="none"/>
        </w:rPr>
        <w:t xml:space="preserve">3.4.1 </w:t>
      </w:r>
      <w:r>
        <w:rPr>
          <w:rFonts w:hint="eastAsia" w:ascii="宋体" w:hAnsi="宋体"/>
          <w:color w:val="auto"/>
          <w:highlight w:val="none"/>
        </w:rPr>
        <w:t>项要求提交投标保证金的，其投标文件作否决投标处理。</w:t>
      </w:r>
    </w:p>
    <w:p>
      <w:pPr>
        <w:tabs>
          <w:tab w:val="left" w:pos="2127"/>
        </w:tabs>
        <w:spacing w:line="360" w:lineRule="auto"/>
        <w:ind w:firstLine="420" w:firstLineChars="200"/>
        <w:rPr>
          <w:rFonts w:ascii="宋体" w:hAnsi="宋体"/>
          <w:color w:val="auto"/>
          <w:highlight w:val="none"/>
        </w:rPr>
      </w:pPr>
      <w:r>
        <w:rPr>
          <w:rFonts w:ascii="宋体" w:hAnsi="宋体"/>
          <w:color w:val="auto"/>
          <w:highlight w:val="none"/>
        </w:rPr>
        <w:t>3.4.3</w:t>
      </w:r>
      <w:r>
        <w:rPr>
          <w:rFonts w:hint="eastAsia" w:ascii="宋体" w:hAnsi="宋体"/>
          <w:color w:val="auto"/>
          <w:highlight w:val="none"/>
        </w:rPr>
        <w:t>招标人与中标人签订合同后</w:t>
      </w:r>
      <w:r>
        <w:rPr>
          <w:rFonts w:ascii="宋体" w:hAnsi="宋体"/>
          <w:color w:val="auto"/>
          <w:highlight w:val="none"/>
        </w:rPr>
        <w:t>5</w:t>
      </w:r>
      <w:r>
        <w:rPr>
          <w:rFonts w:hint="eastAsia" w:ascii="宋体" w:hAnsi="宋体"/>
          <w:color w:val="auto"/>
          <w:highlight w:val="none"/>
        </w:rPr>
        <w:t>日内，向未中标的投标人和中标人退还投标保证金及银行同期存款利息。</w:t>
      </w:r>
    </w:p>
    <w:p>
      <w:pPr>
        <w:tabs>
          <w:tab w:val="left" w:pos="2127"/>
        </w:tabs>
        <w:spacing w:line="360" w:lineRule="auto"/>
        <w:ind w:firstLine="420" w:firstLineChars="200"/>
        <w:rPr>
          <w:rFonts w:ascii="宋体" w:hAnsi="宋体"/>
          <w:color w:val="auto"/>
          <w:highlight w:val="none"/>
        </w:rPr>
      </w:pPr>
      <w:r>
        <w:rPr>
          <w:rFonts w:ascii="宋体" w:hAnsi="宋体"/>
          <w:color w:val="auto"/>
          <w:highlight w:val="none"/>
        </w:rPr>
        <w:t xml:space="preserve">3.4.4 </w:t>
      </w:r>
      <w:r>
        <w:rPr>
          <w:rFonts w:hint="eastAsia" w:ascii="宋体" w:hAnsi="宋体"/>
          <w:color w:val="auto"/>
          <w:highlight w:val="none"/>
        </w:rPr>
        <w:t>有下列情形之一的，投标保证金将不予退还：</w:t>
      </w:r>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）投标人在规定的投标有效期内撤销或修改其投标文件；</w:t>
      </w:r>
    </w:p>
    <w:p>
      <w:pPr>
        <w:tabs>
          <w:tab w:val="left" w:pos="2127"/>
        </w:tabs>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w:t>
      </w:r>
      <w:r>
        <w:rPr>
          <w:rFonts w:ascii="宋体" w:hAnsi="宋体" w:eastAsia="宋体" w:cs="宋体"/>
          <w:color w:val="auto"/>
          <w:spacing w:val="1"/>
          <w:sz w:val="21"/>
          <w:szCs w:val="21"/>
          <w:highlight w:val="none"/>
        </w:rPr>
        <w:t>中标人在收到中标通知书后，无正当理由不与招标人订立合同</w:t>
      </w:r>
      <w:r>
        <w:rPr>
          <w:rFonts w:ascii="宋体" w:hAnsi="宋体" w:eastAsia="宋体" w:cs="宋体"/>
          <w:color w:val="auto"/>
          <w:sz w:val="21"/>
          <w:szCs w:val="21"/>
          <w:highlight w:val="none"/>
        </w:rPr>
        <w:t>，在签订合同时向招标人提</w:t>
      </w:r>
      <w:r>
        <w:rPr>
          <w:rFonts w:ascii="宋体" w:hAnsi="宋体" w:eastAsia="宋体" w:cs="宋体"/>
          <w:color w:val="auto"/>
          <w:spacing w:val="-4"/>
          <w:sz w:val="21"/>
          <w:szCs w:val="21"/>
          <w:highlight w:val="none"/>
        </w:rPr>
        <w:t>出</w:t>
      </w:r>
      <w:r>
        <w:rPr>
          <w:rFonts w:ascii="宋体" w:hAnsi="宋体" w:eastAsia="宋体" w:cs="宋体"/>
          <w:color w:val="auto"/>
          <w:spacing w:val="-3"/>
          <w:sz w:val="21"/>
          <w:szCs w:val="21"/>
          <w:highlight w:val="none"/>
        </w:rPr>
        <w:t>附</w:t>
      </w:r>
      <w:r>
        <w:rPr>
          <w:rFonts w:ascii="宋体" w:hAnsi="宋体" w:eastAsia="宋体" w:cs="宋体"/>
          <w:color w:val="auto"/>
          <w:spacing w:val="-2"/>
          <w:sz w:val="21"/>
          <w:szCs w:val="21"/>
          <w:highlight w:val="none"/>
        </w:rPr>
        <w:t>加条件，或者不按照招标文件要求提交履约保证金</w:t>
      </w:r>
      <w:r>
        <w:rPr>
          <w:rFonts w:hint="eastAsia" w:ascii="宋体" w:hAnsi="宋体"/>
          <w:color w:val="auto"/>
          <w:highlight w:val="none"/>
        </w:rPr>
        <w:t>。</w:t>
      </w:r>
    </w:p>
    <w:p>
      <w:pPr>
        <w:tabs>
          <w:tab w:val="left" w:pos="2127"/>
        </w:tabs>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）国家法律、法规和规章规定的其他可以不予退还投标保证金的情形。</w:t>
      </w:r>
    </w:p>
    <w:p>
      <w:pPr>
        <w:pStyle w:val="22"/>
        <w:tabs>
          <w:tab w:val="left" w:pos="2127"/>
        </w:tabs>
        <w:spacing w:line="360" w:lineRule="auto"/>
        <w:outlineLvl w:val="2"/>
        <w:rPr>
          <w:rFonts w:hAnsi="宋体"/>
          <w:b/>
          <w:color w:val="auto"/>
          <w:highlight w:val="none"/>
        </w:rPr>
      </w:pPr>
      <w:bookmarkStart w:id="1048" w:name="_Toc22004"/>
      <w:bookmarkStart w:id="1049" w:name="_Toc13351"/>
      <w:bookmarkStart w:id="1050" w:name="_Toc27832"/>
      <w:bookmarkStart w:id="1051" w:name="_Toc11537"/>
      <w:bookmarkStart w:id="1052" w:name="_Toc19954"/>
      <w:bookmarkStart w:id="1053" w:name="_Toc10973"/>
      <w:bookmarkStart w:id="1054" w:name="_Toc23884"/>
      <w:bookmarkStart w:id="1055" w:name="_Toc17756"/>
      <w:bookmarkStart w:id="1056" w:name="_Toc3362"/>
      <w:bookmarkStart w:id="1057" w:name="_Toc29375"/>
      <w:bookmarkStart w:id="1058" w:name="_Toc30129"/>
      <w:bookmarkStart w:id="1059" w:name="_Toc21879"/>
      <w:bookmarkStart w:id="1060" w:name="_Toc2531"/>
      <w:bookmarkStart w:id="1061" w:name="_Toc27171"/>
      <w:bookmarkStart w:id="1062" w:name="_Toc484792202"/>
      <w:bookmarkStart w:id="1063" w:name="_Toc23272"/>
      <w:bookmarkStart w:id="1064" w:name="_Toc7887"/>
      <w:bookmarkStart w:id="1065" w:name="_Toc6447"/>
      <w:bookmarkStart w:id="1066" w:name="_Toc24140"/>
      <w:bookmarkStart w:id="1067" w:name="_Toc10857"/>
      <w:bookmarkStart w:id="1068" w:name="_Toc18580"/>
      <w:bookmarkStart w:id="1069" w:name="_Toc20952"/>
      <w:bookmarkStart w:id="1070" w:name="_Toc482803089"/>
      <w:bookmarkStart w:id="1071" w:name="_Toc1178"/>
      <w:bookmarkStart w:id="1072" w:name="_Toc6137"/>
      <w:bookmarkStart w:id="1073" w:name="_Toc26516"/>
      <w:bookmarkStart w:id="1074" w:name="_Toc6685"/>
      <w:bookmarkStart w:id="1075" w:name="_Toc16306"/>
      <w:bookmarkStart w:id="1076" w:name="_Toc14772"/>
      <w:bookmarkStart w:id="1077" w:name="_Toc6072"/>
      <w:bookmarkStart w:id="1078" w:name="_Toc29749"/>
      <w:bookmarkStart w:id="1079" w:name="_Toc15852"/>
      <w:bookmarkStart w:id="1080" w:name="_Toc21738"/>
      <w:bookmarkStart w:id="1081" w:name="_Toc5176"/>
      <w:bookmarkStart w:id="1082" w:name="_Toc18295"/>
      <w:bookmarkStart w:id="1083" w:name="_Toc13319"/>
      <w:bookmarkStart w:id="1084" w:name="_Toc26826"/>
      <w:bookmarkStart w:id="1085" w:name="_Toc11534"/>
      <w:bookmarkStart w:id="1086" w:name="_Toc17356"/>
      <w:bookmarkStart w:id="1087" w:name="_Toc28914"/>
      <w:bookmarkStart w:id="1088" w:name="_Toc635"/>
      <w:r>
        <w:rPr>
          <w:rFonts w:hint="eastAsia" w:hAnsi="宋体"/>
          <w:b/>
          <w:color w:val="auto"/>
          <w:highlight w:val="none"/>
        </w:rPr>
        <w:t>3.5 投标人</w:t>
      </w:r>
      <w:r>
        <w:rPr>
          <w:rFonts w:hAnsi="宋体"/>
          <w:b/>
          <w:color w:val="auto"/>
          <w:highlight w:val="none"/>
        </w:rPr>
        <w:t>基本信息资料</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p>
    <w:p>
      <w:pPr>
        <w:spacing w:line="360" w:lineRule="auto"/>
        <w:ind w:firstLine="420" w:firstLineChars="200"/>
        <w:rPr>
          <w:rFonts w:ascii="宋体" w:hAnsi="宋体"/>
          <w:color w:val="auto"/>
          <w:highlight w:val="none"/>
        </w:rPr>
      </w:pPr>
      <w:r>
        <w:rPr>
          <w:rFonts w:hint="eastAsia" w:ascii="宋体" w:hAnsi="宋体"/>
          <w:color w:val="auto"/>
          <w:highlight w:val="none"/>
        </w:rPr>
        <w:t>3.5.1 “</w:t>
      </w:r>
      <w:r>
        <w:rPr>
          <w:rFonts w:hint="eastAsia" w:ascii="宋体" w:hAnsi="宋体" w:cs="仿宋_GB2312"/>
          <w:color w:val="auto"/>
          <w:kern w:val="0"/>
          <w:szCs w:val="21"/>
          <w:highlight w:val="none"/>
        </w:rPr>
        <w:t>投标人基本情况表</w:t>
      </w:r>
      <w:r>
        <w:rPr>
          <w:rFonts w:hint="eastAsia" w:ascii="宋体" w:hAnsi="宋体"/>
          <w:color w:val="auto"/>
          <w:highlight w:val="none"/>
        </w:rPr>
        <w:t>”：格式详见第</w:t>
      </w:r>
      <w:r>
        <w:rPr>
          <w:rFonts w:hint="eastAsia" w:ascii="宋体" w:hAnsi="宋体"/>
          <w:color w:val="auto"/>
          <w:highlight w:val="none"/>
          <w:lang w:val="en-US" w:eastAsia="zh-CN"/>
        </w:rPr>
        <w:t>四</w:t>
      </w:r>
      <w:r>
        <w:rPr>
          <w:rFonts w:hint="eastAsia" w:ascii="宋体" w:hAnsi="宋体"/>
          <w:color w:val="auto"/>
          <w:highlight w:val="none"/>
        </w:rPr>
        <w:t>章投标格式要求。</w:t>
      </w:r>
    </w:p>
    <w:p>
      <w:pPr>
        <w:pStyle w:val="22"/>
        <w:tabs>
          <w:tab w:val="left" w:pos="2127"/>
        </w:tabs>
        <w:spacing w:line="360" w:lineRule="auto"/>
        <w:outlineLvl w:val="2"/>
        <w:rPr>
          <w:rFonts w:hAnsi="宋体"/>
          <w:b/>
          <w:color w:val="auto"/>
          <w:highlight w:val="none"/>
        </w:rPr>
      </w:pPr>
      <w:bookmarkStart w:id="1089" w:name="_Toc22224"/>
      <w:bookmarkStart w:id="1090" w:name="_Toc23290"/>
      <w:bookmarkStart w:id="1091" w:name="_Toc25731"/>
      <w:bookmarkStart w:id="1092" w:name="_Toc4603"/>
      <w:bookmarkStart w:id="1093" w:name="_Toc12850"/>
      <w:bookmarkStart w:id="1094" w:name="_Toc26885"/>
      <w:bookmarkStart w:id="1095" w:name="_Toc12520"/>
      <w:bookmarkStart w:id="1096" w:name="_Toc8131"/>
      <w:bookmarkStart w:id="1097" w:name="_Toc21825"/>
      <w:bookmarkStart w:id="1098" w:name="_Toc8218"/>
      <w:bookmarkStart w:id="1099" w:name="_Toc13650"/>
      <w:bookmarkStart w:id="1100" w:name="_Toc8052"/>
      <w:bookmarkStart w:id="1101" w:name="_Toc32335"/>
      <w:bookmarkStart w:id="1102" w:name="_Toc5660"/>
      <w:bookmarkStart w:id="1103" w:name="_Toc28537"/>
      <w:bookmarkStart w:id="1104" w:name="_Toc27679"/>
      <w:bookmarkStart w:id="1105" w:name="_Toc4657"/>
      <w:bookmarkStart w:id="1106" w:name="_Toc29559"/>
      <w:bookmarkStart w:id="1107" w:name="_Toc1282"/>
      <w:bookmarkStart w:id="1108" w:name="_Toc484792203"/>
      <w:bookmarkStart w:id="1109" w:name="_Toc22558"/>
      <w:bookmarkStart w:id="1110" w:name="_Toc6139"/>
      <w:bookmarkStart w:id="1111" w:name="_Toc7293"/>
      <w:bookmarkStart w:id="1112" w:name="_Toc2517"/>
      <w:bookmarkStart w:id="1113" w:name="_Toc10952"/>
      <w:bookmarkStart w:id="1114" w:name="_Toc17417"/>
      <w:bookmarkStart w:id="1115" w:name="_Toc900"/>
      <w:bookmarkStart w:id="1116" w:name="_Toc9317"/>
      <w:bookmarkStart w:id="1117" w:name="_Toc10586"/>
      <w:bookmarkStart w:id="1118" w:name="_Toc28305"/>
      <w:bookmarkStart w:id="1119" w:name="_Toc24806"/>
      <w:bookmarkStart w:id="1120" w:name="_Toc2315"/>
      <w:bookmarkStart w:id="1121" w:name="_Toc28628"/>
      <w:bookmarkStart w:id="1122" w:name="_Toc22054"/>
      <w:bookmarkStart w:id="1123" w:name="_Toc482803090"/>
      <w:bookmarkStart w:id="1124" w:name="_Toc25501"/>
      <w:bookmarkStart w:id="1125" w:name="_Toc14370"/>
      <w:bookmarkStart w:id="1126" w:name="_Toc14547"/>
      <w:bookmarkStart w:id="1127" w:name="_Toc19166"/>
      <w:bookmarkStart w:id="1128" w:name="_Toc30561"/>
      <w:bookmarkStart w:id="1129" w:name="_Toc15554"/>
      <w:r>
        <w:rPr>
          <w:rFonts w:hAnsi="宋体"/>
          <w:b/>
          <w:color w:val="auto"/>
          <w:highlight w:val="none"/>
        </w:rPr>
        <w:t xml:space="preserve">3.6 </w:t>
      </w:r>
      <w:r>
        <w:rPr>
          <w:rFonts w:hint="eastAsia" w:hAnsi="宋体"/>
          <w:b/>
          <w:color w:val="auto"/>
          <w:highlight w:val="none"/>
        </w:rPr>
        <w:t>备选投标方案</w:t>
      </w:r>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22"/>
        <w:tabs>
          <w:tab w:val="left" w:pos="2127"/>
        </w:tabs>
        <w:spacing w:line="360" w:lineRule="auto"/>
        <w:outlineLvl w:val="2"/>
        <w:rPr>
          <w:rFonts w:hAnsi="宋体"/>
          <w:b/>
          <w:color w:val="auto"/>
          <w:highlight w:val="none"/>
        </w:rPr>
      </w:pPr>
      <w:bookmarkStart w:id="1130" w:name="_Toc30512"/>
      <w:bookmarkStart w:id="1131" w:name="_Toc1818"/>
      <w:bookmarkStart w:id="1132" w:name="_Toc32149"/>
      <w:bookmarkStart w:id="1133" w:name="_Toc14394"/>
      <w:bookmarkStart w:id="1134" w:name="_Toc8056"/>
      <w:bookmarkStart w:id="1135" w:name="_Toc2129"/>
      <w:bookmarkStart w:id="1136" w:name="_Toc8200"/>
      <w:bookmarkStart w:id="1137" w:name="_Toc13799"/>
      <w:bookmarkStart w:id="1138" w:name="_Toc15085"/>
      <w:bookmarkStart w:id="1139" w:name="_Toc482803091"/>
      <w:bookmarkStart w:id="1140" w:name="_Toc32250"/>
      <w:bookmarkStart w:id="1141" w:name="_Toc2059"/>
      <w:bookmarkStart w:id="1142" w:name="_Toc8991"/>
      <w:bookmarkStart w:id="1143" w:name="_Toc26322"/>
      <w:bookmarkStart w:id="1144" w:name="_Toc15022"/>
      <w:bookmarkStart w:id="1145" w:name="_Toc24426"/>
      <w:bookmarkStart w:id="1146" w:name="_Toc5793"/>
      <w:bookmarkStart w:id="1147" w:name="_Toc522"/>
      <w:bookmarkStart w:id="1148" w:name="_Toc31067"/>
      <w:bookmarkStart w:id="1149" w:name="_Toc11365"/>
      <w:bookmarkStart w:id="1150" w:name="_Toc21783"/>
      <w:bookmarkStart w:id="1151" w:name="_Toc414"/>
      <w:bookmarkStart w:id="1152" w:name="_Toc15971"/>
      <w:bookmarkStart w:id="1153" w:name="_Toc484792204"/>
      <w:bookmarkStart w:id="1154" w:name="_Toc30828"/>
      <w:bookmarkStart w:id="1155" w:name="_Toc9073"/>
      <w:bookmarkStart w:id="1156" w:name="_Toc29034"/>
      <w:bookmarkStart w:id="1157" w:name="_Toc89"/>
      <w:bookmarkStart w:id="1158" w:name="_Toc31888"/>
      <w:bookmarkStart w:id="1159" w:name="_Toc1257"/>
      <w:bookmarkStart w:id="1160" w:name="_Toc27111"/>
      <w:bookmarkStart w:id="1161" w:name="_Toc5553"/>
      <w:bookmarkStart w:id="1162" w:name="_Toc3298"/>
      <w:bookmarkStart w:id="1163" w:name="_Toc17423"/>
      <w:bookmarkStart w:id="1164" w:name="_Toc16535"/>
      <w:bookmarkStart w:id="1165" w:name="_Toc29620"/>
      <w:bookmarkStart w:id="1166" w:name="_Toc32098"/>
      <w:bookmarkStart w:id="1167" w:name="_Toc26851"/>
      <w:bookmarkStart w:id="1168" w:name="_Toc23645"/>
      <w:bookmarkStart w:id="1169" w:name="_Toc25264"/>
      <w:bookmarkStart w:id="1170" w:name="_Toc192"/>
      <w:r>
        <w:rPr>
          <w:rFonts w:hint="eastAsia" w:hAnsi="宋体"/>
          <w:b/>
          <w:color w:val="auto"/>
          <w:highlight w:val="none"/>
        </w:rPr>
        <w:t>3.7 投标文件的编制</w:t>
      </w:r>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3.7.1</w:t>
      </w:r>
      <w:r>
        <w:rPr>
          <w:rFonts w:ascii="宋体" w:hAnsi="宋体" w:eastAsia="宋体" w:cs="宋体"/>
          <w:color w:val="auto"/>
          <w:spacing w:val="-2"/>
          <w:sz w:val="21"/>
          <w:szCs w:val="21"/>
          <w:highlight w:val="none"/>
        </w:rPr>
        <w:t>投标文件应按“投标文件格式”进行编写，如有必要，可以增加附页，作为投标文件的</w:t>
      </w:r>
      <w:r>
        <w:rPr>
          <w:rFonts w:ascii="宋体" w:hAnsi="宋体" w:eastAsia="宋体" w:cs="宋体"/>
          <w:color w:val="auto"/>
          <w:spacing w:val="1"/>
          <w:sz w:val="21"/>
          <w:szCs w:val="21"/>
          <w:highlight w:val="none"/>
        </w:rPr>
        <w:t>组成部分。其中，投标函附录在满足招标文件实质性要求的基础上，可以提出比</w:t>
      </w:r>
      <w:r>
        <w:rPr>
          <w:rFonts w:ascii="宋体" w:hAnsi="宋体" w:eastAsia="宋体" w:cs="宋体"/>
          <w:color w:val="auto"/>
          <w:sz w:val="21"/>
          <w:szCs w:val="21"/>
          <w:highlight w:val="none"/>
        </w:rPr>
        <w:t>招标文件要求更有</w:t>
      </w:r>
      <w:r>
        <w:rPr>
          <w:rFonts w:ascii="宋体" w:hAnsi="宋体" w:eastAsia="宋体" w:cs="宋体"/>
          <w:color w:val="auto"/>
          <w:spacing w:val="-4"/>
          <w:sz w:val="21"/>
          <w:szCs w:val="21"/>
          <w:highlight w:val="none"/>
        </w:rPr>
        <w:t>利</w:t>
      </w:r>
      <w:r>
        <w:rPr>
          <w:rFonts w:ascii="宋体" w:hAnsi="宋体" w:eastAsia="宋体" w:cs="宋体"/>
          <w:color w:val="auto"/>
          <w:spacing w:val="-3"/>
          <w:sz w:val="21"/>
          <w:szCs w:val="21"/>
          <w:highlight w:val="none"/>
        </w:rPr>
        <w:t>于</w:t>
      </w:r>
      <w:r>
        <w:rPr>
          <w:rFonts w:ascii="宋体" w:hAnsi="宋体" w:eastAsia="宋体" w:cs="宋体"/>
          <w:color w:val="auto"/>
          <w:spacing w:val="-2"/>
          <w:sz w:val="21"/>
          <w:szCs w:val="21"/>
          <w:highlight w:val="none"/>
        </w:rPr>
        <w:t>招标人的承诺</w:t>
      </w:r>
      <w:r>
        <w:rPr>
          <w:rFonts w:hint="eastAsia" w:ascii="宋体" w:hAnsi="宋体"/>
          <w:color w:val="auto"/>
          <w:highlight w:val="none"/>
        </w:rPr>
        <w:t>。</w:t>
      </w:r>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3.7.2投标文件应当对招标文件有关</w:t>
      </w:r>
      <w:r>
        <w:rPr>
          <w:rFonts w:hint="eastAsia" w:ascii="宋体" w:hAnsi="宋体"/>
          <w:color w:val="auto"/>
          <w:highlight w:val="none"/>
          <w:lang w:val="en-US" w:eastAsia="zh-CN"/>
        </w:rPr>
        <w:t>计划工期</w:t>
      </w:r>
      <w:r>
        <w:rPr>
          <w:rFonts w:hint="eastAsia" w:ascii="宋体" w:hAnsi="宋体"/>
          <w:color w:val="auto"/>
          <w:highlight w:val="none"/>
          <w:lang w:eastAsia="zh-CN"/>
        </w:rPr>
        <w:t>、</w:t>
      </w:r>
      <w:r>
        <w:rPr>
          <w:rFonts w:hint="eastAsia" w:ascii="宋体" w:hAnsi="宋体"/>
          <w:color w:val="auto"/>
          <w:highlight w:val="none"/>
        </w:rPr>
        <w:t>投标有效期、质量要求、技术标准和要求、招标范围等实质性内容作出响应。</w:t>
      </w:r>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3.7.3</w:t>
      </w:r>
      <w:r>
        <w:rPr>
          <w:rFonts w:ascii="宋体" w:hAnsi="宋体" w:eastAsia="宋体" w:cs="宋体"/>
          <w:color w:val="auto"/>
          <w:spacing w:val="-2"/>
          <w:sz w:val="21"/>
          <w:szCs w:val="21"/>
          <w:highlight w:val="none"/>
        </w:rPr>
        <w:t>签字或盖章的具体要求见投标人须知前附表。</w:t>
      </w:r>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3.7.4</w:t>
      </w:r>
      <w:r>
        <w:rPr>
          <w:rFonts w:ascii="宋体" w:hAnsi="宋体" w:eastAsia="宋体" w:cs="宋体"/>
          <w:color w:val="auto"/>
          <w:spacing w:val="-3"/>
          <w:sz w:val="21"/>
          <w:szCs w:val="21"/>
          <w:highlight w:val="none"/>
        </w:rPr>
        <w:t>投</w:t>
      </w:r>
      <w:r>
        <w:rPr>
          <w:rFonts w:ascii="宋体" w:hAnsi="宋体" w:eastAsia="宋体" w:cs="宋体"/>
          <w:color w:val="auto"/>
          <w:spacing w:val="-2"/>
          <w:sz w:val="21"/>
          <w:szCs w:val="21"/>
          <w:highlight w:val="none"/>
        </w:rPr>
        <w:t>标文件文档要求见投标人须知前附表。</w:t>
      </w:r>
    </w:p>
    <w:p>
      <w:pPr>
        <w:spacing w:before="62" w:line="220" w:lineRule="auto"/>
        <w:ind w:left="42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 xml:space="preserve">3.7.5 </w:t>
      </w:r>
      <w:r>
        <w:rPr>
          <w:rFonts w:ascii="宋体" w:hAnsi="宋体" w:eastAsia="宋体" w:cs="宋体"/>
          <w:color w:val="auto"/>
          <w:spacing w:val="-3"/>
          <w:sz w:val="21"/>
          <w:szCs w:val="21"/>
          <w:highlight w:val="none"/>
        </w:rPr>
        <w:t>投</w:t>
      </w:r>
      <w:r>
        <w:rPr>
          <w:rFonts w:ascii="宋体" w:hAnsi="宋体" w:eastAsia="宋体" w:cs="宋体"/>
          <w:color w:val="auto"/>
          <w:spacing w:val="-2"/>
          <w:sz w:val="21"/>
          <w:szCs w:val="21"/>
          <w:highlight w:val="none"/>
        </w:rPr>
        <w:t>标文件编制要求见投标人须知前附表。</w:t>
      </w:r>
    </w:p>
    <w:p>
      <w:pPr>
        <w:pStyle w:val="22"/>
        <w:tabs>
          <w:tab w:val="left" w:pos="2127"/>
        </w:tabs>
        <w:spacing w:line="360" w:lineRule="auto"/>
        <w:ind w:firstLine="420" w:firstLineChars="200"/>
        <w:rPr>
          <w:rFonts w:hAnsi="宋体"/>
          <w:color w:val="auto"/>
          <w:highlight w:val="none"/>
        </w:rPr>
      </w:pPr>
    </w:p>
    <w:p>
      <w:pPr>
        <w:pStyle w:val="2"/>
        <w:tabs>
          <w:tab w:val="left" w:pos="2127"/>
        </w:tabs>
        <w:spacing w:before="0" w:after="0" w:line="360" w:lineRule="auto"/>
        <w:rPr>
          <w:rFonts w:ascii="宋体" w:hAnsi="宋体" w:eastAsia="宋体"/>
          <w:color w:val="auto"/>
          <w:sz w:val="24"/>
          <w:szCs w:val="24"/>
          <w:highlight w:val="none"/>
        </w:rPr>
      </w:pPr>
      <w:bookmarkStart w:id="1171" w:name="_Toc7164"/>
      <w:bookmarkStart w:id="1172" w:name="_Toc25067"/>
      <w:bookmarkStart w:id="1173" w:name="_Toc25213"/>
      <w:bookmarkStart w:id="1174" w:name="_Toc30613"/>
      <w:bookmarkStart w:id="1175" w:name="_Toc22073"/>
      <w:bookmarkStart w:id="1176" w:name="_Toc23129"/>
      <w:bookmarkStart w:id="1177" w:name="_Toc8437"/>
      <w:bookmarkStart w:id="1178" w:name="_Toc3446"/>
      <w:bookmarkStart w:id="1179" w:name="_Toc15516"/>
      <w:bookmarkStart w:id="1180" w:name="_Toc7873"/>
      <w:bookmarkStart w:id="1181" w:name="_Toc30211"/>
      <w:bookmarkStart w:id="1182" w:name="_Toc31307"/>
      <w:bookmarkStart w:id="1183" w:name="_Toc6194"/>
      <w:bookmarkStart w:id="1184" w:name="_Toc1920"/>
      <w:bookmarkStart w:id="1185" w:name="_Toc17526"/>
      <w:bookmarkStart w:id="1186" w:name="_Toc28919"/>
      <w:r>
        <w:rPr>
          <w:rFonts w:hint="eastAsia" w:ascii="宋体" w:hAnsi="宋体" w:eastAsia="宋体"/>
          <w:color w:val="auto"/>
          <w:sz w:val="24"/>
          <w:szCs w:val="24"/>
          <w:highlight w:val="none"/>
        </w:rPr>
        <w:t>4. 投标</w:t>
      </w:r>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p>
    <w:p>
      <w:pPr>
        <w:pStyle w:val="22"/>
        <w:tabs>
          <w:tab w:val="left" w:pos="2127"/>
        </w:tabs>
        <w:spacing w:line="360" w:lineRule="auto"/>
        <w:outlineLvl w:val="2"/>
        <w:rPr>
          <w:rFonts w:hint="eastAsia" w:hAnsi="宋体"/>
          <w:b/>
          <w:color w:val="auto"/>
          <w:highlight w:val="none"/>
          <w:lang w:val="en-US" w:eastAsia="zh-CN"/>
        </w:rPr>
      </w:pPr>
      <w:bookmarkStart w:id="1187" w:name="_Toc29712"/>
      <w:bookmarkStart w:id="1188" w:name="_Toc1240"/>
      <w:bookmarkStart w:id="1189" w:name="_Toc4274"/>
      <w:bookmarkStart w:id="1190" w:name="_Toc21939"/>
      <w:bookmarkStart w:id="1191" w:name="_Toc25682"/>
      <w:bookmarkStart w:id="1192" w:name="_Toc27688"/>
      <w:bookmarkStart w:id="1193" w:name="_Toc14989"/>
      <w:bookmarkStart w:id="1194" w:name="_Toc13252"/>
      <w:bookmarkStart w:id="1195" w:name="_Toc3792"/>
      <w:bookmarkStart w:id="1196" w:name="_Toc11091"/>
      <w:bookmarkStart w:id="1197" w:name="_Toc3967"/>
      <w:bookmarkStart w:id="1198" w:name="_Toc5619"/>
      <w:bookmarkStart w:id="1199" w:name="_Toc25601"/>
      <w:bookmarkStart w:id="1200" w:name="_Toc6133"/>
      <w:bookmarkStart w:id="1201" w:name="_Toc25292"/>
      <w:bookmarkStart w:id="1202" w:name="_Toc4237"/>
      <w:bookmarkStart w:id="1203" w:name="_Toc16563"/>
      <w:bookmarkStart w:id="1204" w:name="_Toc12806"/>
      <w:bookmarkStart w:id="1205" w:name="_Toc15455"/>
      <w:bookmarkStart w:id="1206" w:name="_Toc26432"/>
      <w:bookmarkStart w:id="1207" w:name="_Toc24406"/>
      <w:bookmarkStart w:id="1208" w:name="_Toc3680"/>
      <w:bookmarkStart w:id="1209" w:name="_Toc484792206"/>
      <w:bookmarkStart w:id="1210" w:name="_Toc18782"/>
      <w:bookmarkStart w:id="1211" w:name="_Toc29793"/>
      <w:bookmarkStart w:id="1212" w:name="_Toc7069"/>
      <w:bookmarkStart w:id="1213" w:name="_Toc482803093"/>
      <w:bookmarkStart w:id="1214" w:name="_Toc10977"/>
      <w:bookmarkStart w:id="1215" w:name="_Toc23452"/>
      <w:bookmarkStart w:id="1216" w:name="_Toc14308"/>
      <w:bookmarkStart w:id="1217" w:name="_Toc8876"/>
      <w:bookmarkStart w:id="1218" w:name="_Toc29636"/>
      <w:bookmarkStart w:id="1219" w:name="_Toc22951"/>
      <w:bookmarkStart w:id="1220" w:name="_Toc1740"/>
      <w:bookmarkStart w:id="1221" w:name="_Toc3135"/>
      <w:bookmarkStart w:id="1222" w:name="_Toc10662"/>
      <w:bookmarkStart w:id="1223" w:name="_Toc1453"/>
      <w:bookmarkStart w:id="1224" w:name="_Toc20538"/>
      <w:bookmarkStart w:id="1225" w:name="_Toc4189"/>
      <w:bookmarkStart w:id="1226" w:name="_Toc24967"/>
      <w:bookmarkStart w:id="1227" w:name="_Toc12474"/>
      <w:r>
        <w:rPr>
          <w:rFonts w:hint="eastAsia" w:hAnsi="宋体"/>
          <w:b/>
          <w:color w:val="auto"/>
          <w:highlight w:val="none"/>
          <w:lang w:val="en-US" w:eastAsia="zh-CN"/>
        </w:rPr>
        <w:t>4.1投标文件的密封和标记</w:t>
      </w:r>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p>
    <w:p>
      <w:pPr>
        <w:pStyle w:val="22"/>
        <w:tabs>
          <w:tab w:val="left" w:pos="2127"/>
        </w:tabs>
        <w:spacing w:line="360" w:lineRule="auto"/>
        <w:ind w:firstLine="420" w:firstLineChars="200"/>
        <w:outlineLvl w:val="2"/>
        <w:rPr>
          <w:rFonts w:hint="eastAsia" w:hAnsi="宋体"/>
          <w:b w:val="0"/>
          <w:bCs/>
          <w:color w:val="auto"/>
          <w:highlight w:val="none"/>
        </w:rPr>
      </w:pPr>
      <w:bookmarkStart w:id="1228" w:name="_Toc23889"/>
      <w:bookmarkStart w:id="1229" w:name="_Toc14130"/>
      <w:bookmarkStart w:id="1230" w:name="_Toc8395"/>
      <w:bookmarkStart w:id="1231" w:name="_Toc13121"/>
      <w:bookmarkStart w:id="1232" w:name="_Toc28136"/>
      <w:bookmarkStart w:id="1233" w:name="_Toc30692"/>
      <w:bookmarkStart w:id="1234" w:name="_Toc19442"/>
      <w:bookmarkStart w:id="1235" w:name="_Toc23995"/>
      <w:bookmarkStart w:id="1236" w:name="_Toc19134"/>
      <w:bookmarkStart w:id="1237" w:name="_Toc28543"/>
      <w:bookmarkStart w:id="1238" w:name="_Toc16201"/>
      <w:bookmarkStart w:id="1239" w:name="_Toc22993"/>
      <w:bookmarkStart w:id="1240" w:name="_Toc7657"/>
      <w:bookmarkStart w:id="1241" w:name="_Toc23286"/>
      <w:r>
        <w:rPr>
          <w:rFonts w:hint="eastAsia" w:hAnsi="宋体"/>
          <w:b w:val="0"/>
          <w:bCs/>
          <w:color w:val="auto"/>
          <w:highlight w:val="none"/>
        </w:rPr>
        <w:t>4.1.1 投标文件加密要求见投标人须知前附表。</w:t>
      </w:r>
    </w:p>
    <w:p>
      <w:pPr>
        <w:pStyle w:val="22"/>
        <w:tabs>
          <w:tab w:val="left" w:pos="2127"/>
        </w:tabs>
        <w:spacing w:line="360" w:lineRule="auto"/>
        <w:ind w:firstLine="420" w:firstLineChars="200"/>
        <w:outlineLvl w:val="2"/>
        <w:rPr>
          <w:rFonts w:hint="eastAsia" w:hAnsi="宋体"/>
          <w:b w:val="0"/>
          <w:bCs/>
          <w:color w:val="auto"/>
          <w:highlight w:val="none"/>
        </w:rPr>
      </w:pPr>
      <w:r>
        <w:rPr>
          <w:rFonts w:hint="eastAsia" w:hAnsi="宋体"/>
          <w:b w:val="0"/>
          <w:bCs/>
          <w:color w:val="auto"/>
          <w:highlight w:val="none"/>
        </w:rPr>
        <w:t>4.1.2 未按本章第4.1.1 项要求加密的投标文件，招标人不予受理。</w:t>
      </w:r>
    </w:p>
    <w:p>
      <w:pPr>
        <w:pStyle w:val="22"/>
        <w:tabs>
          <w:tab w:val="left" w:pos="2127"/>
        </w:tabs>
        <w:spacing w:line="360" w:lineRule="auto"/>
        <w:outlineLvl w:val="2"/>
        <w:rPr>
          <w:rFonts w:hint="default" w:hAnsi="宋体" w:eastAsia="宋体"/>
          <w:b/>
          <w:color w:val="auto"/>
          <w:highlight w:val="none"/>
          <w:lang w:val="en-US" w:eastAsia="zh-CN"/>
        </w:rPr>
      </w:pPr>
      <w:r>
        <w:rPr>
          <w:rFonts w:hint="eastAsia" w:hAnsi="宋体"/>
          <w:b/>
          <w:color w:val="auto"/>
          <w:highlight w:val="none"/>
        </w:rPr>
        <w:t>4.</w:t>
      </w:r>
      <w:r>
        <w:rPr>
          <w:rFonts w:hint="eastAsia" w:hAnsi="宋体"/>
          <w:b/>
          <w:color w:val="auto"/>
          <w:highlight w:val="none"/>
          <w:lang w:val="en-US" w:eastAsia="zh-CN"/>
        </w:rPr>
        <w:t>2</w:t>
      </w:r>
      <w:r>
        <w:rPr>
          <w:rFonts w:hint="eastAsia" w:hAnsi="宋体"/>
          <w:b/>
          <w:color w:val="auto"/>
          <w:highlight w:val="none"/>
        </w:rPr>
        <w:t xml:space="preserve"> 投标文件的</w:t>
      </w:r>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r>
        <w:rPr>
          <w:rFonts w:hint="eastAsia" w:hAnsi="宋体"/>
          <w:b/>
          <w:color w:val="auto"/>
          <w:highlight w:val="none"/>
          <w:lang w:val="en-US" w:eastAsia="zh-CN"/>
        </w:rPr>
        <w:t>上传及递交</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p>
    <w:p>
      <w:pPr>
        <w:pStyle w:val="22"/>
        <w:tabs>
          <w:tab w:val="left" w:pos="2127"/>
        </w:tabs>
        <w:spacing w:line="360" w:lineRule="auto"/>
        <w:ind w:firstLine="420" w:firstLineChars="200"/>
        <w:outlineLvl w:val="2"/>
        <w:rPr>
          <w:rFonts w:hint="eastAsia" w:hAnsi="宋体"/>
          <w:b w:val="0"/>
          <w:bCs/>
          <w:color w:val="auto"/>
          <w:highlight w:val="none"/>
        </w:rPr>
      </w:pPr>
      <w:bookmarkStart w:id="1242" w:name="_Toc17516"/>
      <w:bookmarkStart w:id="1243" w:name="_Toc3032"/>
      <w:bookmarkStart w:id="1244" w:name="_Toc22625"/>
      <w:bookmarkStart w:id="1245" w:name="_Toc14717"/>
      <w:bookmarkStart w:id="1246" w:name="_Toc2253"/>
      <w:bookmarkStart w:id="1247" w:name="_Toc12190"/>
      <w:bookmarkStart w:id="1248" w:name="_Toc27704"/>
      <w:bookmarkStart w:id="1249" w:name="_Toc4592"/>
      <w:bookmarkStart w:id="1250" w:name="_Toc21766"/>
      <w:bookmarkStart w:id="1251" w:name="_Toc19265"/>
      <w:bookmarkStart w:id="1252" w:name="_Toc9291"/>
      <w:bookmarkStart w:id="1253" w:name="_Toc27586"/>
      <w:bookmarkStart w:id="1254" w:name="_Toc1914"/>
      <w:bookmarkStart w:id="1255" w:name="_Toc9285"/>
      <w:bookmarkStart w:id="1256" w:name="_Toc24349"/>
      <w:bookmarkStart w:id="1257" w:name="_Toc484792208"/>
      <w:bookmarkStart w:id="1258" w:name="_Toc21187"/>
      <w:bookmarkStart w:id="1259" w:name="_Toc7086"/>
      <w:bookmarkStart w:id="1260" w:name="_Toc11204"/>
      <w:bookmarkStart w:id="1261" w:name="_Toc5939"/>
      <w:bookmarkStart w:id="1262" w:name="_Toc23991"/>
      <w:bookmarkStart w:id="1263" w:name="_Toc16555"/>
      <w:bookmarkStart w:id="1264" w:name="_Toc17702"/>
      <w:bookmarkStart w:id="1265" w:name="_Toc6201"/>
      <w:bookmarkStart w:id="1266" w:name="_Toc21452"/>
      <w:bookmarkStart w:id="1267" w:name="_Toc7456"/>
      <w:bookmarkStart w:id="1268" w:name="_Toc20643"/>
      <w:bookmarkStart w:id="1269" w:name="_Toc4965"/>
      <w:bookmarkStart w:id="1270" w:name="_Toc16762"/>
      <w:bookmarkStart w:id="1271" w:name="_Toc1208"/>
      <w:bookmarkStart w:id="1272" w:name="_Toc10390"/>
      <w:bookmarkStart w:id="1273" w:name="_Toc11270"/>
      <w:bookmarkStart w:id="1274" w:name="_Toc16717"/>
      <w:bookmarkStart w:id="1275" w:name="_Toc482803095"/>
      <w:bookmarkStart w:id="1276" w:name="_Toc26139"/>
      <w:bookmarkStart w:id="1277" w:name="_Toc9007"/>
      <w:bookmarkStart w:id="1278" w:name="_Toc25259"/>
      <w:bookmarkStart w:id="1279" w:name="_Toc9715"/>
      <w:bookmarkStart w:id="1280" w:name="_Toc19852"/>
      <w:bookmarkStart w:id="1281" w:name="_Toc20715"/>
      <w:bookmarkStart w:id="1282" w:name="_Toc23195"/>
      <w:r>
        <w:rPr>
          <w:rFonts w:hint="eastAsia" w:hAnsi="宋体"/>
          <w:b w:val="0"/>
          <w:bCs/>
          <w:color w:val="auto"/>
          <w:highlight w:val="none"/>
        </w:rPr>
        <w:t>4.2.1 投标人应在投标人须知前附表规定的投标截止时间前递交投标文件。</w:t>
      </w:r>
    </w:p>
    <w:p>
      <w:pPr>
        <w:pStyle w:val="22"/>
        <w:tabs>
          <w:tab w:val="left" w:pos="2127"/>
        </w:tabs>
        <w:spacing w:line="360" w:lineRule="auto"/>
        <w:ind w:firstLine="420" w:firstLineChars="200"/>
        <w:outlineLvl w:val="2"/>
        <w:rPr>
          <w:rFonts w:hint="eastAsia" w:hAnsi="宋体"/>
          <w:b w:val="0"/>
          <w:bCs/>
          <w:color w:val="auto"/>
          <w:highlight w:val="none"/>
        </w:rPr>
      </w:pPr>
      <w:r>
        <w:rPr>
          <w:rFonts w:hint="eastAsia" w:hAnsi="宋体"/>
          <w:b w:val="0"/>
          <w:bCs/>
          <w:color w:val="auto"/>
          <w:highlight w:val="none"/>
        </w:rPr>
        <w:t>4.2.2 投标人递交投标文件的地点：见投标人须知前附表。</w:t>
      </w:r>
    </w:p>
    <w:p>
      <w:pPr>
        <w:pStyle w:val="22"/>
        <w:tabs>
          <w:tab w:val="left" w:pos="2127"/>
        </w:tabs>
        <w:spacing w:line="360" w:lineRule="auto"/>
        <w:ind w:firstLine="420" w:firstLineChars="200"/>
        <w:outlineLvl w:val="2"/>
        <w:rPr>
          <w:rFonts w:hint="eastAsia" w:hAnsi="宋体"/>
          <w:b w:val="0"/>
          <w:bCs/>
          <w:color w:val="auto"/>
          <w:highlight w:val="none"/>
        </w:rPr>
      </w:pPr>
      <w:r>
        <w:rPr>
          <w:rFonts w:hint="eastAsia" w:hAnsi="宋体"/>
          <w:b w:val="0"/>
          <w:bCs/>
          <w:color w:val="auto"/>
          <w:highlight w:val="none"/>
        </w:rPr>
        <w:t>4.2.3 除投标人须知前附表另有规定外，投标人所递交的投标文件不予退还。</w:t>
      </w:r>
    </w:p>
    <w:p>
      <w:pPr>
        <w:pStyle w:val="22"/>
        <w:tabs>
          <w:tab w:val="left" w:pos="2127"/>
        </w:tabs>
        <w:spacing w:line="360" w:lineRule="auto"/>
        <w:ind w:firstLine="420" w:firstLineChars="200"/>
        <w:outlineLvl w:val="2"/>
        <w:rPr>
          <w:rFonts w:hint="eastAsia" w:hAnsi="宋体"/>
          <w:b w:val="0"/>
          <w:bCs/>
          <w:color w:val="auto"/>
          <w:highlight w:val="none"/>
        </w:rPr>
      </w:pPr>
      <w:r>
        <w:rPr>
          <w:rFonts w:hint="eastAsia" w:hAnsi="宋体"/>
          <w:b w:val="0"/>
          <w:bCs/>
          <w:color w:val="auto"/>
          <w:highlight w:val="none"/>
        </w:rPr>
        <w:t>4.2.4 投标人递交投标文件的其他要求：具体要求见标人须知前附表。</w:t>
      </w:r>
    </w:p>
    <w:p>
      <w:pPr>
        <w:pStyle w:val="22"/>
        <w:tabs>
          <w:tab w:val="left" w:pos="2127"/>
        </w:tabs>
        <w:spacing w:line="360" w:lineRule="auto"/>
        <w:ind w:firstLine="420" w:firstLineChars="200"/>
        <w:outlineLvl w:val="2"/>
        <w:rPr>
          <w:rFonts w:hint="eastAsia" w:hAnsi="宋体"/>
          <w:b w:val="0"/>
          <w:bCs/>
          <w:color w:val="auto"/>
          <w:highlight w:val="none"/>
        </w:rPr>
      </w:pPr>
      <w:r>
        <w:rPr>
          <w:rFonts w:hint="eastAsia" w:hAnsi="宋体"/>
          <w:b w:val="0"/>
          <w:bCs/>
          <w:color w:val="auto"/>
          <w:highlight w:val="none"/>
        </w:rPr>
        <w:t>4.2.5 逾期送达的或者未送达指定地点的投标文件，招标人不予受理。</w:t>
      </w:r>
    </w:p>
    <w:p>
      <w:pPr>
        <w:pStyle w:val="22"/>
        <w:tabs>
          <w:tab w:val="left" w:pos="2127"/>
        </w:tabs>
        <w:spacing w:line="360" w:lineRule="auto"/>
        <w:outlineLvl w:val="2"/>
        <w:rPr>
          <w:rFonts w:hAnsi="宋体"/>
          <w:b/>
          <w:color w:val="auto"/>
          <w:highlight w:val="none"/>
        </w:rPr>
      </w:pPr>
      <w:r>
        <w:rPr>
          <w:rFonts w:hint="eastAsia" w:hAnsi="宋体"/>
          <w:b/>
          <w:color w:val="auto"/>
          <w:highlight w:val="none"/>
        </w:rPr>
        <w:t>4.</w:t>
      </w:r>
      <w:r>
        <w:rPr>
          <w:rFonts w:hint="eastAsia" w:hAnsi="宋体"/>
          <w:b/>
          <w:color w:val="auto"/>
          <w:highlight w:val="none"/>
          <w:lang w:val="en-US" w:eastAsia="zh-CN"/>
        </w:rPr>
        <w:t>3</w:t>
      </w:r>
      <w:r>
        <w:rPr>
          <w:rFonts w:hint="eastAsia" w:hAnsi="宋体"/>
          <w:b/>
          <w:color w:val="auto"/>
          <w:highlight w:val="none"/>
        </w:rPr>
        <w:t>投标文件的修改与撤回</w:t>
      </w:r>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p>
    <w:p>
      <w:pPr>
        <w:spacing w:before="60" w:line="275" w:lineRule="auto"/>
        <w:ind w:right="14" w:firstLine="42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4.3.1 在投标人须</w:t>
      </w:r>
      <w:r>
        <w:rPr>
          <w:rFonts w:ascii="宋体" w:hAnsi="宋体" w:eastAsia="宋体" w:cs="宋体"/>
          <w:color w:val="auto"/>
          <w:spacing w:val="-3"/>
          <w:sz w:val="21"/>
          <w:szCs w:val="21"/>
          <w:highlight w:val="none"/>
        </w:rPr>
        <w:t>知</w:t>
      </w:r>
      <w:r>
        <w:rPr>
          <w:rFonts w:ascii="宋体" w:hAnsi="宋体" w:eastAsia="宋体" w:cs="宋体"/>
          <w:color w:val="auto"/>
          <w:spacing w:val="-2"/>
          <w:sz w:val="21"/>
          <w:szCs w:val="21"/>
          <w:highlight w:val="none"/>
        </w:rPr>
        <w:t>前附表规定的投标截止时间前，投标人可以修改或撤回已递交的投标文件，但应以书面</w:t>
      </w:r>
      <w:r>
        <w:rPr>
          <w:rFonts w:ascii="宋体" w:hAnsi="宋体" w:eastAsia="宋体" w:cs="宋体"/>
          <w:color w:val="auto"/>
          <w:spacing w:val="-1"/>
          <w:sz w:val="21"/>
          <w:szCs w:val="21"/>
          <w:highlight w:val="none"/>
        </w:rPr>
        <w:t>形式通知招标人。</w:t>
      </w:r>
    </w:p>
    <w:p>
      <w:pPr>
        <w:spacing w:line="274" w:lineRule="auto"/>
        <w:ind w:left="9" w:right="76" w:firstLine="411"/>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4.3.2 投标人修改或撤回已递交投标文件的书面通知应按照本章第 3.7.3 项的要求签字或盖</w:t>
      </w:r>
      <w:r>
        <w:rPr>
          <w:rFonts w:ascii="宋体" w:hAnsi="宋体" w:eastAsia="宋体" w:cs="宋体"/>
          <w:color w:val="auto"/>
          <w:sz w:val="21"/>
          <w:szCs w:val="21"/>
          <w:highlight w:val="none"/>
        </w:rPr>
        <w:t xml:space="preserve"> </w:t>
      </w:r>
      <w:r>
        <w:rPr>
          <w:rFonts w:ascii="宋体" w:hAnsi="宋体" w:eastAsia="宋体" w:cs="宋体"/>
          <w:color w:val="auto"/>
          <w:spacing w:val="-11"/>
          <w:sz w:val="21"/>
          <w:szCs w:val="21"/>
          <w:highlight w:val="none"/>
        </w:rPr>
        <w:t>章。</w:t>
      </w:r>
    </w:p>
    <w:p>
      <w:pPr>
        <w:pStyle w:val="22"/>
        <w:tabs>
          <w:tab w:val="left" w:pos="2127"/>
        </w:tabs>
        <w:spacing w:line="360" w:lineRule="auto"/>
        <w:ind w:firstLine="396" w:firstLineChars="200"/>
        <w:rPr>
          <w:rFonts w:hAnsi="宋体"/>
          <w:color w:val="auto"/>
          <w:highlight w:val="none"/>
        </w:rPr>
      </w:pPr>
      <w:r>
        <w:rPr>
          <w:rFonts w:ascii="宋体" w:hAnsi="宋体" w:eastAsia="宋体" w:cs="宋体"/>
          <w:color w:val="auto"/>
          <w:spacing w:val="-6"/>
          <w:sz w:val="21"/>
          <w:szCs w:val="21"/>
          <w:highlight w:val="none"/>
        </w:rPr>
        <w:t>4.3.3 修改的</w:t>
      </w:r>
      <w:r>
        <w:rPr>
          <w:rFonts w:ascii="宋体" w:hAnsi="宋体" w:eastAsia="宋体" w:cs="宋体"/>
          <w:color w:val="auto"/>
          <w:spacing w:val="-4"/>
          <w:sz w:val="21"/>
          <w:szCs w:val="21"/>
          <w:highlight w:val="none"/>
        </w:rPr>
        <w:t>内</w:t>
      </w:r>
      <w:r>
        <w:rPr>
          <w:rFonts w:ascii="宋体" w:hAnsi="宋体" w:eastAsia="宋体" w:cs="宋体"/>
          <w:color w:val="auto"/>
          <w:spacing w:val="-3"/>
          <w:sz w:val="21"/>
          <w:szCs w:val="21"/>
          <w:highlight w:val="none"/>
        </w:rPr>
        <w:t>容为投标文件的组成部分。修改的投标文件应按照本章第 3 条、第 4 条规定进</w:t>
      </w:r>
      <w:r>
        <w:rPr>
          <w:rFonts w:ascii="宋体" w:hAnsi="宋体" w:eastAsia="宋体" w:cs="宋体"/>
          <w:color w:val="auto"/>
          <w:spacing w:val="-1"/>
          <w:sz w:val="21"/>
          <w:szCs w:val="21"/>
          <w:highlight w:val="none"/>
        </w:rPr>
        <w:t>行编制、密封、</w:t>
      </w:r>
      <w:r>
        <w:rPr>
          <w:rFonts w:ascii="宋体" w:hAnsi="宋体" w:eastAsia="宋体" w:cs="宋体"/>
          <w:color w:val="auto"/>
          <w:sz w:val="21"/>
          <w:szCs w:val="21"/>
          <w:highlight w:val="none"/>
        </w:rPr>
        <w:t>标记和递交，并标明“修改”字样。</w:t>
      </w:r>
    </w:p>
    <w:p>
      <w:pPr>
        <w:pStyle w:val="2"/>
        <w:tabs>
          <w:tab w:val="left" w:pos="2127"/>
        </w:tabs>
        <w:spacing w:before="0" w:after="0" w:line="360" w:lineRule="auto"/>
        <w:rPr>
          <w:rFonts w:ascii="宋体" w:hAnsi="宋体" w:eastAsia="宋体"/>
          <w:color w:val="auto"/>
          <w:sz w:val="24"/>
          <w:szCs w:val="24"/>
          <w:highlight w:val="none"/>
        </w:rPr>
      </w:pPr>
      <w:bookmarkStart w:id="1283" w:name="_Toc15527"/>
      <w:bookmarkStart w:id="1284" w:name="_Toc8012"/>
      <w:bookmarkStart w:id="1285" w:name="_Toc17865"/>
      <w:bookmarkStart w:id="1286" w:name="_Toc16812"/>
      <w:bookmarkStart w:id="1287" w:name="_Toc12566"/>
      <w:bookmarkStart w:id="1288" w:name="_Toc18888"/>
      <w:bookmarkStart w:id="1289" w:name="_Toc14270"/>
      <w:bookmarkStart w:id="1290" w:name="_Toc21007"/>
      <w:bookmarkStart w:id="1291" w:name="_Toc30599"/>
      <w:bookmarkStart w:id="1292" w:name="_Toc17043"/>
      <w:bookmarkStart w:id="1293" w:name="_Toc3506"/>
      <w:bookmarkStart w:id="1294" w:name="_Toc13145"/>
      <w:bookmarkStart w:id="1295" w:name="_Toc15687"/>
      <w:bookmarkStart w:id="1296" w:name="_Toc9854"/>
      <w:bookmarkStart w:id="1297" w:name="_Toc11601"/>
      <w:bookmarkStart w:id="1298" w:name="_Toc27366"/>
      <w:r>
        <w:rPr>
          <w:rFonts w:hint="eastAsia" w:ascii="宋体" w:hAnsi="宋体" w:eastAsia="宋体"/>
          <w:color w:val="auto"/>
          <w:sz w:val="24"/>
          <w:szCs w:val="24"/>
          <w:highlight w:val="none"/>
        </w:rPr>
        <w:t>5. 开标</w:t>
      </w:r>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2"/>
        <w:tabs>
          <w:tab w:val="left" w:pos="2127"/>
        </w:tabs>
        <w:spacing w:line="360" w:lineRule="auto"/>
        <w:outlineLvl w:val="2"/>
        <w:rPr>
          <w:rFonts w:hAnsi="宋体"/>
          <w:b/>
          <w:color w:val="auto"/>
          <w:highlight w:val="none"/>
        </w:rPr>
      </w:pPr>
      <w:bookmarkStart w:id="1299" w:name="_Toc8405"/>
      <w:bookmarkStart w:id="1300" w:name="_Toc596"/>
      <w:bookmarkStart w:id="1301" w:name="_Toc21762"/>
      <w:bookmarkStart w:id="1302" w:name="_Toc484792210"/>
      <w:bookmarkStart w:id="1303" w:name="_Toc21861"/>
      <w:bookmarkStart w:id="1304" w:name="_Toc3752"/>
      <w:bookmarkStart w:id="1305" w:name="_Toc8964"/>
      <w:bookmarkStart w:id="1306" w:name="_Toc17701"/>
      <w:bookmarkStart w:id="1307" w:name="_Toc10068"/>
      <w:bookmarkStart w:id="1308" w:name="_Toc5832"/>
      <w:bookmarkStart w:id="1309" w:name="_Toc7977"/>
      <w:bookmarkStart w:id="1310" w:name="_Toc15854"/>
      <w:bookmarkStart w:id="1311" w:name="_Toc1838"/>
      <w:bookmarkStart w:id="1312" w:name="_Toc8542"/>
      <w:bookmarkStart w:id="1313" w:name="_Toc26252"/>
      <w:bookmarkStart w:id="1314" w:name="_Toc10281"/>
      <w:bookmarkStart w:id="1315" w:name="_Toc29689"/>
      <w:bookmarkStart w:id="1316" w:name="_Toc1853"/>
      <w:bookmarkStart w:id="1317" w:name="_Toc30821"/>
      <w:bookmarkStart w:id="1318" w:name="_Toc28534"/>
      <w:bookmarkStart w:id="1319" w:name="_Toc482803097"/>
      <w:bookmarkStart w:id="1320" w:name="_Toc7500"/>
      <w:bookmarkStart w:id="1321" w:name="_Toc9803"/>
      <w:bookmarkStart w:id="1322" w:name="_Toc23192"/>
      <w:bookmarkStart w:id="1323" w:name="_Toc22714"/>
      <w:bookmarkStart w:id="1324" w:name="_Toc30377"/>
      <w:bookmarkStart w:id="1325" w:name="_Toc12493"/>
      <w:bookmarkStart w:id="1326" w:name="_Toc15298"/>
      <w:bookmarkStart w:id="1327" w:name="_Toc6350"/>
      <w:bookmarkStart w:id="1328" w:name="_Toc12419"/>
      <w:bookmarkStart w:id="1329" w:name="_Toc7998"/>
      <w:bookmarkStart w:id="1330" w:name="_Toc6456"/>
      <w:bookmarkStart w:id="1331" w:name="_Toc143"/>
      <w:bookmarkStart w:id="1332" w:name="_Toc20198"/>
      <w:bookmarkStart w:id="1333" w:name="_Toc29295"/>
      <w:bookmarkStart w:id="1334" w:name="_Toc8655"/>
      <w:bookmarkStart w:id="1335" w:name="_Toc18367"/>
      <w:bookmarkStart w:id="1336" w:name="_Toc11857"/>
      <w:bookmarkStart w:id="1337" w:name="_Toc22276"/>
      <w:bookmarkStart w:id="1338" w:name="_Toc7680"/>
      <w:bookmarkStart w:id="1339" w:name="_Toc8303"/>
      <w:r>
        <w:rPr>
          <w:rFonts w:hint="eastAsia" w:hAnsi="宋体"/>
          <w:b/>
          <w:color w:val="auto"/>
          <w:highlight w:val="none"/>
        </w:rPr>
        <w:t>5.1 开标时间和地点</w:t>
      </w:r>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招标人在投标人须知前附表规定的时间和地点公开开标，并邀请所有投标人的法定代表人或其委托代理人准时参加。</w:t>
      </w:r>
    </w:p>
    <w:p>
      <w:pPr>
        <w:pStyle w:val="22"/>
        <w:tabs>
          <w:tab w:val="left" w:pos="2127"/>
        </w:tabs>
        <w:spacing w:line="360" w:lineRule="auto"/>
        <w:outlineLvl w:val="2"/>
        <w:rPr>
          <w:rFonts w:hAnsi="宋体"/>
          <w:b/>
          <w:color w:val="auto"/>
          <w:highlight w:val="none"/>
        </w:rPr>
      </w:pPr>
      <w:bookmarkStart w:id="1340" w:name="_Toc20750"/>
      <w:bookmarkStart w:id="1341" w:name="_Toc21401"/>
      <w:bookmarkStart w:id="1342" w:name="_Toc12494"/>
      <w:bookmarkStart w:id="1343" w:name="_Toc16225"/>
      <w:bookmarkStart w:id="1344" w:name="_Toc14139"/>
      <w:bookmarkStart w:id="1345" w:name="_Toc4228"/>
      <w:bookmarkStart w:id="1346" w:name="_Toc25564"/>
      <w:bookmarkStart w:id="1347" w:name="_Toc330"/>
      <w:bookmarkStart w:id="1348" w:name="_Toc12877"/>
      <w:bookmarkStart w:id="1349" w:name="_Toc30457"/>
      <w:bookmarkStart w:id="1350" w:name="_Toc7198"/>
      <w:bookmarkStart w:id="1351" w:name="_Toc6781"/>
      <w:bookmarkStart w:id="1352" w:name="_Toc28373"/>
      <w:bookmarkStart w:id="1353" w:name="_Toc24767"/>
      <w:bookmarkStart w:id="1354" w:name="_Toc8262"/>
      <w:bookmarkStart w:id="1355" w:name="_Toc27460"/>
      <w:bookmarkStart w:id="1356" w:name="_Toc15209"/>
      <w:bookmarkStart w:id="1357" w:name="_Toc6104"/>
      <w:bookmarkStart w:id="1358" w:name="_Toc8748"/>
      <w:bookmarkStart w:id="1359" w:name="_Toc792"/>
      <w:bookmarkStart w:id="1360" w:name="_Toc13500"/>
      <w:bookmarkStart w:id="1361" w:name="_Toc12924"/>
      <w:bookmarkStart w:id="1362" w:name="_Toc20372"/>
      <w:bookmarkStart w:id="1363" w:name="_Toc5944"/>
      <w:bookmarkStart w:id="1364" w:name="_Toc21750"/>
      <w:bookmarkStart w:id="1365" w:name="_Toc8890"/>
      <w:bookmarkStart w:id="1366" w:name="_Toc24429"/>
      <w:bookmarkStart w:id="1367" w:name="_Toc482803098"/>
      <w:bookmarkStart w:id="1368" w:name="_Toc25678"/>
      <w:bookmarkStart w:id="1369" w:name="_Toc28302"/>
      <w:bookmarkStart w:id="1370" w:name="_Toc27272"/>
      <w:bookmarkStart w:id="1371" w:name="_Toc21839"/>
      <w:bookmarkStart w:id="1372" w:name="_Toc8408"/>
      <w:bookmarkStart w:id="1373" w:name="_Toc5348"/>
      <w:bookmarkStart w:id="1374" w:name="_Toc14132"/>
      <w:bookmarkStart w:id="1375" w:name="_Toc28145"/>
      <w:bookmarkStart w:id="1376" w:name="_Toc31377"/>
      <w:bookmarkStart w:id="1377" w:name="_Toc19175"/>
      <w:bookmarkStart w:id="1378" w:name="_Toc18621"/>
      <w:bookmarkStart w:id="1379" w:name="_Toc8554"/>
      <w:bookmarkStart w:id="1380" w:name="_Toc484792211"/>
      <w:r>
        <w:rPr>
          <w:rFonts w:hint="eastAsia" w:hAnsi="宋体"/>
          <w:b/>
          <w:color w:val="auto"/>
          <w:highlight w:val="none"/>
        </w:rPr>
        <w:t>5.2 开标程序</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p>
    <w:p>
      <w:pPr>
        <w:spacing w:before="60" w:line="221" w:lineRule="auto"/>
        <w:ind w:left="44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电子招投标项目开标按下</w:t>
      </w:r>
      <w:r>
        <w:rPr>
          <w:rFonts w:ascii="宋体" w:hAnsi="宋体" w:eastAsia="宋体" w:cs="宋体"/>
          <w:color w:val="auto"/>
          <w:spacing w:val="-1"/>
          <w:sz w:val="21"/>
          <w:szCs w:val="21"/>
          <w:highlight w:val="none"/>
        </w:rPr>
        <w:t>列程序进行：</w:t>
      </w:r>
    </w:p>
    <w:p>
      <w:pPr>
        <w:spacing w:before="61" w:line="221" w:lineRule="auto"/>
        <w:ind w:left="42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5.2.1 招标人</w:t>
      </w:r>
      <w:r>
        <w:rPr>
          <w:rFonts w:ascii="宋体" w:hAnsi="宋体" w:eastAsia="宋体" w:cs="宋体"/>
          <w:color w:val="auto"/>
          <w:spacing w:val="-3"/>
          <w:sz w:val="21"/>
          <w:szCs w:val="21"/>
          <w:highlight w:val="none"/>
        </w:rPr>
        <w:t>或</w:t>
      </w:r>
      <w:r>
        <w:rPr>
          <w:rFonts w:ascii="宋体" w:hAnsi="宋体" w:eastAsia="宋体" w:cs="宋体"/>
          <w:color w:val="auto"/>
          <w:spacing w:val="-2"/>
          <w:sz w:val="21"/>
          <w:szCs w:val="21"/>
          <w:highlight w:val="none"/>
        </w:rPr>
        <w:t>招标人委托的招标代理主持人按下列程序进行开标：</w:t>
      </w:r>
    </w:p>
    <w:p>
      <w:pPr>
        <w:spacing w:before="61" w:line="220" w:lineRule="auto"/>
        <w:ind w:left="427"/>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w:t>
      </w:r>
      <w:r>
        <w:rPr>
          <w:rFonts w:ascii="宋体" w:hAnsi="宋体" w:eastAsia="宋体" w:cs="宋体"/>
          <w:color w:val="auto"/>
          <w:spacing w:val="2"/>
          <w:sz w:val="21"/>
          <w:szCs w:val="21"/>
          <w:highlight w:val="none"/>
        </w:rPr>
        <w:t>公布在投标截止时间前递交投标文件的投标人名称；</w:t>
      </w:r>
    </w:p>
    <w:p>
      <w:pPr>
        <w:spacing w:before="62" w:line="274" w:lineRule="auto"/>
        <w:ind w:left="4" w:firstLine="423"/>
        <w:rPr>
          <w:rFonts w:ascii="宋体" w:hAnsi="宋体" w:eastAsia="宋体" w:cs="宋体"/>
          <w:color w:val="auto"/>
          <w:sz w:val="21"/>
          <w:szCs w:val="21"/>
          <w:highlight w:val="none"/>
        </w:rPr>
      </w:pPr>
      <w:r>
        <w:rPr>
          <w:rFonts w:ascii="宋体" w:hAnsi="宋体" w:eastAsia="宋体" w:cs="宋体"/>
          <w:color w:val="auto"/>
          <w:sz w:val="21"/>
          <w:szCs w:val="21"/>
          <w:highlight w:val="none"/>
        </w:rPr>
        <w:t>(2)投标人通过电子招标投标交易平台对已递交的电子投标文件进行解密，公布招标项目名称、</w:t>
      </w:r>
      <w:r>
        <w:rPr>
          <w:rFonts w:ascii="宋体" w:hAnsi="宋体" w:eastAsia="宋体" w:cs="宋体"/>
          <w:color w:val="auto"/>
          <w:spacing w:val="-4"/>
          <w:sz w:val="21"/>
          <w:szCs w:val="21"/>
          <w:highlight w:val="none"/>
        </w:rPr>
        <w:t>投标人名称、投标保证金的递交情况、投标报价及其他内容，并记录在案</w:t>
      </w:r>
      <w:r>
        <w:rPr>
          <w:rFonts w:ascii="宋体" w:hAnsi="宋体" w:eastAsia="宋体" w:cs="宋体"/>
          <w:color w:val="auto"/>
          <w:spacing w:val="-2"/>
          <w:sz w:val="21"/>
          <w:szCs w:val="21"/>
          <w:highlight w:val="none"/>
        </w:rPr>
        <w:t>；</w:t>
      </w:r>
    </w:p>
    <w:p>
      <w:pPr>
        <w:spacing w:before="1" w:line="274" w:lineRule="auto"/>
        <w:ind w:left="9" w:right="74" w:firstLine="41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(3)投标人代表、招标人代表、监标人、记录人等有关人员在开标</w:t>
      </w:r>
      <w:r>
        <w:rPr>
          <w:rFonts w:ascii="宋体" w:hAnsi="宋体" w:eastAsia="宋体" w:cs="宋体"/>
          <w:color w:val="auto"/>
          <w:sz w:val="21"/>
          <w:szCs w:val="21"/>
          <w:highlight w:val="none"/>
        </w:rPr>
        <w:t>记录上签字确认；若有关人</w:t>
      </w:r>
      <w:r>
        <w:rPr>
          <w:rFonts w:ascii="宋体" w:hAnsi="宋体" w:eastAsia="宋体" w:cs="宋体"/>
          <w:color w:val="auto"/>
          <w:spacing w:val="-6"/>
          <w:sz w:val="21"/>
          <w:szCs w:val="21"/>
          <w:highlight w:val="none"/>
        </w:rPr>
        <w:t>员</w:t>
      </w:r>
      <w:r>
        <w:rPr>
          <w:rFonts w:ascii="宋体" w:hAnsi="宋体" w:eastAsia="宋体" w:cs="宋体"/>
          <w:color w:val="auto"/>
          <w:spacing w:val="-3"/>
          <w:sz w:val="21"/>
          <w:szCs w:val="21"/>
          <w:highlight w:val="none"/>
        </w:rPr>
        <w:t>不签字的，不影响开标程序；</w:t>
      </w:r>
    </w:p>
    <w:p>
      <w:pPr>
        <w:spacing w:line="220" w:lineRule="auto"/>
        <w:ind w:left="427"/>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w:t>
      </w:r>
      <w:r>
        <w:rPr>
          <w:rFonts w:ascii="宋体" w:hAnsi="宋体" w:eastAsia="宋体" w:cs="宋体"/>
          <w:color w:val="auto"/>
          <w:spacing w:val="10"/>
          <w:sz w:val="21"/>
          <w:szCs w:val="21"/>
          <w:highlight w:val="none"/>
        </w:rPr>
        <w:t>4)开标结束。</w:t>
      </w:r>
    </w:p>
    <w:p>
      <w:pPr>
        <w:spacing w:before="63" w:line="274" w:lineRule="auto"/>
        <w:ind w:right="74" w:firstLine="42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5.2.2 投标截止时间前未完成投</w:t>
      </w:r>
      <w:r>
        <w:rPr>
          <w:rFonts w:ascii="宋体" w:hAnsi="宋体" w:eastAsia="宋体" w:cs="宋体"/>
          <w:color w:val="auto"/>
          <w:sz w:val="21"/>
          <w:szCs w:val="21"/>
          <w:highlight w:val="none"/>
        </w:rPr>
        <w:t>标文件传输的或因投标人之外的原因造成投标文件未解密的，</w:t>
      </w:r>
      <w:r>
        <w:rPr>
          <w:rFonts w:ascii="宋体" w:hAnsi="宋体" w:eastAsia="宋体" w:cs="宋体"/>
          <w:color w:val="auto"/>
          <w:spacing w:val="-2"/>
          <w:sz w:val="21"/>
          <w:szCs w:val="21"/>
          <w:highlight w:val="none"/>
        </w:rPr>
        <w:t>视为投标人撤回其投标文件。因投标人原因造成投</w:t>
      </w:r>
      <w:r>
        <w:rPr>
          <w:rFonts w:ascii="宋体" w:hAnsi="宋体" w:eastAsia="宋体" w:cs="宋体"/>
          <w:color w:val="auto"/>
          <w:spacing w:val="-1"/>
          <w:sz w:val="21"/>
          <w:szCs w:val="21"/>
          <w:highlight w:val="none"/>
        </w:rPr>
        <w:t>标文件未解密的，或未在投标截止时间后1小时</w:t>
      </w:r>
      <w:r>
        <w:rPr>
          <w:rFonts w:ascii="宋体" w:hAnsi="宋体" w:eastAsia="宋体" w:cs="宋体"/>
          <w:color w:val="auto"/>
          <w:spacing w:val="-16"/>
          <w:sz w:val="21"/>
          <w:szCs w:val="21"/>
          <w:highlight w:val="none"/>
        </w:rPr>
        <w:t>内</w:t>
      </w:r>
      <w:r>
        <w:rPr>
          <w:rFonts w:ascii="宋体" w:hAnsi="宋体" w:eastAsia="宋体" w:cs="宋体"/>
          <w:color w:val="auto"/>
          <w:spacing w:val="-12"/>
          <w:sz w:val="21"/>
          <w:szCs w:val="21"/>
          <w:highlight w:val="none"/>
        </w:rPr>
        <w:t>解</w:t>
      </w:r>
      <w:r>
        <w:rPr>
          <w:rFonts w:ascii="宋体" w:hAnsi="宋体" w:eastAsia="宋体" w:cs="宋体"/>
          <w:color w:val="auto"/>
          <w:spacing w:val="-8"/>
          <w:sz w:val="21"/>
          <w:szCs w:val="21"/>
          <w:highlight w:val="none"/>
        </w:rPr>
        <w:t>密的且未递交备用 U 盘的，视为撤销其投标文件。</w:t>
      </w:r>
    </w:p>
    <w:p>
      <w:pPr>
        <w:spacing w:before="1" w:line="287" w:lineRule="auto"/>
        <w:ind w:right="77" w:firstLine="425"/>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5.2</w:t>
      </w:r>
      <w:r>
        <w:rPr>
          <w:rFonts w:ascii="宋体" w:hAnsi="宋体" w:eastAsia="宋体" w:cs="宋体"/>
          <w:color w:val="auto"/>
          <w:spacing w:val="9"/>
          <w:sz w:val="21"/>
          <w:szCs w:val="21"/>
          <w:highlight w:val="none"/>
        </w:rPr>
        <w:t>.</w:t>
      </w:r>
      <w:r>
        <w:rPr>
          <w:rFonts w:ascii="宋体" w:hAnsi="宋体" w:eastAsia="宋体" w:cs="宋体"/>
          <w:color w:val="auto"/>
          <w:spacing w:val="5"/>
          <w:sz w:val="21"/>
          <w:szCs w:val="21"/>
          <w:highlight w:val="none"/>
        </w:rPr>
        <w:t>3 开标时，两个(含两个)以上的投标人加密打包投标文件的机器码一致的，不参与下一</w:t>
      </w:r>
      <w:r>
        <w:rPr>
          <w:rFonts w:ascii="宋体" w:hAnsi="宋体" w:eastAsia="宋体" w:cs="宋体"/>
          <w:color w:val="auto"/>
          <w:spacing w:val="-11"/>
          <w:sz w:val="21"/>
          <w:szCs w:val="21"/>
          <w:highlight w:val="none"/>
        </w:rPr>
        <w:t>程</w:t>
      </w:r>
      <w:r>
        <w:rPr>
          <w:rFonts w:ascii="宋体" w:hAnsi="宋体" w:eastAsia="宋体" w:cs="宋体"/>
          <w:color w:val="auto"/>
          <w:spacing w:val="-7"/>
          <w:sz w:val="21"/>
          <w:szCs w:val="21"/>
          <w:highlight w:val="none"/>
        </w:rPr>
        <w:t>序，并由评标委员会否决其投标。</w:t>
      </w:r>
    </w:p>
    <w:p>
      <w:pPr>
        <w:tabs>
          <w:tab w:val="left" w:pos="2127"/>
        </w:tabs>
        <w:spacing w:line="360" w:lineRule="auto"/>
        <w:ind w:firstLine="420" w:firstLineChars="200"/>
        <w:rPr>
          <w:rFonts w:ascii="宋体" w:hAnsi="宋体"/>
          <w:color w:val="auto"/>
          <w:highlight w:val="none"/>
        </w:rPr>
      </w:pPr>
    </w:p>
    <w:p>
      <w:pPr>
        <w:pStyle w:val="2"/>
        <w:tabs>
          <w:tab w:val="left" w:pos="2127"/>
        </w:tabs>
        <w:spacing w:before="0" w:after="0" w:line="360" w:lineRule="auto"/>
        <w:rPr>
          <w:rFonts w:ascii="宋体" w:hAnsi="宋体" w:eastAsia="宋体"/>
          <w:color w:val="auto"/>
          <w:sz w:val="24"/>
          <w:szCs w:val="24"/>
          <w:highlight w:val="none"/>
        </w:rPr>
      </w:pPr>
      <w:bookmarkStart w:id="1381" w:name="_Toc23547"/>
      <w:bookmarkStart w:id="1382" w:name="_Toc17726"/>
      <w:bookmarkStart w:id="1383" w:name="_Toc5272"/>
      <w:bookmarkStart w:id="1384" w:name="_Toc14470"/>
      <w:bookmarkStart w:id="1385" w:name="_Toc2811"/>
      <w:bookmarkStart w:id="1386" w:name="_Toc19770"/>
      <w:bookmarkStart w:id="1387" w:name="_Toc6959"/>
      <w:bookmarkStart w:id="1388" w:name="_Toc1180"/>
      <w:bookmarkStart w:id="1389" w:name="_Toc30459"/>
      <w:bookmarkStart w:id="1390" w:name="_Toc12338"/>
      <w:bookmarkStart w:id="1391" w:name="_Toc1952"/>
      <w:bookmarkStart w:id="1392" w:name="_Toc27734"/>
      <w:bookmarkStart w:id="1393" w:name="_Toc20946"/>
      <w:bookmarkStart w:id="1394" w:name="_Toc11053"/>
      <w:bookmarkStart w:id="1395" w:name="_Toc6582"/>
      <w:r>
        <w:rPr>
          <w:rFonts w:hint="eastAsia" w:ascii="宋体" w:hAnsi="宋体" w:eastAsia="宋体"/>
          <w:color w:val="auto"/>
          <w:sz w:val="24"/>
          <w:szCs w:val="24"/>
          <w:highlight w:val="none"/>
        </w:rPr>
        <w:t>6. 评标</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p>
    <w:p>
      <w:pPr>
        <w:pStyle w:val="22"/>
        <w:tabs>
          <w:tab w:val="left" w:pos="2127"/>
        </w:tabs>
        <w:spacing w:line="360" w:lineRule="auto"/>
        <w:outlineLvl w:val="2"/>
        <w:rPr>
          <w:rFonts w:hAnsi="宋体"/>
          <w:b/>
          <w:color w:val="auto"/>
          <w:highlight w:val="none"/>
        </w:rPr>
      </w:pPr>
      <w:bookmarkStart w:id="1396" w:name="_Toc14615"/>
      <w:bookmarkStart w:id="1397" w:name="_Toc16379"/>
      <w:bookmarkStart w:id="1398" w:name="_Toc260"/>
      <w:bookmarkStart w:id="1399" w:name="_Toc30390"/>
      <w:bookmarkStart w:id="1400" w:name="_Toc20784"/>
      <w:bookmarkStart w:id="1401" w:name="_Toc15695"/>
      <w:bookmarkStart w:id="1402" w:name="_Toc22274"/>
      <w:bookmarkStart w:id="1403" w:name="_Toc18718"/>
      <w:bookmarkStart w:id="1404" w:name="_Toc4156"/>
      <w:bookmarkStart w:id="1405" w:name="_Toc15254"/>
      <w:bookmarkStart w:id="1406" w:name="_Toc12702"/>
      <w:bookmarkStart w:id="1407" w:name="_Toc26134"/>
      <w:bookmarkStart w:id="1408" w:name="_Toc13780"/>
      <w:bookmarkStart w:id="1409" w:name="_Toc4086"/>
      <w:bookmarkStart w:id="1410" w:name="_Toc9558"/>
      <w:bookmarkStart w:id="1411" w:name="_Toc31577"/>
      <w:bookmarkStart w:id="1412" w:name="_Toc19232"/>
      <w:bookmarkStart w:id="1413" w:name="_Toc6797"/>
      <w:bookmarkStart w:id="1414" w:name="_Toc18112"/>
      <w:bookmarkStart w:id="1415" w:name="_Toc16175"/>
      <w:bookmarkStart w:id="1416" w:name="_Toc20415"/>
      <w:bookmarkStart w:id="1417" w:name="_Toc29205"/>
      <w:bookmarkStart w:id="1418" w:name="_Toc19641"/>
      <w:bookmarkStart w:id="1419" w:name="_Toc9640"/>
      <w:bookmarkStart w:id="1420" w:name="_Toc28737"/>
      <w:bookmarkStart w:id="1421" w:name="_Toc14700"/>
      <w:bookmarkStart w:id="1422" w:name="_Toc484792213"/>
      <w:bookmarkStart w:id="1423" w:name="_Toc205"/>
      <w:bookmarkStart w:id="1424" w:name="_Toc11661"/>
      <w:bookmarkStart w:id="1425" w:name="_Toc30545"/>
      <w:bookmarkStart w:id="1426" w:name="_Toc20511"/>
      <w:bookmarkStart w:id="1427" w:name="_Toc9185"/>
      <w:bookmarkStart w:id="1428" w:name="_Toc24130"/>
      <w:bookmarkStart w:id="1429" w:name="_Toc29931"/>
      <w:bookmarkStart w:id="1430" w:name="_Toc31848"/>
      <w:bookmarkStart w:id="1431" w:name="_Toc3818"/>
      <w:bookmarkStart w:id="1432" w:name="_Toc3499"/>
      <w:bookmarkStart w:id="1433" w:name="_Toc30662"/>
      <w:bookmarkStart w:id="1434" w:name="_Toc27910"/>
      <w:bookmarkStart w:id="1435" w:name="_Toc6179"/>
      <w:bookmarkStart w:id="1436" w:name="_Toc482803100"/>
      <w:r>
        <w:rPr>
          <w:rFonts w:hint="eastAsia" w:hAnsi="宋体"/>
          <w:b/>
          <w:color w:val="auto"/>
          <w:highlight w:val="none"/>
        </w:rPr>
        <w:t>6.1 评标委员会</w:t>
      </w:r>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p>
    <w:p>
      <w:pPr>
        <w:tabs>
          <w:tab w:val="left" w:pos="2127"/>
        </w:tabs>
        <w:spacing w:line="360" w:lineRule="auto"/>
        <w:ind w:firstLine="420" w:firstLineChars="200"/>
        <w:rPr>
          <w:rFonts w:hint="eastAsia" w:ascii="宋体" w:hAnsi="宋体"/>
          <w:color w:val="auto"/>
          <w:szCs w:val="22"/>
          <w:highlight w:val="none"/>
        </w:rPr>
      </w:pPr>
      <w:r>
        <w:rPr>
          <w:rFonts w:hint="eastAsia" w:ascii="宋体" w:hAnsi="宋体"/>
          <w:color w:val="auto"/>
          <w:szCs w:val="22"/>
          <w:highlight w:val="none"/>
        </w:rPr>
        <w:t>6.1.1评标由招标人依法组建的评标委员会负责。评标委员会由招标人或其委托的招标代理机构熟悉相关业务的代表，以及有关技术、经济等方面的专家组成，评标委员会总人数为5人</w:t>
      </w:r>
      <w:r>
        <w:rPr>
          <w:rFonts w:hint="eastAsia" w:ascii="宋体" w:hAnsi="宋体"/>
          <w:color w:val="auto"/>
          <w:szCs w:val="22"/>
          <w:highlight w:val="none"/>
          <w:lang w:val="en-US" w:eastAsia="zh-CN"/>
        </w:rPr>
        <w:t>或</w:t>
      </w:r>
      <w:r>
        <w:rPr>
          <w:rFonts w:hint="eastAsia" w:ascii="宋体" w:hAnsi="宋体"/>
          <w:color w:val="auto"/>
          <w:szCs w:val="22"/>
          <w:highlight w:val="none"/>
        </w:rPr>
        <w:t>5人以上单数</w:t>
      </w:r>
      <w:r>
        <w:rPr>
          <w:rFonts w:hint="eastAsia" w:ascii="宋体" w:hAnsi="宋体"/>
          <w:color w:val="auto"/>
          <w:szCs w:val="22"/>
          <w:highlight w:val="none"/>
          <w:lang w:eastAsia="zh-CN"/>
        </w:rPr>
        <w:t>。</w:t>
      </w:r>
    </w:p>
    <w:p>
      <w:pPr>
        <w:tabs>
          <w:tab w:val="left" w:pos="2127"/>
        </w:tabs>
        <w:spacing w:line="360" w:lineRule="auto"/>
        <w:ind w:firstLine="420" w:firstLineChars="200"/>
        <w:rPr>
          <w:rFonts w:hint="eastAsia" w:ascii="宋体" w:hAnsi="宋体" w:cs="Times New Roman"/>
          <w:color w:val="auto"/>
          <w:szCs w:val="22"/>
          <w:highlight w:val="none"/>
        </w:rPr>
      </w:pPr>
      <w:r>
        <w:rPr>
          <w:rFonts w:hint="eastAsia" w:ascii="宋体" w:hAnsi="宋体" w:cs="Times New Roman"/>
          <w:color w:val="auto"/>
          <w:szCs w:val="22"/>
          <w:highlight w:val="none"/>
        </w:rPr>
        <w:t>评标委员会负责按照招标文件确定的评标标准和方法对投标文件进行评审和比较，承担具体的评标工作、出具评标报告、按有关规定向招标人推荐中标候选人。</w:t>
      </w:r>
    </w:p>
    <w:p>
      <w:pPr>
        <w:tabs>
          <w:tab w:val="left" w:pos="2127"/>
        </w:tabs>
        <w:spacing w:line="360" w:lineRule="auto"/>
        <w:ind w:firstLine="420" w:firstLineChars="200"/>
        <w:rPr>
          <w:rFonts w:hint="eastAsia" w:ascii="宋体" w:hAnsi="宋体"/>
          <w:color w:val="auto"/>
          <w:szCs w:val="22"/>
          <w:highlight w:val="none"/>
        </w:rPr>
      </w:pPr>
      <w:r>
        <w:rPr>
          <w:rFonts w:hint="eastAsia" w:ascii="宋体" w:hAnsi="宋体"/>
          <w:color w:val="auto"/>
          <w:szCs w:val="22"/>
          <w:highlight w:val="none"/>
        </w:rPr>
        <w:t>评标委员会的组成以实际到会人数为准。</w:t>
      </w:r>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6.1.2 评标委员会成员有下列情形之一的，不得担任评标委员会成员：</w:t>
      </w:r>
    </w:p>
    <w:p>
      <w:pPr>
        <w:tabs>
          <w:tab w:val="left" w:pos="2127"/>
        </w:tabs>
        <w:spacing w:line="360" w:lineRule="auto"/>
        <w:ind w:firstLine="718" w:firstLineChars="342"/>
        <w:rPr>
          <w:rFonts w:ascii="宋体" w:hAnsi="宋体"/>
          <w:color w:val="auto"/>
          <w:highlight w:val="none"/>
        </w:rPr>
      </w:pPr>
      <w:r>
        <w:rPr>
          <w:rFonts w:hint="eastAsia" w:ascii="宋体" w:hAnsi="宋体"/>
          <w:color w:val="auto"/>
          <w:highlight w:val="none"/>
        </w:rPr>
        <w:t>（1）投标人或投标人的主要负责人的近亲属；</w:t>
      </w:r>
    </w:p>
    <w:p>
      <w:pPr>
        <w:tabs>
          <w:tab w:val="left" w:pos="2127"/>
        </w:tabs>
        <w:spacing w:line="360" w:lineRule="auto"/>
        <w:ind w:firstLine="718" w:firstLineChars="342"/>
        <w:rPr>
          <w:rFonts w:ascii="宋体" w:hAnsi="宋体"/>
          <w:color w:val="auto"/>
          <w:highlight w:val="none"/>
        </w:rPr>
      </w:pPr>
      <w:r>
        <w:rPr>
          <w:rFonts w:hint="eastAsia" w:ascii="宋体" w:hAnsi="宋体"/>
          <w:color w:val="auto"/>
          <w:highlight w:val="none"/>
        </w:rPr>
        <w:t>（2）项目主管部门或者行政监督部门的人员；</w:t>
      </w:r>
    </w:p>
    <w:p>
      <w:pPr>
        <w:tabs>
          <w:tab w:val="left" w:pos="2127"/>
        </w:tabs>
        <w:spacing w:line="360" w:lineRule="auto"/>
        <w:ind w:firstLine="718" w:firstLineChars="342"/>
        <w:rPr>
          <w:rFonts w:ascii="宋体" w:hAnsi="宋体"/>
          <w:color w:val="auto"/>
          <w:highlight w:val="none"/>
        </w:rPr>
      </w:pPr>
      <w:r>
        <w:rPr>
          <w:rFonts w:hint="eastAsia" w:ascii="宋体" w:hAnsi="宋体"/>
          <w:color w:val="auto"/>
          <w:highlight w:val="none"/>
        </w:rPr>
        <w:t>（3）与投标人有经济利益关系，可能影响对投标公正评审的；</w:t>
      </w:r>
    </w:p>
    <w:p>
      <w:pPr>
        <w:tabs>
          <w:tab w:val="left" w:pos="2127"/>
        </w:tabs>
        <w:spacing w:line="360" w:lineRule="auto"/>
        <w:ind w:firstLine="718" w:firstLineChars="342"/>
        <w:rPr>
          <w:rFonts w:ascii="宋体" w:hAnsi="宋体"/>
          <w:color w:val="auto"/>
          <w:highlight w:val="none"/>
        </w:rPr>
      </w:pPr>
      <w:r>
        <w:rPr>
          <w:rFonts w:hint="eastAsia" w:ascii="宋体" w:hAnsi="宋体"/>
          <w:color w:val="auto"/>
          <w:highlight w:val="none"/>
        </w:rPr>
        <w:t>（4）曾因在招标、评标以及其他与招标投标有关活动中从事违法行为而受过行政处罚或刑事处罚的。</w:t>
      </w:r>
    </w:p>
    <w:p>
      <w:pPr>
        <w:tabs>
          <w:tab w:val="left" w:pos="2127"/>
        </w:tabs>
        <w:spacing w:line="360" w:lineRule="auto"/>
        <w:ind w:firstLine="718" w:firstLineChars="342"/>
        <w:rPr>
          <w:rFonts w:ascii="宋体" w:hAnsi="宋体"/>
          <w:color w:val="auto"/>
          <w:highlight w:val="none"/>
        </w:rPr>
      </w:pPr>
      <w:r>
        <w:rPr>
          <w:rFonts w:hint="eastAsia" w:ascii="宋体" w:hAnsi="宋体"/>
          <w:color w:val="auto"/>
          <w:highlight w:val="none"/>
        </w:rPr>
        <w:t>（5）与投标人有其他利害关系。</w:t>
      </w:r>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6.1.3评标委员会成员有前款规定情形之一的，应当主动提出回避。</w:t>
      </w:r>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6.1.4评标委员会的职责</w:t>
      </w:r>
    </w:p>
    <w:p>
      <w:pPr>
        <w:tabs>
          <w:tab w:val="left" w:pos="2127"/>
        </w:tabs>
        <w:spacing w:line="360" w:lineRule="auto"/>
        <w:ind w:firstLine="420" w:firstLineChars="200"/>
        <w:rPr>
          <w:rFonts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（1）审查投标文件，对投标文件进行符合性鉴定；</w:t>
      </w:r>
    </w:p>
    <w:p>
      <w:pPr>
        <w:tabs>
          <w:tab w:val="left" w:pos="2127"/>
        </w:tabs>
        <w:spacing w:line="360" w:lineRule="auto"/>
        <w:ind w:firstLine="420" w:firstLineChars="200"/>
        <w:rPr>
          <w:rFonts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（2）根据投标文件组织投标人进行技术经济澄清；</w:t>
      </w:r>
    </w:p>
    <w:p>
      <w:pPr>
        <w:tabs>
          <w:tab w:val="left" w:pos="2127"/>
        </w:tabs>
        <w:spacing w:line="360" w:lineRule="auto"/>
        <w:ind w:firstLine="420" w:firstLineChars="200"/>
        <w:rPr>
          <w:rFonts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（3）对投标文件根据评分标准及实施办法进行评审打分。</w:t>
      </w:r>
    </w:p>
    <w:p>
      <w:pPr>
        <w:pStyle w:val="22"/>
        <w:tabs>
          <w:tab w:val="left" w:pos="2127"/>
        </w:tabs>
        <w:spacing w:line="360" w:lineRule="auto"/>
        <w:outlineLvl w:val="2"/>
        <w:rPr>
          <w:rFonts w:hAnsi="宋体"/>
          <w:b/>
          <w:color w:val="auto"/>
          <w:highlight w:val="none"/>
        </w:rPr>
      </w:pPr>
      <w:bookmarkStart w:id="1437" w:name="_Toc23813"/>
      <w:bookmarkStart w:id="1438" w:name="_Toc1237"/>
      <w:bookmarkStart w:id="1439" w:name="_Toc13329"/>
      <w:bookmarkStart w:id="1440" w:name="_Toc7929"/>
      <w:bookmarkStart w:id="1441" w:name="_Toc11376"/>
      <w:bookmarkStart w:id="1442" w:name="_Toc20734"/>
      <w:bookmarkStart w:id="1443" w:name="_Toc10711"/>
      <w:bookmarkStart w:id="1444" w:name="_Toc18399"/>
      <w:bookmarkStart w:id="1445" w:name="_Toc2498"/>
      <w:bookmarkStart w:id="1446" w:name="_Toc16496"/>
      <w:bookmarkStart w:id="1447" w:name="_Toc29090"/>
      <w:bookmarkStart w:id="1448" w:name="_Toc16235"/>
      <w:bookmarkStart w:id="1449" w:name="_Toc5142"/>
      <w:bookmarkStart w:id="1450" w:name="_Toc22077"/>
      <w:bookmarkStart w:id="1451" w:name="_Toc6066"/>
      <w:bookmarkStart w:id="1452" w:name="_Toc184"/>
      <w:bookmarkStart w:id="1453" w:name="_Toc16714"/>
      <w:bookmarkStart w:id="1454" w:name="_Toc28950"/>
      <w:bookmarkStart w:id="1455" w:name="_Toc24010"/>
      <w:bookmarkStart w:id="1456" w:name="_Toc3031"/>
      <w:bookmarkStart w:id="1457" w:name="_Toc23835"/>
      <w:bookmarkStart w:id="1458" w:name="_Toc29057"/>
      <w:bookmarkStart w:id="1459" w:name="_Toc482803101"/>
      <w:bookmarkStart w:id="1460" w:name="_Toc27647"/>
      <w:bookmarkStart w:id="1461" w:name="_Toc484792214"/>
      <w:bookmarkStart w:id="1462" w:name="_Toc8986"/>
      <w:bookmarkStart w:id="1463" w:name="_Toc7361"/>
      <w:bookmarkStart w:id="1464" w:name="_Toc11541"/>
      <w:bookmarkStart w:id="1465" w:name="_Toc1"/>
      <w:bookmarkStart w:id="1466" w:name="_Toc21161"/>
      <w:bookmarkStart w:id="1467" w:name="_Toc32186"/>
      <w:bookmarkStart w:id="1468" w:name="_Toc9354"/>
      <w:bookmarkStart w:id="1469" w:name="_Toc24879"/>
      <w:bookmarkStart w:id="1470" w:name="_Toc7968"/>
      <w:bookmarkStart w:id="1471" w:name="_Toc3392"/>
      <w:bookmarkStart w:id="1472" w:name="_Toc26237"/>
      <w:bookmarkStart w:id="1473" w:name="_Toc6229"/>
      <w:bookmarkStart w:id="1474" w:name="_Toc18811"/>
      <w:bookmarkStart w:id="1475" w:name="_Toc30214"/>
      <w:bookmarkStart w:id="1476" w:name="_Toc11067"/>
      <w:bookmarkStart w:id="1477" w:name="_Toc10537"/>
      <w:r>
        <w:rPr>
          <w:rFonts w:hint="eastAsia" w:hAnsi="宋体"/>
          <w:b/>
          <w:color w:val="auto"/>
          <w:highlight w:val="none"/>
        </w:rPr>
        <w:t>6.2 评标原则</w:t>
      </w:r>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评标活动遵循公平、公正、科学和择优的原则。</w:t>
      </w:r>
    </w:p>
    <w:p>
      <w:pPr>
        <w:pStyle w:val="22"/>
        <w:tabs>
          <w:tab w:val="left" w:pos="2127"/>
        </w:tabs>
        <w:spacing w:line="360" w:lineRule="auto"/>
        <w:outlineLvl w:val="2"/>
        <w:rPr>
          <w:rFonts w:hAnsi="宋体"/>
          <w:b/>
          <w:color w:val="auto"/>
          <w:highlight w:val="none"/>
        </w:rPr>
      </w:pPr>
      <w:bookmarkStart w:id="1478" w:name="_Toc17604"/>
      <w:bookmarkStart w:id="1479" w:name="_Toc10998"/>
      <w:bookmarkStart w:id="1480" w:name="_Toc18154"/>
      <w:bookmarkStart w:id="1481" w:name="_Toc10023"/>
      <w:bookmarkStart w:id="1482" w:name="_Toc10503"/>
      <w:bookmarkStart w:id="1483" w:name="_Toc8953"/>
      <w:bookmarkStart w:id="1484" w:name="_Toc30805"/>
      <w:bookmarkStart w:id="1485" w:name="_Toc9068"/>
      <w:bookmarkStart w:id="1486" w:name="_Toc22177"/>
      <w:bookmarkStart w:id="1487" w:name="_Toc484792215"/>
      <w:bookmarkStart w:id="1488" w:name="_Toc13278"/>
      <w:bookmarkStart w:id="1489" w:name="_Toc17314"/>
      <w:bookmarkStart w:id="1490" w:name="_Toc22882"/>
      <w:bookmarkStart w:id="1491" w:name="_Toc16417"/>
      <w:bookmarkStart w:id="1492" w:name="_Toc17157"/>
      <w:bookmarkStart w:id="1493" w:name="_Toc15326"/>
      <w:bookmarkStart w:id="1494" w:name="_Toc8495"/>
      <w:bookmarkStart w:id="1495" w:name="_Toc21231"/>
      <w:bookmarkStart w:id="1496" w:name="_Toc27617"/>
      <w:bookmarkStart w:id="1497" w:name="_Toc2917"/>
      <w:bookmarkStart w:id="1498" w:name="_Toc15367"/>
      <w:bookmarkStart w:id="1499" w:name="_Toc26025"/>
      <w:bookmarkStart w:id="1500" w:name="_Toc18699"/>
      <w:bookmarkStart w:id="1501" w:name="_Toc482803102"/>
      <w:bookmarkStart w:id="1502" w:name="_Toc9199"/>
      <w:bookmarkStart w:id="1503" w:name="_Toc30081"/>
      <w:bookmarkStart w:id="1504" w:name="_Toc24030"/>
      <w:bookmarkStart w:id="1505" w:name="_Toc4510"/>
      <w:bookmarkStart w:id="1506" w:name="_Toc15830"/>
      <w:bookmarkStart w:id="1507" w:name="_Toc15208"/>
      <w:bookmarkStart w:id="1508" w:name="_Toc7113"/>
      <w:bookmarkStart w:id="1509" w:name="_Toc24876"/>
      <w:bookmarkStart w:id="1510" w:name="_Toc26260"/>
      <w:bookmarkStart w:id="1511" w:name="_Toc31849"/>
      <w:bookmarkStart w:id="1512" w:name="_Toc342"/>
      <w:bookmarkStart w:id="1513" w:name="_Toc3147"/>
      <w:bookmarkStart w:id="1514" w:name="_Toc6449"/>
      <w:bookmarkStart w:id="1515" w:name="_Toc18114"/>
      <w:bookmarkStart w:id="1516" w:name="_Toc8920"/>
      <w:bookmarkStart w:id="1517" w:name="_Toc20205"/>
      <w:bookmarkStart w:id="1518" w:name="_Toc7856"/>
      <w:r>
        <w:rPr>
          <w:rFonts w:hint="eastAsia" w:hAnsi="宋体"/>
          <w:b/>
          <w:color w:val="auto"/>
          <w:highlight w:val="none"/>
        </w:rPr>
        <w:t>6.3 评标</w:t>
      </w:r>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评标委员会按照第</w:t>
      </w:r>
      <w:r>
        <w:rPr>
          <w:rFonts w:hint="eastAsia" w:ascii="宋体" w:hAnsi="宋体"/>
          <w:color w:val="auto"/>
          <w:highlight w:val="none"/>
          <w:lang w:val="en-US" w:eastAsia="zh-CN"/>
        </w:rPr>
        <w:t>五</w:t>
      </w:r>
      <w:r>
        <w:rPr>
          <w:rFonts w:hint="eastAsia" w:ascii="宋体" w:hAnsi="宋体"/>
          <w:color w:val="auto"/>
          <w:highlight w:val="none"/>
        </w:rPr>
        <w:t>章“评标办法”规定的方法、评审因素、标准和程序对投标文件进行评审。第</w:t>
      </w:r>
      <w:r>
        <w:rPr>
          <w:rFonts w:hint="eastAsia" w:ascii="宋体" w:hAnsi="宋体"/>
          <w:color w:val="auto"/>
          <w:highlight w:val="none"/>
          <w:lang w:val="en-US" w:eastAsia="zh-CN"/>
        </w:rPr>
        <w:t>五</w:t>
      </w:r>
      <w:r>
        <w:rPr>
          <w:rFonts w:hint="eastAsia" w:ascii="宋体" w:hAnsi="宋体"/>
          <w:color w:val="auto"/>
          <w:highlight w:val="none"/>
        </w:rPr>
        <w:t>章“评标办法”没有规定的方法、评审因素和标准，不作为评标依据。在评标过程中，各评委均以专家身份进行评标工作，不代表其所在单位。</w:t>
      </w:r>
    </w:p>
    <w:p>
      <w:pPr>
        <w:tabs>
          <w:tab w:val="left" w:pos="2127"/>
        </w:tabs>
        <w:spacing w:line="360" w:lineRule="auto"/>
        <w:ind w:firstLine="420" w:firstLineChars="200"/>
        <w:rPr>
          <w:rFonts w:ascii="宋体" w:hAnsi="宋体"/>
          <w:color w:val="auto"/>
          <w:highlight w:val="none"/>
        </w:rPr>
      </w:pPr>
    </w:p>
    <w:p>
      <w:pPr>
        <w:pStyle w:val="2"/>
        <w:tabs>
          <w:tab w:val="left" w:pos="2127"/>
        </w:tabs>
        <w:spacing w:before="0" w:after="0" w:line="360" w:lineRule="auto"/>
        <w:rPr>
          <w:rFonts w:ascii="宋体" w:hAnsi="宋体" w:eastAsia="宋体"/>
          <w:color w:val="auto"/>
          <w:sz w:val="24"/>
          <w:szCs w:val="24"/>
          <w:highlight w:val="none"/>
        </w:rPr>
      </w:pPr>
      <w:bookmarkStart w:id="1519" w:name="_Toc24283"/>
      <w:bookmarkStart w:id="1520" w:name="_Toc31527"/>
      <w:bookmarkStart w:id="1521" w:name="_Toc3141"/>
      <w:bookmarkStart w:id="1522" w:name="_Toc16802"/>
      <w:bookmarkStart w:id="1523" w:name="_Toc2881"/>
      <w:bookmarkStart w:id="1524" w:name="_Toc30857"/>
      <w:bookmarkStart w:id="1525" w:name="_Toc23620"/>
      <w:bookmarkStart w:id="1526" w:name="_Toc21347"/>
      <w:bookmarkStart w:id="1527" w:name="_Toc2761"/>
      <w:bookmarkStart w:id="1528" w:name="_Toc15736"/>
      <w:bookmarkStart w:id="1529" w:name="_Toc21405"/>
      <w:bookmarkStart w:id="1530" w:name="_Toc5926"/>
      <w:bookmarkStart w:id="1531" w:name="_Toc1891"/>
      <w:bookmarkStart w:id="1532" w:name="_Toc26954"/>
      <w:bookmarkStart w:id="1533" w:name="_Toc7175"/>
      <w:r>
        <w:rPr>
          <w:rFonts w:hint="eastAsia" w:ascii="宋体" w:hAnsi="宋体" w:eastAsia="宋体"/>
          <w:color w:val="auto"/>
          <w:sz w:val="24"/>
          <w:szCs w:val="24"/>
          <w:highlight w:val="none"/>
        </w:rPr>
        <w:t>7. 合同授予</w:t>
      </w:r>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p>
    <w:p>
      <w:pPr>
        <w:pStyle w:val="22"/>
        <w:tabs>
          <w:tab w:val="left" w:pos="2127"/>
        </w:tabs>
        <w:spacing w:line="360" w:lineRule="auto"/>
        <w:outlineLvl w:val="2"/>
        <w:rPr>
          <w:rFonts w:hAnsi="宋体"/>
          <w:b/>
          <w:color w:val="auto"/>
          <w:highlight w:val="none"/>
        </w:rPr>
      </w:pPr>
      <w:bookmarkStart w:id="1534" w:name="_Toc11524"/>
      <w:bookmarkStart w:id="1535" w:name="_Toc14243"/>
      <w:bookmarkStart w:id="1536" w:name="_Toc482803104"/>
      <w:bookmarkStart w:id="1537" w:name="_Toc9540"/>
      <w:bookmarkStart w:id="1538" w:name="_Toc19660"/>
      <w:bookmarkStart w:id="1539" w:name="_Toc7689"/>
      <w:bookmarkStart w:id="1540" w:name="_Toc28222"/>
      <w:bookmarkStart w:id="1541" w:name="_Toc10671"/>
      <w:bookmarkStart w:id="1542" w:name="_Toc5242"/>
      <w:bookmarkStart w:id="1543" w:name="_Toc8842"/>
      <w:bookmarkStart w:id="1544" w:name="_Toc18602"/>
      <w:bookmarkStart w:id="1545" w:name="_Toc8949"/>
      <w:bookmarkStart w:id="1546" w:name="_Toc26546"/>
      <w:bookmarkStart w:id="1547" w:name="_Toc24139"/>
      <w:bookmarkStart w:id="1548" w:name="_Toc68"/>
      <w:bookmarkStart w:id="1549" w:name="_Toc21534"/>
      <w:bookmarkStart w:id="1550" w:name="_Toc14334"/>
      <w:bookmarkStart w:id="1551" w:name="_Toc15539"/>
      <w:bookmarkStart w:id="1552" w:name="_Toc6205"/>
      <w:bookmarkStart w:id="1553" w:name="_Toc1363"/>
      <w:bookmarkStart w:id="1554" w:name="_Toc2629"/>
      <w:bookmarkStart w:id="1555" w:name="_Toc28275"/>
      <w:bookmarkStart w:id="1556" w:name="_Toc8436"/>
      <w:bookmarkStart w:id="1557" w:name="_Toc23071"/>
      <w:bookmarkStart w:id="1558" w:name="_Toc30720"/>
      <w:bookmarkStart w:id="1559" w:name="_Toc32729"/>
      <w:bookmarkStart w:id="1560" w:name="_Toc3807"/>
      <w:bookmarkStart w:id="1561" w:name="_Toc15057"/>
      <w:bookmarkStart w:id="1562" w:name="_Toc15238"/>
      <w:bookmarkStart w:id="1563" w:name="_Toc13473"/>
      <w:bookmarkStart w:id="1564" w:name="_Toc16055"/>
      <w:bookmarkStart w:id="1565" w:name="_Toc17704"/>
      <w:bookmarkStart w:id="1566" w:name="_Toc22871"/>
      <w:bookmarkStart w:id="1567" w:name="_Toc3228"/>
      <w:bookmarkStart w:id="1568" w:name="_Toc484792217"/>
      <w:bookmarkStart w:id="1569" w:name="_Toc16174"/>
      <w:bookmarkStart w:id="1570" w:name="_Toc9394"/>
      <w:bookmarkStart w:id="1571" w:name="_Toc23527"/>
      <w:bookmarkStart w:id="1572" w:name="_Toc8896"/>
      <w:bookmarkStart w:id="1573" w:name="_Toc22398"/>
      <w:bookmarkStart w:id="1574" w:name="_Toc22575"/>
      <w:r>
        <w:rPr>
          <w:rFonts w:hint="eastAsia" w:hAnsi="宋体"/>
          <w:b/>
          <w:color w:val="auto"/>
          <w:highlight w:val="none"/>
        </w:rPr>
        <w:t>7.1 定标方式</w:t>
      </w:r>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招标人依据评标委员会推荐的中标候选人确定中标人。</w:t>
      </w:r>
    </w:p>
    <w:p>
      <w:pPr>
        <w:pStyle w:val="22"/>
        <w:tabs>
          <w:tab w:val="left" w:pos="2127"/>
        </w:tabs>
        <w:spacing w:line="360" w:lineRule="auto"/>
        <w:outlineLvl w:val="2"/>
        <w:rPr>
          <w:rFonts w:hAnsi="宋体"/>
          <w:b/>
          <w:color w:val="auto"/>
          <w:highlight w:val="none"/>
        </w:rPr>
      </w:pPr>
      <w:bookmarkStart w:id="1575" w:name="_Toc484792218"/>
      <w:bookmarkStart w:id="1576" w:name="_Toc14195"/>
      <w:bookmarkStart w:id="1577" w:name="_Toc12439"/>
      <w:bookmarkStart w:id="1578" w:name="_Toc14766"/>
      <w:bookmarkStart w:id="1579" w:name="_Toc20464"/>
      <w:bookmarkStart w:id="1580" w:name="_Toc27383"/>
      <w:bookmarkStart w:id="1581" w:name="_Toc14941"/>
      <w:bookmarkStart w:id="1582" w:name="_Toc482803105"/>
      <w:bookmarkStart w:id="1583" w:name="_Toc22664"/>
      <w:bookmarkStart w:id="1584" w:name="_Toc30033"/>
      <w:bookmarkStart w:id="1585" w:name="_Toc11478"/>
      <w:bookmarkStart w:id="1586" w:name="_Toc630"/>
      <w:bookmarkStart w:id="1587" w:name="_Toc14431"/>
      <w:bookmarkStart w:id="1588" w:name="_Toc12150"/>
      <w:bookmarkStart w:id="1589" w:name="_Toc23431"/>
      <w:bookmarkStart w:id="1590" w:name="_Toc10362"/>
      <w:bookmarkStart w:id="1591" w:name="_Toc26270"/>
      <w:bookmarkStart w:id="1592" w:name="_Toc7072"/>
      <w:bookmarkStart w:id="1593" w:name="_Toc465"/>
      <w:bookmarkStart w:id="1594" w:name="_Toc14789"/>
      <w:bookmarkStart w:id="1595" w:name="_Toc24105"/>
      <w:bookmarkStart w:id="1596" w:name="_Toc22204"/>
      <w:bookmarkStart w:id="1597" w:name="_Toc8467"/>
      <w:bookmarkStart w:id="1598" w:name="_Toc26704"/>
      <w:bookmarkStart w:id="1599" w:name="_Toc20531"/>
      <w:bookmarkStart w:id="1600" w:name="_Toc21384"/>
      <w:bookmarkStart w:id="1601" w:name="_Toc28430"/>
      <w:bookmarkStart w:id="1602" w:name="_Toc30143"/>
      <w:bookmarkStart w:id="1603" w:name="_Toc7020"/>
      <w:bookmarkStart w:id="1604" w:name="_Toc9304"/>
      <w:bookmarkStart w:id="1605" w:name="_Toc18257"/>
      <w:bookmarkStart w:id="1606" w:name="_Toc26152"/>
      <w:bookmarkStart w:id="1607" w:name="_Toc5078"/>
      <w:bookmarkStart w:id="1608" w:name="_Toc4439"/>
      <w:bookmarkStart w:id="1609" w:name="_Toc16764"/>
      <w:bookmarkStart w:id="1610" w:name="_Toc1527"/>
      <w:bookmarkStart w:id="1611" w:name="_Toc15245"/>
      <w:bookmarkStart w:id="1612" w:name="_Toc7513"/>
      <w:bookmarkStart w:id="1613" w:name="_Toc11036"/>
      <w:bookmarkStart w:id="1614" w:name="_Toc9835"/>
      <w:bookmarkStart w:id="1615" w:name="_Toc31164"/>
      <w:r>
        <w:rPr>
          <w:rFonts w:hint="eastAsia" w:hAnsi="宋体"/>
          <w:b/>
          <w:color w:val="auto"/>
          <w:highlight w:val="none"/>
        </w:rPr>
        <w:t>7.2中标候选人公示和中标公告</w:t>
      </w:r>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p>
    <w:p>
      <w:pPr>
        <w:spacing w:line="360" w:lineRule="auto"/>
        <w:ind w:firstLine="420" w:firstLineChars="200"/>
        <w:rPr>
          <w:rFonts w:ascii="宋体" w:hAnsi="宋体"/>
          <w:color w:val="auto"/>
          <w:highlight w:val="none"/>
        </w:rPr>
      </w:pPr>
      <w:r>
        <w:rPr>
          <w:rFonts w:hint="eastAsia" w:ascii="宋体" w:hAnsi="宋体"/>
          <w:color w:val="auto"/>
          <w:highlight w:val="none"/>
        </w:rPr>
        <w:t>7.2.1招标人在投标人须知前附表规定的媒介公示中标候选人。</w:t>
      </w:r>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7.2.2招标人在投标人须知前附表规定的媒介发布中标公告。</w:t>
      </w:r>
    </w:p>
    <w:p>
      <w:pPr>
        <w:pStyle w:val="22"/>
        <w:tabs>
          <w:tab w:val="left" w:pos="2127"/>
        </w:tabs>
        <w:spacing w:line="360" w:lineRule="auto"/>
        <w:outlineLvl w:val="2"/>
        <w:rPr>
          <w:rFonts w:hAnsi="宋体"/>
          <w:b/>
          <w:color w:val="auto"/>
          <w:highlight w:val="none"/>
        </w:rPr>
      </w:pPr>
      <w:bookmarkStart w:id="1616" w:name="_Toc8619"/>
      <w:bookmarkStart w:id="1617" w:name="_Toc1046"/>
      <w:bookmarkStart w:id="1618" w:name="_Toc25566"/>
      <w:bookmarkStart w:id="1619" w:name="_Toc27504"/>
      <w:bookmarkStart w:id="1620" w:name="_Toc1875"/>
      <w:bookmarkStart w:id="1621" w:name="_Toc4940"/>
      <w:bookmarkStart w:id="1622" w:name="_Toc31558"/>
      <w:bookmarkStart w:id="1623" w:name="_Toc4190"/>
      <w:bookmarkStart w:id="1624" w:name="_Toc865"/>
      <w:bookmarkStart w:id="1625" w:name="_Toc23999"/>
      <w:bookmarkStart w:id="1626" w:name="_Toc13582"/>
      <w:bookmarkStart w:id="1627" w:name="_Toc19603"/>
      <w:bookmarkStart w:id="1628" w:name="_Toc16256"/>
      <w:bookmarkStart w:id="1629" w:name="_Toc6717"/>
      <w:bookmarkStart w:id="1630" w:name="_Toc19843"/>
      <w:bookmarkStart w:id="1631" w:name="_Toc4542"/>
      <w:bookmarkStart w:id="1632" w:name="_Toc482803106"/>
      <w:bookmarkStart w:id="1633" w:name="_Toc15052"/>
      <w:bookmarkStart w:id="1634" w:name="_Toc5960"/>
      <w:bookmarkStart w:id="1635" w:name="_Toc1641"/>
      <w:bookmarkStart w:id="1636" w:name="_Toc4469"/>
      <w:bookmarkStart w:id="1637" w:name="_Toc7691"/>
      <w:bookmarkStart w:id="1638" w:name="_Toc29058"/>
      <w:bookmarkStart w:id="1639" w:name="_Toc484792219"/>
      <w:bookmarkStart w:id="1640" w:name="_Toc24607"/>
      <w:bookmarkStart w:id="1641" w:name="_Toc20244"/>
      <w:bookmarkStart w:id="1642" w:name="_Toc21282"/>
      <w:bookmarkStart w:id="1643" w:name="_Toc2530"/>
      <w:bookmarkStart w:id="1644" w:name="_Toc18570"/>
      <w:bookmarkStart w:id="1645" w:name="_Toc18567"/>
      <w:bookmarkStart w:id="1646" w:name="_Toc23223"/>
      <w:bookmarkStart w:id="1647" w:name="_Toc12988"/>
      <w:bookmarkStart w:id="1648" w:name="_Toc28557"/>
      <w:bookmarkStart w:id="1649" w:name="_Toc4534"/>
      <w:bookmarkStart w:id="1650" w:name="_Toc21998"/>
      <w:bookmarkStart w:id="1651" w:name="_Toc17969"/>
      <w:bookmarkStart w:id="1652" w:name="_Toc2230"/>
      <w:bookmarkStart w:id="1653" w:name="_Toc26475"/>
      <w:bookmarkStart w:id="1654" w:name="_Toc118"/>
      <w:bookmarkStart w:id="1655" w:name="_Toc18971"/>
      <w:bookmarkStart w:id="1656" w:name="_Toc17279"/>
      <w:r>
        <w:rPr>
          <w:rFonts w:hint="eastAsia" w:hAnsi="宋体"/>
          <w:b/>
          <w:color w:val="auto"/>
          <w:highlight w:val="none"/>
        </w:rPr>
        <w:t>7.3 中标通知</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在本章规定的投标有效期内，招标人以书面形式向中标人发出中标通知书，同时将中标结果通知未中标的投标人。</w:t>
      </w:r>
    </w:p>
    <w:p>
      <w:pPr>
        <w:pStyle w:val="22"/>
        <w:tabs>
          <w:tab w:val="left" w:pos="2127"/>
        </w:tabs>
        <w:spacing w:line="360" w:lineRule="auto"/>
        <w:outlineLvl w:val="2"/>
        <w:rPr>
          <w:rFonts w:hAnsi="宋体"/>
          <w:b/>
          <w:color w:val="auto"/>
          <w:highlight w:val="none"/>
        </w:rPr>
      </w:pPr>
      <w:bookmarkStart w:id="1657" w:name="_Toc25934"/>
      <w:bookmarkStart w:id="1658" w:name="_Toc4221"/>
      <w:bookmarkStart w:id="1659" w:name="_Toc3840"/>
      <w:bookmarkStart w:id="1660" w:name="_Toc4572"/>
      <w:bookmarkStart w:id="1661" w:name="_Toc15179"/>
      <w:bookmarkStart w:id="1662" w:name="_Toc6233"/>
      <w:bookmarkStart w:id="1663" w:name="_Toc22850"/>
      <w:bookmarkStart w:id="1664" w:name="_Toc17382"/>
      <w:bookmarkStart w:id="1665" w:name="_Toc3716"/>
      <w:bookmarkStart w:id="1666" w:name="_Toc17587"/>
      <w:bookmarkStart w:id="1667" w:name="_Toc19739"/>
      <w:bookmarkStart w:id="1668" w:name="_Toc8249"/>
      <w:bookmarkStart w:id="1669" w:name="_Toc10432"/>
      <w:bookmarkStart w:id="1670" w:name="_Toc2413"/>
      <w:bookmarkStart w:id="1671" w:name="_Toc6015"/>
      <w:bookmarkStart w:id="1672" w:name="_Toc23647"/>
      <w:bookmarkStart w:id="1673" w:name="_Toc3830"/>
      <w:bookmarkStart w:id="1674" w:name="_Toc30673"/>
      <w:bookmarkStart w:id="1675" w:name="_Toc21617"/>
      <w:bookmarkStart w:id="1676" w:name="_Toc9349"/>
      <w:bookmarkStart w:id="1677" w:name="_Toc4894"/>
      <w:bookmarkStart w:id="1678" w:name="_Toc31151"/>
      <w:bookmarkStart w:id="1679" w:name="_Toc3162"/>
      <w:bookmarkStart w:id="1680" w:name="_Toc13673"/>
      <w:bookmarkStart w:id="1681" w:name="_Toc12032"/>
      <w:bookmarkStart w:id="1682" w:name="_Toc31323"/>
      <w:bookmarkStart w:id="1683" w:name="_Toc20316"/>
      <w:bookmarkStart w:id="1684" w:name="_Toc24170"/>
      <w:bookmarkStart w:id="1685" w:name="_Toc482803107"/>
      <w:bookmarkStart w:id="1686" w:name="_Toc3939"/>
      <w:bookmarkStart w:id="1687" w:name="_Toc11758"/>
      <w:bookmarkStart w:id="1688" w:name="_Toc24972"/>
      <w:bookmarkStart w:id="1689" w:name="_Toc4580"/>
      <w:bookmarkStart w:id="1690" w:name="_Toc26100"/>
      <w:bookmarkStart w:id="1691" w:name="_Toc30306"/>
      <w:bookmarkStart w:id="1692" w:name="_Toc31694"/>
      <w:bookmarkStart w:id="1693" w:name="_Toc484792220"/>
      <w:bookmarkStart w:id="1694" w:name="_Toc19155"/>
      <w:bookmarkStart w:id="1695" w:name="_Toc12847"/>
      <w:bookmarkStart w:id="1696" w:name="_Toc17195"/>
      <w:bookmarkStart w:id="1697" w:name="_Toc16728"/>
      <w:r>
        <w:rPr>
          <w:rFonts w:hint="eastAsia" w:hAnsi="宋体"/>
          <w:b/>
          <w:color w:val="auto"/>
          <w:highlight w:val="none"/>
        </w:rPr>
        <w:t>7.4 履约担保</w:t>
      </w:r>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p>
    <w:p>
      <w:pPr>
        <w:tabs>
          <w:tab w:val="left" w:pos="2127"/>
        </w:tabs>
        <w:spacing w:line="360" w:lineRule="auto"/>
        <w:ind w:firstLine="420" w:firstLineChars="200"/>
        <w:rPr>
          <w:rFonts w:hint="eastAsia" w:ascii="宋体" w:hAnsi="宋体"/>
          <w:color w:val="auto"/>
          <w:highlight w:val="none"/>
        </w:rPr>
      </w:pPr>
      <w:r>
        <w:rPr>
          <w:rFonts w:hint="eastAsia" w:ascii="宋体" w:hAnsi="宋体"/>
          <w:color w:val="auto"/>
          <w:highlight w:val="none"/>
        </w:rPr>
        <w:t>7.4.1中标人应于合同规定的时间内按规定的金额、担保形式和招标文件“合同条款及格式”规定的履约担保格式向招标人提交履约担保。联合体中标的，其履约担保由牵头人递交。(合同价 50 万元以下的，无需履约担保)</w:t>
      </w:r>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7.4.2 中标人不能按招标文件及合同条款要求提交履约担保的，其投标保证金不予退还，给招标人造成的损失超过投标保证金数额的，中标人还应当对超过部分予以赔偿。</w:t>
      </w:r>
    </w:p>
    <w:p>
      <w:pPr>
        <w:pStyle w:val="22"/>
        <w:tabs>
          <w:tab w:val="left" w:pos="2127"/>
        </w:tabs>
        <w:spacing w:line="360" w:lineRule="auto"/>
        <w:ind w:firstLine="420" w:firstLineChars="200"/>
        <w:rPr>
          <w:rFonts w:hAnsi="宋体"/>
          <w:color w:val="auto"/>
          <w:highlight w:val="none"/>
        </w:rPr>
      </w:pPr>
      <w:r>
        <w:rPr>
          <w:rFonts w:hint="eastAsia" w:hAnsi="宋体"/>
          <w:color w:val="auto"/>
          <w:highlight w:val="none"/>
        </w:rPr>
        <w:t>7.4.3</w:t>
      </w:r>
      <w:r>
        <w:rPr>
          <w:rFonts w:ascii="宋体" w:hAnsi="宋体" w:eastAsia="宋体" w:cs="宋体"/>
          <w:color w:val="auto"/>
          <w:spacing w:val="1"/>
          <w:sz w:val="21"/>
          <w:szCs w:val="21"/>
          <w:highlight w:val="none"/>
        </w:rPr>
        <w:t>中标人按规定的日期、时间和地点，由法定代表人</w:t>
      </w:r>
      <w:r>
        <w:rPr>
          <w:rFonts w:ascii="宋体" w:hAnsi="宋体" w:eastAsia="宋体" w:cs="宋体"/>
          <w:color w:val="auto"/>
          <w:sz w:val="21"/>
          <w:szCs w:val="21"/>
          <w:highlight w:val="none"/>
        </w:rPr>
        <w:t>或者其委托的代理人前往与项目建设</w:t>
      </w:r>
      <w:r>
        <w:rPr>
          <w:rFonts w:ascii="宋体" w:hAnsi="宋体" w:eastAsia="宋体" w:cs="宋体"/>
          <w:color w:val="auto"/>
          <w:spacing w:val="1"/>
          <w:sz w:val="21"/>
          <w:szCs w:val="21"/>
          <w:highlight w:val="none"/>
        </w:rPr>
        <w:t>单位代表签订合同，并按规定向项目建设单位提交履约担保。履约担保由在中</w:t>
      </w:r>
      <w:r>
        <w:rPr>
          <w:rFonts w:ascii="宋体" w:hAnsi="宋体" w:eastAsia="宋体" w:cs="宋体"/>
          <w:color w:val="auto"/>
          <w:sz w:val="21"/>
          <w:szCs w:val="21"/>
          <w:highlight w:val="none"/>
        </w:rPr>
        <w:t>国注册的银行出具银</w:t>
      </w:r>
      <w:r>
        <w:rPr>
          <w:rFonts w:ascii="宋体" w:hAnsi="宋体" w:eastAsia="宋体" w:cs="宋体"/>
          <w:color w:val="auto"/>
          <w:spacing w:val="-1"/>
          <w:sz w:val="21"/>
          <w:szCs w:val="21"/>
          <w:highlight w:val="none"/>
        </w:rPr>
        <w:t>行保函，投标人应使用招标文件中提供的履约担保格式</w:t>
      </w:r>
      <w:r>
        <w:rPr>
          <w:rFonts w:hint="eastAsia" w:hAnsi="宋体"/>
          <w:color w:val="auto"/>
          <w:highlight w:val="none"/>
        </w:rPr>
        <w:t>。</w:t>
      </w:r>
    </w:p>
    <w:p>
      <w:pPr>
        <w:pStyle w:val="22"/>
        <w:tabs>
          <w:tab w:val="left" w:pos="2127"/>
        </w:tabs>
        <w:spacing w:line="360" w:lineRule="auto"/>
        <w:outlineLvl w:val="2"/>
        <w:rPr>
          <w:rFonts w:hAnsi="宋体"/>
          <w:b/>
          <w:color w:val="auto"/>
          <w:highlight w:val="none"/>
        </w:rPr>
      </w:pPr>
      <w:bookmarkStart w:id="1698" w:name="_Toc3349"/>
      <w:bookmarkStart w:id="1699" w:name="_Toc7679"/>
      <w:bookmarkStart w:id="1700" w:name="_Toc880"/>
      <w:bookmarkStart w:id="1701" w:name="_Toc482803108"/>
      <w:bookmarkStart w:id="1702" w:name="_Toc18082"/>
      <w:bookmarkStart w:id="1703" w:name="_Toc5175"/>
      <w:bookmarkStart w:id="1704" w:name="_Toc29049"/>
      <w:bookmarkStart w:id="1705" w:name="_Toc32083"/>
      <w:bookmarkStart w:id="1706" w:name="_Toc31801"/>
      <w:bookmarkStart w:id="1707" w:name="_Toc14769"/>
      <w:bookmarkStart w:id="1708" w:name="_Toc18303"/>
      <w:bookmarkStart w:id="1709" w:name="_Toc7540"/>
      <w:bookmarkStart w:id="1710" w:name="_Toc13757"/>
      <w:bookmarkStart w:id="1711" w:name="_Toc18340"/>
      <w:bookmarkStart w:id="1712" w:name="_Toc4689"/>
      <w:bookmarkStart w:id="1713" w:name="_Toc21446"/>
      <w:bookmarkStart w:id="1714" w:name="_Toc16204"/>
      <w:bookmarkStart w:id="1715" w:name="_Toc29722"/>
      <w:bookmarkStart w:id="1716" w:name="_Toc658"/>
      <w:bookmarkStart w:id="1717" w:name="_Toc19048"/>
      <w:bookmarkStart w:id="1718" w:name="_Toc10296"/>
      <w:bookmarkStart w:id="1719" w:name="_Toc6238"/>
      <w:bookmarkStart w:id="1720" w:name="_Toc17591"/>
      <w:bookmarkStart w:id="1721" w:name="_Toc6558"/>
      <w:bookmarkStart w:id="1722" w:name="_Toc20333"/>
      <w:bookmarkStart w:id="1723" w:name="_Toc484792221"/>
      <w:bookmarkStart w:id="1724" w:name="_Toc6155"/>
      <w:bookmarkStart w:id="1725" w:name="_Toc26096"/>
      <w:bookmarkStart w:id="1726" w:name="_Toc16950"/>
      <w:bookmarkStart w:id="1727" w:name="_Toc13798"/>
      <w:bookmarkStart w:id="1728" w:name="_Toc16771"/>
      <w:bookmarkStart w:id="1729" w:name="_Toc14327"/>
      <w:bookmarkStart w:id="1730" w:name="_Toc8350"/>
      <w:bookmarkStart w:id="1731" w:name="_Toc2144"/>
      <w:bookmarkStart w:id="1732" w:name="_Toc8464"/>
      <w:bookmarkStart w:id="1733" w:name="_Toc7495"/>
      <w:bookmarkStart w:id="1734" w:name="_Toc5305"/>
      <w:bookmarkStart w:id="1735" w:name="_Toc8368"/>
      <w:bookmarkStart w:id="1736" w:name="_Toc24840"/>
      <w:bookmarkStart w:id="1737" w:name="_Toc15020"/>
      <w:bookmarkStart w:id="1738" w:name="_Toc11338"/>
      <w:r>
        <w:rPr>
          <w:rFonts w:hint="eastAsia" w:hAnsi="宋体"/>
          <w:b/>
          <w:color w:val="auto"/>
          <w:highlight w:val="none"/>
        </w:rPr>
        <w:t>7.5 签订合同</w:t>
      </w:r>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7.5.1自中标通知书发出之日起30天内，中标人根据中标通知书按规定的日期、时间和地点，由法定代表人或者其委托的代理人前往项目建设单位，根据招标文件和中标人的投标文件和建设单位订立书面合同。中标人无正当理由拒签合同的，招标人取消其中标资格，其投标保证金不予退还；给招标人造成的损失超过投标保证金数额的，中标人还应当对超过部分予以赔偿。在此情况下，招标人可将合同授予排名次之的中标候选人，或重新招标。</w:t>
      </w:r>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7.5.2 发出中标通知书后，招标人无正当理由拒签合同的，招标人向中标人退还投标保证金；给中标人造成损失的，还应当赔偿损失。</w:t>
      </w:r>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7.5.3招标人和中标人不得背离本招标文件中合同条款实质性内容签订</w:t>
      </w:r>
      <w:r>
        <w:rPr>
          <w:rFonts w:hint="eastAsia" w:ascii="宋体" w:hAnsi="宋体"/>
          <w:color w:val="auto"/>
          <w:highlight w:val="none"/>
          <w:lang w:eastAsia="zh-CN"/>
        </w:rPr>
        <w:t>采购</w:t>
      </w:r>
      <w:r>
        <w:rPr>
          <w:rFonts w:hint="eastAsia" w:ascii="宋体" w:hAnsi="宋体"/>
          <w:color w:val="auto"/>
          <w:highlight w:val="none"/>
        </w:rPr>
        <w:t>合同。</w:t>
      </w:r>
    </w:p>
    <w:p>
      <w:pPr>
        <w:pStyle w:val="2"/>
        <w:tabs>
          <w:tab w:val="left" w:pos="2127"/>
        </w:tabs>
        <w:spacing w:before="0" w:after="0" w:line="360" w:lineRule="auto"/>
        <w:rPr>
          <w:rFonts w:ascii="宋体" w:hAnsi="宋体" w:eastAsia="宋体"/>
          <w:color w:val="auto"/>
          <w:sz w:val="24"/>
          <w:szCs w:val="24"/>
          <w:highlight w:val="none"/>
        </w:rPr>
      </w:pPr>
      <w:bookmarkStart w:id="1739" w:name="_Toc24177"/>
      <w:bookmarkStart w:id="1740" w:name="_Toc19069"/>
      <w:bookmarkStart w:id="1741" w:name="_Toc14323"/>
      <w:bookmarkStart w:id="1742" w:name="_Toc21542"/>
      <w:bookmarkStart w:id="1743" w:name="_Toc17255"/>
      <w:bookmarkStart w:id="1744" w:name="_Toc12616"/>
      <w:bookmarkStart w:id="1745" w:name="_Toc28111"/>
      <w:bookmarkStart w:id="1746" w:name="_Toc29650"/>
      <w:bookmarkStart w:id="1747" w:name="_Toc12595"/>
      <w:bookmarkStart w:id="1748" w:name="_Toc19308"/>
      <w:bookmarkStart w:id="1749" w:name="_Toc26390"/>
      <w:bookmarkStart w:id="1750" w:name="_Toc8900"/>
      <w:bookmarkStart w:id="1751" w:name="_Toc28294"/>
      <w:bookmarkStart w:id="1752" w:name="_Toc27775"/>
      <w:bookmarkStart w:id="1753" w:name="_Toc28984"/>
      <w:r>
        <w:rPr>
          <w:rFonts w:hint="eastAsia" w:ascii="宋体" w:hAnsi="宋体" w:eastAsia="宋体"/>
          <w:color w:val="auto"/>
          <w:sz w:val="24"/>
          <w:szCs w:val="24"/>
          <w:highlight w:val="none"/>
        </w:rPr>
        <w:t>8. 重新招标和不再招标</w:t>
      </w:r>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p>
    <w:p>
      <w:pPr>
        <w:pStyle w:val="22"/>
        <w:tabs>
          <w:tab w:val="left" w:pos="2127"/>
        </w:tabs>
        <w:spacing w:line="360" w:lineRule="auto"/>
        <w:outlineLvl w:val="2"/>
        <w:rPr>
          <w:rFonts w:hAnsi="宋体"/>
          <w:b/>
          <w:color w:val="auto"/>
          <w:highlight w:val="none"/>
        </w:rPr>
      </w:pPr>
      <w:bookmarkStart w:id="1754" w:name="_Toc484792223"/>
      <w:bookmarkStart w:id="1755" w:name="_Toc16355"/>
      <w:bookmarkStart w:id="1756" w:name="_Toc18489"/>
      <w:bookmarkStart w:id="1757" w:name="_Toc32526"/>
      <w:bookmarkStart w:id="1758" w:name="_Toc22025"/>
      <w:bookmarkStart w:id="1759" w:name="_Toc482803110"/>
      <w:bookmarkStart w:id="1760" w:name="_Toc5099"/>
      <w:bookmarkStart w:id="1761" w:name="_Toc15942"/>
      <w:bookmarkStart w:id="1762" w:name="_Toc17238"/>
      <w:bookmarkStart w:id="1763" w:name="_Toc32349"/>
      <w:bookmarkStart w:id="1764" w:name="_Toc11419"/>
      <w:bookmarkStart w:id="1765" w:name="_Toc882"/>
      <w:bookmarkStart w:id="1766" w:name="_Toc25536"/>
      <w:bookmarkStart w:id="1767" w:name="_Toc4663"/>
      <w:bookmarkStart w:id="1768" w:name="_Toc3809"/>
      <w:bookmarkStart w:id="1769" w:name="_Toc32501"/>
      <w:bookmarkStart w:id="1770" w:name="_Toc15353"/>
      <w:bookmarkStart w:id="1771" w:name="_Toc3154"/>
      <w:bookmarkStart w:id="1772" w:name="_Toc11502"/>
      <w:bookmarkStart w:id="1773" w:name="_Toc3921"/>
      <w:bookmarkStart w:id="1774" w:name="_Toc26073"/>
      <w:bookmarkStart w:id="1775" w:name="_Toc26828"/>
      <w:bookmarkStart w:id="1776" w:name="_Toc3464"/>
      <w:bookmarkStart w:id="1777" w:name="_Toc23476"/>
      <w:bookmarkStart w:id="1778" w:name="_Toc29875"/>
      <w:bookmarkStart w:id="1779" w:name="_Toc20985"/>
      <w:bookmarkStart w:id="1780" w:name="_Toc19283"/>
      <w:bookmarkStart w:id="1781" w:name="_Toc427"/>
      <w:bookmarkStart w:id="1782" w:name="_Toc25686"/>
      <w:bookmarkStart w:id="1783" w:name="_Toc25235"/>
      <w:bookmarkStart w:id="1784" w:name="_Toc13868"/>
      <w:bookmarkStart w:id="1785" w:name="_Toc25045"/>
      <w:bookmarkStart w:id="1786" w:name="_Toc25106"/>
      <w:bookmarkStart w:id="1787" w:name="_Toc31387"/>
      <w:bookmarkStart w:id="1788" w:name="_Toc804"/>
      <w:bookmarkStart w:id="1789" w:name="_Toc8050"/>
      <w:bookmarkStart w:id="1790" w:name="_Toc22789"/>
      <w:bookmarkStart w:id="1791" w:name="_Toc10359"/>
      <w:bookmarkStart w:id="1792" w:name="_Toc17362"/>
      <w:bookmarkStart w:id="1793" w:name="_Toc30922"/>
      <w:bookmarkStart w:id="1794" w:name="_Toc28276"/>
      <w:r>
        <w:rPr>
          <w:rFonts w:hint="eastAsia" w:hAnsi="宋体"/>
          <w:b/>
          <w:color w:val="auto"/>
          <w:highlight w:val="none"/>
        </w:rPr>
        <w:t>8.1 重新招标</w:t>
      </w:r>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有下列情形之一的，招标人将重新招标：</w:t>
      </w:r>
    </w:p>
    <w:p>
      <w:pPr>
        <w:tabs>
          <w:tab w:val="left" w:pos="2127"/>
        </w:tabs>
        <w:spacing w:line="360" w:lineRule="auto"/>
        <w:ind w:firstLine="359" w:firstLineChars="171"/>
        <w:rPr>
          <w:rFonts w:ascii="宋体" w:hAnsi="宋体"/>
          <w:color w:val="auto"/>
          <w:highlight w:val="none"/>
        </w:rPr>
      </w:pPr>
      <w:r>
        <w:rPr>
          <w:rFonts w:hint="eastAsia" w:ascii="宋体" w:hAnsi="宋体"/>
          <w:color w:val="auto"/>
          <w:highlight w:val="none"/>
        </w:rPr>
        <w:t>（1）投标截止时间止，投标人少于</w:t>
      </w:r>
      <w:r>
        <w:rPr>
          <w:rFonts w:hint="eastAsia" w:ascii="宋体" w:hAnsi="宋体"/>
          <w:color w:val="auto"/>
          <w:highlight w:val="none"/>
          <w:lang w:val="en-US" w:eastAsia="zh-CN"/>
        </w:rPr>
        <w:t>3</w:t>
      </w:r>
      <w:r>
        <w:rPr>
          <w:rFonts w:hint="eastAsia" w:ascii="宋体" w:hAnsi="宋体"/>
          <w:color w:val="auto"/>
          <w:highlight w:val="none"/>
        </w:rPr>
        <w:t>个的；</w:t>
      </w:r>
    </w:p>
    <w:p>
      <w:pPr>
        <w:tabs>
          <w:tab w:val="left" w:pos="2127"/>
        </w:tabs>
        <w:spacing w:line="360" w:lineRule="auto"/>
        <w:ind w:firstLine="359" w:firstLineChars="171"/>
        <w:rPr>
          <w:rFonts w:hint="eastAsia" w:ascii="宋体" w:hAnsi="宋体"/>
          <w:color w:val="auto"/>
          <w:highlight w:val="none"/>
        </w:rPr>
      </w:pPr>
      <w:r>
        <w:rPr>
          <w:rFonts w:hint="eastAsia" w:ascii="宋体" w:hAnsi="宋体"/>
          <w:color w:val="auto"/>
          <w:highlight w:val="none"/>
        </w:rPr>
        <w:t>（2）投标解密成功的投标人少于3个的</w:t>
      </w:r>
    </w:p>
    <w:p>
      <w:pPr>
        <w:tabs>
          <w:tab w:val="left" w:pos="2127"/>
        </w:tabs>
        <w:spacing w:line="360" w:lineRule="auto"/>
        <w:ind w:firstLine="359" w:firstLineChars="171"/>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）经评标委员会评审后否决所有投标的。</w:t>
      </w:r>
    </w:p>
    <w:p>
      <w:pPr>
        <w:pStyle w:val="22"/>
        <w:tabs>
          <w:tab w:val="left" w:pos="2127"/>
        </w:tabs>
        <w:spacing w:line="360" w:lineRule="auto"/>
        <w:outlineLvl w:val="2"/>
        <w:rPr>
          <w:rFonts w:hAnsi="宋体"/>
          <w:b/>
          <w:color w:val="auto"/>
          <w:highlight w:val="none"/>
        </w:rPr>
      </w:pPr>
      <w:bookmarkStart w:id="1795" w:name="_Toc27997"/>
      <w:bookmarkStart w:id="1796" w:name="_Toc1030"/>
      <w:bookmarkStart w:id="1797" w:name="_Toc27540"/>
      <w:bookmarkStart w:id="1798" w:name="_Toc30513"/>
      <w:bookmarkStart w:id="1799" w:name="_Toc12938"/>
      <w:bookmarkStart w:id="1800" w:name="_Toc18703"/>
      <w:bookmarkStart w:id="1801" w:name="_Toc32436"/>
      <w:bookmarkStart w:id="1802" w:name="_Toc9677"/>
      <w:bookmarkStart w:id="1803" w:name="_Toc21050"/>
      <w:bookmarkStart w:id="1804" w:name="_Toc22344"/>
      <w:bookmarkStart w:id="1805" w:name="_Toc19002"/>
      <w:bookmarkStart w:id="1806" w:name="_Toc25183"/>
      <w:bookmarkStart w:id="1807" w:name="_Toc27391"/>
      <w:bookmarkStart w:id="1808" w:name="_Toc23775"/>
      <w:bookmarkStart w:id="1809" w:name="_Toc31907"/>
      <w:bookmarkStart w:id="1810" w:name="_Toc24442"/>
      <w:bookmarkStart w:id="1811" w:name="_Toc26410"/>
      <w:bookmarkStart w:id="1812" w:name="_Toc17212"/>
      <w:bookmarkStart w:id="1813" w:name="_Toc26952"/>
      <w:bookmarkStart w:id="1814" w:name="_Toc4173"/>
      <w:bookmarkStart w:id="1815" w:name="_Toc7726"/>
      <w:bookmarkStart w:id="1816" w:name="_Toc2214"/>
      <w:bookmarkStart w:id="1817" w:name="_Toc16469"/>
      <w:bookmarkStart w:id="1818" w:name="_Toc27853"/>
      <w:bookmarkStart w:id="1819" w:name="_Toc25834"/>
      <w:bookmarkStart w:id="1820" w:name="_Toc6439"/>
      <w:bookmarkStart w:id="1821" w:name="_Toc17398"/>
      <w:bookmarkStart w:id="1822" w:name="_Toc484792224"/>
      <w:bookmarkStart w:id="1823" w:name="_Toc31238"/>
      <w:bookmarkStart w:id="1824" w:name="_Toc2598"/>
      <w:bookmarkStart w:id="1825" w:name="_Toc8951"/>
      <w:bookmarkStart w:id="1826" w:name="_Toc24619"/>
      <w:bookmarkStart w:id="1827" w:name="_Toc9001"/>
      <w:bookmarkStart w:id="1828" w:name="_Toc25413"/>
      <w:bookmarkStart w:id="1829" w:name="_Toc2566"/>
      <w:bookmarkStart w:id="1830" w:name="_Toc482803111"/>
      <w:bookmarkStart w:id="1831" w:name="_Toc26089"/>
      <w:bookmarkStart w:id="1832" w:name="_Toc5181"/>
      <w:bookmarkStart w:id="1833" w:name="_Toc1465"/>
      <w:bookmarkStart w:id="1834" w:name="_Toc19861"/>
      <w:bookmarkStart w:id="1835" w:name="_Toc26084"/>
      <w:r>
        <w:rPr>
          <w:rFonts w:hint="eastAsia" w:hAnsi="宋体"/>
          <w:b/>
          <w:color w:val="auto"/>
          <w:highlight w:val="none"/>
        </w:rPr>
        <w:t>8.2 不再招标</w:t>
      </w:r>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重新招标后投标人仍少于</w:t>
      </w:r>
      <w:r>
        <w:rPr>
          <w:rFonts w:hint="eastAsia" w:ascii="宋体" w:hAnsi="宋体"/>
          <w:color w:val="auto"/>
          <w:highlight w:val="none"/>
          <w:lang w:val="en-US" w:eastAsia="zh-CN"/>
        </w:rPr>
        <w:t>3</w:t>
      </w:r>
      <w:r>
        <w:rPr>
          <w:rFonts w:hint="eastAsia" w:ascii="宋体" w:hAnsi="宋体"/>
          <w:color w:val="auto"/>
          <w:highlight w:val="none"/>
        </w:rPr>
        <w:t>个或者所有投标被否决的，属于必须审批或核准的工程建设项目，经原审批或核准部门批准后不再进行招标。</w:t>
      </w:r>
    </w:p>
    <w:p>
      <w:pPr>
        <w:tabs>
          <w:tab w:val="left" w:pos="2127"/>
        </w:tabs>
        <w:spacing w:line="360" w:lineRule="auto"/>
        <w:ind w:firstLine="420" w:firstLineChars="200"/>
        <w:rPr>
          <w:rFonts w:ascii="宋体" w:hAnsi="宋体"/>
          <w:color w:val="auto"/>
          <w:highlight w:val="none"/>
        </w:rPr>
      </w:pPr>
    </w:p>
    <w:p>
      <w:pPr>
        <w:pStyle w:val="2"/>
        <w:tabs>
          <w:tab w:val="left" w:pos="2127"/>
        </w:tabs>
        <w:spacing w:before="0" w:after="0" w:line="360" w:lineRule="auto"/>
        <w:rPr>
          <w:rFonts w:ascii="宋体" w:hAnsi="宋体" w:eastAsia="宋体"/>
          <w:color w:val="auto"/>
          <w:sz w:val="24"/>
          <w:szCs w:val="24"/>
          <w:highlight w:val="none"/>
        </w:rPr>
      </w:pPr>
      <w:bookmarkStart w:id="1836" w:name="_Toc1051"/>
      <w:bookmarkStart w:id="1837" w:name="_Toc19994"/>
      <w:bookmarkStart w:id="1838" w:name="_Toc15748"/>
      <w:bookmarkStart w:id="1839" w:name="_Toc27653"/>
      <w:bookmarkStart w:id="1840" w:name="_Toc1513"/>
      <w:bookmarkStart w:id="1841" w:name="_Toc1701"/>
      <w:bookmarkStart w:id="1842" w:name="_Toc7419"/>
      <w:bookmarkStart w:id="1843" w:name="_Toc31029"/>
      <w:bookmarkStart w:id="1844" w:name="_Toc1386"/>
      <w:bookmarkStart w:id="1845" w:name="_Toc4908"/>
      <w:bookmarkStart w:id="1846" w:name="_Toc24163"/>
      <w:bookmarkStart w:id="1847" w:name="_Toc10854"/>
      <w:bookmarkStart w:id="1848" w:name="_Toc21086"/>
      <w:bookmarkStart w:id="1849" w:name="_Toc4616"/>
      <w:bookmarkStart w:id="1850" w:name="_Toc17717"/>
      <w:r>
        <w:rPr>
          <w:rFonts w:hint="eastAsia" w:ascii="宋体" w:hAnsi="宋体" w:eastAsia="宋体"/>
          <w:color w:val="auto"/>
          <w:sz w:val="24"/>
          <w:szCs w:val="24"/>
          <w:highlight w:val="none"/>
        </w:rPr>
        <w:t>9. 纪律和监督</w:t>
      </w:r>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p>
    <w:p>
      <w:pPr>
        <w:pStyle w:val="22"/>
        <w:tabs>
          <w:tab w:val="left" w:pos="2127"/>
        </w:tabs>
        <w:spacing w:line="360" w:lineRule="auto"/>
        <w:outlineLvl w:val="2"/>
        <w:rPr>
          <w:rFonts w:hAnsi="宋体"/>
          <w:b/>
          <w:color w:val="auto"/>
          <w:highlight w:val="none"/>
        </w:rPr>
      </w:pPr>
      <w:bookmarkStart w:id="1851" w:name="_Toc874"/>
      <w:bookmarkStart w:id="1852" w:name="_Toc2732"/>
      <w:bookmarkStart w:id="1853" w:name="_Toc3936"/>
      <w:bookmarkStart w:id="1854" w:name="_Toc32248"/>
      <w:bookmarkStart w:id="1855" w:name="_Toc4910"/>
      <w:bookmarkStart w:id="1856" w:name="_Toc21482"/>
      <w:bookmarkStart w:id="1857" w:name="_Toc18475"/>
      <w:bookmarkStart w:id="1858" w:name="_Toc2611"/>
      <w:bookmarkStart w:id="1859" w:name="_Toc18880"/>
      <w:bookmarkStart w:id="1860" w:name="_Toc6743"/>
      <w:bookmarkStart w:id="1861" w:name="_Toc9812"/>
      <w:bookmarkStart w:id="1862" w:name="_Toc25048"/>
      <w:bookmarkStart w:id="1863" w:name="_Toc3102"/>
      <w:bookmarkStart w:id="1864" w:name="_Toc4053"/>
      <w:bookmarkStart w:id="1865" w:name="_Toc482803113"/>
      <w:bookmarkStart w:id="1866" w:name="_Toc29214"/>
      <w:bookmarkStart w:id="1867" w:name="_Toc12231"/>
      <w:bookmarkStart w:id="1868" w:name="_Toc8794"/>
      <w:bookmarkStart w:id="1869" w:name="_Toc21796"/>
      <w:bookmarkStart w:id="1870" w:name="_Toc10184"/>
      <w:bookmarkStart w:id="1871" w:name="_Toc12592"/>
      <w:bookmarkStart w:id="1872" w:name="_Toc4324"/>
      <w:bookmarkStart w:id="1873" w:name="_Toc2301"/>
      <w:bookmarkStart w:id="1874" w:name="_Toc26399"/>
      <w:bookmarkStart w:id="1875" w:name="_Toc25265"/>
      <w:bookmarkStart w:id="1876" w:name="_Toc29351"/>
      <w:bookmarkStart w:id="1877" w:name="_Toc23"/>
      <w:bookmarkStart w:id="1878" w:name="_Toc7666"/>
      <w:bookmarkStart w:id="1879" w:name="_Toc16875"/>
      <w:bookmarkStart w:id="1880" w:name="_Toc484792226"/>
      <w:bookmarkStart w:id="1881" w:name="_Toc12626"/>
      <w:bookmarkStart w:id="1882" w:name="_Toc1397"/>
      <w:bookmarkStart w:id="1883" w:name="_Toc22805"/>
      <w:bookmarkStart w:id="1884" w:name="_Toc7336"/>
      <w:bookmarkStart w:id="1885" w:name="_Toc3900"/>
      <w:bookmarkStart w:id="1886" w:name="_Toc1532"/>
      <w:bookmarkStart w:id="1887" w:name="_Toc13053"/>
      <w:bookmarkStart w:id="1888" w:name="_Toc13581"/>
      <w:bookmarkStart w:id="1889" w:name="_Toc8158"/>
      <w:bookmarkStart w:id="1890" w:name="_Toc26542"/>
      <w:bookmarkStart w:id="1891" w:name="_Toc4399"/>
      <w:r>
        <w:rPr>
          <w:rFonts w:hint="eastAsia" w:hAnsi="宋体"/>
          <w:b/>
          <w:color w:val="auto"/>
          <w:highlight w:val="none"/>
        </w:rPr>
        <w:t>9.1 对招标人的纪律要求</w:t>
      </w:r>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招标人不得利用划分标段限制或排斥潜在投标人，不得泄漏招标投标活动中应当保密的情况和资料，不得与投标人串通损害国家利益、社会公共利益或者他人合法权益。</w:t>
      </w:r>
    </w:p>
    <w:p>
      <w:pPr>
        <w:pStyle w:val="22"/>
        <w:tabs>
          <w:tab w:val="left" w:pos="2127"/>
        </w:tabs>
        <w:spacing w:line="360" w:lineRule="auto"/>
        <w:outlineLvl w:val="2"/>
        <w:rPr>
          <w:rFonts w:hAnsi="宋体"/>
          <w:b/>
          <w:color w:val="auto"/>
          <w:highlight w:val="none"/>
        </w:rPr>
      </w:pPr>
      <w:bookmarkStart w:id="1892" w:name="_Toc31016"/>
      <w:bookmarkStart w:id="1893" w:name="_Toc9123"/>
      <w:bookmarkStart w:id="1894" w:name="_Toc6820"/>
      <w:bookmarkStart w:id="1895" w:name="_Toc12764"/>
      <w:bookmarkStart w:id="1896" w:name="_Toc28885"/>
      <w:bookmarkStart w:id="1897" w:name="_Toc28938"/>
      <w:bookmarkStart w:id="1898" w:name="_Toc8374"/>
      <w:bookmarkStart w:id="1899" w:name="_Toc29383"/>
      <w:bookmarkStart w:id="1900" w:name="_Toc30429"/>
      <w:bookmarkStart w:id="1901" w:name="_Toc30421"/>
      <w:bookmarkStart w:id="1902" w:name="_Toc9347"/>
      <w:bookmarkStart w:id="1903" w:name="_Toc13152"/>
      <w:bookmarkStart w:id="1904" w:name="_Toc20766"/>
      <w:bookmarkStart w:id="1905" w:name="_Toc6668"/>
      <w:bookmarkStart w:id="1906" w:name="_Toc30244"/>
      <w:bookmarkStart w:id="1907" w:name="_Toc18839"/>
      <w:bookmarkStart w:id="1908" w:name="_Toc12997"/>
      <w:bookmarkStart w:id="1909" w:name="_Toc22261"/>
      <w:bookmarkStart w:id="1910" w:name="_Toc7900"/>
      <w:bookmarkStart w:id="1911" w:name="_Toc7772"/>
      <w:bookmarkStart w:id="1912" w:name="_Toc21679"/>
      <w:bookmarkStart w:id="1913" w:name="_Toc1986"/>
      <w:bookmarkStart w:id="1914" w:name="_Toc14324"/>
      <w:bookmarkStart w:id="1915" w:name="_Toc15458"/>
      <w:bookmarkStart w:id="1916" w:name="_Toc1516"/>
      <w:bookmarkStart w:id="1917" w:name="_Toc22403"/>
      <w:bookmarkStart w:id="1918" w:name="_Toc482803114"/>
      <w:bookmarkStart w:id="1919" w:name="_Toc484792227"/>
      <w:bookmarkStart w:id="1920" w:name="_Toc29086"/>
      <w:bookmarkStart w:id="1921" w:name="_Toc18598"/>
      <w:bookmarkStart w:id="1922" w:name="_Toc11562"/>
      <w:bookmarkStart w:id="1923" w:name="_Toc6712"/>
      <w:bookmarkStart w:id="1924" w:name="_Toc32375"/>
      <w:bookmarkStart w:id="1925" w:name="_Toc18107"/>
      <w:bookmarkStart w:id="1926" w:name="_Toc13249"/>
      <w:bookmarkStart w:id="1927" w:name="_Toc18419"/>
      <w:bookmarkStart w:id="1928" w:name="_Toc526"/>
      <w:bookmarkStart w:id="1929" w:name="_Toc21114"/>
      <w:bookmarkStart w:id="1930" w:name="_Toc10761"/>
      <w:bookmarkStart w:id="1931" w:name="_Toc6987"/>
      <w:bookmarkStart w:id="1932" w:name="_Toc17927"/>
      <w:r>
        <w:rPr>
          <w:rFonts w:hint="eastAsia" w:hAnsi="宋体"/>
          <w:b/>
          <w:color w:val="auto"/>
          <w:highlight w:val="none"/>
        </w:rPr>
        <w:t>9.2 对投标人的纪律要求</w:t>
      </w:r>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22"/>
        <w:tabs>
          <w:tab w:val="left" w:pos="2127"/>
        </w:tabs>
        <w:spacing w:line="360" w:lineRule="auto"/>
        <w:outlineLvl w:val="2"/>
        <w:rPr>
          <w:rFonts w:hAnsi="宋体"/>
          <w:b/>
          <w:color w:val="auto"/>
          <w:highlight w:val="none"/>
        </w:rPr>
      </w:pPr>
      <w:bookmarkStart w:id="1933" w:name="_Toc2300"/>
      <w:bookmarkStart w:id="1934" w:name="_Toc20782"/>
      <w:bookmarkStart w:id="1935" w:name="_Toc23734"/>
      <w:bookmarkStart w:id="1936" w:name="_Toc8693"/>
      <w:bookmarkStart w:id="1937" w:name="_Toc28951"/>
      <w:bookmarkStart w:id="1938" w:name="_Toc15999"/>
      <w:bookmarkStart w:id="1939" w:name="_Toc484792228"/>
      <w:bookmarkStart w:id="1940" w:name="_Toc24176"/>
      <w:bookmarkStart w:id="1941" w:name="_Toc3730"/>
      <w:bookmarkStart w:id="1942" w:name="_Toc20021"/>
      <w:bookmarkStart w:id="1943" w:name="_Toc247"/>
      <w:bookmarkStart w:id="1944" w:name="_Toc31884"/>
      <w:bookmarkStart w:id="1945" w:name="_Toc12341"/>
      <w:bookmarkStart w:id="1946" w:name="_Toc2726"/>
      <w:bookmarkStart w:id="1947" w:name="_Toc32612"/>
      <w:bookmarkStart w:id="1948" w:name="_Toc13574"/>
      <w:bookmarkStart w:id="1949" w:name="_Toc18467"/>
      <w:bookmarkStart w:id="1950" w:name="_Toc4665"/>
      <w:bookmarkStart w:id="1951" w:name="_Toc16633"/>
      <w:bookmarkStart w:id="1952" w:name="_Toc22920"/>
      <w:bookmarkStart w:id="1953" w:name="_Toc31657"/>
      <w:bookmarkStart w:id="1954" w:name="_Toc12313"/>
      <w:bookmarkStart w:id="1955" w:name="_Toc29188"/>
      <w:bookmarkStart w:id="1956" w:name="_Toc11433"/>
      <w:bookmarkStart w:id="1957" w:name="_Toc6890"/>
      <w:bookmarkStart w:id="1958" w:name="_Toc31666"/>
      <w:bookmarkStart w:id="1959" w:name="_Toc2042"/>
      <w:bookmarkStart w:id="1960" w:name="_Toc23151"/>
      <w:bookmarkStart w:id="1961" w:name="_Toc27098"/>
      <w:bookmarkStart w:id="1962" w:name="_Toc3800"/>
      <w:bookmarkStart w:id="1963" w:name="_Toc25910"/>
      <w:bookmarkStart w:id="1964" w:name="_Toc19827"/>
      <w:bookmarkStart w:id="1965" w:name="_Toc5989"/>
      <w:bookmarkStart w:id="1966" w:name="_Toc6512"/>
      <w:bookmarkStart w:id="1967" w:name="_Toc2002"/>
      <w:bookmarkStart w:id="1968" w:name="_Toc29760"/>
      <w:bookmarkStart w:id="1969" w:name="_Toc21605"/>
      <w:bookmarkStart w:id="1970" w:name="_Toc28694"/>
      <w:bookmarkStart w:id="1971" w:name="_Toc6951"/>
      <w:bookmarkStart w:id="1972" w:name="_Toc482803115"/>
      <w:bookmarkStart w:id="1973" w:name="_Toc25007"/>
      <w:r>
        <w:rPr>
          <w:rFonts w:hint="eastAsia" w:hAnsi="宋体"/>
          <w:b/>
          <w:color w:val="auto"/>
          <w:highlight w:val="none"/>
        </w:rPr>
        <w:t>9.3 对评标委员会成员的纪律要求</w:t>
      </w:r>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四章“评标办法”没有规定的评审因素和标准进行评标。</w:t>
      </w:r>
    </w:p>
    <w:p>
      <w:pPr>
        <w:pStyle w:val="22"/>
        <w:tabs>
          <w:tab w:val="left" w:pos="2127"/>
        </w:tabs>
        <w:spacing w:line="360" w:lineRule="auto"/>
        <w:outlineLvl w:val="2"/>
        <w:rPr>
          <w:rFonts w:hAnsi="宋体"/>
          <w:b/>
          <w:color w:val="auto"/>
          <w:highlight w:val="none"/>
        </w:rPr>
      </w:pPr>
      <w:bookmarkStart w:id="1974" w:name="_Toc13865"/>
      <w:bookmarkStart w:id="1975" w:name="_Toc25765"/>
      <w:bookmarkStart w:id="1976" w:name="_Toc22055"/>
      <w:bookmarkStart w:id="1977" w:name="_Toc11014"/>
      <w:bookmarkStart w:id="1978" w:name="_Toc27332"/>
      <w:bookmarkStart w:id="1979" w:name="_Toc24016"/>
      <w:bookmarkStart w:id="1980" w:name="_Toc28431"/>
      <w:bookmarkStart w:id="1981" w:name="_Toc9421"/>
      <w:bookmarkStart w:id="1982" w:name="_Toc31260"/>
      <w:bookmarkStart w:id="1983" w:name="_Toc32152"/>
      <w:bookmarkStart w:id="1984" w:name="_Toc32563"/>
      <w:bookmarkStart w:id="1985" w:name="_Toc9556"/>
      <w:bookmarkStart w:id="1986" w:name="_Toc19574"/>
      <w:bookmarkStart w:id="1987" w:name="_Toc20716"/>
      <w:bookmarkStart w:id="1988" w:name="_Toc8457"/>
      <w:bookmarkStart w:id="1989" w:name="_Toc19936"/>
      <w:bookmarkStart w:id="1990" w:name="_Toc18777"/>
      <w:bookmarkStart w:id="1991" w:name="_Toc7305"/>
      <w:bookmarkStart w:id="1992" w:name="_Toc198"/>
      <w:bookmarkStart w:id="1993" w:name="_Toc484792229"/>
      <w:bookmarkStart w:id="1994" w:name="_Toc1481"/>
      <w:bookmarkStart w:id="1995" w:name="_Toc3600"/>
      <w:bookmarkStart w:id="1996" w:name="_Toc17263"/>
      <w:bookmarkStart w:id="1997" w:name="_Toc20612"/>
      <w:bookmarkStart w:id="1998" w:name="_Toc16410"/>
      <w:bookmarkStart w:id="1999" w:name="_Toc24013"/>
      <w:bookmarkStart w:id="2000" w:name="_Toc14408"/>
      <w:bookmarkStart w:id="2001" w:name="_Toc32242"/>
      <w:bookmarkStart w:id="2002" w:name="_Toc13337"/>
      <w:bookmarkStart w:id="2003" w:name="_Toc15090"/>
      <w:bookmarkStart w:id="2004" w:name="_Toc16437"/>
      <w:bookmarkStart w:id="2005" w:name="_Toc31534"/>
      <w:bookmarkStart w:id="2006" w:name="_Toc482803116"/>
      <w:bookmarkStart w:id="2007" w:name="_Toc138"/>
      <w:bookmarkStart w:id="2008" w:name="_Toc23559"/>
      <w:bookmarkStart w:id="2009" w:name="_Toc22867"/>
      <w:bookmarkStart w:id="2010" w:name="_Toc22463"/>
      <w:bookmarkStart w:id="2011" w:name="_Toc28940"/>
      <w:bookmarkStart w:id="2012" w:name="_Toc29625"/>
      <w:bookmarkStart w:id="2013" w:name="_Toc5745"/>
      <w:bookmarkStart w:id="2014" w:name="_Toc5374"/>
      <w:r>
        <w:rPr>
          <w:rFonts w:hint="eastAsia" w:hAnsi="宋体"/>
          <w:b/>
          <w:color w:val="auto"/>
          <w:highlight w:val="none"/>
        </w:rPr>
        <w:t>9.4 对与评标活动有关的工作人员的纪律要求</w:t>
      </w:r>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p>
    <w:p>
      <w:pPr>
        <w:tabs>
          <w:tab w:val="left" w:pos="2127"/>
        </w:tabs>
        <w:spacing w:line="360" w:lineRule="auto"/>
        <w:ind w:firstLine="420" w:firstLineChars="200"/>
        <w:rPr>
          <w:rFonts w:ascii="宋体" w:hAnsi="宋体"/>
          <w:color w:val="auto"/>
          <w:highlight w:val="none"/>
        </w:rPr>
      </w:pPr>
      <w:r>
        <w:rPr>
          <w:rFonts w:hint="eastAsia" w:ascii="宋体" w:hAnsi="宋体"/>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22"/>
        <w:tabs>
          <w:tab w:val="left" w:pos="2127"/>
        </w:tabs>
        <w:spacing w:line="360" w:lineRule="auto"/>
        <w:outlineLvl w:val="2"/>
        <w:rPr>
          <w:rFonts w:hAnsi="宋体"/>
          <w:b/>
          <w:color w:val="auto"/>
          <w:highlight w:val="none"/>
        </w:rPr>
      </w:pPr>
      <w:bookmarkStart w:id="2015" w:name="_Toc9373"/>
      <w:bookmarkStart w:id="2016" w:name="_Toc24814"/>
      <w:bookmarkStart w:id="2017" w:name="_Toc971"/>
      <w:bookmarkStart w:id="2018" w:name="_Toc30635"/>
      <w:bookmarkStart w:id="2019" w:name="_Toc17807"/>
      <w:bookmarkStart w:id="2020" w:name="_Toc27902"/>
      <w:bookmarkStart w:id="2021" w:name="_Toc1774"/>
      <w:bookmarkStart w:id="2022" w:name="_Toc27851"/>
      <w:bookmarkStart w:id="2023" w:name="_Toc28124"/>
      <w:bookmarkStart w:id="2024" w:name="_Toc11187"/>
      <w:bookmarkStart w:id="2025" w:name="_Toc16751"/>
      <w:bookmarkStart w:id="2026" w:name="_Toc12546"/>
      <w:bookmarkStart w:id="2027" w:name="_Toc13836"/>
      <w:bookmarkStart w:id="2028" w:name="_Toc231"/>
      <w:bookmarkStart w:id="2029" w:name="_Toc4545"/>
      <w:bookmarkStart w:id="2030" w:name="_Toc21470"/>
      <w:bookmarkStart w:id="2031" w:name="_Toc17045"/>
      <w:bookmarkStart w:id="2032" w:name="_Toc1153"/>
      <w:bookmarkStart w:id="2033" w:name="_Toc5449"/>
      <w:bookmarkStart w:id="2034" w:name="_Toc31711"/>
      <w:bookmarkStart w:id="2035" w:name="_Toc22501"/>
      <w:bookmarkStart w:id="2036" w:name="_Toc5735"/>
      <w:bookmarkStart w:id="2037" w:name="_Toc24796"/>
      <w:bookmarkStart w:id="2038" w:name="_Toc9107"/>
      <w:bookmarkStart w:id="2039" w:name="_Toc482803117"/>
      <w:bookmarkStart w:id="2040" w:name="_Toc10946"/>
      <w:bookmarkStart w:id="2041" w:name="_Toc24220"/>
      <w:bookmarkStart w:id="2042" w:name="_Toc484792230"/>
      <w:bookmarkStart w:id="2043" w:name="_Toc21838"/>
      <w:bookmarkStart w:id="2044" w:name="_Toc18524"/>
      <w:bookmarkStart w:id="2045" w:name="_Toc23311"/>
      <w:bookmarkStart w:id="2046" w:name="_Toc6159"/>
      <w:bookmarkStart w:id="2047" w:name="_Toc14800"/>
      <w:bookmarkStart w:id="2048" w:name="_Toc2209"/>
      <w:bookmarkStart w:id="2049" w:name="_Toc32483"/>
      <w:bookmarkStart w:id="2050" w:name="_Toc6207"/>
      <w:bookmarkStart w:id="2051" w:name="_Toc19777"/>
      <w:bookmarkStart w:id="2052" w:name="_Toc18722"/>
      <w:bookmarkStart w:id="2053" w:name="_Toc15506"/>
      <w:bookmarkStart w:id="2054" w:name="_Toc19303"/>
      <w:bookmarkStart w:id="2055" w:name="_Toc2293"/>
      <w:r>
        <w:rPr>
          <w:rFonts w:hint="eastAsia" w:hAnsi="宋体"/>
          <w:b/>
          <w:color w:val="auto"/>
          <w:highlight w:val="none"/>
        </w:rPr>
        <w:t>9.5 投诉</w:t>
      </w:r>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pPr>
        <w:pStyle w:val="22"/>
        <w:tabs>
          <w:tab w:val="left" w:pos="2127"/>
        </w:tabs>
        <w:spacing w:line="360" w:lineRule="auto"/>
        <w:ind w:firstLine="424" w:firstLineChars="202"/>
        <w:jc w:val="left"/>
        <w:outlineLvl w:val="2"/>
        <w:rPr>
          <w:rFonts w:hint="eastAsia" w:hAnsi="宋体"/>
          <w:color w:val="auto"/>
          <w:highlight w:val="none"/>
        </w:rPr>
      </w:pPr>
      <w:bookmarkStart w:id="2056" w:name="_Toc26488"/>
      <w:bookmarkStart w:id="2057" w:name="_Toc26282"/>
      <w:bookmarkStart w:id="2058" w:name="_Toc19948"/>
      <w:bookmarkStart w:id="2059" w:name="_Toc29169"/>
      <w:bookmarkStart w:id="2060" w:name="_Toc17534"/>
      <w:bookmarkStart w:id="2061" w:name="_Toc17753"/>
      <w:bookmarkStart w:id="2062" w:name="_Toc13770"/>
      <w:bookmarkStart w:id="2063" w:name="_Toc29874"/>
      <w:r>
        <w:rPr>
          <w:rFonts w:hint="eastAsia" w:hAnsi="宋体"/>
          <w:color w:val="auto"/>
          <w:highlight w:val="none"/>
        </w:rPr>
        <w:t>投标人（供应商）或者其他利害关系人认为本次采购活动不符合法律、法规、规章规定的，可以向有关监督部门投诉，投诉应有明确的请求和必要的证明材料。</w:t>
      </w:r>
      <w:bookmarkEnd w:id="2056"/>
      <w:bookmarkEnd w:id="2057"/>
      <w:bookmarkEnd w:id="2058"/>
      <w:bookmarkEnd w:id="2059"/>
      <w:bookmarkEnd w:id="2060"/>
      <w:bookmarkEnd w:id="2061"/>
      <w:bookmarkEnd w:id="2062"/>
      <w:bookmarkEnd w:id="2063"/>
    </w:p>
    <w:p>
      <w:pPr>
        <w:pStyle w:val="22"/>
        <w:tabs>
          <w:tab w:val="left" w:pos="2127"/>
        </w:tabs>
        <w:spacing w:line="360" w:lineRule="auto"/>
        <w:ind w:firstLine="424" w:firstLineChars="202"/>
        <w:jc w:val="left"/>
        <w:outlineLvl w:val="2"/>
        <w:rPr>
          <w:rFonts w:hint="default" w:hAnsi="宋体"/>
          <w:color w:val="auto"/>
          <w:highlight w:val="none"/>
          <w:lang w:val="en-US"/>
        </w:rPr>
      </w:pPr>
      <w:bookmarkStart w:id="2064" w:name="_Toc7490"/>
      <w:r>
        <w:rPr>
          <w:rFonts w:hint="eastAsia" w:hAnsi="宋体"/>
          <w:color w:val="auto"/>
          <w:highlight w:val="none"/>
        </w:rPr>
        <w:t>监督投诉机构名称：</w:t>
      </w:r>
      <w:bookmarkEnd w:id="2064"/>
      <w:r>
        <w:rPr>
          <w:rFonts w:hint="eastAsia" w:hAnsi="宋体"/>
          <w:color w:val="auto"/>
          <w:highlight w:val="none"/>
        </w:rPr>
        <w:t>广州公交集团新能源发展有限责任公司</w:t>
      </w:r>
    </w:p>
    <w:p>
      <w:pPr>
        <w:pStyle w:val="22"/>
        <w:tabs>
          <w:tab w:val="left" w:pos="2127"/>
        </w:tabs>
        <w:spacing w:line="360" w:lineRule="auto"/>
        <w:ind w:firstLine="424" w:firstLineChars="202"/>
        <w:jc w:val="left"/>
        <w:outlineLvl w:val="2"/>
        <w:rPr>
          <w:rFonts w:hint="eastAsia" w:hAnsi="宋体" w:eastAsia="宋体"/>
          <w:color w:val="auto"/>
          <w:highlight w:val="none"/>
          <w:lang w:val="en-US" w:eastAsia="zh-CN"/>
        </w:rPr>
      </w:pPr>
      <w:bookmarkStart w:id="2065" w:name="_Toc10844"/>
      <w:r>
        <w:rPr>
          <w:rFonts w:hint="eastAsia" w:hAnsi="宋体"/>
          <w:color w:val="auto"/>
          <w:highlight w:val="none"/>
        </w:rPr>
        <w:t>监督投诉机构电话：</w:t>
      </w:r>
      <w:bookmarkEnd w:id="2065"/>
      <w:r>
        <w:rPr>
          <w:rFonts w:hint="eastAsia" w:hAnsi="宋体"/>
          <w:color w:val="auto"/>
          <w:highlight w:val="none"/>
          <w:lang w:eastAsia="zh-CN"/>
        </w:rPr>
        <w:t>020-87582057</w:t>
      </w:r>
    </w:p>
    <w:p>
      <w:pPr>
        <w:pStyle w:val="22"/>
        <w:tabs>
          <w:tab w:val="left" w:pos="2127"/>
        </w:tabs>
        <w:spacing w:line="360" w:lineRule="auto"/>
        <w:ind w:firstLine="424" w:firstLineChars="202"/>
        <w:jc w:val="left"/>
        <w:outlineLvl w:val="2"/>
        <w:rPr>
          <w:rFonts w:hint="default" w:hAnsi="宋体" w:eastAsia="宋体"/>
          <w:color w:val="auto"/>
          <w:highlight w:val="none"/>
          <w:lang w:val="en-US" w:eastAsia="zh-CN"/>
        </w:rPr>
      </w:pPr>
      <w:bookmarkStart w:id="2066" w:name="_Toc1121"/>
      <w:r>
        <w:rPr>
          <w:rFonts w:hint="eastAsia" w:hAnsi="宋体"/>
          <w:color w:val="auto"/>
          <w:highlight w:val="none"/>
        </w:rPr>
        <w:t>监督投诉机构邮箱：</w:t>
      </w:r>
      <w:bookmarkEnd w:id="2066"/>
      <w:r>
        <w:rPr>
          <w:rFonts w:hint="eastAsia" w:hAnsi="宋体"/>
          <w:color w:val="auto"/>
          <w:highlight w:val="none"/>
        </w:rPr>
        <w:t>13602465665@139.com</w:t>
      </w:r>
    </w:p>
    <w:p>
      <w:pPr>
        <w:pStyle w:val="22"/>
        <w:tabs>
          <w:tab w:val="left" w:pos="2127"/>
        </w:tabs>
        <w:spacing w:line="360" w:lineRule="auto"/>
        <w:outlineLvl w:val="2"/>
        <w:rPr>
          <w:rFonts w:hAnsi="宋体"/>
          <w:b/>
          <w:color w:val="auto"/>
          <w:highlight w:val="none"/>
        </w:rPr>
      </w:pPr>
      <w:bookmarkStart w:id="2067" w:name="_Toc19135"/>
      <w:bookmarkStart w:id="2068" w:name="_Toc6511"/>
      <w:bookmarkStart w:id="2069" w:name="_Toc24571"/>
      <w:bookmarkStart w:id="2070" w:name="_Toc7603"/>
      <w:bookmarkStart w:id="2071" w:name="_Toc1064"/>
      <w:bookmarkStart w:id="2072" w:name="_Toc504"/>
      <w:bookmarkStart w:id="2073" w:name="_Toc21330"/>
      <w:bookmarkStart w:id="2074" w:name="_Toc482803119"/>
      <w:bookmarkStart w:id="2075" w:name="_Toc10757"/>
      <w:bookmarkStart w:id="2076" w:name="_Toc15350"/>
      <w:bookmarkStart w:id="2077" w:name="_Toc18091"/>
      <w:bookmarkStart w:id="2078" w:name="_Toc21286"/>
      <w:bookmarkStart w:id="2079" w:name="_Toc31287"/>
      <w:bookmarkStart w:id="2080" w:name="_Toc15995"/>
      <w:bookmarkStart w:id="2081" w:name="_Toc12852"/>
      <w:bookmarkStart w:id="2082" w:name="_Toc8861"/>
      <w:bookmarkStart w:id="2083" w:name="_Toc484792232"/>
      <w:bookmarkStart w:id="2084" w:name="_Toc24802"/>
      <w:bookmarkStart w:id="2085" w:name="_Toc20926"/>
      <w:bookmarkStart w:id="2086" w:name="_Toc5579"/>
      <w:bookmarkStart w:id="2087" w:name="_Toc11043"/>
      <w:bookmarkStart w:id="2088" w:name="_Toc21942"/>
      <w:bookmarkStart w:id="2089" w:name="_Toc17659"/>
      <w:bookmarkStart w:id="2090" w:name="_Toc10674"/>
      <w:bookmarkStart w:id="2091" w:name="_Toc501"/>
      <w:bookmarkStart w:id="2092" w:name="_Toc8442"/>
      <w:bookmarkStart w:id="2093" w:name="_Toc28676"/>
      <w:bookmarkStart w:id="2094" w:name="_Toc9899"/>
      <w:bookmarkStart w:id="2095" w:name="_Toc1648"/>
      <w:bookmarkStart w:id="2096" w:name="_Toc11875"/>
      <w:bookmarkStart w:id="2097" w:name="_Toc29000"/>
      <w:bookmarkStart w:id="2098" w:name="_Toc24019"/>
      <w:bookmarkStart w:id="2099" w:name="_Toc22540"/>
      <w:bookmarkStart w:id="2100" w:name="_Toc26727"/>
      <w:bookmarkStart w:id="2101" w:name="_Toc21353"/>
      <w:bookmarkStart w:id="2102" w:name="_Toc3545"/>
      <w:bookmarkStart w:id="2103" w:name="_Toc19687"/>
      <w:bookmarkStart w:id="2104" w:name="_Toc22793"/>
      <w:bookmarkStart w:id="2105" w:name="_Toc6304"/>
      <w:bookmarkStart w:id="2106" w:name="_Toc20480"/>
      <w:bookmarkStart w:id="2107" w:name="_Toc16852"/>
      <w:r>
        <w:rPr>
          <w:rFonts w:hint="eastAsia" w:hAnsi="宋体"/>
          <w:b/>
          <w:color w:val="auto"/>
          <w:highlight w:val="none"/>
        </w:rPr>
        <w:t>9.6 廉洁</w:t>
      </w:r>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p>
    <w:p>
      <w:pPr>
        <w:pStyle w:val="22"/>
        <w:tabs>
          <w:tab w:val="left" w:pos="2127"/>
        </w:tabs>
        <w:spacing w:line="360" w:lineRule="auto"/>
        <w:ind w:firstLine="420" w:firstLineChars="200"/>
        <w:rPr>
          <w:rFonts w:hAnsi="宋体"/>
          <w:color w:val="auto"/>
          <w:highlight w:val="none"/>
        </w:rPr>
      </w:pPr>
      <w:r>
        <w:rPr>
          <w:rFonts w:hint="eastAsia" w:hAnsi="宋体"/>
          <w:color w:val="auto"/>
          <w:highlight w:val="none"/>
        </w:rPr>
        <w:t>1、</w:t>
      </w:r>
      <w:r>
        <w:rPr>
          <w:rFonts w:hAnsi="宋体"/>
          <w:color w:val="auto"/>
          <w:highlight w:val="none"/>
        </w:rPr>
        <w:t>执行</w:t>
      </w:r>
      <w:r>
        <w:rPr>
          <w:rFonts w:hint="eastAsia" w:hAnsi="宋体"/>
          <w:color w:val="auto"/>
          <w:highlight w:val="none"/>
        </w:rPr>
        <w:t>中国南方电网有限责任公司</w:t>
      </w:r>
      <w:r>
        <w:rPr>
          <w:rFonts w:hint="eastAsia" w:hAnsi="宋体"/>
          <w:color w:val="auto"/>
          <w:highlight w:val="none"/>
          <w:lang w:eastAsia="zh-CN"/>
        </w:rPr>
        <w:t>、</w:t>
      </w:r>
      <w:r>
        <w:rPr>
          <w:rFonts w:hint="eastAsia" w:hAnsi="宋体"/>
          <w:color w:val="auto"/>
          <w:highlight w:val="none"/>
          <w:lang w:val="en-US" w:eastAsia="zh-CN"/>
        </w:rPr>
        <w:t>广州市公共交通集团有限公司</w:t>
      </w:r>
      <w:r>
        <w:rPr>
          <w:rFonts w:hint="eastAsia" w:hAnsi="宋体"/>
          <w:color w:val="auto"/>
          <w:highlight w:val="none"/>
        </w:rPr>
        <w:t>的相关规定</w:t>
      </w:r>
      <w:r>
        <w:rPr>
          <w:rFonts w:hAnsi="宋体"/>
          <w:color w:val="auto"/>
          <w:highlight w:val="none"/>
        </w:rPr>
        <w:t>，</w:t>
      </w:r>
      <w:r>
        <w:rPr>
          <w:rFonts w:hint="eastAsia" w:hAnsi="宋体"/>
          <w:color w:val="auto"/>
          <w:highlight w:val="none"/>
        </w:rPr>
        <w:t>在合同协议书签署前同时签署“廉洁协议书”。</w:t>
      </w:r>
    </w:p>
    <w:p>
      <w:pPr>
        <w:pStyle w:val="22"/>
        <w:tabs>
          <w:tab w:val="left" w:pos="2127"/>
        </w:tabs>
        <w:spacing w:line="360" w:lineRule="auto"/>
        <w:ind w:firstLine="420" w:firstLineChars="200"/>
        <w:rPr>
          <w:rFonts w:hAnsi="宋体"/>
          <w:color w:val="auto"/>
          <w:highlight w:val="none"/>
        </w:rPr>
      </w:pPr>
      <w:r>
        <w:rPr>
          <w:rFonts w:hint="eastAsia" w:hAnsi="宋体"/>
          <w:color w:val="auto"/>
          <w:highlight w:val="none"/>
        </w:rPr>
        <w:t>2、</w:t>
      </w:r>
      <w:r>
        <w:rPr>
          <w:rFonts w:hAnsi="宋体"/>
          <w:color w:val="auto"/>
          <w:highlight w:val="none"/>
        </w:rPr>
        <w:t>若投标人（包括投标人的委托人、代理人或与投标人有销售、劳务或服务等关系的其他主体）在参加南方电网公司系统的招投标活动或经济往来等过程中曾经存在违法事件的，自公司发文公布违法事件之日起，在规定时间内不接受该投标人参与公司的招投标活动，具体时间</w:t>
      </w:r>
      <w:r>
        <w:rPr>
          <w:rFonts w:hint="eastAsia" w:hAnsi="宋体"/>
          <w:color w:val="auto"/>
          <w:highlight w:val="none"/>
          <w:lang w:val="en-US" w:eastAsia="zh-CN"/>
        </w:rPr>
        <w:t>参照</w:t>
      </w:r>
      <w:r>
        <w:rPr>
          <w:rFonts w:hAnsi="宋体"/>
          <w:color w:val="auto"/>
          <w:highlight w:val="none"/>
        </w:rPr>
        <w:t xml:space="preserve">《中国南方电网有限责任公司供应商行贿行为信息记录及处置办法》的相关规定执行。 </w:t>
      </w:r>
    </w:p>
    <w:p>
      <w:pPr>
        <w:pStyle w:val="22"/>
        <w:tabs>
          <w:tab w:val="left" w:pos="2127"/>
        </w:tabs>
        <w:spacing w:line="360" w:lineRule="auto"/>
        <w:ind w:firstLine="420" w:firstLineChars="200"/>
        <w:rPr>
          <w:rFonts w:hAnsi="宋体"/>
          <w:color w:val="auto"/>
          <w:highlight w:val="none"/>
        </w:rPr>
      </w:pPr>
    </w:p>
    <w:p>
      <w:pPr>
        <w:pStyle w:val="2"/>
        <w:tabs>
          <w:tab w:val="left" w:pos="2127"/>
        </w:tabs>
        <w:spacing w:before="0" w:after="0" w:line="360" w:lineRule="auto"/>
        <w:rPr>
          <w:rFonts w:ascii="宋体" w:hAnsi="宋体" w:eastAsia="宋体"/>
          <w:color w:val="auto"/>
          <w:sz w:val="24"/>
          <w:szCs w:val="24"/>
          <w:highlight w:val="none"/>
        </w:rPr>
      </w:pPr>
      <w:bookmarkStart w:id="2108" w:name="_Toc16957"/>
      <w:bookmarkStart w:id="2109" w:name="_Toc28761"/>
      <w:bookmarkStart w:id="2110" w:name="_Toc373"/>
      <w:bookmarkStart w:id="2111" w:name="_Toc30302"/>
      <w:bookmarkStart w:id="2112" w:name="_Toc16412"/>
      <w:bookmarkStart w:id="2113" w:name="_Toc20227"/>
      <w:bookmarkStart w:id="2114" w:name="_Toc32513"/>
      <w:bookmarkStart w:id="2115" w:name="_Toc2559"/>
      <w:bookmarkStart w:id="2116" w:name="_Toc482803120"/>
      <w:bookmarkStart w:id="2117" w:name="_Toc26486"/>
      <w:bookmarkStart w:id="2118" w:name="_Toc25735"/>
      <w:bookmarkStart w:id="2119" w:name="_Toc292"/>
      <w:bookmarkStart w:id="2120" w:name="_Toc26130"/>
      <w:bookmarkStart w:id="2121" w:name="_Toc12881"/>
      <w:bookmarkStart w:id="2122" w:name="_Toc31966"/>
      <w:bookmarkStart w:id="2123" w:name="_Toc10852"/>
      <w:bookmarkStart w:id="2124" w:name="_Toc1537"/>
      <w:r>
        <w:rPr>
          <w:rFonts w:hint="eastAsia" w:ascii="宋体" w:hAnsi="宋体" w:eastAsia="宋体"/>
          <w:color w:val="auto"/>
          <w:sz w:val="24"/>
          <w:szCs w:val="24"/>
          <w:highlight w:val="none"/>
        </w:rPr>
        <w:t>10. 需要补充的其他内容</w:t>
      </w:r>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p>
    <w:p>
      <w:pPr>
        <w:pStyle w:val="22"/>
        <w:tabs>
          <w:tab w:val="left" w:pos="2127"/>
        </w:tabs>
        <w:spacing w:line="360" w:lineRule="auto"/>
        <w:ind w:firstLine="420" w:firstLineChars="200"/>
        <w:rPr>
          <w:rFonts w:hAnsi="宋体"/>
          <w:color w:val="auto"/>
          <w:highlight w:val="none"/>
        </w:rPr>
      </w:pPr>
      <w:r>
        <w:rPr>
          <w:rFonts w:hint="eastAsia" w:hAnsi="宋体"/>
          <w:color w:val="auto"/>
          <w:highlight w:val="none"/>
        </w:rPr>
        <w:t>需要补充的其他内容：见投标人须知前附表。</w:t>
      </w:r>
    </w:p>
    <w:p>
      <w:pPr>
        <w:pStyle w:val="22"/>
        <w:tabs>
          <w:tab w:val="left" w:pos="2127"/>
        </w:tabs>
        <w:spacing w:line="360" w:lineRule="auto"/>
        <w:ind w:firstLine="420" w:firstLineChars="200"/>
        <w:rPr>
          <w:rFonts w:hAnsi="宋体"/>
          <w:color w:val="auto"/>
          <w:highlight w:val="none"/>
        </w:rPr>
      </w:pPr>
    </w:p>
    <w:p>
      <w:pPr>
        <w:pStyle w:val="2"/>
        <w:tabs>
          <w:tab w:val="left" w:pos="2127"/>
        </w:tabs>
        <w:spacing w:before="0" w:after="0" w:line="360" w:lineRule="auto"/>
        <w:rPr>
          <w:rFonts w:ascii="宋体" w:hAnsi="宋体" w:eastAsia="宋体"/>
          <w:color w:val="auto"/>
          <w:sz w:val="24"/>
          <w:szCs w:val="24"/>
          <w:highlight w:val="none"/>
        </w:rPr>
      </w:pPr>
      <w:bookmarkStart w:id="2125" w:name="_Toc1949"/>
      <w:bookmarkStart w:id="2126" w:name="_Toc3719"/>
      <w:bookmarkStart w:id="2127" w:name="_Toc28028"/>
      <w:bookmarkStart w:id="2128" w:name="_Toc24221"/>
      <w:bookmarkStart w:id="2129" w:name="_Toc20963"/>
      <w:bookmarkStart w:id="2130" w:name="_Toc5982"/>
      <w:bookmarkStart w:id="2131" w:name="_Toc26600"/>
      <w:bookmarkStart w:id="2132" w:name="_Toc19728"/>
      <w:bookmarkStart w:id="2133" w:name="_Toc22956"/>
      <w:bookmarkStart w:id="2134" w:name="_Toc10631"/>
      <w:bookmarkStart w:id="2135" w:name="_Toc16740"/>
      <w:bookmarkStart w:id="2136" w:name="_Toc9699"/>
      <w:bookmarkStart w:id="2137" w:name="_Toc13497"/>
      <w:bookmarkStart w:id="2138" w:name="_Toc31515"/>
      <w:bookmarkStart w:id="2139" w:name="_Toc482803121"/>
      <w:bookmarkStart w:id="2140" w:name="_Toc27027"/>
      <w:bookmarkStart w:id="2141" w:name="_Toc748"/>
      <w:r>
        <w:rPr>
          <w:rFonts w:hint="eastAsia" w:ascii="宋体" w:hAnsi="宋体" w:eastAsia="宋体"/>
          <w:color w:val="auto"/>
          <w:sz w:val="24"/>
          <w:szCs w:val="24"/>
          <w:highlight w:val="none"/>
        </w:rPr>
        <w:t>11. 招标代理服务费</w:t>
      </w:r>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招标代理服务费：见投标人须知前附表。</w:t>
      </w:r>
    </w:p>
    <w:p>
      <w:pPr>
        <w:pStyle w:val="3"/>
        <w:pageBreakBefore/>
        <w:widowControl/>
        <w:numPr>
          <w:ilvl w:val="0"/>
          <w:numId w:val="5"/>
        </w:numPr>
        <w:tabs>
          <w:tab w:val="left" w:pos="2127"/>
        </w:tabs>
        <w:spacing w:before="120" w:after="120" w:line="360" w:lineRule="auto"/>
        <w:jc w:val="center"/>
        <w:rPr>
          <w:rFonts w:hint="eastAsia" w:ascii="宋体" w:hAnsi="宋体"/>
          <w:color w:val="auto"/>
          <w:kern w:val="0"/>
          <w:sz w:val="32"/>
          <w:szCs w:val="32"/>
          <w:highlight w:val="none"/>
        </w:rPr>
      </w:pPr>
      <w:bookmarkStart w:id="2142" w:name="_Toc8516"/>
      <w:r>
        <w:rPr>
          <w:rFonts w:hint="eastAsia" w:ascii="宋体" w:hAnsi="宋体"/>
          <w:color w:val="auto"/>
          <w:kern w:val="0"/>
          <w:sz w:val="32"/>
          <w:szCs w:val="32"/>
          <w:highlight w:val="none"/>
        </w:rPr>
        <w:t>合同条款及格式</w:t>
      </w:r>
      <w:bookmarkEnd w:id="2142"/>
    </w:p>
    <w:p>
      <w:pPr>
        <w:pStyle w:val="2"/>
        <w:pageBreakBefore/>
        <w:widowControl/>
        <w:spacing w:before="0" w:after="0" w:line="240" w:lineRule="auto"/>
        <w:jc w:val="center"/>
        <w:rPr>
          <w:rFonts w:hint="eastAsia" w:ascii="宋体" w:hAnsi="宋体" w:eastAsia="宋体"/>
          <w:color w:val="auto"/>
          <w:sz w:val="24"/>
          <w:szCs w:val="24"/>
          <w:highlight w:val="none"/>
        </w:rPr>
      </w:pPr>
      <w:bookmarkStart w:id="2143" w:name="_Toc296719071"/>
      <w:bookmarkStart w:id="2144" w:name="_Toc20644920"/>
      <w:r>
        <w:rPr>
          <w:rFonts w:hint="eastAsia" w:ascii="宋体" w:hAnsi="宋体" w:eastAsia="宋体"/>
          <w:color w:val="auto"/>
          <w:sz w:val="24"/>
          <w:szCs w:val="24"/>
          <w:highlight w:val="none"/>
        </w:rPr>
        <w:t>第一节 合同协议书</w:t>
      </w:r>
      <w:bookmarkEnd w:id="2143"/>
      <w:bookmarkEnd w:id="2144"/>
    </w:p>
    <w:p>
      <w:pPr>
        <w:ind w:firstLine="420" w:firstLineChars="200"/>
        <w:rPr>
          <w:rFonts w:ascii="宋体" w:hAnsi="宋体"/>
          <w:color w:val="auto"/>
          <w:szCs w:val="21"/>
          <w:highlight w:val="none"/>
        </w:rPr>
      </w:pPr>
      <w:r>
        <w:rPr>
          <w:rFonts w:ascii="宋体" w:hAnsi="宋体"/>
          <w:color w:val="auto"/>
          <w:szCs w:val="21"/>
          <w:highlight w:val="none"/>
        </w:rPr>
        <w:t>发包人：</w:t>
      </w:r>
      <w:permStart w:id="0" w:edGrp="everyone"/>
      <w:r>
        <w:rPr>
          <w:rFonts w:hint="eastAsia"/>
          <w:color w:val="auto"/>
          <w:highlight w:val="none"/>
          <w:lang w:val="en-US" w:eastAsia="zh-CN"/>
        </w:rPr>
        <w:t xml:space="preserve">  </w:t>
      </w:r>
      <w:sdt>
        <w:sdtPr>
          <w:rPr>
            <w:rFonts w:hint="eastAsia" w:asciiTheme="minorHAnsi" w:hAnsiTheme="minorHAnsi" w:eastAsiaTheme="minorEastAsia" w:cstheme="minorBidi"/>
            <w:color w:val="auto"/>
            <w:kern w:val="2"/>
            <w:sz w:val="21"/>
            <w:szCs w:val="24"/>
            <w:highlight w:val="none"/>
            <w:lang w:val="en-US" w:eastAsia="zh-CN" w:bidi="ar-SA"/>
          </w:rPr>
          <w:alias w:val="甲方当事人全称"/>
          <w:tag w:val="甲方当事人全称"/>
          <w:id w:val="147467539"/>
          <w:placeholder>
            <w:docPart w:val="{80d335f3-2517-4a18-af10-4c6ae59b0f54}"/>
          </w:placeholder>
          <w:text/>
        </w:sdtPr>
        <w:sdtEndPr>
          <w:rPr>
            <w:rFonts w:hint="eastAsia" w:asciiTheme="minorHAnsi" w:hAnsiTheme="minorHAnsi" w:eastAsiaTheme="minorEastAsia" w:cstheme="minorBidi"/>
            <w:color w:val="auto"/>
            <w:kern w:val="2"/>
            <w:sz w:val="21"/>
            <w:szCs w:val="24"/>
            <w:highlight w:val="none"/>
            <w:lang w:val="en-US" w:eastAsia="zh-CN" w:bidi="ar-SA"/>
          </w:rPr>
        </w:sdtEndPr>
        <w:sdtContent>
          <w:r>
            <w:rPr>
              <w:rFonts w:hint="eastAsia" w:asciiTheme="minorHAnsi" w:hAnsiTheme="minorHAnsi" w:eastAsiaTheme="minorEastAsia" w:cstheme="minorBidi"/>
              <w:color w:val="auto"/>
              <w:kern w:val="2"/>
              <w:sz w:val="21"/>
              <w:szCs w:val="24"/>
              <w:highlight w:val="none"/>
              <w:lang w:val="en-US" w:eastAsia="zh-CN" w:bidi="ar-SA"/>
            </w:rPr>
            <w:t xml:space="preserve">                   </w:t>
          </w:r>
          <w:permEnd w:id="0"/>
        </w:sdtContent>
      </w:sdt>
    </w:p>
    <w:p>
      <w:pPr>
        <w:ind w:firstLine="420" w:firstLineChars="200"/>
        <w:rPr>
          <w:rFonts w:ascii="宋体" w:hAnsi="宋体"/>
          <w:color w:val="auto"/>
          <w:szCs w:val="21"/>
          <w:highlight w:val="none"/>
        </w:rPr>
      </w:pPr>
      <w:r>
        <w:rPr>
          <w:rFonts w:ascii="宋体" w:hAnsi="宋体"/>
          <w:color w:val="auto"/>
          <w:szCs w:val="21"/>
          <w:highlight w:val="none"/>
        </w:rPr>
        <w:t>承包人：</w:t>
      </w:r>
      <w:permStart w:id="1" w:edGrp="everyone"/>
      <w:r>
        <w:rPr>
          <w:rFonts w:hint="eastAsia"/>
          <w:color w:val="auto"/>
          <w:highlight w:val="none"/>
          <w:lang w:val="en-US" w:eastAsia="zh-CN"/>
        </w:rPr>
        <w:t xml:space="preserve">  </w:t>
      </w:r>
      <w:sdt>
        <w:sdtPr>
          <w:rPr>
            <w:rFonts w:hint="eastAsia" w:asciiTheme="minorHAnsi" w:hAnsiTheme="minorHAnsi" w:eastAsiaTheme="minorEastAsia" w:cstheme="minorBidi"/>
            <w:color w:val="auto"/>
            <w:kern w:val="2"/>
            <w:sz w:val="21"/>
            <w:szCs w:val="24"/>
            <w:highlight w:val="none"/>
            <w:lang w:val="en-US" w:eastAsia="zh-CN" w:bidi="ar-SA"/>
          </w:rPr>
          <w:alias w:val="乙方当事人全称"/>
          <w:tag w:val="乙方当事人全称"/>
          <w:id w:val="147467539"/>
          <w:placeholder>
            <w:docPart w:val="{d48025b3-f705-47a4-9e33-73487293e823}"/>
          </w:placeholder>
          <w:text/>
        </w:sdtPr>
        <w:sdtEndPr>
          <w:rPr>
            <w:rFonts w:hint="eastAsia" w:asciiTheme="minorHAnsi" w:hAnsiTheme="minorHAnsi" w:eastAsiaTheme="minorEastAsia" w:cstheme="minorBidi"/>
            <w:color w:val="auto"/>
            <w:kern w:val="2"/>
            <w:sz w:val="21"/>
            <w:szCs w:val="24"/>
            <w:highlight w:val="none"/>
            <w:lang w:val="en-US" w:eastAsia="zh-CN" w:bidi="ar-SA"/>
          </w:rPr>
        </w:sdtEndPr>
        <w:sdtContent>
          <w:r>
            <w:rPr>
              <w:rFonts w:hint="eastAsia" w:asciiTheme="minorHAnsi" w:hAnsiTheme="minorHAnsi" w:eastAsiaTheme="minorEastAsia" w:cstheme="minorBidi"/>
              <w:color w:val="auto"/>
              <w:kern w:val="2"/>
              <w:sz w:val="21"/>
              <w:szCs w:val="24"/>
              <w:highlight w:val="none"/>
              <w:lang w:val="en-US" w:eastAsia="zh-CN" w:bidi="ar-SA"/>
            </w:rPr>
            <w:t xml:space="preserve">                   </w:t>
          </w:r>
          <w:permEnd w:id="1"/>
        </w:sdtContent>
      </w:sdt>
    </w:p>
    <w:p>
      <w:pPr>
        <w:pStyle w:val="22"/>
        <w:ind w:firstLine="420" w:firstLineChars="200"/>
        <w:rPr>
          <w:rFonts w:hAnsi="宋体"/>
          <w:color w:val="auto"/>
          <w:szCs w:val="21"/>
          <w:highlight w:val="none"/>
        </w:rPr>
      </w:pPr>
      <w:r>
        <w:rPr>
          <w:rFonts w:hAnsi="宋体"/>
          <w:color w:val="auto"/>
          <w:szCs w:val="21"/>
          <w:highlight w:val="none"/>
        </w:rPr>
        <w:t>鉴于发包人为建设</w:t>
      </w:r>
      <w:r>
        <w:rPr>
          <w:rFonts w:hint="eastAsia" w:hAnsi="宋体"/>
          <w:color w:val="auto"/>
          <w:szCs w:val="21"/>
          <w:highlight w:val="none"/>
          <w:u w:val="single"/>
        </w:rPr>
        <w:t xml:space="preserve"> </w:t>
      </w:r>
      <w:permStart w:id="2" w:edGrp="everyone"/>
      <w:r>
        <w:rPr>
          <w:rFonts w:hint="eastAsia" w:hAnsi="宋体"/>
          <w:color w:val="auto"/>
          <w:szCs w:val="21"/>
          <w:highlight w:val="none"/>
          <w:u w:val="single"/>
          <w:lang w:val="en-US" w:eastAsia="zh-CN"/>
        </w:rPr>
        <w:t xml:space="preserve">                                </w:t>
      </w:r>
      <w:permEnd w:id="2"/>
      <w:r>
        <w:rPr>
          <w:rFonts w:hAnsi="宋体"/>
          <w:color w:val="auto"/>
          <w:szCs w:val="21"/>
          <w:highlight w:val="none"/>
        </w:rPr>
        <w:t>工程，通过公开招标，择优选择一家有经验的工程承包人按本合同规定承担上述工程施工工作</w:t>
      </w:r>
      <w:r>
        <w:rPr>
          <w:rFonts w:hint="eastAsia" w:hAnsi="宋体"/>
          <w:color w:val="auto"/>
          <w:szCs w:val="21"/>
          <w:highlight w:val="none"/>
        </w:rPr>
        <w:t>，</w:t>
      </w:r>
      <w:r>
        <w:rPr>
          <w:rFonts w:hAnsi="宋体"/>
          <w:color w:val="auto"/>
          <w:szCs w:val="21"/>
          <w:highlight w:val="none"/>
        </w:rPr>
        <w:t>并通过</w:t>
      </w:r>
      <w:r>
        <w:rPr>
          <w:rFonts w:hint="eastAsia" w:hAnsi="宋体"/>
          <w:color w:val="auto"/>
          <w:szCs w:val="21"/>
          <w:highlight w:val="none"/>
          <w:u w:val="single"/>
        </w:rPr>
        <w:t xml:space="preserve"> </w:t>
      </w:r>
      <w:permStart w:id="3" w:edGrp="everyone"/>
      <w:r>
        <w:rPr>
          <w:rFonts w:hint="eastAsia" w:hAnsi="宋体"/>
          <w:color w:val="auto"/>
          <w:szCs w:val="21"/>
          <w:highlight w:val="none"/>
          <w:u w:val="single"/>
        </w:rPr>
        <w:t xml:space="preserve">      </w:t>
      </w:r>
      <w:r>
        <w:rPr>
          <w:rFonts w:hAnsi="宋体"/>
          <w:color w:val="auto"/>
          <w:szCs w:val="21"/>
          <w:highlight w:val="none"/>
        </w:rPr>
        <w:t>年</w:t>
      </w:r>
      <w:r>
        <w:rPr>
          <w:rFonts w:hint="eastAsia" w:hAnsi="宋体"/>
          <w:color w:val="auto"/>
          <w:szCs w:val="21"/>
          <w:highlight w:val="none"/>
          <w:u w:val="single"/>
        </w:rPr>
        <w:t xml:space="preserve">     </w:t>
      </w:r>
      <w:r>
        <w:rPr>
          <w:rFonts w:hAnsi="宋体"/>
          <w:color w:val="auto"/>
          <w:szCs w:val="21"/>
          <w:highlight w:val="none"/>
        </w:rPr>
        <w:t>月</w:t>
      </w:r>
      <w:r>
        <w:rPr>
          <w:rFonts w:hint="eastAsia" w:hAnsi="宋体"/>
          <w:color w:val="auto"/>
          <w:szCs w:val="21"/>
          <w:highlight w:val="none"/>
          <w:u w:val="single"/>
        </w:rPr>
        <w:t xml:space="preserve">    </w:t>
      </w:r>
      <w:r>
        <w:rPr>
          <w:rFonts w:hAnsi="宋体"/>
          <w:color w:val="auto"/>
          <w:szCs w:val="21"/>
          <w:highlight w:val="none"/>
        </w:rPr>
        <w:t>日</w:t>
      </w:r>
      <w:permEnd w:id="3"/>
      <w:r>
        <w:rPr>
          <w:rFonts w:hAnsi="宋体"/>
          <w:color w:val="auto"/>
          <w:szCs w:val="21"/>
          <w:highlight w:val="none"/>
        </w:rPr>
        <w:t>的中标通知书接受了承包人提交的工程投标。</w:t>
      </w: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rPr>
        <w:t>1 工程概况</w:t>
      </w:r>
    </w:p>
    <w:p>
      <w:pPr>
        <w:pStyle w:val="17"/>
        <w:spacing w:after="0"/>
        <w:ind w:left="0" w:leftChars="0" w:firstLine="420" w:firstLineChars="200"/>
        <w:rPr>
          <w:rFonts w:hint="eastAsia" w:ascii="宋体" w:hAnsi="宋体"/>
          <w:color w:val="auto"/>
          <w:szCs w:val="21"/>
          <w:highlight w:val="none"/>
          <w:u w:val="single"/>
        </w:rPr>
      </w:pPr>
      <w:permStart w:id="4" w:edGrp="everyone"/>
      <w:r>
        <w:rPr>
          <w:rFonts w:hint="eastAsia" w:ascii="宋体" w:hAnsi="宋体"/>
          <w:color w:val="auto"/>
          <w:szCs w:val="21"/>
          <w:highlight w:val="none"/>
          <w:u w:val="single"/>
        </w:rPr>
        <w:t xml:space="preserve">                                                    </w:t>
      </w:r>
      <w:permEnd w:id="4"/>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rPr>
        <w:t>2</w:t>
      </w:r>
      <w:r>
        <w:rPr>
          <w:rFonts w:hint="eastAsia" w:ascii="宋体"/>
          <w:color w:val="auto"/>
          <w:highlight w:val="none"/>
          <w:lang w:val="en-US" w:eastAsia="zh-CN"/>
        </w:rPr>
        <w:t xml:space="preserve"> </w:t>
      </w:r>
      <w:r>
        <w:rPr>
          <w:rFonts w:ascii="宋体"/>
          <w:color w:val="auto"/>
          <w:highlight w:val="none"/>
        </w:rPr>
        <w:t>承包范围</w:t>
      </w:r>
    </w:p>
    <w:p>
      <w:pPr>
        <w:pStyle w:val="17"/>
        <w:spacing w:after="0"/>
        <w:ind w:left="0" w:leftChars="0" w:firstLine="420" w:firstLineChars="200"/>
        <w:rPr>
          <w:rFonts w:ascii="宋体" w:hAnsi="宋体"/>
          <w:color w:val="auto"/>
          <w:szCs w:val="21"/>
          <w:highlight w:val="none"/>
          <w:u w:val="single"/>
        </w:rPr>
      </w:pPr>
      <w:permStart w:id="5" w:edGrp="everyone"/>
      <w:r>
        <w:rPr>
          <w:rFonts w:hint="eastAsia" w:ascii="宋体" w:hAnsi="宋体"/>
          <w:color w:val="auto"/>
          <w:szCs w:val="21"/>
          <w:highlight w:val="none"/>
          <w:u w:val="single"/>
        </w:rPr>
        <w:t xml:space="preserve">                                                    </w:t>
      </w:r>
    </w:p>
    <w:permEnd w:id="5"/>
    <w:p>
      <w:pPr>
        <w:pStyle w:val="131"/>
        <w:spacing w:after="0" w:line="240" w:lineRule="auto"/>
        <w:ind w:left="0" w:leftChars="0" w:firstLine="422" w:firstLineChars="200"/>
        <w:outlineLvl w:val="2"/>
        <w:rPr>
          <w:rFonts w:ascii="宋体"/>
          <w:color w:val="auto"/>
          <w:highlight w:val="none"/>
        </w:rPr>
      </w:pPr>
      <w:r>
        <w:rPr>
          <w:rFonts w:ascii="宋体"/>
          <w:color w:val="auto"/>
          <w:highlight w:val="none"/>
        </w:rPr>
        <w:t>3</w:t>
      </w:r>
      <w:r>
        <w:rPr>
          <w:rFonts w:hint="eastAsia" w:ascii="宋体"/>
          <w:color w:val="auto"/>
          <w:highlight w:val="none"/>
        </w:rPr>
        <w:t xml:space="preserve"> 建设目标</w:t>
      </w:r>
    </w:p>
    <w:p>
      <w:pPr>
        <w:pStyle w:val="17"/>
        <w:spacing w:after="0"/>
        <w:ind w:left="0" w:leftChars="0" w:firstLine="420" w:firstLineChars="200"/>
        <w:rPr>
          <w:rFonts w:ascii="宋体" w:hAnsi="宋体"/>
          <w:color w:val="auto"/>
          <w:szCs w:val="21"/>
          <w:highlight w:val="none"/>
          <w:u w:val="single"/>
        </w:rPr>
      </w:pPr>
      <w:r>
        <w:rPr>
          <w:rFonts w:hint="eastAsia" w:ascii="宋体" w:hAnsi="宋体"/>
          <w:color w:val="auto"/>
          <w:szCs w:val="21"/>
          <w:highlight w:val="none"/>
        </w:rPr>
        <w:t>全过程项目质量目标：</w:t>
      </w:r>
      <w:permStart w:id="6" w:edGrp="everyone"/>
      <w:r>
        <w:rPr>
          <w:rFonts w:hint="eastAsia" w:ascii="宋体" w:hAnsi="宋体"/>
          <w:color w:val="auto"/>
          <w:szCs w:val="21"/>
          <w:highlight w:val="none"/>
          <w:u w:val="single"/>
        </w:rPr>
        <w:t xml:space="preserve">                              </w:t>
      </w:r>
    </w:p>
    <w:permEnd w:id="6"/>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安全目标：</w:t>
      </w:r>
      <w:permStart w:id="7" w:edGrp="everyone"/>
      <w:r>
        <w:rPr>
          <w:rFonts w:hint="eastAsia" w:ascii="宋体" w:hAnsi="宋体"/>
          <w:color w:val="auto"/>
          <w:szCs w:val="21"/>
          <w:highlight w:val="none"/>
          <w:u w:val="single"/>
        </w:rPr>
        <w:t xml:space="preserve">                              </w:t>
      </w:r>
      <w:permEnd w:id="7"/>
    </w:p>
    <w:p>
      <w:pPr>
        <w:pStyle w:val="17"/>
        <w:spacing w:after="0"/>
        <w:ind w:left="0" w:leftChars="0" w:firstLine="420" w:firstLineChars="200"/>
        <w:rPr>
          <w:rFonts w:ascii="宋体" w:hAnsi="宋体"/>
          <w:color w:val="auto"/>
          <w:szCs w:val="21"/>
          <w:highlight w:val="none"/>
          <w:u w:val="single"/>
        </w:rPr>
      </w:pPr>
      <w:r>
        <w:rPr>
          <w:rFonts w:hint="eastAsia" w:ascii="宋体" w:hAnsi="宋体"/>
          <w:color w:val="auto"/>
          <w:szCs w:val="21"/>
          <w:highlight w:val="none"/>
        </w:rPr>
        <w:t>文明施工目标：</w:t>
      </w:r>
      <w:permStart w:id="8" w:edGrp="everyone"/>
      <w:r>
        <w:rPr>
          <w:rFonts w:hint="eastAsia" w:ascii="宋体" w:hAnsi="宋体"/>
          <w:color w:val="auto"/>
          <w:szCs w:val="21"/>
          <w:highlight w:val="none"/>
          <w:u w:val="single"/>
        </w:rPr>
        <w:t xml:space="preserve">                              </w:t>
      </w:r>
    </w:p>
    <w:permEnd w:id="8"/>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计划开工日期为</w:t>
      </w:r>
      <w:permStart w:id="9" w:edGrp="everyone"/>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ermEnd w:id="9"/>
      <w:r>
        <w:rPr>
          <w:rFonts w:hint="eastAsia" w:ascii="宋体" w:hAnsi="宋体"/>
          <w:color w:val="auto"/>
          <w:szCs w:val="21"/>
          <w:highlight w:val="none"/>
        </w:rPr>
        <w:t>，计划竣工日期为</w:t>
      </w:r>
      <w:permStart w:id="10" w:edGrp="everyone"/>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ermEnd w:id="10"/>
      <w:r>
        <w:rPr>
          <w:rFonts w:hint="eastAsia" w:ascii="宋体" w:hAnsi="宋体"/>
          <w:color w:val="auto"/>
          <w:szCs w:val="21"/>
          <w:highlight w:val="none"/>
        </w:rPr>
        <w:t>，总日历天数</w:t>
      </w:r>
      <w:permStart w:id="11" w:edGrp="everyone"/>
      <w:r>
        <w:rPr>
          <w:rFonts w:hint="eastAsia" w:ascii="宋体" w:hAnsi="宋体"/>
          <w:color w:val="auto"/>
          <w:szCs w:val="21"/>
          <w:highlight w:val="none"/>
          <w:u w:val="single"/>
        </w:rPr>
        <w:t xml:space="preserve">    </w:t>
      </w:r>
      <w:permEnd w:id="11"/>
      <w:r>
        <w:rPr>
          <w:rFonts w:hint="eastAsia" w:ascii="宋体" w:hAnsi="宋体"/>
          <w:color w:val="auto"/>
          <w:szCs w:val="21"/>
          <w:highlight w:val="none"/>
        </w:rPr>
        <w:t>天。实际</w:t>
      </w:r>
      <w:r>
        <w:rPr>
          <w:rFonts w:ascii="宋体" w:hAnsi="宋体"/>
          <w:color w:val="auto"/>
          <w:szCs w:val="21"/>
          <w:highlight w:val="none"/>
        </w:rPr>
        <w:t>开工日期以发包人和监理发布的开工日期为准，</w:t>
      </w:r>
      <w:r>
        <w:rPr>
          <w:rFonts w:hint="eastAsia" w:ascii="宋体" w:hAnsi="宋体"/>
          <w:color w:val="auto"/>
          <w:szCs w:val="21"/>
          <w:highlight w:val="none"/>
        </w:rPr>
        <w:t>相应竣工</w:t>
      </w:r>
      <w:r>
        <w:rPr>
          <w:rFonts w:ascii="宋体" w:hAnsi="宋体"/>
          <w:color w:val="auto"/>
          <w:szCs w:val="21"/>
          <w:highlight w:val="none"/>
        </w:rPr>
        <w:t>日期根据实际开工日期</w:t>
      </w:r>
      <w:r>
        <w:rPr>
          <w:rFonts w:hint="eastAsia" w:ascii="宋体" w:hAnsi="宋体"/>
          <w:color w:val="auto"/>
          <w:szCs w:val="21"/>
          <w:highlight w:val="none"/>
        </w:rPr>
        <w:t>相应</w:t>
      </w:r>
      <w:r>
        <w:rPr>
          <w:rFonts w:ascii="宋体" w:hAnsi="宋体"/>
          <w:color w:val="auto"/>
          <w:szCs w:val="21"/>
          <w:highlight w:val="none"/>
        </w:rPr>
        <w:t>顺延</w:t>
      </w:r>
      <w:r>
        <w:rPr>
          <w:rFonts w:hint="eastAsia" w:ascii="宋体" w:hAnsi="宋体"/>
          <w:color w:val="auto"/>
          <w:szCs w:val="21"/>
          <w:highlight w:val="none"/>
        </w:rPr>
        <w:t>。</w:t>
      </w:r>
    </w:p>
    <w:p>
      <w:pPr>
        <w:pStyle w:val="131"/>
        <w:spacing w:after="0" w:line="240" w:lineRule="auto"/>
        <w:ind w:left="0" w:leftChars="0" w:firstLine="422" w:firstLineChars="200"/>
        <w:outlineLvl w:val="2"/>
        <w:rPr>
          <w:rFonts w:ascii="宋体"/>
          <w:color w:val="auto"/>
          <w:highlight w:val="none"/>
        </w:rPr>
      </w:pPr>
      <w:r>
        <w:rPr>
          <w:rFonts w:ascii="宋体"/>
          <w:color w:val="auto"/>
          <w:highlight w:val="none"/>
        </w:rPr>
        <w:t>4</w:t>
      </w:r>
      <w:r>
        <w:rPr>
          <w:rFonts w:hint="eastAsia" w:ascii="宋体"/>
          <w:color w:val="auto"/>
          <w:highlight w:val="none"/>
        </w:rPr>
        <w:t xml:space="preserve"> 承包人项目经理</w:t>
      </w:r>
    </w:p>
    <w:p>
      <w:pPr>
        <w:pStyle w:val="17"/>
        <w:spacing w:after="0"/>
        <w:ind w:left="0" w:leftChars="0" w:firstLine="420" w:firstLineChars="200"/>
        <w:rPr>
          <w:rFonts w:ascii="宋体" w:hAnsi="宋体"/>
          <w:color w:val="auto"/>
          <w:szCs w:val="21"/>
          <w:highlight w:val="none"/>
          <w:u w:val="single"/>
        </w:rPr>
      </w:pPr>
      <w:r>
        <w:rPr>
          <w:rFonts w:hint="eastAsia" w:ascii="宋体" w:hAnsi="宋体"/>
          <w:color w:val="auto"/>
          <w:szCs w:val="21"/>
          <w:highlight w:val="none"/>
        </w:rPr>
        <w:t>承包人项目</w:t>
      </w:r>
      <w:r>
        <w:rPr>
          <w:rFonts w:ascii="宋体" w:hAnsi="宋体"/>
          <w:color w:val="auto"/>
          <w:szCs w:val="21"/>
          <w:highlight w:val="none"/>
        </w:rPr>
        <w:t>经理</w:t>
      </w:r>
      <w:r>
        <w:rPr>
          <w:rFonts w:hint="eastAsia" w:ascii="宋体" w:hAnsi="宋体"/>
          <w:color w:val="auto"/>
          <w:szCs w:val="21"/>
          <w:highlight w:val="none"/>
        </w:rPr>
        <w:t>：</w:t>
      </w:r>
      <w:permStart w:id="12" w:edGrp="everyone"/>
      <w:r>
        <w:rPr>
          <w:rFonts w:hint="eastAsia" w:ascii="宋体" w:hAnsi="宋体"/>
          <w:color w:val="auto"/>
          <w:szCs w:val="21"/>
          <w:highlight w:val="none"/>
          <w:u w:val="single"/>
        </w:rPr>
        <w:t xml:space="preserve">                                                    </w:t>
      </w:r>
    </w:p>
    <w:permEnd w:id="12"/>
    <w:p>
      <w:pPr>
        <w:pStyle w:val="131"/>
        <w:spacing w:after="0" w:line="240" w:lineRule="auto"/>
        <w:ind w:left="0" w:leftChars="0" w:firstLine="422" w:firstLineChars="200"/>
        <w:outlineLvl w:val="2"/>
        <w:rPr>
          <w:rFonts w:ascii="宋体"/>
          <w:color w:val="auto"/>
          <w:highlight w:val="none"/>
        </w:rPr>
      </w:pPr>
      <w:r>
        <w:rPr>
          <w:rFonts w:ascii="宋体"/>
          <w:color w:val="auto"/>
          <w:highlight w:val="none"/>
        </w:rPr>
        <w:t>5</w:t>
      </w:r>
      <w:r>
        <w:rPr>
          <w:rFonts w:hint="eastAsia" w:ascii="宋体"/>
          <w:color w:val="auto"/>
          <w:highlight w:val="none"/>
        </w:rPr>
        <w:t xml:space="preserve"> 合同文件构成</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下列文件一起构成合同文件：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本合同</w:t>
      </w:r>
      <w:r>
        <w:rPr>
          <w:rFonts w:ascii="宋体" w:hAnsi="宋体"/>
          <w:color w:val="auto"/>
          <w:szCs w:val="21"/>
          <w:highlight w:val="none"/>
        </w:rPr>
        <w:t>协议书</w:t>
      </w:r>
      <w:r>
        <w:rPr>
          <w:rFonts w:hint="eastAsia" w:ascii="宋体" w:hAnsi="宋体"/>
          <w:color w:val="auto"/>
          <w:szCs w:val="21"/>
          <w:highlight w:val="none"/>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）中标通知书；</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）专用合同条款及合同附件；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）通用合同条款；</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）招标文件（含答疑及澄清）；</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）投标函及投标文件（含澄清</w:t>
      </w:r>
      <w:r>
        <w:rPr>
          <w:rFonts w:ascii="宋体" w:hAnsi="宋体"/>
          <w:color w:val="auto"/>
          <w:szCs w:val="21"/>
          <w:highlight w:val="none"/>
        </w:rPr>
        <w:t>）</w:t>
      </w:r>
      <w:r>
        <w:rPr>
          <w:rFonts w:hint="eastAsia" w:ascii="宋体" w:hAnsi="宋体"/>
          <w:color w:val="auto"/>
          <w:szCs w:val="21"/>
          <w:highlight w:val="none"/>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）技术标准和要求；</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）图纸；</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9</w:t>
      </w:r>
      <w:r>
        <w:rPr>
          <w:rFonts w:hint="eastAsia" w:ascii="宋体" w:hAnsi="宋体"/>
          <w:color w:val="auto"/>
          <w:szCs w:val="21"/>
          <w:highlight w:val="none"/>
        </w:rPr>
        <w:t>）已标价工程量清单（或报价书）；</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10</w:t>
      </w:r>
      <w:r>
        <w:rPr>
          <w:rFonts w:hint="eastAsia" w:ascii="宋体" w:hAnsi="宋体"/>
          <w:color w:val="auto"/>
          <w:szCs w:val="21"/>
          <w:highlight w:val="none"/>
        </w:rPr>
        <w:t>）其他合同文件；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）正版标准设计和典型造价（G1-G4层)。</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本合同各文件互为补充和解释，如发现歧义和矛盾，应按照本协议书第5条所列文件先后次序，以所列顺序在前的文件为准。当专用合同条款与通用合同条款发生冲突，应以专用合同条款为准。</w:t>
      </w:r>
    </w:p>
    <w:p>
      <w:pPr>
        <w:pStyle w:val="131"/>
        <w:spacing w:after="0" w:line="240" w:lineRule="auto"/>
        <w:ind w:left="0" w:leftChars="0" w:firstLine="422" w:firstLineChars="200"/>
        <w:outlineLvl w:val="2"/>
        <w:rPr>
          <w:rFonts w:ascii="宋体"/>
          <w:color w:val="auto"/>
          <w:highlight w:val="none"/>
        </w:rPr>
      </w:pPr>
      <w:r>
        <w:rPr>
          <w:rFonts w:ascii="宋体"/>
          <w:color w:val="auto"/>
          <w:highlight w:val="none"/>
        </w:rPr>
        <w:t>6</w:t>
      </w:r>
      <w:r>
        <w:rPr>
          <w:rFonts w:hint="eastAsia" w:ascii="宋体"/>
          <w:color w:val="auto"/>
          <w:highlight w:val="none"/>
        </w:rPr>
        <w:t xml:space="preserve"> 合同价格及支付条件</w:t>
      </w:r>
    </w:p>
    <w:p>
      <w:pPr>
        <w:pStyle w:val="17"/>
        <w:spacing w:after="0"/>
        <w:ind w:left="0" w:leftChars="0" w:firstLine="420" w:firstLineChars="200"/>
        <w:rPr>
          <w:rFonts w:hint="default" w:ascii="宋体" w:hAnsi="宋体"/>
          <w:color w:val="auto"/>
          <w:szCs w:val="21"/>
          <w:highlight w:val="none"/>
          <w:u w:val="none"/>
          <w:lang w:val="en-US" w:eastAsia="zh-CN"/>
        </w:rPr>
      </w:pPr>
      <w:r>
        <w:rPr>
          <w:rFonts w:hint="eastAsia" w:ascii="宋体" w:hAnsi="宋体"/>
          <w:color w:val="auto"/>
          <w:szCs w:val="21"/>
          <w:highlight w:val="none"/>
          <w:lang w:val="en-US" w:eastAsia="zh-CN"/>
        </w:rPr>
        <w:t xml:space="preserve">6.1 </w:t>
      </w:r>
      <w:r>
        <w:rPr>
          <w:rFonts w:hint="eastAsia" w:ascii="宋体" w:hAnsi="宋体"/>
          <w:color w:val="auto"/>
          <w:szCs w:val="21"/>
          <w:highlight w:val="none"/>
        </w:rPr>
        <w:t>合同总价为人民币（大写）</w:t>
      </w:r>
      <w:sdt>
        <w:sdtPr>
          <w:rPr>
            <w:rFonts w:hint="eastAsia" w:ascii="宋体" w:hAnsi="宋体" w:eastAsia="宋体" w:cs="Times New Roman"/>
            <w:color w:val="auto"/>
            <w:kern w:val="2"/>
            <w:sz w:val="21"/>
            <w:szCs w:val="21"/>
            <w:highlight w:val="none"/>
            <w:lang w:val="en-US" w:eastAsia="zh-CN" w:bidi="ar-SA"/>
          </w:rPr>
          <w:alias w:val="合同大写金额"/>
          <w:tag w:val="合同大写金额"/>
          <w:id w:val="147476945"/>
          <w:placeholder>
            <w:docPart w:val="{c95be0fb-6fe4-4f6d-9d14-dd6be718cd76}"/>
          </w:placeholder>
        </w:sdtPr>
        <w:sdtEndPr>
          <w:rPr>
            <w:rFonts w:hint="eastAsia" w:ascii="宋体" w:hAnsi="宋体" w:eastAsia="宋体" w:cs="Times New Roman"/>
            <w:color w:val="auto"/>
            <w:kern w:val="2"/>
            <w:sz w:val="21"/>
            <w:szCs w:val="21"/>
            <w:highlight w:val="none"/>
            <w:u w:val="single"/>
            <w:lang w:val="en-US" w:eastAsia="zh-CN" w:bidi="ar-SA"/>
          </w:rPr>
        </w:sdtEndPr>
        <w:sdtContent>
          <w:permStart w:id="13" w:edGrp="everyone"/>
          <w:r>
            <w:rPr>
              <w:rFonts w:hint="eastAsia" w:ascii="宋体" w:hAnsi="宋体"/>
              <w:color w:val="auto"/>
              <w:szCs w:val="21"/>
              <w:highlight w:val="none"/>
              <w:u w:val="single"/>
            </w:rPr>
            <w:t xml:space="preserve">                </w:t>
          </w:r>
        </w:sdtContent>
      </w:sdt>
      <w:r>
        <w:rPr>
          <w:rFonts w:hint="eastAsia" w:ascii="宋体" w:hAnsi="宋体"/>
          <w:color w:val="auto"/>
          <w:szCs w:val="21"/>
          <w:highlight w:val="none"/>
          <w:u w:val="single"/>
        </w:rPr>
        <w:t xml:space="preserve"> </w:t>
      </w:r>
      <w:permEnd w:id="13"/>
      <w:r>
        <w:rPr>
          <w:rFonts w:hint="eastAsia" w:ascii="宋体" w:hAnsi="宋体"/>
          <w:color w:val="auto"/>
          <w:szCs w:val="21"/>
          <w:highlight w:val="none"/>
        </w:rPr>
        <w:t>（</w:t>
      </w:r>
      <w:r>
        <w:rPr>
          <w:rFonts w:ascii="宋体" w:hAnsi="宋体"/>
          <w:color w:val="auto"/>
          <w:szCs w:val="21"/>
          <w:highlight w:val="none"/>
        </w:rPr>
        <w:t>¥</w:t>
      </w:r>
      <w:permStart w:id="14" w:edGrp="everyone"/>
      <w:r>
        <w:rPr>
          <w:rFonts w:hint="eastAsia" w:ascii="宋体" w:hAnsi="宋体"/>
          <w:color w:val="auto"/>
          <w:szCs w:val="21"/>
          <w:highlight w:val="none"/>
          <w:u w:val="single"/>
        </w:rPr>
        <w:t xml:space="preserve"> </w:t>
      </w:r>
      <w:sdt>
        <w:sdtPr>
          <w:rPr>
            <w:rFonts w:hint="eastAsia" w:ascii="宋体" w:hAnsi="宋体" w:eastAsia="宋体" w:cs="Times New Roman"/>
            <w:color w:val="auto"/>
            <w:kern w:val="2"/>
            <w:sz w:val="21"/>
            <w:szCs w:val="21"/>
            <w:highlight w:val="none"/>
            <w:u w:val="single"/>
            <w:lang w:val="en-US" w:eastAsia="zh-CN" w:bidi="ar-SA"/>
          </w:rPr>
          <w:alias w:val="合同金额"/>
          <w:tag w:val="合同金额"/>
          <w:id w:val="147476867"/>
          <w:placeholder>
            <w:docPart w:val="{1bdb7ac7-4378-435a-abcd-f74c2f5dc7da}"/>
          </w:placeholder>
        </w:sdtPr>
        <w:sdtEndPr>
          <w:rPr>
            <w:rFonts w:hint="eastAsia" w:ascii="宋体" w:hAnsi="宋体" w:eastAsia="宋体" w:cs="Times New Roman"/>
            <w:color w:val="auto"/>
            <w:kern w:val="2"/>
            <w:sz w:val="21"/>
            <w:szCs w:val="21"/>
            <w:highlight w:val="none"/>
            <w:u w:val="single"/>
            <w:lang w:val="en-US" w:eastAsia="zh-CN" w:bidi="ar-SA"/>
          </w:rPr>
        </w:sdtEndPr>
        <w:sdtContent>
          <w:r>
            <w:rPr>
              <w:rFonts w:hint="eastAsia" w:ascii="宋体" w:hAnsi="宋体"/>
              <w:color w:val="auto"/>
              <w:szCs w:val="21"/>
              <w:highlight w:val="none"/>
              <w:u w:val="single"/>
            </w:rPr>
            <w:t xml:space="preserve">           </w:t>
          </w:r>
          <w:permEnd w:id="14"/>
        </w:sdtContent>
      </w:sdt>
      <w:r>
        <w:rPr>
          <w:rFonts w:hint="eastAsia" w:ascii="宋体" w:hAnsi="宋体"/>
          <w:color w:val="auto"/>
          <w:szCs w:val="21"/>
          <w:highlight w:val="none"/>
        </w:rPr>
        <w:t>元)。其中安全文明施工费人民币（大写）</w:t>
      </w:r>
      <w:permStart w:id="15" w:edGrp="everyone"/>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w:t>
      </w:r>
      <w:permEnd w:id="15"/>
      <w:r>
        <w:rPr>
          <w:rFonts w:hint="eastAsia" w:ascii="宋体" w:hAnsi="宋体"/>
          <w:color w:val="auto"/>
          <w:szCs w:val="21"/>
          <w:highlight w:val="none"/>
        </w:rPr>
        <w:t>）。</w:t>
      </w:r>
    </w:p>
    <w:p>
      <w:pPr>
        <w:pStyle w:val="17"/>
        <w:spacing w:after="0"/>
        <w:ind w:left="0" w:leftChars="0"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6.2结算方式：</w:t>
      </w:r>
      <w:r>
        <w:rPr>
          <w:rFonts w:hint="default" w:hAnsi="宋体" w:eastAsia="宋体"/>
          <w:bCs/>
          <w:color w:val="auto"/>
          <w:szCs w:val="21"/>
          <w:highlight w:val="none"/>
          <w:lang w:val="en-US" w:eastAsia="zh-CN"/>
        </w:rPr>
        <w:t>招标施工图纸范围内采用总价包干。施工过程中产生的设计变更、业主委托变更、签证部分以第三方审定的价格作为审定结算价</w:t>
      </w:r>
      <w:r>
        <w:rPr>
          <w:rFonts w:hint="eastAsia" w:ascii="宋体" w:hAnsi="宋体"/>
          <w:color w:val="auto"/>
          <w:szCs w:val="21"/>
          <w:highlight w:val="none"/>
          <w:u w:val="none"/>
          <w:lang w:val="en-US" w:eastAsia="zh-CN"/>
        </w:rPr>
        <w:t>。</w:t>
      </w:r>
    </w:p>
    <w:p>
      <w:pPr>
        <w:pStyle w:val="17"/>
        <w:spacing w:after="0"/>
        <w:ind w:left="0" w:leftChars="0" w:firstLine="420" w:firstLineChars="200"/>
        <w:rPr>
          <w:rFonts w:hint="eastAsia" w:ascii="宋体" w:hAnsi="宋体"/>
          <w:color w:val="auto"/>
          <w:szCs w:val="21"/>
          <w:highlight w:val="none"/>
          <w:u w:val="none"/>
          <w:lang w:val="en-US" w:eastAsia="zh-CN"/>
        </w:rPr>
      </w:pPr>
      <w:r>
        <w:rPr>
          <w:rFonts w:hint="eastAsia" w:ascii="宋体" w:hAnsi="宋体"/>
          <w:color w:val="auto"/>
          <w:highlight w:val="none"/>
          <w:lang w:val="en-US" w:eastAsia="zh-CN"/>
        </w:rPr>
        <w:t xml:space="preserve">6.3 </w:t>
      </w:r>
      <w:r>
        <w:rPr>
          <w:rFonts w:hint="eastAsia" w:ascii="宋体" w:hAnsi="宋体"/>
          <w:color w:val="auto"/>
          <w:highlight w:val="none"/>
        </w:rPr>
        <w:t>承包人应根据《保障农民工工资支付条例》（中华人民共和国国务院令 第724号）及相关</w:t>
      </w:r>
      <w:r>
        <w:rPr>
          <w:rFonts w:hint="eastAsia" w:ascii="宋体" w:hAnsi="宋体"/>
          <w:color w:val="auto"/>
          <w:szCs w:val="22"/>
          <w:highlight w:val="none"/>
        </w:rPr>
        <w:t>规定</w:t>
      </w:r>
      <w:r>
        <w:rPr>
          <w:rFonts w:ascii="宋体" w:hAnsi="宋体"/>
          <w:color w:val="auto"/>
          <w:szCs w:val="22"/>
          <w:highlight w:val="none"/>
        </w:rPr>
        <w:t>开设农民工工资专用账户，专项用于支付</w:t>
      </w:r>
      <w:r>
        <w:rPr>
          <w:rFonts w:hint="eastAsia" w:ascii="宋体" w:hAnsi="宋体"/>
          <w:color w:val="auto"/>
          <w:szCs w:val="22"/>
          <w:highlight w:val="none"/>
        </w:rPr>
        <w:t>本</w:t>
      </w:r>
      <w:r>
        <w:rPr>
          <w:rFonts w:ascii="宋体" w:hAnsi="宋体"/>
          <w:color w:val="auto"/>
          <w:szCs w:val="22"/>
          <w:highlight w:val="none"/>
        </w:rPr>
        <w:t>工程农民工工资。</w:t>
      </w:r>
      <w:r>
        <w:rPr>
          <w:rFonts w:hint="eastAsia" w:ascii="宋体" w:hAnsi="宋体"/>
          <w:color w:val="auto"/>
          <w:szCs w:val="22"/>
          <w:highlight w:val="none"/>
        </w:rPr>
        <w:t>发包人将根据工程进度及承包人</w:t>
      </w:r>
      <w:r>
        <w:rPr>
          <w:rFonts w:hint="eastAsia" w:ascii="宋体" w:hAnsi="宋体"/>
          <w:color w:val="auto"/>
          <w:szCs w:val="21"/>
          <w:highlight w:val="none"/>
          <w:u w:val="none"/>
          <w:lang w:val="en-US" w:eastAsia="zh-CN"/>
        </w:rPr>
        <w:t>的支付申请，并按照保障农民工工资按时足额支付的要求拨付人工费。</w:t>
      </w:r>
    </w:p>
    <w:p>
      <w:pPr>
        <w:pStyle w:val="17"/>
        <w:spacing w:after="0"/>
        <w:ind w:left="0" w:leftChars="0"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承包人为本工程开设的农民工工资专用账户：</w:t>
      </w:r>
    </w:p>
    <w:p>
      <w:pPr>
        <w:pStyle w:val="17"/>
        <w:spacing w:after="0"/>
        <w:ind w:left="0" w:leftChars="0"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开户银行</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，银行账号：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本工程合同价内的农民工工资总额：人民币（大写）____________（¥____________元），占合同总额比例为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 xml:space="preserve"> </w:t>
      </w:r>
      <w:r>
        <w:rPr>
          <w:rFonts w:hint="eastAsia" w:ascii="宋体" w:hAnsi="宋体"/>
          <w:color w:val="auto"/>
          <w:szCs w:val="21"/>
          <w:highlight w:val="none"/>
        </w:rPr>
        <w:t>支付条款及程序在合同条款和附件中另有规定。</w:t>
      </w:r>
    </w:p>
    <w:p>
      <w:pPr>
        <w:pStyle w:val="131"/>
        <w:spacing w:after="0" w:line="240" w:lineRule="auto"/>
        <w:ind w:left="0" w:leftChars="0" w:firstLine="422" w:firstLineChars="200"/>
        <w:outlineLvl w:val="2"/>
        <w:rPr>
          <w:rFonts w:ascii="宋体"/>
          <w:color w:val="auto"/>
          <w:highlight w:val="none"/>
        </w:rPr>
      </w:pPr>
      <w:r>
        <w:rPr>
          <w:rFonts w:ascii="宋体"/>
          <w:color w:val="auto"/>
          <w:highlight w:val="none"/>
        </w:rPr>
        <w:t>7</w:t>
      </w:r>
      <w:r>
        <w:rPr>
          <w:rFonts w:hint="eastAsia" w:ascii="宋体"/>
          <w:color w:val="auto"/>
          <w:highlight w:val="none"/>
        </w:rPr>
        <w:t xml:space="preserve"> 词语含义</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本协议书中词语含义与第二部分通用合同条款中赋予的含义相同。</w:t>
      </w:r>
    </w:p>
    <w:p>
      <w:pPr>
        <w:pStyle w:val="131"/>
        <w:tabs>
          <w:tab w:val="left" w:pos="3855"/>
        </w:tabs>
        <w:spacing w:after="0" w:line="240" w:lineRule="auto"/>
        <w:ind w:left="0" w:leftChars="0" w:firstLine="422" w:firstLineChars="200"/>
        <w:outlineLvl w:val="2"/>
        <w:rPr>
          <w:rFonts w:ascii="宋体"/>
          <w:color w:val="auto"/>
          <w:highlight w:val="none"/>
        </w:rPr>
      </w:pPr>
      <w:r>
        <w:rPr>
          <w:rFonts w:ascii="宋体"/>
          <w:color w:val="auto"/>
          <w:highlight w:val="none"/>
        </w:rPr>
        <w:t>8</w:t>
      </w:r>
      <w:r>
        <w:rPr>
          <w:rFonts w:hint="eastAsia" w:ascii="宋体"/>
          <w:color w:val="auto"/>
          <w:highlight w:val="none"/>
        </w:rPr>
        <w:t xml:space="preserve"> 签订时间</w:t>
      </w:r>
      <w:r>
        <w:rPr>
          <w:rFonts w:ascii="宋体"/>
          <w:color w:val="auto"/>
          <w:highlight w:val="none"/>
        </w:rPr>
        <w:tab/>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本合同于</w:t>
      </w:r>
      <w:permStart w:id="16" w:edGrp="everyone"/>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ermEnd w:id="16"/>
      <w:r>
        <w:rPr>
          <w:rFonts w:hint="eastAsia" w:ascii="宋体" w:hAnsi="宋体"/>
          <w:color w:val="auto"/>
          <w:szCs w:val="21"/>
          <w:highlight w:val="none"/>
        </w:rPr>
        <w:t>签订。</w:t>
      </w:r>
    </w:p>
    <w:p>
      <w:pPr>
        <w:pStyle w:val="131"/>
        <w:spacing w:after="0" w:line="240" w:lineRule="auto"/>
        <w:ind w:left="0" w:leftChars="0" w:firstLine="422" w:firstLineChars="200"/>
        <w:outlineLvl w:val="2"/>
        <w:rPr>
          <w:rFonts w:ascii="宋体"/>
          <w:color w:val="auto"/>
          <w:highlight w:val="none"/>
        </w:rPr>
      </w:pPr>
      <w:r>
        <w:rPr>
          <w:rFonts w:ascii="宋体"/>
          <w:color w:val="auto"/>
          <w:highlight w:val="none"/>
        </w:rPr>
        <w:t>9</w:t>
      </w:r>
      <w:r>
        <w:rPr>
          <w:rFonts w:hint="eastAsia" w:ascii="宋体"/>
          <w:color w:val="auto"/>
          <w:highlight w:val="none"/>
        </w:rPr>
        <w:t xml:space="preserve"> 签订地点</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本合同在</w:t>
      </w:r>
      <w:permStart w:id="17" w:edGrp="everyone"/>
      <w:r>
        <w:rPr>
          <w:rFonts w:hint="eastAsia" w:ascii="宋体" w:hAnsi="宋体"/>
          <w:color w:val="auto"/>
          <w:szCs w:val="21"/>
          <w:highlight w:val="none"/>
          <w:u w:val="single"/>
        </w:rPr>
        <w:t xml:space="preserve">                                    </w:t>
      </w:r>
      <w:permEnd w:id="17"/>
      <w:r>
        <w:rPr>
          <w:rFonts w:hint="eastAsia" w:ascii="宋体" w:hAnsi="宋体"/>
          <w:color w:val="auto"/>
          <w:szCs w:val="21"/>
          <w:highlight w:val="none"/>
        </w:rPr>
        <w:t>签订。</w:t>
      </w:r>
    </w:p>
    <w:p>
      <w:pPr>
        <w:pStyle w:val="131"/>
        <w:spacing w:after="0" w:line="240" w:lineRule="auto"/>
        <w:ind w:left="0" w:leftChars="0" w:firstLine="422" w:firstLineChars="200"/>
        <w:outlineLvl w:val="2"/>
        <w:rPr>
          <w:rFonts w:ascii="宋体"/>
          <w:color w:val="auto"/>
          <w:highlight w:val="none"/>
        </w:rPr>
      </w:pPr>
      <w:r>
        <w:rPr>
          <w:rFonts w:ascii="宋体"/>
          <w:color w:val="auto"/>
          <w:highlight w:val="none"/>
        </w:rPr>
        <w:t>10</w:t>
      </w:r>
      <w:r>
        <w:rPr>
          <w:rFonts w:hint="eastAsia" w:ascii="宋体"/>
          <w:color w:val="auto"/>
          <w:highlight w:val="none"/>
        </w:rPr>
        <w:t xml:space="preserve"> 合同生效条件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本合同一式</w:t>
      </w:r>
      <w:permStart w:id="18" w:edGrp="everyone"/>
      <w:r>
        <w:rPr>
          <w:rFonts w:hint="eastAsia" w:ascii="宋体" w:hAnsi="宋体"/>
          <w:color w:val="auto"/>
          <w:szCs w:val="21"/>
          <w:highlight w:val="none"/>
          <w:u w:val="single"/>
        </w:rPr>
        <w:t xml:space="preserve">     </w:t>
      </w:r>
      <w:permEnd w:id="18"/>
      <w:r>
        <w:rPr>
          <w:rFonts w:hint="eastAsia" w:ascii="宋体" w:hAnsi="宋体"/>
          <w:color w:val="auto"/>
          <w:szCs w:val="21"/>
          <w:highlight w:val="none"/>
        </w:rPr>
        <w:t>份，均具有同等法律效力，发包人执</w:t>
      </w:r>
      <w:permStart w:id="19" w:edGrp="everyone"/>
      <w:r>
        <w:rPr>
          <w:rFonts w:hint="eastAsia" w:ascii="宋体" w:hAnsi="宋体"/>
          <w:color w:val="auto"/>
          <w:szCs w:val="21"/>
          <w:highlight w:val="none"/>
          <w:u w:val="single"/>
        </w:rPr>
        <w:t xml:space="preserve">    </w:t>
      </w:r>
      <w:permEnd w:id="19"/>
      <w:r>
        <w:rPr>
          <w:rFonts w:hint="eastAsia" w:ascii="宋体" w:hAnsi="宋体"/>
          <w:color w:val="auto"/>
          <w:szCs w:val="21"/>
          <w:highlight w:val="none"/>
        </w:rPr>
        <w:t>份，承包人执</w:t>
      </w:r>
      <w:permStart w:id="20" w:edGrp="everyone"/>
      <w:r>
        <w:rPr>
          <w:rFonts w:hint="eastAsia" w:ascii="宋体" w:hAnsi="宋体"/>
          <w:color w:val="auto"/>
          <w:szCs w:val="21"/>
          <w:highlight w:val="none"/>
          <w:u w:val="single"/>
        </w:rPr>
        <w:t xml:space="preserve">    </w:t>
      </w:r>
      <w:permEnd w:id="20"/>
      <w:r>
        <w:rPr>
          <w:rFonts w:hint="eastAsia" w:ascii="宋体" w:hAnsi="宋体"/>
          <w:color w:val="auto"/>
          <w:szCs w:val="21"/>
          <w:highlight w:val="none"/>
        </w:rPr>
        <w:t>份。</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本合同由双方法定代表人或委托代理人签字、盖章后生效。</w:t>
      </w: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rPr>
        <w:t>1</w:t>
      </w:r>
      <w:r>
        <w:rPr>
          <w:rFonts w:ascii="宋体"/>
          <w:color w:val="auto"/>
          <w:highlight w:val="none"/>
        </w:rPr>
        <w:t>1</w:t>
      </w:r>
      <w:r>
        <w:rPr>
          <w:rFonts w:hint="eastAsia" w:ascii="宋体"/>
          <w:color w:val="auto"/>
          <w:highlight w:val="none"/>
        </w:rPr>
        <w:t xml:space="preserve"> 承诺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发包人承诺按照法律规定履行项目审批手续，按照合同约定提供施工条件，并按合同约定的期限和方式支付合同价款。</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承包人承诺按照法律规定及合同约定组织完成工程施工，确保工程质量和安全，</w:t>
      </w:r>
      <w:r>
        <w:rPr>
          <w:rFonts w:hint="eastAsia" w:ascii="宋体" w:hAnsi="宋体" w:cs="宋体"/>
          <w:color w:val="auto"/>
          <w:kern w:val="0"/>
          <w:szCs w:val="21"/>
          <w:highlight w:val="none"/>
        </w:rPr>
        <w:t>不进行违法转包及违法分包和挂靠</w:t>
      </w:r>
      <w:r>
        <w:rPr>
          <w:rFonts w:hint="eastAsia" w:ascii="宋体" w:hAnsi="宋体"/>
          <w:color w:val="auto"/>
          <w:szCs w:val="21"/>
          <w:highlight w:val="none"/>
        </w:rPr>
        <w:t>，并在缺陷责任期及保修期内承担相应的工程维修责任。</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承包人承诺，承包人已仔细阅读合同中列明的中国南方电网有限公司基建管理各项管理规定，在项目执行期间自愿服从并严格遵守合同中各项管理规定的要求。在项目执行期间如若违反相关管理</w:t>
      </w:r>
      <w:r>
        <w:rPr>
          <w:rFonts w:ascii="宋体" w:hAnsi="宋体"/>
          <w:color w:val="auto"/>
          <w:szCs w:val="21"/>
          <w:highlight w:val="none"/>
        </w:rPr>
        <w:t>规定</w:t>
      </w:r>
      <w:r>
        <w:rPr>
          <w:rFonts w:hint="eastAsia" w:ascii="宋体" w:hAnsi="宋体"/>
          <w:color w:val="auto"/>
          <w:szCs w:val="21"/>
          <w:highlight w:val="none"/>
        </w:rPr>
        <w:t>，承包人自愿接受发包人相关的处罚（如通报批评、承包人考核扣分、停止投标资格以及依照合同额相关比例进行扣罚）。</w:t>
      </w: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rPr>
        <w:t>1</w:t>
      </w:r>
      <w:r>
        <w:rPr>
          <w:rFonts w:ascii="宋体"/>
          <w:color w:val="auto"/>
          <w:highlight w:val="none"/>
        </w:rPr>
        <w:t>2</w:t>
      </w:r>
      <w:r>
        <w:rPr>
          <w:rFonts w:hint="eastAsia" w:ascii="宋体"/>
          <w:color w:val="auto"/>
          <w:highlight w:val="none"/>
        </w:rPr>
        <w:t xml:space="preserve"> 补充协议</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合同未尽事宜，双方另行签订补充协议（含工程洽商记录、会议纪要、工程变更、现场签证、索赔和合同价款调整报告等修正文件），补充协议是合同的组成部分。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发包人和承包人的法定代表人或委托代理人在上述的日期签字并加盖公章，并将依法执行本合同。</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（本页以下无正文）</w:t>
      </w:r>
      <w:r>
        <w:rPr>
          <w:rFonts w:ascii="宋体" w:hAnsi="宋体"/>
          <w:color w:val="auto"/>
          <w:szCs w:val="21"/>
          <w:highlight w:val="none"/>
        </w:rPr>
        <w:br w:type="page"/>
      </w:r>
      <w:r>
        <w:rPr>
          <w:rFonts w:hint="eastAsia" w:ascii="宋体" w:hAnsi="宋体"/>
          <w:color w:val="auto"/>
          <w:szCs w:val="21"/>
          <w:highlight w:val="none"/>
        </w:rPr>
        <w:t>(本页为签署页，无正文)</w:t>
      </w:r>
    </w:p>
    <w:p>
      <w:pPr>
        <w:pStyle w:val="17"/>
        <w:spacing w:after="0"/>
        <w:ind w:left="0" w:leftChars="0" w:firstLine="424" w:firstLineChars="202"/>
        <w:rPr>
          <w:rFonts w:ascii="宋体" w:hAnsi="宋体"/>
          <w:color w:val="auto"/>
          <w:szCs w:val="21"/>
          <w:highlight w:val="none"/>
        </w:rPr>
      </w:pPr>
      <w:permStart w:id="21" w:edGrp="everyone"/>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发包人</w:t>
      </w:r>
      <w:r>
        <w:rPr>
          <w:rFonts w:ascii="宋体" w:hAnsi="宋体"/>
          <w:color w:val="auto"/>
          <w:szCs w:val="21"/>
          <w:highlight w:val="none"/>
        </w:rPr>
        <w:t>（盖章）</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r>
        <w:rPr>
          <w:rFonts w:hint="eastAsia"/>
          <w:color w:val="auto"/>
          <w:highlight w:val="none"/>
          <w:lang w:val="en-US" w:eastAsia="zh-CN"/>
        </w:rPr>
        <w:t xml:space="preserve">  </w:t>
      </w:r>
      <w:sdt>
        <w:sdtPr>
          <w:rPr>
            <w:rFonts w:hint="eastAsia" w:asciiTheme="minorHAnsi" w:hAnsiTheme="minorHAnsi" w:eastAsiaTheme="minorEastAsia" w:cstheme="minorBidi"/>
            <w:color w:val="auto"/>
            <w:kern w:val="2"/>
            <w:sz w:val="21"/>
            <w:szCs w:val="24"/>
            <w:highlight w:val="none"/>
            <w:lang w:val="en-US" w:eastAsia="zh-CN" w:bidi="ar-SA"/>
          </w:rPr>
          <w:alias w:val="甲方当事人全称"/>
          <w:tag w:val="甲方当事人全称"/>
          <w:id w:val="147467539"/>
          <w:placeholder>
            <w:docPart w:val="{951eb614-43b4-4de7-b274-68becf67f400}"/>
          </w:placeholder>
          <w:text/>
        </w:sdtPr>
        <w:sdtEndPr>
          <w:rPr>
            <w:rFonts w:hint="eastAsia" w:asciiTheme="minorHAnsi" w:hAnsiTheme="minorHAnsi" w:eastAsiaTheme="minorEastAsia" w:cstheme="minorBidi"/>
            <w:color w:val="auto"/>
            <w:kern w:val="2"/>
            <w:sz w:val="21"/>
            <w:szCs w:val="24"/>
            <w:highlight w:val="none"/>
            <w:lang w:val="en-US" w:eastAsia="zh-CN" w:bidi="ar-SA"/>
          </w:rPr>
        </w:sdtEndPr>
        <w:sdtContent>
          <w:r>
            <w:rPr>
              <w:rFonts w:hint="eastAsia" w:asciiTheme="minorHAnsi" w:hAnsiTheme="minorHAnsi" w:eastAsiaTheme="minorEastAsia" w:cstheme="minorBidi"/>
              <w:color w:val="auto"/>
              <w:kern w:val="2"/>
              <w:sz w:val="21"/>
              <w:szCs w:val="24"/>
              <w:highlight w:val="none"/>
              <w:lang w:val="en-US" w:eastAsia="zh-CN" w:bidi="ar-SA"/>
            </w:rPr>
            <w:t xml:space="preserve">  </w:t>
          </w:r>
        </w:sdtContent>
      </w:sdt>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承包人</w:t>
      </w:r>
      <w:r>
        <w:rPr>
          <w:rFonts w:ascii="宋体" w:hAnsi="宋体"/>
          <w:color w:val="auto"/>
          <w:szCs w:val="21"/>
          <w:highlight w:val="none"/>
        </w:rPr>
        <w:t>（盖章）：</w:t>
      </w:r>
      <w:r>
        <w:rPr>
          <w:rFonts w:hint="eastAsia" w:ascii="宋体" w:hAnsi="宋体"/>
          <w:color w:val="auto"/>
          <w:szCs w:val="21"/>
          <w:highlight w:val="none"/>
          <w:lang w:val="en-US" w:eastAsia="zh-CN"/>
        </w:rPr>
        <w:t xml:space="preserve"> </w:t>
      </w:r>
      <w:r>
        <w:rPr>
          <w:rFonts w:hint="eastAsia"/>
          <w:color w:val="auto"/>
          <w:highlight w:val="none"/>
          <w:lang w:val="en-US" w:eastAsia="zh-CN"/>
        </w:rPr>
        <w:t xml:space="preserve">  </w:t>
      </w:r>
      <w:sdt>
        <w:sdtPr>
          <w:rPr>
            <w:rFonts w:hint="eastAsia" w:asciiTheme="minorHAnsi" w:hAnsiTheme="minorHAnsi" w:eastAsiaTheme="minorEastAsia" w:cstheme="minorBidi"/>
            <w:color w:val="auto"/>
            <w:kern w:val="2"/>
            <w:sz w:val="21"/>
            <w:szCs w:val="24"/>
            <w:highlight w:val="none"/>
            <w:lang w:val="en-US" w:eastAsia="zh-CN" w:bidi="ar-SA"/>
          </w:rPr>
          <w:alias w:val="乙方当事人全称"/>
          <w:tag w:val="乙方当事人全称"/>
          <w:id w:val="147467539"/>
          <w:placeholder>
            <w:docPart w:val="{27f92d26-dab8-452d-b81f-1c5a9d25b326}"/>
          </w:placeholder>
          <w:text/>
        </w:sdtPr>
        <w:sdtEndPr>
          <w:rPr>
            <w:rFonts w:hint="eastAsia" w:asciiTheme="minorHAnsi" w:hAnsiTheme="minorHAnsi" w:eastAsiaTheme="minorEastAsia" w:cstheme="minorBidi"/>
            <w:color w:val="auto"/>
            <w:kern w:val="2"/>
            <w:sz w:val="21"/>
            <w:szCs w:val="24"/>
            <w:highlight w:val="none"/>
            <w:lang w:val="en-US" w:eastAsia="zh-CN" w:bidi="ar-SA"/>
          </w:rPr>
        </w:sdtEndPr>
        <w:sdtContent>
          <w:r>
            <w:rPr>
              <w:rFonts w:hint="eastAsia" w:asciiTheme="minorHAnsi" w:hAnsiTheme="minorHAnsi" w:eastAsiaTheme="minorEastAsia" w:cstheme="minorBidi"/>
              <w:color w:val="auto"/>
              <w:kern w:val="2"/>
              <w:sz w:val="21"/>
              <w:szCs w:val="24"/>
              <w:highlight w:val="none"/>
              <w:lang w:val="en-US" w:eastAsia="zh-CN" w:bidi="ar-SA"/>
            </w:rPr>
            <w:t xml:space="preserve"> </w:t>
          </w:r>
        </w:sdtContent>
      </w:sdt>
      <w:r>
        <w:rPr>
          <w:rFonts w:hint="eastAsia" w:ascii="宋体" w:hAnsi="宋体"/>
          <w:color w:val="auto"/>
          <w:szCs w:val="21"/>
          <w:highlight w:val="none"/>
          <w:lang w:val="en-US" w:eastAsia="zh-CN"/>
        </w:rPr>
        <w:t xml:space="preserve"> </w:t>
      </w:r>
    </w:p>
    <w:p>
      <w:pPr>
        <w:rPr>
          <w:rFonts w:ascii="宋体" w:hAnsi="宋体"/>
          <w:color w:val="auto"/>
          <w:szCs w:val="21"/>
          <w:highlight w:val="none"/>
        </w:rPr>
      </w:pPr>
      <w:r>
        <w:rPr>
          <w:rFonts w:ascii="宋体" w:hAnsi="宋体"/>
          <w:color w:val="auto"/>
          <w:szCs w:val="21"/>
          <w:highlight w:val="none"/>
        </w:rPr>
        <w:t>法定代表人</w:t>
      </w:r>
      <w:r>
        <w:rPr>
          <w:rFonts w:hint="eastAsia" w:ascii="宋体" w:hAnsi="宋体"/>
          <w:color w:val="auto"/>
          <w:szCs w:val="21"/>
          <w:highlight w:val="none"/>
        </w:rPr>
        <w:t>或</w:t>
      </w:r>
      <w:r>
        <w:rPr>
          <w:rFonts w:ascii="宋体" w:hAnsi="宋体"/>
          <w:color w:val="auto"/>
          <w:szCs w:val="21"/>
          <w:highlight w:val="none"/>
        </w:rPr>
        <w:t xml:space="preserve">委托代理人： </w:t>
      </w:r>
      <w:r>
        <w:rPr>
          <w:rFonts w:hint="eastAsia"/>
          <w:color w:val="auto"/>
          <w:highlight w:val="none"/>
          <w:lang w:val="en-US" w:eastAsia="zh-CN"/>
        </w:rPr>
        <w:t xml:space="preserve"> </w:t>
      </w:r>
      <w:sdt>
        <w:sdtPr>
          <w:rPr>
            <w:rFonts w:hint="eastAsia" w:asciiTheme="minorHAnsi" w:hAnsiTheme="minorHAnsi" w:eastAsiaTheme="minorEastAsia" w:cstheme="minorBidi"/>
            <w:color w:val="auto"/>
            <w:kern w:val="2"/>
            <w:sz w:val="21"/>
            <w:szCs w:val="24"/>
            <w:highlight w:val="none"/>
            <w:lang w:val="en-US" w:eastAsia="zh-CN" w:bidi="ar-SA"/>
          </w:rPr>
          <w:alias w:val="甲方法定代表人"/>
          <w:tag w:val="甲方法定代表人"/>
          <w:id w:val="147467340"/>
          <w:placeholder>
            <w:docPart w:val="{20515fd2-6e74-4621-87c3-c8e191812b4d}"/>
          </w:placeholder>
          <w:text/>
        </w:sdtPr>
        <w:sdtEndPr>
          <w:rPr>
            <w:rFonts w:hint="eastAsia" w:asciiTheme="minorHAnsi" w:hAnsiTheme="minorHAnsi" w:eastAsiaTheme="minorEastAsia" w:cstheme="minorBidi"/>
            <w:color w:val="auto"/>
            <w:kern w:val="2"/>
            <w:sz w:val="21"/>
            <w:szCs w:val="24"/>
            <w:highlight w:val="none"/>
            <w:lang w:val="en-US" w:eastAsia="zh-CN" w:bidi="ar-SA"/>
          </w:rPr>
        </w:sdtEndPr>
        <w:sdtContent>
          <w:r>
            <w:rPr>
              <w:rFonts w:hint="eastAsia" w:asciiTheme="minorHAnsi" w:hAnsiTheme="minorHAnsi" w:eastAsiaTheme="minorEastAsia" w:cstheme="minorBidi"/>
              <w:color w:val="auto"/>
              <w:kern w:val="2"/>
              <w:sz w:val="21"/>
              <w:szCs w:val="24"/>
              <w:highlight w:val="none"/>
              <w:lang w:val="en-US" w:eastAsia="zh-CN" w:bidi="ar-SA"/>
            </w:rPr>
            <w:t xml:space="preserve">  </w:t>
          </w:r>
        </w:sdtContent>
      </w:sdt>
      <w:r>
        <w:rPr>
          <w:rFonts w:ascii="宋体" w:hAnsi="宋体"/>
          <w:color w:val="auto"/>
          <w:szCs w:val="21"/>
          <w:highlight w:val="none"/>
        </w:rPr>
        <w:t xml:space="preserve">       法定代表人</w:t>
      </w:r>
      <w:r>
        <w:rPr>
          <w:rFonts w:hint="eastAsia" w:ascii="宋体" w:hAnsi="宋体"/>
          <w:color w:val="auto"/>
          <w:szCs w:val="21"/>
          <w:highlight w:val="none"/>
        </w:rPr>
        <w:t>或</w:t>
      </w:r>
      <w:r>
        <w:rPr>
          <w:rFonts w:ascii="宋体" w:hAnsi="宋体"/>
          <w:color w:val="auto"/>
          <w:szCs w:val="21"/>
          <w:highlight w:val="none"/>
        </w:rPr>
        <w:t>委托代理人：</w:t>
      </w:r>
      <w:r>
        <w:rPr>
          <w:rFonts w:hint="eastAsia"/>
          <w:color w:val="auto"/>
          <w:highlight w:val="none"/>
          <w:lang w:val="en-US" w:eastAsia="zh-CN"/>
        </w:rPr>
        <w:t xml:space="preserve"> </w:t>
      </w:r>
      <w:sdt>
        <w:sdtPr>
          <w:rPr>
            <w:rFonts w:hint="eastAsia" w:asciiTheme="minorHAnsi" w:hAnsiTheme="minorHAnsi" w:eastAsiaTheme="minorEastAsia" w:cstheme="minorBidi"/>
            <w:color w:val="auto"/>
            <w:kern w:val="2"/>
            <w:sz w:val="21"/>
            <w:szCs w:val="24"/>
            <w:highlight w:val="none"/>
            <w:lang w:val="en-US" w:eastAsia="zh-CN" w:bidi="ar-SA"/>
          </w:rPr>
          <w:alias w:val="乙方法定代表人"/>
          <w:tag w:val="乙方法定代表人"/>
          <w:id w:val="147467340"/>
          <w:placeholder>
            <w:docPart w:val="{c291fd5d-c456-4089-b6f0-79bf7d26bed1}"/>
          </w:placeholder>
          <w:text/>
        </w:sdtPr>
        <w:sdtEndPr>
          <w:rPr>
            <w:rFonts w:hint="eastAsia" w:asciiTheme="minorHAnsi" w:hAnsiTheme="minorHAnsi" w:eastAsiaTheme="minorEastAsia" w:cstheme="minorBidi"/>
            <w:color w:val="auto"/>
            <w:kern w:val="2"/>
            <w:sz w:val="21"/>
            <w:szCs w:val="24"/>
            <w:highlight w:val="none"/>
            <w:lang w:val="en-US" w:eastAsia="zh-CN" w:bidi="ar-SA"/>
          </w:rPr>
        </w:sdtEndPr>
        <w:sdtContent>
          <w:r>
            <w:rPr>
              <w:rFonts w:hint="eastAsia" w:asciiTheme="minorHAnsi" w:hAnsiTheme="minorHAnsi" w:eastAsiaTheme="minorEastAsia" w:cstheme="minorBidi"/>
              <w:color w:val="auto"/>
              <w:kern w:val="2"/>
              <w:sz w:val="21"/>
              <w:szCs w:val="24"/>
              <w:highlight w:val="none"/>
              <w:lang w:val="en-US" w:eastAsia="zh-CN" w:bidi="ar-SA"/>
            </w:rPr>
            <w:t xml:space="preserve"> </w:t>
          </w:r>
        </w:sdtContent>
      </w:sdt>
    </w:p>
    <w:p>
      <w:pPr>
        <w:pStyle w:val="17"/>
        <w:spacing w:after="0"/>
        <w:ind w:left="0" w:leftChars="0" w:firstLine="0" w:firstLineChars="0"/>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rPr>
        <w:t xml:space="preserve">：                             </w:t>
      </w:r>
      <w:r>
        <w:rPr>
          <w:rFonts w:hint="eastAsia" w:ascii="宋体" w:hAnsi="宋体"/>
          <w:color w:val="auto"/>
          <w:szCs w:val="21"/>
          <w:highlight w:val="none"/>
        </w:rPr>
        <w:t>日期</w:t>
      </w:r>
      <w:r>
        <w:rPr>
          <w:rFonts w:ascii="宋体" w:hAnsi="宋体"/>
          <w:color w:val="auto"/>
          <w:szCs w:val="21"/>
          <w:highlight w:val="none"/>
        </w:rPr>
        <w:t>：</w:t>
      </w:r>
    </w:p>
    <w:p>
      <w:pPr>
        <w:rPr>
          <w:rFonts w:ascii="宋体" w:hAnsi="宋体"/>
          <w:color w:val="auto"/>
          <w:szCs w:val="21"/>
          <w:highlight w:val="none"/>
        </w:rPr>
      </w:pPr>
      <w:r>
        <w:rPr>
          <w:rFonts w:ascii="宋体" w:hAnsi="宋体"/>
          <w:color w:val="auto"/>
          <w:szCs w:val="21"/>
          <w:highlight w:val="none"/>
        </w:rPr>
        <w:t xml:space="preserve">开户银行： </w:t>
      </w:r>
      <w:r>
        <w:rPr>
          <w:rFonts w:hint="eastAsia"/>
          <w:color w:val="auto"/>
          <w:highlight w:val="none"/>
          <w:lang w:val="en-US" w:eastAsia="zh-CN"/>
        </w:rPr>
        <w:t xml:space="preserve">  </w:t>
      </w:r>
      <w:sdt>
        <w:sdtPr>
          <w:rPr>
            <w:rFonts w:hint="eastAsia" w:asciiTheme="minorHAnsi" w:hAnsiTheme="minorHAnsi" w:eastAsiaTheme="minorEastAsia" w:cstheme="minorBidi"/>
            <w:color w:val="auto"/>
            <w:kern w:val="2"/>
            <w:sz w:val="21"/>
            <w:szCs w:val="24"/>
            <w:highlight w:val="none"/>
            <w:lang w:val="en-US" w:eastAsia="zh-CN" w:bidi="ar-SA"/>
          </w:rPr>
          <w:alias w:val="甲方开户银行名称"/>
          <w:tag w:val="甲方开户银行名称"/>
          <w:id w:val="147465521"/>
          <w:placeholder>
            <w:docPart w:val="{ede642a2-81ec-4dc0-95e7-286168d3fb0c}"/>
          </w:placeholder>
          <w:text/>
        </w:sdtPr>
        <w:sdtEndPr>
          <w:rPr>
            <w:rFonts w:hint="eastAsia" w:asciiTheme="minorHAnsi" w:hAnsiTheme="minorHAnsi" w:eastAsiaTheme="minorEastAsia" w:cstheme="minorBidi"/>
            <w:color w:val="auto"/>
            <w:kern w:val="2"/>
            <w:sz w:val="21"/>
            <w:szCs w:val="24"/>
            <w:highlight w:val="none"/>
            <w:lang w:val="en-US" w:eastAsia="zh-CN" w:bidi="ar-SA"/>
          </w:rPr>
        </w:sdtEndPr>
        <w:sdtContent>
          <w:r>
            <w:rPr>
              <w:rFonts w:hint="eastAsia" w:asciiTheme="minorHAnsi" w:hAnsiTheme="minorHAnsi" w:eastAsiaTheme="minorEastAsia" w:cstheme="minorBidi"/>
              <w:color w:val="auto"/>
              <w:kern w:val="2"/>
              <w:sz w:val="21"/>
              <w:szCs w:val="24"/>
              <w:highlight w:val="none"/>
              <w:lang w:val="en-US" w:eastAsia="zh-CN" w:bidi="ar-SA"/>
            </w:rPr>
            <w:t xml:space="preserve">  </w:t>
          </w:r>
        </w:sdtContent>
      </w:sdt>
      <w:r>
        <w:rPr>
          <w:rFonts w:ascii="宋体" w:hAnsi="宋体"/>
          <w:color w:val="auto"/>
          <w:szCs w:val="21"/>
          <w:highlight w:val="none"/>
        </w:rPr>
        <w:t xml:space="preserve">                    开户银行：</w:t>
      </w:r>
      <w:r>
        <w:rPr>
          <w:rFonts w:hint="eastAsia"/>
          <w:color w:val="auto"/>
          <w:highlight w:val="none"/>
          <w:lang w:val="en-US" w:eastAsia="zh-CN"/>
        </w:rPr>
        <w:t xml:space="preserve"> </w:t>
      </w:r>
      <w:sdt>
        <w:sdtPr>
          <w:rPr>
            <w:rFonts w:hint="eastAsia" w:asciiTheme="minorHAnsi" w:hAnsiTheme="minorHAnsi" w:eastAsiaTheme="minorEastAsia" w:cstheme="minorBidi"/>
            <w:color w:val="auto"/>
            <w:kern w:val="2"/>
            <w:sz w:val="21"/>
            <w:szCs w:val="24"/>
            <w:highlight w:val="none"/>
            <w:lang w:val="en-US" w:eastAsia="zh-CN" w:bidi="ar-SA"/>
          </w:rPr>
          <w:alias w:val="乙方开户银行名称"/>
          <w:tag w:val="乙方开户银行名称"/>
          <w:id w:val="147465521"/>
          <w:placeholder>
            <w:docPart w:val="{85c78448-e6dc-46c2-b763-ff07a5ce2892}"/>
          </w:placeholder>
          <w:text/>
        </w:sdtPr>
        <w:sdtEndPr>
          <w:rPr>
            <w:rFonts w:hint="eastAsia" w:asciiTheme="minorHAnsi" w:hAnsiTheme="minorHAnsi" w:eastAsiaTheme="minorEastAsia" w:cstheme="minorBidi"/>
            <w:color w:val="auto"/>
            <w:kern w:val="2"/>
            <w:sz w:val="21"/>
            <w:szCs w:val="24"/>
            <w:highlight w:val="none"/>
            <w:lang w:val="en-US" w:eastAsia="zh-CN" w:bidi="ar-SA"/>
          </w:rPr>
        </w:sdtEndPr>
        <w:sdtContent>
          <w:r>
            <w:rPr>
              <w:rFonts w:hint="eastAsia" w:asciiTheme="minorHAnsi" w:hAnsiTheme="minorHAnsi" w:eastAsiaTheme="minorEastAsia" w:cstheme="minorBidi"/>
              <w:color w:val="auto"/>
              <w:kern w:val="2"/>
              <w:sz w:val="21"/>
              <w:szCs w:val="24"/>
              <w:highlight w:val="none"/>
              <w:lang w:val="en-US" w:eastAsia="zh-CN" w:bidi="ar-SA"/>
            </w:rPr>
            <w:t xml:space="preserve">  </w:t>
          </w:r>
        </w:sdtContent>
      </w:sdt>
    </w:p>
    <w:p>
      <w:pPr>
        <w:rPr>
          <w:rFonts w:ascii="宋体" w:hAnsi="宋体"/>
          <w:color w:val="auto"/>
          <w:szCs w:val="21"/>
          <w:highlight w:val="none"/>
        </w:rPr>
      </w:pPr>
      <w:r>
        <w:rPr>
          <w:rFonts w:ascii="宋体" w:hAnsi="宋体"/>
          <w:color w:val="auto"/>
          <w:szCs w:val="21"/>
          <w:highlight w:val="none"/>
        </w:rPr>
        <w:t xml:space="preserve">帐号： </w:t>
      </w:r>
      <w:r>
        <w:rPr>
          <w:rFonts w:hint="eastAsia"/>
          <w:color w:val="auto"/>
          <w:highlight w:val="none"/>
          <w:lang w:val="en-US" w:eastAsia="zh-CN"/>
        </w:rPr>
        <w:t xml:space="preserve">  </w:t>
      </w:r>
      <w:sdt>
        <w:sdtPr>
          <w:rPr>
            <w:rFonts w:hint="eastAsia" w:asciiTheme="minorHAnsi" w:hAnsiTheme="minorHAnsi" w:eastAsiaTheme="minorEastAsia" w:cstheme="minorBidi"/>
            <w:color w:val="auto"/>
            <w:kern w:val="2"/>
            <w:sz w:val="21"/>
            <w:szCs w:val="24"/>
            <w:highlight w:val="none"/>
            <w:lang w:val="en-US" w:eastAsia="zh-CN" w:bidi="ar-SA"/>
          </w:rPr>
          <w:alias w:val="甲方银行账号"/>
          <w:tag w:val="甲方银行账号"/>
          <w:id w:val="147467445"/>
          <w:placeholder>
            <w:docPart w:val="{dfc88c6e-eb15-405f-b1e9-895a1587dd32}"/>
          </w:placeholder>
          <w:text/>
        </w:sdtPr>
        <w:sdtEndPr>
          <w:rPr>
            <w:rFonts w:hint="eastAsia" w:asciiTheme="minorHAnsi" w:hAnsiTheme="minorHAnsi" w:eastAsiaTheme="minorEastAsia" w:cstheme="minorBidi"/>
            <w:color w:val="auto"/>
            <w:kern w:val="2"/>
            <w:sz w:val="21"/>
            <w:szCs w:val="24"/>
            <w:highlight w:val="none"/>
            <w:lang w:val="en-US" w:eastAsia="zh-CN" w:bidi="ar-SA"/>
          </w:rPr>
        </w:sdtEndPr>
        <w:sdtContent>
          <w:r>
            <w:rPr>
              <w:rFonts w:hint="eastAsia" w:asciiTheme="minorHAnsi" w:hAnsiTheme="minorHAnsi" w:eastAsiaTheme="minorEastAsia" w:cstheme="minorBidi"/>
              <w:color w:val="auto"/>
              <w:kern w:val="2"/>
              <w:sz w:val="21"/>
              <w:szCs w:val="24"/>
              <w:highlight w:val="none"/>
              <w:lang w:val="en-US" w:eastAsia="zh-CN" w:bidi="ar-SA"/>
            </w:rPr>
            <w:t xml:space="preserve"> </w:t>
          </w:r>
        </w:sdtContent>
      </w:sdt>
      <w:r>
        <w:rPr>
          <w:rFonts w:ascii="宋体" w:hAnsi="宋体"/>
          <w:color w:val="auto"/>
          <w:szCs w:val="21"/>
          <w:highlight w:val="none"/>
        </w:rPr>
        <w:t xml:space="preserve">                          帐号：</w:t>
      </w:r>
      <w:r>
        <w:rPr>
          <w:rFonts w:hint="eastAsia"/>
          <w:color w:val="auto"/>
          <w:highlight w:val="none"/>
          <w:lang w:val="en-US" w:eastAsia="zh-CN"/>
        </w:rPr>
        <w:t xml:space="preserve">  </w:t>
      </w:r>
      <w:sdt>
        <w:sdtPr>
          <w:rPr>
            <w:rFonts w:hint="eastAsia" w:asciiTheme="minorHAnsi" w:hAnsiTheme="minorHAnsi" w:eastAsiaTheme="minorEastAsia" w:cstheme="minorBidi"/>
            <w:color w:val="auto"/>
            <w:kern w:val="2"/>
            <w:sz w:val="21"/>
            <w:szCs w:val="24"/>
            <w:highlight w:val="none"/>
            <w:lang w:val="en-US" w:eastAsia="zh-CN" w:bidi="ar-SA"/>
          </w:rPr>
          <w:alias w:val="乙方银行账号"/>
          <w:tag w:val="乙方银行账号"/>
          <w:id w:val="147467445"/>
          <w:placeholder>
            <w:docPart w:val="{62056812-41b3-4324-89dc-931675587408}"/>
          </w:placeholder>
          <w:text/>
        </w:sdtPr>
        <w:sdtEndPr>
          <w:rPr>
            <w:rFonts w:hint="eastAsia" w:asciiTheme="minorHAnsi" w:hAnsiTheme="minorHAnsi" w:eastAsiaTheme="minorEastAsia" w:cstheme="minorBidi"/>
            <w:color w:val="auto"/>
            <w:kern w:val="2"/>
            <w:sz w:val="21"/>
            <w:szCs w:val="24"/>
            <w:highlight w:val="none"/>
            <w:lang w:val="en-US" w:eastAsia="zh-CN" w:bidi="ar-SA"/>
          </w:rPr>
        </w:sdtEndPr>
        <w:sdtContent>
          <w:r>
            <w:rPr>
              <w:rFonts w:hint="eastAsia" w:asciiTheme="minorHAnsi" w:hAnsiTheme="minorHAnsi" w:eastAsiaTheme="minorEastAsia" w:cstheme="minorBidi"/>
              <w:color w:val="auto"/>
              <w:kern w:val="2"/>
              <w:sz w:val="21"/>
              <w:szCs w:val="24"/>
              <w:highlight w:val="none"/>
              <w:lang w:val="en-US" w:eastAsia="zh-CN" w:bidi="ar-SA"/>
            </w:rPr>
            <w:t xml:space="preserve"> </w:t>
          </w:r>
        </w:sdtContent>
      </w:sdt>
    </w:p>
    <w:p>
      <w:pPr>
        <w:rPr>
          <w:rFonts w:hint="eastAsia" w:asciiTheme="minorHAnsi" w:hAnsiTheme="minorHAnsi" w:eastAsiaTheme="minorEastAsia" w:cstheme="minorBidi"/>
          <w:color w:val="auto"/>
          <w:kern w:val="2"/>
          <w:sz w:val="21"/>
          <w:szCs w:val="24"/>
          <w:highlight w:val="none"/>
          <w:lang w:val="en-US" w:eastAsia="zh-CN" w:bidi="ar-SA"/>
        </w:rPr>
        <w:sectPr>
          <w:headerReference r:id="rId11" w:type="first"/>
          <w:footerReference r:id="rId14" w:type="first"/>
          <w:headerReference r:id="rId10" w:type="default"/>
          <w:footerReference r:id="rId12" w:type="default"/>
          <w:footerReference r:id="rId13" w:type="even"/>
          <w:pgSz w:w="11906" w:h="16838"/>
          <w:pgMar w:top="1418" w:right="1418" w:bottom="1418" w:left="1418" w:header="964" w:footer="992" w:gutter="0"/>
          <w:cols w:space="720" w:num="1"/>
          <w:docGrid w:type="lines" w:linePitch="312" w:charSpace="0"/>
        </w:sectPr>
      </w:pPr>
      <w:r>
        <w:rPr>
          <w:rFonts w:ascii="宋体" w:hAnsi="宋体"/>
          <w:color w:val="auto"/>
          <w:szCs w:val="21"/>
          <w:highlight w:val="none"/>
        </w:rPr>
        <w:t xml:space="preserve">电话： </w:t>
      </w:r>
      <w:r>
        <w:rPr>
          <w:rFonts w:hint="eastAsia"/>
          <w:color w:val="auto"/>
          <w:highlight w:val="none"/>
          <w:lang w:val="en-US" w:eastAsia="zh-CN"/>
        </w:rPr>
        <w:t xml:space="preserve"> </w:t>
      </w:r>
      <w:sdt>
        <w:sdtPr>
          <w:rPr>
            <w:rFonts w:hint="eastAsia" w:asciiTheme="minorHAnsi" w:hAnsiTheme="minorHAnsi" w:eastAsiaTheme="minorEastAsia" w:cstheme="minorBidi"/>
            <w:color w:val="auto"/>
            <w:kern w:val="2"/>
            <w:sz w:val="21"/>
            <w:szCs w:val="24"/>
            <w:highlight w:val="none"/>
            <w:lang w:val="en-US" w:eastAsia="zh-CN" w:bidi="ar-SA"/>
          </w:rPr>
          <w:alias w:val="甲方联系人手机"/>
          <w:tag w:val="甲方联系人手机"/>
          <w:id w:val="147465652"/>
          <w:placeholder>
            <w:docPart w:val="{0efd7659-297a-4ee5-98b9-90c6b2f20c2c}"/>
          </w:placeholder>
          <w:text/>
        </w:sdtPr>
        <w:sdtEndPr>
          <w:rPr>
            <w:rFonts w:hint="eastAsia" w:asciiTheme="minorHAnsi" w:hAnsiTheme="minorHAnsi" w:eastAsiaTheme="minorEastAsia" w:cstheme="minorBidi"/>
            <w:color w:val="auto"/>
            <w:kern w:val="2"/>
            <w:sz w:val="21"/>
            <w:szCs w:val="24"/>
            <w:highlight w:val="none"/>
            <w:lang w:val="en-US" w:eastAsia="zh-CN" w:bidi="ar-SA"/>
          </w:rPr>
        </w:sdtEndPr>
        <w:sdtContent>
          <w:r>
            <w:rPr>
              <w:rFonts w:hint="eastAsia" w:asciiTheme="minorHAnsi" w:hAnsiTheme="minorHAnsi" w:eastAsiaTheme="minorEastAsia" w:cstheme="minorBidi"/>
              <w:color w:val="auto"/>
              <w:kern w:val="2"/>
              <w:sz w:val="21"/>
              <w:szCs w:val="24"/>
              <w:highlight w:val="none"/>
              <w:lang w:val="en-US" w:eastAsia="zh-CN" w:bidi="ar-SA"/>
            </w:rPr>
            <w:t xml:space="preserve"> </w:t>
          </w:r>
        </w:sdtContent>
      </w:sdt>
      <w:r>
        <w:rPr>
          <w:rFonts w:ascii="宋体" w:hAnsi="宋体"/>
          <w:color w:val="auto"/>
          <w:szCs w:val="21"/>
          <w:highlight w:val="none"/>
        </w:rPr>
        <w:t xml:space="preserve">                           电话：</w:t>
      </w:r>
      <w:r>
        <w:rPr>
          <w:rFonts w:hint="eastAsia"/>
          <w:color w:val="auto"/>
          <w:highlight w:val="none"/>
          <w:lang w:val="en-US" w:eastAsia="zh-CN"/>
        </w:rPr>
        <w:t xml:space="preserve">  </w:t>
      </w:r>
      <w:sdt>
        <w:sdtPr>
          <w:rPr>
            <w:rFonts w:hint="eastAsia" w:asciiTheme="minorHAnsi" w:hAnsiTheme="minorHAnsi" w:eastAsiaTheme="minorEastAsia" w:cstheme="minorBidi"/>
            <w:color w:val="auto"/>
            <w:kern w:val="2"/>
            <w:sz w:val="21"/>
            <w:szCs w:val="24"/>
            <w:highlight w:val="none"/>
            <w:lang w:val="en-US" w:eastAsia="zh-CN" w:bidi="ar-SA"/>
          </w:rPr>
          <w:alias w:val="乙方联系人手机"/>
          <w:tag w:val="乙方联系人手机"/>
          <w:id w:val="147465652"/>
          <w:placeholder>
            <w:docPart w:val="{bebce5b0-fe54-450b-9f44-915e592b8132}"/>
          </w:placeholder>
          <w:text/>
        </w:sdtPr>
        <w:sdtEndPr>
          <w:rPr>
            <w:rFonts w:hint="eastAsia" w:asciiTheme="minorHAnsi" w:hAnsiTheme="minorHAnsi" w:eastAsiaTheme="minorEastAsia" w:cstheme="minorBidi"/>
            <w:color w:val="auto"/>
            <w:kern w:val="2"/>
            <w:sz w:val="21"/>
            <w:szCs w:val="24"/>
            <w:highlight w:val="none"/>
            <w:lang w:val="en-US" w:eastAsia="zh-CN" w:bidi="ar-SA"/>
          </w:rPr>
        </w:sdtEndPr>
        <w:sdtContent>
          <w:r>
            <w:rPr>
              <w:rFonts w:hint="eastAsia" w:asciiTheme="minorHAnsi" w:hAnsiTheme="minorHAnsi" w:eastAsiaTheme="minorEastAsia" w:cstheme="minorBidi"/>
              <w:color w:val="auto"/>
              <w:kern w:val="2"/>
              <w:sz w:val="21"/>
              <w:szCs w:val="24"/>
              <w:highlight w:val="none"/>
              <w:lang w:val="en-US" w:eastAsia="zh-CN" w:bidi="ar-SA"/>
            </w:rPr>
            <w:t xml:space="preserve">   </w:t>
          </w:r>
        </w:sdtContent>
      </w:sdt>
    </w:p>
    <w:permEnd w:id="21"/>
    <w:p>
      <w:pPr>
        <w:pStyle w:val="2"/>
        <w:pageBreakBefore/>
        <w:widowControl/>
        <w:spacing w:before="0" w:after="0" w:line="240" w:lineRule="auto"/>
        <w:jc w:val="center"/>
        <w:rPr>
          <w:rFonts w:hint="eastAsia" w:ascii="宋体" w:hAnsi="宋体" w:eastAsia="宋体"/>
          <w:color w:val="auto"/>
          <w:sz w:val="24"/>
          <w:szCs w:val="24"/>
          <w:highlight w:val="none"/>
        </w:rPr>
      </w:pPr>
      <w:bookmarkStart w:id="2145" w:name="_Toc296719072"/>
      <w:bookmarkStart w:id="2146" w:name="_Toc20644921"/>
      <w:r>
        <w:rPr>
          <w:rFonts w:hint="eastAsia" w:ascii="宋体" w:hAnsi="宋体" w:eastAsia="宋体"/>
          <w:color w:val="auto"/>
          <w:sz w:val="24"/>
          <w:szCs w:val="24"/>
          <w:highlight w:val="none"/>
        </w:rPr>
        <w:t>第二节 通用合同条款</w:t>
      </w:r>
      <w:bookmarkEnd w:id="2145"/>
      <w:bookmarkEnd w:id="2146"/>
    </w:p>
    <w:p>
      <w:pPr>
        <w:jc w:val="center"/>
        <w:rPr>
          <w:rFonts w:hint="eastAsia" w:ascii="宋体" w:hAnsi="宋体"/>
          <w:color w:val="auto"/>
          <w:szCs w:val="21"/>
          <w:highlight w:val="none"/>
        </w:rPr>
      </w:pP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rPr>
        <w:t>1. 一般约定</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1.1</w:t>
      </w:r>
      <w:r>
        <w:rPr>
          <w:rFonts w:ascii="宋体" w:hAnsi="宋体"/>
          <w:color w:val="auto"/>
          <w:szCs w:val="21"/>
          <w:highlight w:val="none"/>
        </w:rPr>
        <w:t xml:space="preserve"> </w:t>
      </w:r>
      <w:r>
        <w:rPr>
          <w:rFonts w:hint="eastAsia" w:ascii="宋体" w:hAnsi="宋体"/>
          <w:color w:val="auto"/>
          <w:szCs w:val="21"/>
          <w:highlight w:val="none"/>
        </w:rPr>
        <w:t>定义</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在合同条件（“本条件”），包括专用条件和通用条件中，下列词语和措辞应具有以下所述的含义.除上下文另有要求外，文中人员或当事各方等词语包括公司和其他合法实体。</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1.1.1 合同</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1.1.1.1“合同”指合同协议书、中标通知书、投标函、本合同条件、规范、图纸、资料表、以及在合同协议书或中标通知书中列明的其它进一步的文件(如有时)。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1.1.1.2“合同协议书”指第1.6款【合同协议】中所说明的合同协议(如有时)。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1.1.1.3“中标通知书”指发包人对投标文件签署的正式接受函，包括其后所附的备忘录(由合同各方达成并签定的协议构成)。在没有此中标通知书的情况下，“中标通知书”一词就指合同协议书，颁发或接收中标通知书的日期就指双方签订合同协议书的日期。</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1.1.1.4“投标函”指名称为投标函的文件，由承包人填写，包括已签字的对发包人的工程报价。</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1.1.1.5“规范”指合同中名称为规范的文件，及根据合同规定对规范的增加和修改。此文件具体描述了工程。</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1.1.1.6“图纸”指合同中规定的工程图纸，及由发包人(或代表)根据合同颁发的对图纸的增加和修改。</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1.1.1.7“资料表”指合同中名称为资料表的文件，由承包人填写并随投标函提交。此文件可能包括工程量表、数据、列表、及费率和/或单价表。</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1.1.1.8“投标文件”指投标函和合同中规定的承包人应随投标函提交的其它所有文件。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1.1.1.9“投标函附录”指名称为投标函附录并已填写完毕的文件，附于投标函之后并构成投标函的一部分。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1.1.1.10 “工程量表”和“计日工计划”指资料表中如此命名的文件(如有时)。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1.1.2 当事各方和当事人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1.1.2.1“一方”指发包人或承包人(根据上下文而定)。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1.1.2.2“发包人”指在投标函附录中指定为发包人的当事人或此当事人的合法继承人。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1.1.2.3“承包人”指在发包人收到的投标函中指明为承包人的当事人(一个或多个)及其合法继承人。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1.1.2.4“工程师”指本合同中提供监理及相关服务的一方，在专用合同条款中指明的，受发包人委托按照法律规定进行工程监督管理的当事人及其合法的继承人。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1.1.2.5“承包人项目经理”指承包人在合同中指定的或由承包人按照第4.3款【承包人项目经理】随时指定的代表承包人的人员。</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1.1.2.6“发包人的人员”指工程师，第3.2款【工程师的授权】中所指的工程师助理以及所有其他职员、劳工和工程师或发包人的其他雇员；以及所有其他由发包人或工程师作为发包人的人员通知给承包人的人员。</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1.1.2.7“承包人的人员”指承包人项目经理和所有承包人在现场使用的人员，包括职员、劳工和承包人及各分包商的其他雇员；以及其他所有帮助承包人实施工程的人员。</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1.1.2.8“分包商”指合同中指明为分包商的所有人员，或为部分工程指定为分包商的人员；及所有上述人员的合法继承人。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1.1.2.9“争端裁决委员会”指合同中如此命名的一个或三个当事人，或按照第20.2款【争端裁决委员会的委任】或按照第20.3款【未能同意争端裁决委员会的委任】指定的其他人员(一个或多个)。</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1.1.2.10 “FIDIC”指国际咨询工程师联合会。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1.1.3 日期、检验、期限和完成</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1.1.3.1“基准日期”指提交投标文件截止日前28天的当日。</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1.1.3.2“开工日期”指按照第8.1款【工程的开工】通知的日期。</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1.1.3.3“竣工时间”指在投标函附录中说明的,按照第8.2款【竣工时间】的规定，由开工日期算起到工程或某一区段(视情况而定)完工的日期(包括按照第8.4款【竣工时间的延长】决定的任何延期)。</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1.1.3.4“竣工检验”指在发包人接收工程或某区段(视情况而定)前按照第9款【竣工检验】进行的检验，此检验可在合同中说明、或由双方协商决定、或以变更的形式被指示进行。</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1.1.3.5“接收证书”指按照第10条【发包人的接收】颁发的证书。</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1.1.3.6“竣工后的检验”指合同中规定的，在发包人接收了工程或某区段(视情况而定)后，按照特殊应用条款的规定进行的检验(如有时)。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1.1.3.7“缺陷责任期”指根据投标函附录中的规定，从工程或区段按照第10.1款【工程或区段的接收】被证明完工的日期算起，到按照第11.1款【完成扫尾工作和修补缺陷】通知工程或该区段(视情况而定)中的缺陷的期限(包括按照第11.3款【缺陷责任期的延长】决定的任何延期)。</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1.1.3.8“履约证书”指按照第11.9款【履约证书】颁发的证书。</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1.1.3.9“日”指一个公历日，而“年”指365天。</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1.1.4 款项与支付</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1.1.4.1“接受的合同款额”指发包人在中标通知书中对实施、完成和修补工程所接受的金额。</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1.1.4.2“合同价格”指第14.1款【合同价格】中定义的价格，包括根据合同所做的调整。</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1.1.4.3“费用”指承包人在现场内或现场外正当发生(或将要发生)的所有开支，包括管理费和类似支出，但不包括利润。</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1.1.4.4“最终支付证书”指按照第14.13款【最终支付证书的颁发】颁发的支付证书。</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1.1.4.5“最终报表”指第14.11款【最终支付证书的申请】中定义的报表。</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1.1.4.6“外币”指可用来支付部分(或全部)合同价格的某种货币，但不指当地货币。</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1.1.4.7“期中支付证书”指根据第14条【合同价格和支付】颁发的付款证书，但不包括最终支付证书。</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1.1.4.8“当地币”指工程所在国的货币。</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1.1.4.9“支付证书”指按照第14条【合同价格和支付】颁发的支付证书。</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1.1.4.10 “暂定金额”指合同中指明为暂定金额的一笔金额(如有时)，用于按照第13.5款【暂定金额】实施工程的任何部分或提供永久设备、材料和服务的一笔金额(如有时)。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1.1.4.11 “质量保证金”指发包人按照第14.3款【期中支付证书的申请】扣留并按第14.9款【质量保证金的支付】支付的累计的质量保证金。</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1.1.4.12 “报表”指承包人按照第14条【合同价格和支付】申请支付证书时作为申请一部分而提交的报表。</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1.1.5 工程和货物</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1.1.5.1“承包人的设备”指用于实施和完成工程以及修补缺陷所需要的全部机械、仪器、车辆和其它设备。其中不包括临时工程、发包人的设备(如有时)、永久设备、材料和所有其它将构成或构成永久工程一部分的任何物品。</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1.1.5.2“货物”指承包人的设备、材料、永久设备和临时工程，或视情况指其中之一。</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1.1.5.3“材料”指将构成或构成部分永久工程的各类物品(永久设备除外)，包括由承包人按照合同仅负责供应的材料(如有时)。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1.1.5.4“永久工程”指将由承包人按照合同实施的永久工程。</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1.1.5.5“永久设备”指将构成或构成部分永久工程的机械、仪器和车辆。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1.1.5.6“区段”指投标函附录中指明为区段的部分工程(如有时)。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1.1.5.7“临时工程”指为了实施和完成永久工程以及修补任何缺陷在现场上所需的各种类型的临时工程(承包人的设备除外)。</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1.1.5.8“工程”指永久工程和临时工程，或视情况指其中之一。</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1.1.5.9 施工场地（或称工地、现场）：指用于合同工程施工的场所，以及在合同中指定作为施工场地组成部分的其他场所，包括永久占地和临时占地。</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1.1.6 其它定义</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1.1.6.1“承包人的文件”指由承包人按照合同规定提交的计算书、计算机程序及其它软件、图纸、手册、模型、和其它技术性文件(如有时)。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1.1.6.2“工程所在国”指现场(或大部分现场)所在的国家，永久工程将在此实施。</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1.1.6.3“发包人的设备”指规范中说明的，在实施工程的过程中，发包人提供给承包人使用的机械、仪器和车辆(如有时)；但不包括尚未被发包人接收的永久设备。</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1.1.6.4“不可抗力”如第19条【不可抗力】中所定义。</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1.1.6.5“法律”指所有国家(或州)的立法、法令、法规和其它法律、任何合法设立的政府机构的规章和章程。</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1.1.6.6“履约保证”指第4.2款【履约保证】中的保证(可能有多份)。</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1.1.6.7“现场”指永久工程将要实施且永久设备和材料将运达的地点，及其它合同中规定为现场一部分的地点。</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1.1.6.8“不可预见”指一个有经验的承包人在提交投标文件那天还不能合理预见的。</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1.1.6.9“变更”指按照第13条【变更和调整】被指示或批准作为变更的对工程的任何变动。</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1.2 </w:t>
      </w:r>
      <w:r>
        <w:rPr>
          <w:rFonts w:hint="eastAsia" w:ascii="宋体" w:hAnsi="宋体"/>
          <w:color w:val="auto"/>
          <w:szCs w:val="21"/>
          <w:highlight w:val="none"/>
        </w:rPr>
        <w:tab/>
      </w:r>
      <w:r>
        <w:rPr>
          <w:rFonts w:hint="eastAsia" w:ascii="宋体" w:hAnsi="宋体"/>
          <w:color w:val="auto"/>
          <w:szCs w:val="21"/>
          <w:highlight w:val="none"/>
        </w:rPr>
        <w:t>解释</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在合同中，除非文中另有规定，否则：</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表示阳性、阴性或中性的词包括所有的性别；</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单数形式的词亦包括复数含义，复数形式的词亦包括单数含义；</w:t>
      </w:r>
    </w:p>
    <w:p>
      <w:pPr>
        <w:pStyle w:val="17"/>
        <w:spacing w:after="0"/>
        <w:ind w:left="0" w:leftChars="0" w:firstLine="420" w:firstLineChars="200"/>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（c）包括“同意”、“批准”或“协议”这些字眼的规定，要求将涉及的协议书面记录下来，且</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（d） “书面的”或“书面地”指手写、打字、印刷或运用电子技术制做，并形成了永久性的记录。</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解释本合同条件时，不应考虑旁注和其它标题。</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1.3 </w:t>
      </w:r>
      <w:r>
        <w:rPr>
          <w:rFonts w:hint="eastAsia" w:ascii="宋体" w:hAnsi="宋体"/>
          <w:color w:val="auto"/>
          <w:szCs w:val="21"/>
          <w:highlight w:val="none"/>
        </w:rPr>
        <w:tab/>
      </w:r>
      <w:r>
        <w:rPr>
          <w:rFonts w:hint="eastAsia" w:ascii="宋体" w:hAnsi="宋体"/>
          <w:color w:val="auto"/>
          <w:szCs w:val="21"/>
          <w:highlight w:val="none"/>
        </w:rPr>
        <w:t>通讯联络</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在合同条件中，无论何处述及发出或颁发批准、证书、同意、决定、通知和要求，这些通讯联络均应：</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为书面的，且应派人面交并取得收据，或者邮寄，或由信使送达，或按投标函附录中所列通过经同意的电子传输系统传输；且</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（b）递交、邮寄或传输到投标函附录中规定的收件人地址。但是：</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（i） 如果收件人发出了更改地址的通知，其后的信件应投送到相应的地址；且</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（ii）如果收件人在要求批准或同意时没有另做说明，此批准或同意可送达发出要求的地址。</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批准、证书、同意及决定不得被无理扣压或拖延。向一方颁发证书时，颁发者应向另一方送交一份复印件。当另一方或工程师向一方发出通知时，应向工程师或另一方送交一份复印件(视情况而定)。</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1.4 </w:t>
      </w:r>
      <w:r>
        <w:rPr>
          <w:rFonts w:hint="eastAsia" w:ascii="宋体" w:hAnsi="宋体"/>
          <w:color w:val="auto"/>
          <w:szCs w:val="21"/>
          <w:highlight w:val="none"/>
        </w:rPr>
        <w:tab/>
      </w:r>
      <w:r>
        <w:rPr>
          <w:rFonts w:hint="eastAsia" w:ascii="宋体" w:hAnsi="宋体"/>
          <w:color w:val="auto"/>
          <w:szCs w:val="21"/>
          <w:highlight w:val="none"/>
        </w:rPr>
        <w:t>法律和语言</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合同应受投标函附录中规定的国家(或其它管辖区域)的法律的制约。</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如果合同的任何部分使用一种以上语言编写，从而构成了不同的版本，则以投标函附录中规定的主导语言编写的版本优先。</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往来信函应使用投标函附录中规定的语言。如果投标函附录中没有规定，则往来信函应使用编写合同(或大部分合同)的语言。</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1.5 </w:t>
      </w:r>
      <w:r>
        <w:rPr>
          <w:rFonts w:hint="eastAsia" w:ascii="宋体" w:hAnsi="宋体"/>
          <w:color w:val="auto"/>
          <w:szCs w:val="21"/>
          <w:highlight w:val="none"/>
        </w:rPr>
        <w:tab/>
      </w:r>
      <w:r>
        <w:rPr>
          <w:rFonts w:hint="eastAsia" w:ascii="宋体" w:hAnsi="宋体"/>
          <w:color w:val="auto"/>
          <w:szCs w:val="21"/>
          <w:highlight w:val="none"/>
        </w:rPr>
        <w:t>文件的优先次序</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构成合同的各个文件应被视作互为说明的。为解释之目的，各文件的优先次序如下：</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合同</w:t>
      </w:r>
      <w:r>
        <w:rPr>
          <w:rFonts w:ascii="宋体" w:hAnsi="宋体"/>
          <w:color w:val="auto"/>
          <w:szCs w:val="21"/>
          <w:highlight w:val="none"/>
        </w:rPr>
        <w:t>协议书</w:t>
      </w:r>
      <w:r>
        <w:rPr>
          <w:rFonts w:hint="eastAsia" w:ascii="宋体" w:hAnsi="宋体"/>
          <w:color w:val="auto"/>
          <w:szCs w:val="21"/>
          <w:highlight w:val="none"/>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）中标通知书；</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）专用合同条款及合同附件；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）本通用合同条款；</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）招标文件（含答疑及澄清）；</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）投标函及投标文件（含澄清</w:t>
      </w:r>
      <w:r>
        <w:rPr>
          <w:rFonts w:ascii="宋体" w:hAnsi="宋体"/>
          <w:color w:val="auto"/>
          <w:szCs w:val="21"/>
          <w:highlight w:val="none"/>
        </w:rPr>
        <w:t>）</w:t>
      </w:r>
      <w:r>
        <w:rPr>
          <w:rFonts w:hint="eastAsia" w:ascii="宋体" w:hAnsi="宋体"/>
          <w:color w:val="auto"/>
          <w:szCs w:val="21"/>
          <w:highlight w:val="none"/>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）技术标准和要求；</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）图纸；</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9</w:t>
      </w:r>
      <w:r>
        <w:rPr>
          <w:rFonts w:hint="eastAsia" w:ascii="宋体" w:hAnsi="宋体"/>
          <w:color w:val="auto"/>
          <w:szCs w:val="21"/>
          <w:highlight w:val="none"/>
        </w:rPr>
        <w:t>）已标价工程量清单（或报价书）；</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10</w:t>
      </w:r>
      <w:r>
        <w:rPr>
          <w:rFonts w:hint="eastAsia" w:ascii="宋体" w:hAnsi="宋体"/>
          <w:color w:val="auto"/>
          <w:szCs w:val="21"/>
          <w:highlight w:val="none"/>
        </w:rPr>
        <w:t>）其他合同文件；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）正版标准设计和典型造价（G1-G4层)。</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如果在合同文件中发现任何含混或矛盾之处，工程师应颁发任何必要的澄清或指示。</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1.6 </w:t>
      </w:r>
      <w:r>
        <w:rPr>
          <w:rFonts w:hint="eastAsia" w:ascii="宋体" w:hAnsi="宋体"/>
          <w:color w:val="auto"/>
          <w:szCs w:val="21"/>
          <w:highlight w:val="none"/>
        </w:rPr>
        <w:tab/>
      </w:r>
      <w:r>
        <w:rPr>
          <w:rFonts w:hint="eastAsia" w:ascii="宋体" w:hAnsi="宋体"/>
          <w:color w:val="auto"/>
          <w:szCs w:val="21"/>
          <w:highlight w:val="none"/>
        </w:rPr>
        <w:t>合同协议书</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除非双方另有协议，否则双方应在发包人发出中标通知书后的</w:t>
      </w:r>
      <w:r>
        <w:rPr>
          <w:rFonts w:ascii="宋体" w:hAnsi="宋体"/>
          <w:color w:val="auto"/>
          <w:szCs w:val="21"/>
          <w:highlight w:val="none"/>
        </w:rPr>
        <w:t>30</w:t>
      </w:r>
      <w:r>
        <w:rPr>
          <w:rFonts w:hint="eastAsia" w:ascii="宋体" w:hAnsi="宋体"/>
          <w:color w:val="auto"/>
          <w:szCs w:val="21"/>
          <w:highlight w:val="none"/>
        </w:rPr>
        <w:t>天内签订合同协议书。合同协议书应以专用条件后所附的格式为基础。法律规定的与签订合同协议书有关的印花税和其它类似费用(如有时)应由发包人承担。</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1.7 </w:t>
      </w:r>
      <w:r>
        <w:rPr>
          <w:rFonts w:hint="eastAsia" w:ascii="宋体" w:hAnsi="宋体"/>
          <w:color w:val="auto"/>
          <w:szCs w:val="21"/>
          <w:highlight w:val="none"/>
        </w:rPr>
        <w:tab/>
      </w:r>
      <w:r>
        <w:rPr>
          <w:rFonts w:hint="eastAsia" w:ascii="宋体" w:hAnsi="宋体"/>
          <w:color w:val="auto"/>
          <w:szCs w:val="21"/>
          <w:highlight w:val="none"/>
        </w:rPr>
        <w:t>转让</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任一方都不得转让整个或部分合同或转让根据合同应得的利益或权益。但一方：</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（a）经另一方的事先同意可以转让整个或部分合同，决定权完全在于另一方，及</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（b）可将其按照合同对任何到期或将到期的金额所享有的权利，以银行或金融机构作为受益人，作为抵押转让出去。</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1.8 </w:t>
      </w:r>
      <w:r>
        <w:rPr>
          <w:rFonts w:hint="eastAsia" w:ascii="宋体" w:hAnsi="宋体"/>
          <w:color w:val="auto"/>
          <w:szCs w:val="21"/>
          <w:highlight w:val="none"/>
        </w:rPr>
        <w:tab/>
      </w:r>
      <w:r>
        <w:rPr>
          <w:rFonts w:hint="eastAsia" w:ascii="宋体" w:hAnsi="宋体"/>
          <w:color w:val="auto"/>
          <w:szCs w:val="21"/>
          <w:highlight w:val="none"/>
        </w:rPr>
        <w:t>文件的保管和提供</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规范和图纸应由发包人保护和保管。除非合同另有规定，否则发包人应向承包人提供合同及每份后续图纸的两份复印件，承包人可自行复制或要求发包人为其提供更多的复印件，但费用自理。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在移交给发包人之前，每份承包人的文件都应由承包人来保护和保管。除非合同另有规定，否则承包人应向工程师提供6份承包人的所有文件的复印件。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承包人应在现场保留一份合同的复印件、规范中列出的所有文件、承包人的文件(如有时)、图纸和变更以及其它按照合同收发的往来信函。发包人的人员有权在任何合理的时间查看和使用所有上述文件。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如果一方在用于施工的文件中发现了技术性错误或缺陷，应立即向另一方通知此类错误或缺陷。</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1.9 </w:t>
      </w:r>
      <w:r>
        <w:rPr>
          <w:rFonts w:hint="eastAsia" w:ascii="宋体" w:hAnsi="宋体"/>
          <w:color w:val="auto"/>
          <w:szCs w:val="21"/>
          <w:highlight w:val="none"/>
        </w:rPr>
        <w:tab/>
      </w:r>
      <w:r>
        <w:rPr>
          <w:rFonts w:hint="eastAsia" w:ascii="宋体" w:hAnsi="宋体"/>
          <w:color w:val="auto"/>
          <w:szCs w:val="21"/>
          <w:highlight w:val="none"/>
        </w:rPr>
        <w:t>拖延的图纸或指示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当因必要的图纸或指示不能在一合理的特定时间内颁发给承包人，从而可能引起工程延误或中断时，承包人应通知工程师。通知中应包括所必需的图纸或指示的详细内容、应颁发的详细理由和时间，以及如果因图纸或指示迟发可能造成的延误或中断的具体性质和程度。</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因工程师未能在一合理的、且已在(附有详细证据的)通知中说明的时间内颁发承包人在通知中要求的图纸或指示，而导致承包人延误和(/或)招致费用增加时，承包人应向工程师发出进一步的通知，且按照第20.1款【承包人的索赔】有权获得：</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根据第8.4款【竣工时间的延长】对任何此类延误的一段延期，如果竣工被拖延或将被拖延；及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（b）对此费用加上合理利润的支付，此支付应包括在合同价中。</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收到上述进一步的通知后，工程师应按照第3.5款【决定】对这些事项表示批准或作出决定。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但是，如果工程师未能及时提供图纸或指示是由承包人的错误或延误(包括递交承包人的文件时的错误和延误)引起的，则承包人无权获得上述延期、费用或利润。</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1.10 </w:t>
      </w:r>
      <w:r>
        <w:rPr>
          <w:rFonts w:hint="eastAsia" w:ascii="宋体" w:hAnsi="宋体"/>
          <w:color w:val="auto"/>
          <w:szCs w:val="21"/>
          <w:highlight w:val="none"/>
        </w:rPr>
        <w:tab/>
      </w:r>
      <w:r>
        <w:rPr>
          <w:rFonts w:hint="eastAsia" w:ascii="宋体" w:hAnsi="宋体"/>
          <w:color w:val="auto"/>
          <w:szCs w:val="21"/>
          <w:highlight w:val="none"/>
        </w:rPr>
        <w:t>发包人使用承包人的文件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在合同双方之间，承包人应对承包人的文件和其它由承包人(或承包人授权的人员)编制的设计文件保留版权和其它知识产权。</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应认为承包人通过签订合同给予了发包人复印、使用及传输(包括修改和使用对其的修改)承包人的文件的免费使用的许可证，此许可证是无限期的、可转让且非专用的。此许可证应：</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在工程各有关部分的实际或预期工作期（取较长者）内有效，</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使任何合法拥有工程有关部分的当事人为完成、操作、维护、改变、调整、修理和拆除工程之目的，复印、使用、传输承包人的文件，且</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（c） 在承包人的文件采用计算机程序和其它软件形式的情况下，允许其在置于现场及其它合同中许可的地点的计算机(包括由承包人提供的代用计算机)上使用。</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未经承包人同意，发包人不得因本款规定外的任何目的为第三方复印、使用或传输承包人的文件及其它任何由承包人(或承包人授权的人员)编制的设计文件。</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1.11 </w:t>
      </w:r>
      <w:r>
        <w:rPr>
          <w:rFonts w:hint="eastAsia" w:ascii="宋体" w:hAnsi="宋体"/>
          <w:color w:val="auto"/>
          <w:szCs w:val="21"/>
          <w:highlight w:val="none"/>
        </w:rPr>
        <w:tab/>
      </w:r>
      <w:r>
        <w:rPr>
          <w:rFonts w:hint="eastAsia" w:ascii="宋体" w:hAnsi="宋体"/>
          <w:color w:val="auto"/>
          <w:szCs w:val="21"/>
          <w:highlight w:val="none"/>
        </w:rPr>
        <w:t>承包人使用发包人的文件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合同双方之间，发包人应对规范、图纸和其它由发包人(或发包人授权的人员)编制的设计文件保留版权和其它知识产权。承包人可为合同之目的，自费复印、使用、及传输上述文件。除非因履行合同而必需，否则不经发包人同意，承包人不得为第三方复印、使用、或传输上述文件。</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1.12 </w:t>
      </w:r>
      <w:r>
        <w:rPr>
          <w:rFonts w:hint="eastAsia" w:ascii="宋体" w:hAnsi="宋体"/>
          <w:color w:val="auto"/>
          <w:szCs w:val="21"/>
          <w:highlight w:val="none"/>
        </w:rPr>
        <w:tab/>
      </w:r>
      <w:r>
        <w:rPr>
          <w:rFonts w:hint="eastAsia" w:ascii="宋体" w:hAnsi="宋体"/>
          <w:color w:val="auto"/>
          <w:szCs w:val="21"/>
          <w:highlight w:val="none"/>
        </w:rPr>
        <w:t>保密事项</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为证实承包人是否遵守合同，他应按照工程师的合理要求透露其要求的保密事项和其它情况。</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1.13 </w:t>
      </w:r>
      <w:r>
        <w:rPr>
          <w:rFonts w:hint="eastAsia" w:ascii="宋体" w:hAnsi="宋体"/>
          <w:color w:val="auto"/>
          <w:szCs w:val="21"/>
          <w:highlight w:val="none"/>
        </w:rPr>
        <w:tab/>
      </w:r>
      <w:r>
        <w:rPr>
          <w:rFonts w:hint="eastAsia" w:ascii="宋体" w:hAnsi="宋体"/>
          <w:color w:val="auto"/>
          <w:szCs w:val="21"/>
          <w:highlight w:val="none"/>
        </w:rPr>
        <w:t>遵守法律</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除非在专用条件中另有说明，履行合同时，承包人应遵守适用的法律的规定：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发包人应已经(或将要)获得永久工程的规划、分区和其它类似许可，及规范中说明已经(或将要)由发包人取得的其它许可；发包人应保障承包人不受其未得到上述许可的后果的侵害；且</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对于法律中要求的与实施、完成工程和修补缺陷有关的各项事宜，应由承包人发出通知、支付税款、关税和费用，并获得所有的许可、许可证和批准；承包人应保障发包人免遭其未做到上述要求的后果的损失。</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1.14 </w:t>
      </w:r>
      <w:r>
        <w:rPr>
          <w:rFonts w:hint="eastAsia" w:ascii="宋体" w:hAnsi="宋体"/>
          <w:color w:val="auto"/>
          <w:szCs w:val="21"/>
          <w:highlight w:val="none"/>
        </w:rPr>
        <w:tab/>
      </w:r>
      <w:r>
        <w:rPr>
          <w:rFonts w:hint="eastAsia" w:ascii="宋体" w:hAnsi="宋体"/>
          <w:color w:val="auto"/>
          <w:szCs w:val="21"/>
          <w:highlight w:val="none"/>
        </w:rPr>
        <w:t>共同的与各自的责任</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如果承包人是由两个或两个以上当事人组成的联营体、联合集团或其它联合团体时：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应认为上述当事人应向发包人对合同的履行负共同的与各自的责任；</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（b）上述当事人应向发包人通知他们的负责人，此负责人有权管理承包人及其中每位成员；且</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没有发包人的事先同意，承包人不得改变其组成或法律地位。</w:t>
      </w: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rPr>
        <w:t>2. 发包人</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2.1 </w:t>
      </w:r>
      <w:r>
        <w:rPr>
          <w:rFonts w:hint="eastAsia" w:ascii="宋体" w:hAnsi="宋体"/>
          <w:color w:val="auto"/>
          <w:szCs w:val="21"/>
          <w:highlight w:val="none"/>
        </w:rPr>
        <w:tab/>
      </w:r>
      <w:r>
        <w:rPr>
          <w:rFonts w:hint="eastAsia" w:ascii="宋体" w:hAnsi="宋体"/>
          <w:color w:val="auto"/>
          <w:szCs w:val="21"/>
          <w:highlight w:val="none"/>
        </w:rPr>
        <w:t>进入现场的权利</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发包人应在投标函附录中注明的时间（或各时间段）内给予承包人进入和占用现场所有部分的权利。此类进入和占用权可不为承包人独享。如果合同要求发包人赋予(承包人)对基础、结构、永久设备或通行手段的占用权，则发包人应在规范注明的时间内按照规范中规定的方式履行该职责。但是在收到履约保证之前，发包人可以不给予任何此类权利或占用。</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如果投标函附录中未注明时间，则发包人应在一合理的时间内给予承包人进入现场和占用现场的权利，此时间应能使承包人可以按照第8.3款【进度计划】提交的进度计划顺利开始施工。</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如果由于发包人一方未能在规定时间内给予承包人进入现场和占用现场的权利，致使承包人延误了工期和(或)增加了费用，承包人应向工程师发出通知，并依据第20.1款【承包人的索赔】有权：</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如果竣工已经或将被延误，根据第8.4款【竣工时间的延长】的规定，对所有此类延误获得延长的工期；以及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获得任何有关费用加上合理利润的支付，并将之加入合同价格。</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在收到此通知后，工程师应按照第3.5款【决定】对此事作出商定或决定。</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然而，如果发包人的过失（并且在一定程度上）是由于承包人的某些错误或延误造成的，包括承包人的文件中的错误或提交的延误，则承包人无权要求获得此类延长的工期、费用或利润。</w:t>
      </w:r>
    </w:p>
    <w:p>
      <w:pPr>
        <w:pStyle w:val="17"/>
        <w:spacing w:after="0"/>
        <w:ind w:left="0" w:leftChars="0"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e</w:t>
      </w:r>
      <w:r>
        <w:rPr>
          <w:rFonts w:hint="eastAsia" w:ascii="宋体" w:hAnsi="宋体"/>
          <w:color w:val="auto"/>
          <w:szCs w:val="21"/>
          <w:highlight w:val="none"/>
          <w:lang w:eastAsia="zh-CN"/>
        </w:rPr>
        <w:t>）</w:t>
      </w:r>
      <w:r>
        <w:rPr>
          <w:rFonts w:hint="eastAsia" w:ascii="宋体" w:hAnsi="宋体"/>
          <w:color w:val="auto"/>
          <w:szCs w:val="21"/>
          <w:highlight w:val="none"/>
        </w:rPr>
        <w:t>变电站土建工程施工期间，</w:t>
      </w:r>
      <w:r>
        <w:rPr>
          <w:rFonts w:hint="eastAsia" w:ascii="宋体" w:hAnsi="宋体"/>
          <w:color w:val="auto"/>
          <w:szCs w:val="21"/>
          <w:highlight w:val="none"/>
          <w:lang w:val="en-US" w:eastAsia="zh-CN"/>
        </w:rPr>
        <w:t>广州供电局</w:t>
      </w:r>
      <w:r>
        <w:rPr>
          <w:rFonts w:hint="eastAsia" w:ascii="宋体" w:hAnsi="宋体"/>
          <w:color w:val="auto"/>
          <w:szCs w:val="21"/>
          <w:highlight w:val="none"/>
        </w:rPr>
        <w:t>有权随时进入施工场地对施工进度、质量、安全等进行监督、检查，</w:t>
      </w:r>
      <w:r>
        <w:rPr>
          <w:rFonts w:hint="eastAsia" w:ascii="宋体" w:hAnsi="宋体"/>
          <w:color w:val="auto"/>
          <w:szCs w:val="21"/>
          <w:highlight w:val="none"/>
          <w:lang w:val="en-US" w:eastAsia="zh-CN"/>
        </w:rPr>
        <w:t>甲方、</w:t>
      </w:r>
      <w:r>
        <w:rPr>
          <w:rFonts w:hint="eastAsia" w:ascii="宋体" w:hAnsi="宋体"/>
          <w:color w:val="auto"/>
          <w:szCs w:val="21"/>
          <w:highlight w:val="none"/>
        </w:rPr>
        <w:t>乙方须全力配合。乙方应确保工程质量执行国家工程建设标准强制性条文及南方电网公司发布的基建质量管理办法、变电站相关技术标准和反措、电网建设施工作业指导书、10kV-500kV输变电及配电工程质量验收与评定标准、基建工程质量控制（WHS）及量化评价标准等文件要求，以及执行</w:t>
      </w:r>
      <w:r>
        <w:rPr>
          <w:rFonts w:hint="eastAsia" w:ascii="宋体" w:hAnsi="宋体"/>
          <w:color w:val="auto"/>
          <w:szCs w:val="21"/>
          <w:highlight w:val="none"/>
          <w:lang w:val="en-US" w:eastAsia="zh-CN"/>
        </w:rPr>
        <w:t>广州供电局、</w:t>
      </w:r>
      <w:r>
        <w:rPr>
          <w:rFonts w:hint="eastAsia" w:ascii="宋体" w:hAnsi="宋体"/>
          <w:color w:val="auto"/>
          <w:szCs w:val="21"/>
          <w:highlight w:val="none"/>
        </w:rPr>
        <w:t>甲方有关工程质量管控工作指引，保证变电站工程实体质量优良</w:t>
      </w:r>
      <w:r>
        <w:rPr>
          <w:rFonts w:hint="eastAsia" w:ascii="宋体" w:hAnsi="宋体"/>
          <w:color w:val="auto"/>
          <w:szCs w:val="21"/>
          <w:highlight w:val="none"/>
          <w:lang w:eastAsia="zh-CN"/>
        </w:rPr>
        <w:t>。</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2.2 </w:t>
      </w:r>
      <w:r>
        <w:rPr>
          <w:rFonts w:hint="eastAsia" w:ascii="宋体" w:hAnsi="宋体"/>
          <w:color w:val="auto"/>
          <w:szCs w:val="21"/>
          <w:highlight w:val="none"/>
        </w:rPr>
        <w:tab/>
      </w:r>
      <w:r>
        <w:rPr>
          <w:rFonts w:hint="eastAsia" w:ascii="宋体" w:hAnsi="宋体"/>
          <w:color w:val="auto"/>
          <w:szCs w:val="21"/>
          <w:highlight w:val="none"/>
        </w:rPr>
        <w:t>许可、执照和批准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发包人应根据承包人的请求，为以下事宜向承包人提供合理的协助（如果他的地位能够做到），以帮助承包人：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获得与合同有关的但不易取得的工程所在国的法律的副本;</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申请法律所要求的许可、执照或批准，包括:</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(i) 依据第1.13款【遵守法律】要求承包人必须获得的，</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(ii) 为了货物的运送，包括清关所需的，以及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(iii) 当承包人的设备运离现场而出口时所需的。</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2.3 </w:t>
      </w:r>
      <w:r>
        <w:rPr>
          <w:rFonts w:hint="eastAsia" w:ascii="宋体" w:hAnsi="宋体"/>
          <w:color w:val="auto"/>
          <w:szCs w:val="21"/>
          <w:highlight w:val="none"/>
        </w:rPr>
        <w:tab/>
      </w:r>
      <w:r>
        <w:rPr>
          <w:rFonts w:hint="eastAsia" w:ascii="宋体" w:hAnsi="宋体"/>
          <w:color w:val="auto"/>
          <w:szCs w:val="21"/>
          <w:highlight w:val="none"/>
        </w:rPr>
        <w:t>发包人的人员</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发包人有责任保证现场的发包人的人员和发包人的其他承包人：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依照第4.6款【合作】为承包人的工作提供合作，以及</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采取类似于承包人按照第4.8款【安全措施】(a)、(b)和(c)段和第4.18款【环境保护】的要求而应采取的措施。</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2.4 </w:t>
      </w:r>
      <w:r>
        <w:rPr>
          <w:rFonts w:hint="eastAsia" w:ascii="宋体" w:hAnsi="宋体"/>
          <w:color w:val="auto"/>
          <w:szCs w:val="21"/>
          <w:highlight w:val="none"/>
        </w:rPr>
        <w:tab/>
      </w:r>
      <w:r>
        <w:rPr>
          <w:rFonts w:hint="eastAsia" w:ascii="宋体" w:hAnsi="宋体"/>
          <w:color w:val="auto"/>
          <w:szCs w:val="21"/>
          <w:highlight w:val="none"/>
        </w:rPr>
        <w:t>发包人的资金安排</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接到承包人的请求后，发包人应在28天内提供合理的证据，表明他已作出了资金安排，并将一直坚持实施这种安排，此安排能够使发包人按照第14条【合同价格和支付】的规定支付合同价格（按照当时的估算值）的款额。如果发包人欲对其资金安排做出任何实质性变更，发包人应向承包人发出通知并提供详细资料。</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2.5 </w:t>
      </w:r>
      <w:r>
        <w:rPr>
          <w:rFonts w:hint="eastAsia" w:ascii="宋体" w:hAnsi="宋体"/>
          <w:color w:val="auto"/>
          <w:szCs w:val="21"/>
          <w:highlight w:val="none"/>
        </w:rPr>
        <w:tab/>
      </w:r>
      <w:r>
        <w:rPr>
          <w:rFonts w:hint="eastAsia" w:ascii="宋体" w:hAnsi="宋体"/>
          <w:color w:val="auto"/>
          <w:szCs w:val="21"/>
          <w:highlight w:val="none"/>
        </w:rPr>
        <w:t>发包人的索赔</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发包人认为按照任何合同条件或其它与合同有关的条款规定他有权获得支付和（或）缺陷责任期的延长，则发包人或工程师应向承包人发出通知并说明细节。但对于按照第4.19款【电、水、气】、第4.20款【发包人的设备及免费提供的材料】的规定，承包人应支付的款额或其它因承包人要求某些服务而应支付的款额，则无须发出通知。</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当发包人意识到某事件或情况可能导致索赔时应尽快地发出通知。涉及任何延期的通知应在相关缺陷责任期期满前发出。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在细节中应详细说明索赔条款或其它依据，包括发包人按照合同认为他自己有权获得的费用和（或）延期的证明，工程师应依据第3.5款【决定】作出商定或决定：(i) 发包人有权获得的由承包人支付的款额(如有时)，以及/或 (ii) 依据第11.3款【缺陷责任期的延长】给予缺陷责任期的延长（如有时）。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此笔款额应在合同价格及支付证书中扣除。发包人仅有权从支付证书中确定的款额中抵消或扣除，或依据本款向承包人另外提出索赔。</w:t>
      </w: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rPr>
        <w:t>3.</w:t>
      </w:r>
      <w:r>
        <w:rPr>
          <w:rFonts w:hint="eastAsia" w:ascii="宋体"/>
          <w:color w:val="auto"/>
          <w:highlight w:val="none"/>
        </w:rPr>
        <w:tab/>
      </w:r>
      <w:r>
        <w:rPr>
          <w:rFonts w:hint="eastAsia" w:ascii="宋体"/>
          <w:color w:val="auto"/>
          <w:highlight w:val="none"/>
        </w:rPr>
        <w:t>工程师</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olor w:val="auto"/>
          <w:szCs w:val="21"/>
          <w:highlight w:val="none"/>
        </w:rPr>
        <w:tab/>
      </w:r>
      <w:r>
        <w:rPr>
          <w:rFonts w:hint="eastAsia" w:ascii="宋体" w:hAnsi="宋体"/>
          <w:color w:val="auto"/>
          <w:szCs w:val="21"/>
          <w:highlight w:val="none"/>
        </w:rPr>
        <w:t>工程师的职责和权力</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发包人应任命工程师，该工程师应履行合同中赋予他的职责。工程师的人员包括有恰当资格的工程师以及其他有能力履行上述职责的专业人员。</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工程师无权修改合同。</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工程师可行使合同中明确规定的或必然隐含的赋予他的权力。如果要求工程师在行使其规定权力之前需获得发包人的批准，则此类要求应与合同专用条件中注明。发包人不能对工程师的权力加以进一步限制，除非与承包人达成一致。</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然而，每当工程师行使某种需经发包人批准的权力时，则被认为他已从发包人处得到任何必要的批准（为合同之目的）。</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除非合同条件中另有说明，否则：</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当履行职责或行使合同中明确规定的或必然隐含的权力时，均认为工程师为发包人工作。</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工程师无权解除任何一方依照合同具有的任何职责、义务或责任，以及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(c) 工程师的任何批准、审查、证书、同意、审核、检查、指示、通知、建议、请求、检验或类似行为（包括没有否定），不能解除承包人依照合同应具有的任何责任，包括对其错误、漏项、误差以及未能遵守合同的责任。</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3.2 </w:t>
      </w:r>
      <w:r>
        <w:rPr>
          <w:rFonts w:hint="eastAsia" w:ascii="宋体" w:hAnsi="宋体"/>
          <w:color w:val="auto"/>
          <w:szCs w:val="21"/>
          <w:highlight w:val="none"/>
        </w:rPr>
        <w:tab/>
      </w:r>
      <w:r>
        <w:rPr>
          <w:rFonts w:hint="eastAsia" w:ascii="宋体" w:hAnsi="宋体"/>
          <w:color w:val="auto"/>
          <w:szCs w:val="21"/>
          <w:highlight w:val="none"/>
        </w:rPr>
        <w:t>工程师的授权</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工程师可以随时将他的职责和权力委托给助理，并可撤回此类委托或授权。这些助理包括现场工程师和（或）指定的对设备和（或）材料进行检查和（或）检验的独立检查人员。此类委托、授权或撤回应是书面的并且在合同双方接到副本之前不能生效。但是工程师不能授予其按照第3.5款【决定】的规定决定任何事项的权力，除非合同双方另有协议。</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助理必须是合适的合格人员，有能力履行这些职责以及行使这种权力，并且能够流利地使用第1.4款【法律和语言】中规定的语言进行交流。</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被委托职责或授予权力的每个助理只有权力在其被授权范围内对承包人发布指示。由助理按照授权作出的任何批准、审查、证书、同意、审核、检查、指示、通知、建议、请求、检验或类似行为，应与工程师作出的具有同等的效力。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未对任何工作、永久设备及材料提出否定意见并不构成批准，也不影响工程师拒绝该工作、永久设备及材料的权利；</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如果承包人对助理的任何决定或指示提出质疑，承包人可将此情况提交工程师，工程师应尽快对此类决定或指示加以确认、否定或更改。</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3.3 </w:t>
      </w:r>
      <w:r>
        <w:rPr>
          <w:rFonts w:hint="eastAsia" w:ascii="宋体" w:hAnsi="宋体"/>
          <w:color w:val="auto"/>
          <w:szCs w:val="21"/>
          <w:highlight w:val="none"/>
        </w:rPr>
        <w:tab/>
      </w:r>
      <w:r>
        <w:rPr>
          <w:rFonts w:hint="eastAsia" w:ascii="宋体" w:hAnsi="宋体"/>
          <w:color w:val="auto"/>
          <w:szCs w:val="21"/>
          <w:highlight w:val="none"/>
        </w:rPr>
        <w:t>工程师的指示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工程师可以按照合同的规定（在任何时候）向承包人发出指示以及为实施工程和修补缺陷所必需的附加的或修改的图纸。承包人只能从工程师以及按照本条款授权的助理处接受指示。如果某一指示构成了变更，则适用于第13条【变更和调整】。</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承包人必须遵守工程师或授权助理对有关合同的某些问题所发出的指示。只要有可能，这些指示均应是书面的。如果工程师或授权助理：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发出一口头指示；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在发出指示后2个工作日内，从承包人（或承包人授权的他人）处接到指示的书面确认；以及</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(c) 在接到确认后2个工作日内未颁发一书面拒绝和（或）指示作为回复，</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则此确认构成工程师或授权助理的书面指示（视情况而定）。</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3.4 </w:t>
      </w:r>
      <w:r>
        <w:rPr>
          <w:rFonts w:hint="eastAsia" w:ascii="宋体" w:hAnsi="宋体"/>
          <w:color w:val="auto"/>
          <w:szCs w:val="21"/>
          <w:highlight w:val="none"/>
        </w:rPr>
        <w:tab/>
      </w:r>
      <w:r>
        <w:rPr>
          <w:rFonts w:hint="eastAsia" w:ascii="宋体" w:hAnsi="宋体"/>
          <w:color w:val="auto"/>
          <w:szCs w:val="21"/>
          <w:highlight w:val="none"/>
        </w:rPr>
        <w:t>工程师的撤换</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发包人准备撤换工程师，则必须在期望撤换日期42天以前向承包人发出通知说明拟替换的工程师的名称、地址及相关经历。如果承包人对替换人选向发包人发出了拒绝通知，并附具体的证明资料，则发包人不能撤换工程师。</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3.5 </w:t>
      </w:r>
      <w:r>
        <w:rPr>
          <w:rFonts w:hint="eastAsia" w:ascii="宋体" w:hAnsi="宋体"/>
          <w:color w:val="auto"/>
          <w:szCs w:val="21"/>
          <w:highlight w:val="none"/>
        </w:rPr>
        <w:tab/>
      </w:r>
      <w:r>
        <w:rPr>
          <w:rFonts w:hint="eastAsia" w:ascii="宋体" w:hAnsi="宋体"/>
          <w:color w:val="auto"/>
          <w:szCs w:val="21"/>
          <w:highlight w:val="none"/>
        </w:rPr>
        <w:t>决定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每当合同条件要求工程师按照本款规定对某一事项作出商定或决定时，工程师应与合同双方协商并尽力达成一致。如果未能达成一致，工程师应按照合同规定在适当考虑到所有有关情况后作出公正的决定。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工程师应将每一项协议或决定向每一方发出通知以及具体的证明资料。每一方均应遵守该协议或决定，除非和直到按照第20条【索赔、争端和仲裁】规定作出了修改。</w:t>
      </w: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rPr>
        <w:t>4.</w:t>
      </w:r>
      <w:r>
        <w:rPr>
          <w:rFonts w:hint="eastAsia" w:ascii="宋体"/>
          <w:color w:val="auto"/>
          <w:highlight w:val="none"/>
        </w:rPr>
        <w:tab/>
      </w:r>
      <w:r>
        <w:rPr>
          <w:rFonts w:hint="eastAsia" w:ascii="宋体"/>
          <w:color w:val="auto"/>
          <w:highlight w:val="none"/>
        </w:rPr>
        <w:t>承包人</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4.1 </w:t>
      </w:r>
      <w:r>
        <w:rPr>
          <w:rFonts w:hint="eastAsia" w:ascii="宋体" w:hAnsi="宋体"/>
          <w:color w:val="auto"/>
          <w:szCs w:val="21"/>
          <w:highlight w:val="none"/>
        </w:rPr>
        <w:tab/>
      </w:r>
      <w:r>
        <w:rPr>
          <w:rFonts w:hint="eastAsia" w:ascii="宋体" w:hAnsi="宋体"/>
          <w:color w:val="auto"/>
          <w:szCs w:val="21"/>
          <w:highlight w:val="none"/>
        </w:rPr>
        <w:t>承包人的一般义务</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承包人应按照合同的规定以及工程师的指示（在合同规定的范围内）对工程进行设计、施工和竣工，并修补其任何缺陷。</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承包人应为工程的设计、施工、竣工以及修补缺陷提供所需的临时性或永久性的永久设备、合同中注明的承包人的文件、所有承包人的人员、货物、消耗品以及其他物品或服务。</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对所有现场作业和施工方法的完备性、稳定性和安全性负责。除合同中规定的范围，承包人(i)应对所有承包人的文件、临时工程和按照合同规定对每项永久设备和材料的所做的设计负责；以及(ii)但对永久工程的设计或规范不负责任。</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在工程师的要求下，承包人应提交为实施工程拟采用的方法以及所作安排的详细说明。在事先未通知工程师的情况下，不得对此类安排和方法进行重大修改。</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如果合同中明确规定由承包人设计部分永久工程，除非专用条件中另有规定，否则：</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承包人应按照合同中说明的程序向工程师提交该部分工程的承包人的文件；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承包人的文件必须符合规范和图纸，并使用第1.4款【法律和语言】规定的交流语言，还应包括工程师要求的为统一各方设计而应加入图纸中的附加信息；</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(c) 承包人应对该部分工程负责，并且该部分工程完工后应适合于合同中规定的工程的预期目的；以及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(d) 在开始竣工检验之前，承包人应按照规范规定向工程师提交竣工文件以及操作和维修手册，且应足够详细，以使发包人能够操作、维修、拆卸、重新安装、调整和修理该部分工程。在将此类文件和手册提交工程师之前，依据第10.1款【对工程和区段的接收】的规定，不得认为为接收之目的该部分工程业已完成。</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4.2 </w:t>
      </w:r>
      <w:r>
        <w:rPr>
          <w:rFonts w:hint="eastAsia" w:ascii="宋体" w:hAnsi="宋体"/>
          <w:color w:val="auto"/>
          <w:szCs w:val="21"/>
          <w:highlight w:val="none"/>
        </w:rPr>
        <w:tab/>
      </w:r>
      <w:r>
        <w:rPr>
          <w:rFonts w:hint="eastAsia" w:ascii="宋体" w:hAnsi="宋体"/>
          <w:color w:val="auto"/>
          <w:szCs w:val="21"/>
          <w:highlight w:val="none"/>
        </w:rPr>
        <w:t>履约保证</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承包人应（自费）取得一份保证其恰当履约的履约保证，保证的金额和货币种类应与投标函附录中的规定一致。如果投标函附录中未说明金额，则本款不适用。</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在收到中标通知书后28天内将此履约保证提交给发包人，并向工程师提交一份副本。该保证应在发包人批准的实体和国家（或其它管辖区）管辖范围内颁发，并采用专用条件附件中规定的格式或发包人批准的其他格式。</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承包人完成工程和竣工并修补任何缺陷之前，承包人应保证履约保证将持续有效。如果该保证的条款明确说明了其期满日期，而且承包人在此期满日期前第28天还无权收回此履约保证，则承包人应相应延长履约保证的有效期，直至工程竣工并修补了缺陷。</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发包人不能按照履约保证提出索赔，但以下按照合同发包人有权获得款额的情况除外：</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承包人未能按照上一段的说明，延长履约保证的有效期，此时发包人可对履约保证的全部金额进行索赔，</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按照承包人同意或依据第2.5款【发包人的索赔】或第20条【索赔、争端和仲裁】的决定，在此协议或决定后42天内承包人未能向发包人支付应付的款额，</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(c) 在接到发包人要求修补缺陷的通知后42天内，承包人未能修补缺陷，或</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(d) 按照第15.2款【发包人提出终止】的规定发包人有权提出终止的情况，无论是否发出了终止通知。</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发包人应保障并使承包人免于因为发包人按照履约保证对无权索赔的情况提出索赔的后果而遭受损害、损失和开支（包括法律费用和开支）。</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发包人应在接到履约证书副本后21天内将履约保证退还给承包人。</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4.3 </w:t>
      </w:r>
      <w:r>
        <w:rPr>
          <w:rFonts w:hint="eastAsia" w:ascii="宋体" w:hAnsi="宋体"/>
          <w:color w:val="auto"/>
          <w:szCs w:val="21"/>
          <w:highlight w:val="none"/>
        </w:rPr>
        <w:tab/>
      </w:r>
      <w:r>
        <w:rPr>
          <w:rFonts w:hint="eastAsia" w:ascii="宋体" w:hAnsi="宋体"/>
          <w:color w:val="auto"/>
          <w:szCs w:val="21"/>
          <w:highlight w:val="none"/>
        </w:rPr>
        <w:t>承包人项目经理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承包人应任命承包人项目经理，并授予他在按照合同代表承包人工作时所必需的一切权力。</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除非合同中已注明承包人项目经理的姓名，否则承包人应在开工日期前将其准备任命的代表姓名及详细情况提交工程师，以取得同意。如果同意被扣压或随后撤销，或该指定人员无法担任承包人项目经理，则承包人应同样地提交另一合适人选的姓名及详细情况以获批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没有工程师的事先同意，承包人不得撤销对承包人项目经理的任命或对其进行更换。</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承包人项目经理应以其全部时间协助承包人履行合同。如果承包人项目经理在工程实施过程中暂离现场，则在工程师的事先同意下可以任命一名合适的替代人员，随后通知工程师。</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承包人项目经理应代表承包人按照第3.3款【工程师的指示】的规定接受指示。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项目经理可将其权力、职责与责任委托给任何胜任的人员，并可随时撤销任何此类委托。在工程师收到由承包人项目经理签发的说明人员姓名、注明这些权力、职责与责任已委托或撤销的通知之前，任何此类委托或撤销不应产生效力。</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承包人项目经理及其委托人应能流利地使用第1.4款【法律和语言】中规定的语言进行日常交流。</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4.4 </w:t>
      </w:r>
      <w:r>
        <w:rPr>
          <w:rFonts w:hint="eastAsia" w:ascii="宋体" w:hAnsi="宋体"/>
          <w:color w:val="auto"/>
          <w:szCs w:val="21"/>
          <w:highlight w:val="none"/>
        </w:rPr>
        <w:tab/>
      </w:r>
      <w:r>
        <w:rPr>
          <w:rFonts w:hint="eastAsia" w:ascii="宋体" w:hAnsi="宋体"/>
          <w:color w:val="auto"/>
          <w:szCs w:val="21"/>
          <w:highlight w:val="none"/>
        </w:rPr>
        <w:t>分包商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承包人不得将整个工程分包出去。</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承包人应将分包商、分包商的代理人或雇员的行为或违约视为承包人自己的行为或违约，并按政府有关调查报告结果承担相应责任。除非专用条件中另有说明，否则：</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承包人在选择材料供应商或向合同中已注明的分包商进行分包时，无需征得同意；</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其他拟雇用的分包商须得到工程师的事先同意；</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(c) 承包人应至少提前28天将每位分包商的工程预期开工日期以及现场开工日期通知工程师；以及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(d) 每份分包合同应包含一条规定，即发包人有权按照第4.5款【分包合同利益的转让】（如果可行）或出现第15.2款【发包人提出终止】中规定的终止合同的情况时要求将此分包合同转让给发包人。</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4.5 </w:t>
      </w:r>
      <w:r>
        <w:rPr>
          <w:rFonts w:hint="eastAsia" w:ascii="宋体" w:hAnsi="宋体"/>
          <w:color w:val="auto"/>
          <w:szCs w:val="21"/>
          <w:highlight w:val="none"/>
        </w:rPr>
        <w:tab/>
      </w:r>
      <w:r>
        <w:rPr>
          <w:rFonts w:hint="eastAsia" w:ascii="宋体" w:hAnsi="宋体"/>
          <w:color w:val="auto"/>
          <w:szCs w:val="21"/>
          <w:highlight w:val="none"/>
        </w:rPr>
        <w:t>分包合同利益的转让</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分包商的义务超过了缺陷责任期的期满之日，且工程师在此期满日前已指示承包人将此分包合同的利益转让给发包人，则承包人应按指示行事。除非另有说明，否则承包人在转让生效以后对分包商实施的工程对发包人不负责任。</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4.6 </w:t>
      </w:r>
      <w:r>
        <w:rPr>
          <w:rFonts w:hint="eastAsia" w:ascii="宋体" w:hAnsi="宋体"/>
          <w:color w:val="auto"/>
          <w:szCs w:val="21"/>
          <w:highlight w:val="none"/>
        </w:rPr>
        <w:tab/>
      </w:r>
      <w:r>
        <w:rPr>
          <w:rFonts w:hint="eastAsia" w:ascii="宋体" w:hAnsi="宋体"/>
          <w:color w:val="auto"/>
          <w:szCs w:val="21"/>
          <w:highlight w:val="none"/>
        </w:rPr>
        <w:t>合作</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承包人应按照合同的规定或工程师的指示，为下述人员从事其工作提供一切适当的机会：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(a)发包人的人员；</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(b)发包人雇用的任何其他承包人；以及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(c)任何合法公共机构的人员，</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这些人员可能被雇用于现场或于现场附近从事合同中未包括的任何工作。</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如果（并在一定程度上）此类指示使承包人增加了不可预见的费用，则构成了变更。为这些人员和其他承包人的服务包括使用承包人的设备，承包人负责的临时工程或通行道路安排。</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如果按照合同规定，要求发包人按照承包人的文件给予承包人对任何基础、结构、永久设备或通行手段的占用，承包人应在规范规定的时间内以其规定的方式向工程师提交此类文件。</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4.7 </w:t>
      </w:r>
      <w:r>
        <w:rPr>
          <w:rFonts w:hint="eastAsia" w:ascii="宋体" w:hAnsi="宋体"/>
          <w:color w:val="auto"/>
          <w:szCs w:val="21"/>
          <w:highlight w:val="none"/>
        </w:rPr>
        <w:tab/>
      </w:r>
      <w:r>
        <w:rPr>
          <w:rFonts w:hint="eastAsia" w:ascii="宋体" w:hAnsi="宋体"/>
          <w:color w:val="auto"/>
          <w:szCs w:val="21"/>
          <w:highlight w:val="none"/>
        </w:rPr>
        <w:t>放线</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承包人应根据合同中规定的或工程师通知的原始基准点、基准线和参照标高对工程进行放线。承包人应对工程各部分的正确定位负责，并且矫正工程的位置、标高或尺寸或准线中出现的任何差错。</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发包人应对此类给定的或通知的参照项目的任何差错负责，但承包人在使用这些参照项目前应付出合理的努力去证实其准确性。</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由于这些参照项目的差错而不可避免地对实施工程造成了延误和（或）导致了费用，而且一个有经验的承包人无法合理发现这种差错并避免此类延误和（或）费用，承包人应向工程师发出通知并有权依据第20.1款【承包人的索赔】，要求：</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根据第8.4款【竣工时间的延长】的规定，获得任何延长的工期，如果竣工已经或将被延误；以及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支付任何有关费用加上合理利润，并将之加入合同价格。</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在接到此类通知后，工程师应按照第3.5款【决定】的规定作出商定或决定：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(i) 是否以及（如果是的话）在多大程度上该差错不能合理被发现；以及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(ii) 上面(a)、(b)段中描述的与该程度相关事项。</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4.8 </w:t>
      </w:r>
      <w:r>
        <w:rPr>
          <w:rFonts w:hint="eastAsia" w:ascii="宋体" w:hAnsi="宋体"/>
          <w:color w:val="auto"/>
          <w:szCs w:val="21"/>
          <w:highlight w:val="none"/>
        </w:rPr>
        <w:tab/>
      </w:r>
      <w:r>
        <w:rPr>
          <w:rFonts w:hint="eastAsia" w:ascii="宋体" w:hAnsi="宋体"/>
          <w:color w:val="auto"/>
          <w:szCs w:val="21"/>
          <w:highlight w:val="none"/>
        </w:rPr>
        <w:t>安全措施</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承包人应该：</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遵守所有适用的安全规章；</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注意有权进入现场的所有人员的安全；</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(c) 付出合理的努力清理现场和工程不必要的障碍，以避免对这些人员造成伤害；</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(d) 提供工程的围栏、照明、防护及看守，直至竣工和按照第10款【发包人的接收】进行移交，以及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(e) 提供因工程实施，为邻近地区的所有者和占有者以及公众提供便利和保护所必需的任何临时工程（包括道路、人行道、防护及围栏）。</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4.9 </w:t>
      </w:r>
      <w:r>
        <w:rPr>
          <w:rFonts w:hint="eastAsia" w:ascii="宋体" w:hAnsi="宋体"/>
          <w:color w:val="auto"/>
          <w:szCs w:val="21"/>
          <w:highlight w:val="none"/>
        </w:rPr>
        <w:tab/>
      </w:r>
      <w:r>
        <w:rPr>
          <w:rFonts w:hint="eastAsia" w:ascii="宋体" w:hAnsi="宋体"/>
          <w:color w:val="auto"/>
          <w:szCs w:val="21"/>
          <w:highlight w:val="none"/>
        </w:rPr>
        <w:t>质量保证</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承包人应按照合同的要求建立一套质量保证体系，以保证符合合同要求。该体系应符合合同中规定的细节。工程师有权审查质量保证体系的任何方面。</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在每一设计和实施阶段开始之前均应将所有程序的细节和执行文件提交工程师，供其参考。任何具有技术特性的文件颁发给工程师时，必须有明显的证据表明承包人对该文件的事先批准。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遵守该质量保证体系不应解除承包人依据合同具有的任何职责、义务和责任。</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4.10 </w:t>
      </w:r>
      <w:r>
        <w:rPr>
          <w:rFonts w:hint="eastAsia" w:ascii="宋体" w:hAnsi="宋体"/>
          <w:color w:val="auto"/>
          <w:szCs w:val="21"/>
          <w:highlight w:val="none"/>
        </w:rPr>
        <w:tab/>
      </w:r>
      <w:r>
        <w:rPr>
          <w:rFonts w:hint="eastAsia" w:ascii="宋体" w:hAnsi="宋体"/>
          <w:color w:val="auto"/>
          <w:szCs w:val="21"/>
          <w:highlight w:val="none"/>
        </w:rPr>
        <w:t>现场数据</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基准日期之前，发包人应向承包人提供发包人掌握的一切现场地表以下及水文条件的有关数据，包括环境方面的数据，以供其参考。发包人同样应向承包人提供其在基准日期后得到的所有数据。承包人应负责对所有数据的解释。</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一定程度上只要可行（考虑到费用和时间），承包人应被认为已取得了可能对投标文件或工程产生影响或作用的有关风险、意外事故及其他情况的全部必要的资料。在同一程度上，承包人也被认为在提交投标文件之前已对现场及其周围环境、上述数据及提供的其他资料进行了检查与审核，并对所有相关事宜感到满意，包括（但不限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(a)现场的形状和性质，包括地表以下的条件；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(b)水文及气候条件；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(c)为实施和完成工程以及修补任何缺陷所需工作和货物的范围和性质；</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(d)工程所在国的法律、程序和雇佣劳务的习惯作法；以及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(e)承包人要求的通行道路、食宿、设施、人员、电力、交通、水及其他服务。</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4.11 </w:t>
      </w:r>
      <w:r>
        <w:rPr>
          <w:rFonts w:hint="eastAsia" w:ascii="宋体" w:hAnsi="宋体"/>
          <w:color w:val="auto"/>
          <w:szCs w:val="21"/>
          <w:highlight w:val="none"/>
        </w:rPr>
        <w:tab/>
      </w:r>
      <w:r>
        <w:rPr>
          <w:rFonts w:hint="eastAsia" w:ascii="宋体" w:hAnsi="宋体"/>
          <w:color w:val="auto"/>
          <w:szCs w:val="21"/>
          <w:highlight w:val="none"/>
        </w:rPr>
        <w:t>接受的合同款额的完备性</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承包人应被认为：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已完全理解了接受的合同款额的合宜性和充分性，以及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该接受的合同款额是基于第4.10款【现场数据】提供的数据、解释、必要资料、检查、审核及其他相关资料。</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除非合同中另有规定，接受的合同款额应包括承包人在合同中应承担的全部义务（包括根据暂定金额应承担的义务，如有时）以及为恰当地实施和完成工程并修补任何缺陷必需的全部有关事宜。</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4.12 </w:t>
      </w:r>
      <w:r>
        <w:rPr>
          <w:rFonts w:hint="eastAsia" w:ascii="宋体" w:hAnsi="宋体"/>
          <w:color w:val="auto"/>
          <w:szCs w:val="21"/>
          <w:highlight w:val="none"/>
        </w:rPr>
        <w:tab/>
      </w:r>
      <w:r>
        <w:rPr>
          <w:rFonts w:hint="eastAsia" w:ascii="宋体" w:hAnsi="宋体"/>
          <w:color w:val="auto"/>
          <w:szCs w:val="21"/>
          <w:highlight w:val="none"/>
        </w:rPr>
        <w:t>不可预见的外界条件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本款中，“外界条件”是指承包人在实施工程中遇见的外界自然条件及人为的条件和其他外界障碍和污染物，包括地表以下和水文条件，但不包括气候条件。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如果承包人遇到了在他看来是无法预见的外界条件，则承包人应尽可能快地通知工程师。</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此通知应描述该外界条件以便工程师审查，并说明原因为什么承包人认为是不可预见的。承包人应继续实施工程，采用在此外界条件下合适的以及合理的措施，并且应该遵守工程师给予的任何指示。如果此指示构成了变更，第13条【变更和调整】将适用。</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如果且在一定程度上承包人遇到了不可预见的外界条件，发出了通知，且因此遭到了延误和（或）导致了费用，承包人应有权依据第20.1款【承包人的索赔】要求：</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根据第8.4款【竣工时间的延长】的规定，获得任何延长的工期，如果竣工已经或将被延误；以及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支付任何有关费用，并将之加入合同价格。</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在接到此通知并对此外界条件进行审查和（或）检查以后，工程师应按照第3.5款【决定】的规定，作出商定或决定：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(i) 是否以及（如果是的话）在多大程度上该外界条件不可预见；以及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(ii) 上面(a)、(b)段中描述的与该程度相关的事项。</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然而，在依照子段(ii)最终商定或决定附加费用之前，工程师还应审查是否在工程类似部分（如有时）上其他外界条件比承包人在提交投标文件时合理预见的外界条件更为有利。如果并且在一定程度上承包人遇到了此类更为有利的条件，工程师应按照第3.5款【决定】的规定对因此条件而应支付费用的扣除作出商定或决定，并且加入合同价格和支付证书中（作为扣除）。但由于工程类似部分遭受的所有外界条件而按(b)款所作的调整和所有这些扣除的净作用不应导致合同价格的净扣除。</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工程师可以考虑承包人对提交投标文件时合理预见的外界条件提交的任何证据，但不受这些证据的约束。</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4.13 </w:t>
      </w:r>
      <w:r>
        <w:rPr>
          <w:rFonts w:hint="eastAsia" w:ascii="宋体" w:hAnsi="宋体"/>
          <w:color w:val="auto"/>
          <w:szCs w:val="21"/>
          <w:highlight w:val="none"/>
        </w:rPr>
        <w:tab/>
      </w:r>
      <w:r>
        <w:rPr>
          <w:rFonts w:hint="eastAsia" w:ascii="宋体" w:hAnsi="宋体"/>
          <w:color w:val="auto"/>
          <w:szCs w:val="21"/>
          <w:highlight w:val="none"/>
        </w:rPr>
        <w:t>道路通行权和设施</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承包人应为包括进入现场在内的他所需的特殊和（或）临时的道路通行权承担全部费用和开支。承包人还应自担风险和费用获得为工程目的其自身所需的现场以外的任何附加设施。</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4.14 </w:t>
      </w:r>
      <w:r>
        <w:rPr>
          <w:rFonts w:hint="eastAsia" w:ascii="宋体" w:hAnsi="宋体"/>
          <w:color w:val="auto"/>
          <w:szCs w:val="21"/>
          <w:highlight w:val="none"/>
        </w:rPr>
        <w:tab/>
      </w:r>
      <w:r>
        <w:rPr>
          <w:rFonts w:hint="eastAsia" w:ascii="宋体" w:hAnsi="宋体"/>
          <w:color w:val="auto"/>
          <w:szCs w:val="21"/>
          <w:highlight w:val="none"/>
        </w:rPr>
        <w:t>避免干扰</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承包人不应不必要地或不适当地干扰：</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公众的方便；或</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进入和使用以及占用所有道路和人行道，不论这些道路和人行道是公共的或是在发包人或其他人的占用之下。</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承包人应保障并使发包人免于因上述不必要或不适当的干扰带来的后果而遭受的损害、损失和开支（包括法律费用和开支）。</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4.15 </w:t>
      </w:r>
      <w:r>
        <w:rPr>
          <w:rFonts w:hint="eastAsia" w:ascii="宋体" w:hAnsi="宋体"/>
          <w:color w:val="auto"/>
          <w:szCs w:val="21"/>
          <w:highlight w:val="none"/>
        </w:rPr>
        <w:tab/>
      </w:r>
      <w:r>
        <w:rPr>
          <w:rFonts w:hint="eastAsia" w:ascii="宋体" w:hAnsi="宋体"/>
          <w:color w:val="auto"/>
          <w:szCs w:val="21"/>
          <w:highlight w:val="none"/>
        </w:rPr>
        <w:t>进场路线</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被认为对他选用的进场路线的适宜性和可用性感到满意。承包人应付出合理的努力保护这些道路或桥梁免于因为承包人的交通运输或承包人的人员而遭受损坏。这些努力包括适当地使用合适的运输工具和路线。</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除合同中另有说明者外：</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承包人应该（就双方而言）负责他使用的进场路线的任何必要的维护；</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承包人应提供所有沿进场路线必需的标志或方向指示，并应为使用此类进场路线、标志和方向指示，取得有关部门的批准；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(c) 发包人不对由于任何进场路线的采用或其他原因引起的索赔负责；</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(d) 发包人不保证任何特定的进场路线的适宜性和可用性；以及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(e) 因承包人所需的使用的进场路线的不适宜性或不可用性而导致的费用，由承包人承担。</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4.16 </w:t>
      </w:r>
      <w:r>
        <w:rPr>
          <w:rFonts w:hint="eastAsia" w:ascii="宋体" w:hAnsi="宋体"/>
          <w:color w:val="auto"/>
          <w:szCs w:val="21"/>
          <w:highlight w:val="none"/>
        </w:rPr>
        <w:tab/>
      </w:r>
      <w:r>
        <w:rPr>
          <w:rFonts w:hint="eastAsia" w:ascii="宋体" w:hAnsi="宋体"/>
          <w:color w:val="auto"/>
          <w:szCs w:val="21"/>
          <w:highlight w:val="none"/>
        </w:rPr>
        <w:t>货物的运输</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除非专用条件中另有说明，否则：</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承包人应在任何永久设备或其他主要货物运送现场日期前不少于21天，通知工程师；</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承包人应对工程所需的所有货物和其他物品的包装、装载、运输、接收、卸货、保存和保护负责；以及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(c) 承包人应保障并使发包人免于因为货物运输的损坏而遭受损害、损失和开支（包括法律费用和开支），并应协商及支付由于运输所导致的索赔。</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4.17 </w:t>
      </w:r>
      <w:r>
        <w:rPr>
          <w:rFonts w:hint="eastAsia" w:ascii="宋体" w:hAnsi="宋体"/>
          <w:color w:val="auto"/>
          <w:szCs w:val="21"/>
          <w:highlight w:val="none"/>
        </w:rPr>
        <w:tab/>
      </w:r>
      <w:r>
        <w:rPr>
          <w:rFonts w:hint="eastAsia" w:ascii="宋体" w:hAnsi="宋体"/>
          <w:color w:val="auto"/>
          <w:szCs w:val="21"/>
          <w:highlight w:val="none"/>
        </w:rPr>
        <w:t>承包人的设备</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对所有承包人的设备负责。所有承包人的设备一经运至现场，都应视为专门用于该工程的实施。没有工程师的同意，承包人不得将任何主要的承包人的设备移出现场。但负责将货物或承包人的人员运离现场的运输工具，不必经过同意。</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4.18 </w:t>
      </w:r>
      <w:r>
        <w:rPr>
          <w:rFonts w:hint="eastAsia" w:ascii="宋体" w:hAnsi="宋体"/>
          <w:color w:val="auto"/>
          <w:szCs w:val="21"/>
          <w:highlight w:val="none"/>
        </w:rPr>
        <w:tab/>
      </w:r>
      <w:r>
        <w:rPr>
          <w:rFonts w:hint="eastAsia" w:ascii="宋体" w:hAnsi="宋体"/>
          <w:color w:val="auto"/>
          <w:szCs w:val="21"/>
          <w:highlight w:val="none"/>
        </w:rPr>
        <w:t>环境保护</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承包人应采取一切合理步骤保护现场内外的环境，并限制因其施工作业引起的污染、噪音及其他后果对公众和财产造成的损害和妨碍。</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承包人应保证承包人产生的散发物、地面排水及排污不能超过规范中规定的数值，也不能超过法律规定的数值。</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4.19 </w:t>
      </w:r>
      <w:r>
        <w:rPr>
          <w:rFonts w:hint="eastAsia" w:ascii="宋体" w:hAnsi="宋体"/>
          <w:color w:val="auto"/>
          <w:szCs w:val="21"/>
          <w:highlight w:val="none"/>
        </w:rPr>
        <w:tab/>
      </w:r>
      <w:r>
        <w:rPr>
          <w:rFonts w:hint="eastAsia" w:ascii="宋体" w:hAnsi="宋体"/>
          <w:color w:val="auto"/>
          <w:szCs w:val="21"/>
          <w:highlight w:val="none"/>
        </w:rPr>
        <w:t>电、水、气</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除以下说明外，承包人应对其所需的所有电力、水及其他服务的供应负责。</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为工程之目的承包人有权享用现场供应的电、水、气及其他设施，其详细规定和价格在规范中给出。承包人应自担风险和自付费用，为此类设施的使用以及所消耗的数量的测定提供任何必需的仪器。</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此类设施所消耗的数量和应支付的款额（在此价格上），应由工程师按照第3.5款【决定】的规定作出商定或决定。承包人应向发包人支付该项款额。</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4.20 </w:t>
      </w:r>
      <w:r>
        <w:rPr>
          <w:rFonts w:hint="eastAsia" w:ascii="宋体" w:hAnsi="宋体"/>
          <w:color w:val="auto"/>
          <w:szCs w:val="21"/>
          <w:highlight w:val="none"/>
        </w:rPr>
        <w:tab/>
      </w:r>
      <w:r>
        <w:rPr>
          <w:rFonts w:hint="eastAsia" w:ascii="宋体" w:hAnsi="宋体"/>
          <w:color w:val="auto"/>
          <w:szCs w:val="21"/>
          <w:highlight w:val="none"/>
        </w:rPr>
        <w:t>发包人的设备和免费提供的材料</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发包人应按规范中说明的细节、安排和价格，在实施工程中向承包人提供发包人的设备（如有时）。除非规范中另有规定，否则：</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发包人应对发包人的设备负责，但是</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当承包人的任何人员在操作、驾驶、指导、占有或控制发包人的设备时，承包人应对每项发包人的设备负责。</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工程师应对使用发包人的设备的合适数量及应支付的款额（以上述指定价格）按照第3.5款【决定】的规定作出商定或决定。承包人应向发包人支付该项款额。</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发包人应按照规范中规定的细则，免费提供那些“免费提供的材料”（如有时）。发包人应自担风险和自付费用按照合同中规定的时间和地点提供这些材料。然后，承包人应对材料进行目测检查，并应将这些材料的任何短缺、缺陷或损坏通知工程师。除非双方另有协议，否则发包人应立即补齐任何短缺、修复任何缺陷或损坏。</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在目测检查后，此类免费提供的材料将归承包人照管、监护和控制。承包人检查、照管、监护和控制的义务，不应解除发包人对此材料目测检查时不明显的短缺、缺陷或损坏所负有的责任。</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4.21 </w:t>
      </w:r>
      <w:r>
        <w:rPr>
          <w:rFonts w:hint="eastAsia" w:ascii="宋体" w:hAnsi="宋体"/>
          <w:color w:val="auto"/>
          <w:szCs w:val="21"/>
          <w:highlight w:val="none"/>
        </w:rPr>
        <w:tab/>
      </w:r>
      <w:r>
        <w:rPr>
          <w:rFonts w:hint="eastAsia" w:ascii="宋体" w:hAnsi="宋体"/>
          <w:color w:val="auto"/>
          <w:szCs w:val="21"/>
          <w:highlight w:val="none"/>
        </w:rPr>
        <w:t>进度报告</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除非专用条件中另有说明，承包人应编制月进度报告，并将6份副本提交给工程师。第一次报告所包含的期间应从开工日期起至紧随开工日期的第一个月历的最后一天止。此后每月应在该月最后一天之后的7天内提交月进度报告。</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报告应持续至承包人完成了工程接收证书上注明的完工日期时尚未完成的所有工作为止。</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每份报告应包括：</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设计（如有时）、承包人的文件、采购、制造、货物运达现场、施工、安装和调试的每一阶段以及指定分包商（在第5款【指定分包商】中定义的）实施工程的这些阶段进展情况的图表与详细说明；</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表明制造和现场进展状况的照片；</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(c) 与每项主要永久设备和材料制造有关的制造商名称、制造地点、进度百分比，以及以下各项的实际或预期日期：</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(i) 开始制造；</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(ii) 承包人的检查；</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(iii) 检验；以及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(iv) 运输和到达现场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(d) 在第6.10款【承包人的人员和设备的记录】中描述的详细情况；</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(e) 若干份质量保证文件、材料的检验结果及证书；</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(f) 依据第2.5款【发包人的索赔】和第20.1款【承包人的索赔】颁发的通知清单；</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(g) 安全统计，包括涉及环境和公共关系方面的任何危险事件与活动的详情；以及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(h) 实际进度与计划进度的对比，包括可能影响按照合同完工的任何事件和情况的详情，以及为消除延误而正在（或准备）采取的措施。</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4.22 </w:t>
      </w:r>
      <w:r>
        <w:rPr>
          <w:rFonts w:hint="eastAsia" w:ascii="宋体" w:hAnsi="宋体"/>
          <w:color w:val="auto"/>
          <w:szCs w:val="21"/>
          <w:highlight w:val="none"/>
        </w:rPr>
        <w:tab/>
      </w:r>
      <w:r>
        <w:rPr>
          <w:rFonts w:hint="eastAsia" w:ascii="宋体" w:hAnsi="宋体"/>
          <w:color w:val="auto"/>
          <w:szCs w:val="21"/>
          <w:highlight w:val="none"/>
        </w:rPr>
        <w:t xml:space="preserve">现场保安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除非专用条件中另有规定：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承包人应负责阻止未获授权的人员进入现场；以及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授权人员仅限于承包人的人员和发包人的人员，以及发包人的其他承包人在现场的授权人员并由发包人或工程师通知了承包人的任何其他人员。</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4.23 </w:t>
      </w:r>
      <w:r>
        <w:rPr>
          <w:rFonts w:hint="eastAsia" w:ascii="宋体" w:hAnsi="宋体"/>
          <w:color w:val="auto"/>
          <w:szCs w:val="21"/>
          <w:highlight w:val="none"/>
        </w:rPr>
        <w:tab/>
      </w:r>
      <w:r>
        <w:rPr>
          <w:rFonts w:hint="eastAsia" w:ascii="宋体" w:hAnsi="宋体"/>
          <w:color w:val="auto"/>
          <w:szCs w:val="21"/>
          <w:highlight w:val="none"/>
        </w:rPr>
        <w:t>承包人的现场工作</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承包人应将其工作限制在现场以及承包人可能得到并获得工程师同意作为工作区的任何附加区域。承包人应采取一切必要的预防措施以保证他的人员与设备处在现场及此类附加区域之内，并避免他们进入邻地。</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在工程实施期间，承包人应使现场避免出现一切不必要的障碍物，存放并妥善处置承包人的任何设备或剩余材料。承包人应从现场清除并运走任何残物、垃圾或不再需要的临时工程。</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颁发接收证书后，承包人应立即从该接收证书涉及的那部分现场和工程中清除并运走承包人的所有设备、剩余材料、残物、垃圾和临时工程。承包人应保持该部分现场和工程处于清洁和安全状况。但是，承包人可以在现场保留在缺陷责任期间内为履行合同中规定的义务所需的货物。</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4.24 </w:t>
      </w:r>
      <w:r>
        <w:rPr>
          <w:rFonts w:hint="eastAsia" w:ascii="宋体" w:hAnsi="宋体"/>
          <w:color w:val="auto"/>
          <w:szCs w:val="21"/>
          <w:highlight w:val="none"/>
        </w:rPr>
        <w:tab/>
      </w:r>
      <w:r>
        <w:rPr>
          <w:rFonts w:hint="eastAsia" w:ascii="宋体" w:hAnsi="宋体"/>
          <w:color w:val="auto"/>
          <w:szCs w:val="21"/>
          <w:highlight w:val="none"/>
        </w:rPr>
        <w:t>化石</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工程现场发现的所有化石、硬币、有价值的物品或文物、建筑结构以及其他具有地质或考古价值的遗迹或物品应处于发包人的看管和权力之下。承包人应采取合理的预防措施防止承包人的人员或其他人员移动或损坏这些发现物。</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一旦发现此类物品，承包人应立即通知工程师，工程师可发出关于处理上述物品的指示。如果承包人由于遵守该指示而引起延误和(/或)招致了费用，则应进一步通知工程师并有权依据第20.1款【承包人的索赔】，要求：</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根据第8.4款【竣工时间的延长】的规定，获得任何延长的工期，如果竣工已经或将被延误；以及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支付任何有关费用，并将之加入合同价格。</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在接到此进一步通知后，工程师应按照第3.5款【决定】的规定对此事作出商定或决定。</w:t>
      </w: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rPr>
        <w:t>5.</w:t>
      </w:r>
      <w:r>
        <w:rPr>
          <w:rFonts w:hint="eastAsia" w:ascii="宋体"/>
          <w:color w:val="auto"/>
          <w:highlight w:val="none"/>
        </w:rPr>
        <w:tab/>
      </w:r>
      <w:r>
        <w:rPr>
          <w:rFonts w:hint="eastAsia" w:ascii="宋体"/>
          <w:color w:val="auto"/>
          <w:highlight w:val="none"/>
        </w:rPr>
        <w:t>指定分包商</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5.1 </w:t>
      </w:r>
      <w:r>
        <w:rPr>
          <w:rFonts w:hint="eastAsia" w:ascii="宋体" w:hAnsi="宋体"/>
          <w:color w:val="auto"/>
          <w:szCs w:val="21"/>
          <w:highlight w:val="none"/>
        </w:rPr>
        <w:tab/>
      </w:r>
      <w:r>
        <w:rPr>
          <w:rFonts w:hint="eastAsia" w:ascii="宋体" w:hAnsi="宋体"/>
          <w:color w:val="auto"/>
          <w:szCs w:val="21"/>
          <w:highlight w:val="none"/>
        </w:rPr>
        <w:t>指定分包商的定义</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在合同中，“指定分包商”是指一个分包商：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(a)合同中指明作为指定分包商的，或</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(b)工程师依据第13款【变更和调整】指示承包人将其作为一名分包商雇用的人员。</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5.2 </w:t>
      </w:r>
      <w:r>
        <w:rPr>
          <w:rFonts w:hint="eastAsia" w:ascii="宋体" w:hAnsi="宋体"/>
          <w:color w:val="auto"/>
          <w:szCs w:val="21"/>
          <w:highlight w:val="none"/>
        </w:rPr>
        <w:tab/>
      </w:r>
      <w:r>
        <w:rPr>
          <w:rFonts w:hint="eastAsia" w:ascii="宋体" w:hAnsi="宋体"/>
          <w:color w:val="auto"/>
          <w:szCs w:val="21"/>
          <w:highlight w:val="none"/>
        </w:rPr>
        <w:t>对指定的反对</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没有义务雇用一名他已通知工程师并提交具体证明资料说明其有理由反对的指定分包商。如果因为（但不限于）下述任何事宜而反对，则该反对应被认为是合理的，除非发包人同意保障承包人免于承担下述事宜的后果：</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有理由相信分包商没有足够的能力、资源或资金实力；</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分包合同未规定指定分包商应保障承包人免于承担由分包商、其代理人、雇员的任何疏忽或对货物的错误操作的责任；或</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(c) 分包合同未规定指定分包商对所分包工程（包括设计，如有时），应该</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(i) 向承包人承担该项义务和责任以使承包人可以依照合同免除他的义务和责任，以及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(ii) 保障承包人免于按照合同或与合同有关的以及由于分包商未能履行这些义务或完成这些责任而导致的后果所具有的所有义务和责任。</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5.3 </w:t>
      </w:r>
      <w:r>
        <w:rPr>
          <w:rFonts w:hint="eastAsia" w:ascii="宋体" w:hAnsi="宋体"/>
          <w:color w:val="auto"/>
          <w:szCs w:val="21"/>
          <w:highlight w:val="none"/>
        </w:rPr>
        <w:tab/>
      </w:r>
      <w:r>
        <w:rPr>
          <w:rFonts w:hint="eastAsia" w:ascii="宋体" w:hAnsi="宋体"/>
          <w:color w:val="auto"/>
          <w:szCs w:val="21"/>
          <w:highlight w:val="none"/>
        </w:rPr>
        <w:t>对指定分包商的支付</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承包人应向指定分包商支付工程师证实的依据分包合同应支付的款额。该项款额加上其他费用应按照第13.5款【暂定金额】(b)段的规定加入合同价格，但第5.4款〖支付的证据〗中说明的情况除外。</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5.4 </w:t>
      </w:r>
      <w:r>
        <w:rPr>
          <w:rFonts w:hint="eastAsia" w:ascii="宋体" w:hAnsi="宋体"/>
          <w:color w:val="auto"/>
          <w:szCs w:val="21"/>
          <w:highlight w:val="none"/>
        </w:rPr>
        <w:tab/>
      </w:r>
      <w:r>
        <w:rPr>
          <w:rFonts w:hint="eastAsia" w:ascii="宋体" w:hAnsi="宋体"/>
          <w:color w:val="auto"/>
          <w:szCs w:val="21"/>
          <w:highlight w:val="none"/>
        </w:rPr>
        <w:t>支付的证据</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颁发一份包括支付给指定分包商的款额的支付证书之前，工程师可以要求承包人提供合理的证据，证明按以前的支付证书已向指定分包商支付了所有应支付的款额（适当地扣除质量保证金或其他）。除非承包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向工程师提交了合理的证据，或</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(i) 以书面材料使工程师同意他有权扣留或拒绝支付该项款额，以及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(ii) 向工程师提交了合理的证据表明他已将此权力通知了指定分包商，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否则，发包人应（自行决定）直接向指定分包商支付部分或全部已被证实应支付给他的（适当地扣除质量保证金）并且承包人不能按照上述(a)、(b)段所述提供证据的那一项款额。承包人应向发包人偿还这笔由发包人直接支付给指定分包商的款额。</w:t>
      </w: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rPr>
        <w:t>6.</w:t>
      </w:r>
      <w:r>
        <w:rPr>
          <w:rFonts w:hint="eastAsia" w:ascii="宋体"/>
          <w:color w:val="auto"/>
          <w:highlight w:val="none"/>
        </w:rPr>
        <w:tab/>
      </w:r>
      <w:r>
        <w:rPr>
          <w:rFonts w:hint="eastAsia" w:ascii="宋体"/>
          <w:color w:val="auto"/>
          <w:highlight w:val="none"/>
        </w:rPr>
        <w:t>职员和劳工</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6.1 </w:t>
      </w:r>
      <w:r>
        <w:rPr>
          <w:rFonts w:hint="eastAsia" w:ascii="宋体" w:hAnsi="宋体"/>
          <w:color w:val="auto"/>
          <w:szCs w:val="21"/>
          <w:highlight w:val="none"/>
        </w:rPr>
        <w:tab/>
      </w:r>
      <w:r>
        <w:rPr>
          <w:rFonts w:hint="eastAsia" w:ascii="宋体" w:hAnsi="宋体"/>
          <w:color w:val="auto"/>
          <w:szCs w:val="21"/>
          <w:highlight w:val="none"/>
        </w:rPr>
        <w:t>职员和劳工的雇用</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除非规范中另有规定，承包人应安排从当地或其他地方雇用所有的职员和劳工，并负责他们的报酬、住房、膳食和交通。</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6.2 </w:t>
      </w:r>
      <w:r>
        <w:rPr>
          <w:rFonts w:hint="eastAsia" w:ascii="宋体" w:hAnsi="宋体"/>
          <w:color w:val="auto"/>
          <w:szCs w:val="21"/>
          <w:highlight w:val="none"/>
        </w:rPr>
        <w:tab/>
      </w:r>
      <w:r>
        <w:rPr>
          <w:rFonts w:hint="eastAsia" w:ascii="宋体" w:hAnsi="宋体"/>
          <w:color w:val="auto"/>
          <w:szCs w:val="21"/>
          <w:highlight w:val="none"/>
        </w:rPr>
        <w:t>工资标准和劳动条件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所付的工资标准及遵守的劳动条件应不低于其从事工作的地区同类工商业现行的标准和条件。如果没有现成的标准或条件可适用，承包人所付的工资标准及遵守的劳动条件应不低于从事类似于此承包人工作的当地工商业发包人所付的一般工资标准及遵守的劳动条件。</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6.3 </w:t>
      </w:r>
      <w:r>
        <w:rPr>
          <w:rFonts w:hint="eastAsia" w:ascii="宋体" w:hAnsi="宋体"/>
          <w:color w:val="auto"/>
          <w:szCs w:val="21"/>
          <w:highlight w:val="none"/>
        </w:rPr>
        <w:tab/>
      </w:r>
      <w:r>
        <w:rPr>
          <w:rFonts w:hint="eastAsia" w:ascii="宋体" w:hAnsi="宋体"/>
          <w:color w:val="auto"/>
          <w:szCs w:val="21"/>
          <w:highlight w:val="none"/>
        </w:rPr>
        <w:t>为他人提供服务的人员</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承包人不应从发包人的人员中招收或试图招收职员或劳工。</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6.4 </w:t>
      </w:r>
      <w:r>
        <w:rPr>
          <w:rFonts w:hint="eastAsia" w:ascii="宋体" w:hAnsi="宋体"/>
          <w:color w:val="auto"/>
          <w:szCs w:val="21"/>
          <w:highlight w:val="none"/>
        </w:rPr>
        <w:tab/>
      </w:r>
      <w:r>
        <w:rPr>
          <w:rFonts w:hint="eastAsia" w:ascii="宋体" w:hAnsi="宋体"/>
          <w:color w:val="auto"/>
          <w:szCs w:val="21"/>
          <w:highlight w:val="none"/>
        </w:rPr>
        <w:t xml:space="preserve">劳动法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承包人应遵守所有适用于承包人的人员的相关的劳动法，包括有关此类人员的雇用、健康、安全、福利、入境和出境的法律，并保障他们享有法律规定的所有权利。</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承包人应要求他的雇员遵守所有适用的法律，包括与安全工作有关的法律。</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6.5 </w:t>
      </w:r>
      <w:r>
        <w:rPr>
          <w:rFonts w:hint="eastAsia" w:ascii="宋体" w:hAnsi="宋体"/>
          <w:color w:val="auto"/>
          <w:szCs w:val="21"/>
          <w:highlight w:val="none"/>
        </w:rPr>
        <w:tab/>
      </w:r>
      <w:r>
        <w:rPr>
          <w:rFonts w:hint="eastAsia" w:ascii="宋体" w:hAnsi="宋体"/>
          <w:color w:val="auto"/>
          <w:szCs w:val="21"/>
          <w:highlight w:val="none"/>
        </w:rPr>
        <w:t xml:space="preserve">工作时间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在当地公认的休息日，或在投标函附录中规定的正常工作时间以外，不得在现场进行任何工作，除非：</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合同另有规定，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工程师同意，或</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(c) 为了抢救生命或财产，或为了工程的安全，该工作是无法避免的或必须进行的，在此情况下，承包人应立即通知工程师。</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6.6 </w:t>
      </w:r>
      <w:r>
        <w:rPr>
          <w:rFonts w:hint="eastAsia" w:ascii="宋体" w:hAnsi="宋体"/>
          <w:color w:val="auto"/>
          <w:szCs w:val="21"/>
          <w:highlight w:val="none"/>
        </w:rPr>
        <w:tab/>
      </w:r>
      <w:r>
        <w:rPr>
          <w:rFonts w:hint="eastAsia" w:ascii="宋体" w:hAnsi="宋体"/>
          <w:color w:val="auto"/>
          <w:szCs w:val="21"/>
          <w:highlight w:val="none"/>
        </w:rPr>
        <w:t xml:space="preserve">为职员和劳工提供的设施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除非规范中另有规定，承包人应为其人员提供并维护所有必须的膳宿及福利设施。承包人还应为发包人的人员提供规范中规定的设施。</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承包人不得允许任何承包人的人员在构成永久工程部分的构筑物内保留任何临时或永久的居住场所。</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6.7 </w:t>
      </w:r>
      <w:r>
        <w:rPr>
          <w:rFonts w:hint="eastAsia" w:ascii="宋体" w:hAnsi="宋体"/>
          <w:color w:val="auto"/>
          <w:szCs w:val="21"/>
          <w:highlight w:val="none"/>
        </w:rPr>
        <w:tab/>
      </w:r>
      <w:r>
        <w:rPr>
          <w:rFonts w:hint="eastAsia" w:ascii="宋体" w:hAnsi="宋体"/>
          <w:color w:val="auto"/>
          <w:szCs w:val="21"/>
          <w:highlight w:val="none"/>
        </w:rPr>
        <w:t xml:space="preserve">健康和安全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采取合理的预防措施以维护其人员的健康和安全。承包人应与当地卫生部门合作，自始至终在现场以及承包人和发包人的人员住地确保配备医务人员、急救设施、病房以及救护服务，并应作出适当安排提供所有必要的福利和卫生条件，并防止传染病的发生。</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在现场指派一名事故预防官员负责维持安全并防止事故发生。该人员应能胜任此责任，并有权发布指示及采取预防事故发生的保护措施。在工程的整个实施过程中，承包人应提供该人员为执行职责和权力所必需的任何物品。</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一旦发生事故，承包人应及时向工程师通报事故详情。承包人应按工程师的合理要求，保持有关人员的健康、安全和福利以及财产损坏的记录并写出报告。</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6.8 </w:t>
      </w:r>
      <w:r>
        <w:rPr>
          <w:rFonts w:hint="eastAsia" w:ascii="宋体" w:hAnsi="宋体"/>
          <w:color w:val="auto"/>
          <w:szCs w:val="21"/>
          <w:highlight w:val="none"/>
        </w:rPr>
        <w:tab/>
      </w:r>
      <w:r>
        <w:rPr>
          <w:rFonts w:hint="eastAsia" w:ascii="宋体" w:hAnsi="宋体"/>
          <w:color w:val="auto"/>
          <w:szCs w:val="21"/>
          <w:highlight w:val="none"/>
        </w:rPr>
        <w:t>承包人的监督</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只要工程师合理认为为履行承包人的义务必需时，承包人应在工程的整个实施过程中以及此后为完成承包人义务必需的期间内，提供一切对计划、安排、指示、管理、检查和检验工程必要的监督。</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此类监督应由足够的人员执行，他们应能流利地使用日常交流语言（第1.4款【法律和语言】中指定的语言），并具有为圆满和安全地实施工程的作业所需的足够知识（包括所需的方法和技术，可能遇到的危险以及预防事故发生的方法）。</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6.9 </w:t>
      </w:r>
      <w:r>
        <w:rPr>
          <w:rFonts w:hint="eastAsia" w:ascii="宋体" w:hAnsi="宋体"/>
          <w:color w:val="auto"/>
          <w:szCs w:val="21"/>
          <w:highlight w:val="none"/>
        </w:rPr>
        <w:tab/>
      </w:r>
      <w:r>
        <w:rPr>
          <w:rFonts w:hint="eastAsia" w:ascii="宋体" w:hAnsi="宋体"/>
          <w:color w:val="auto"/>
          <w:szCs w:val="21"/>
          <w:highlight w:val="none"/>
        </w:rPr>
        <w:t xml:space="preserve">承包人的人员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承包人的人员应是在他们各自行业或职业内具有技术和经验的合格人员。工程师可以要求承包人撤换（或使他人撤换）雇用于现场或工程中他认为有下列行为的任何人员，包括承包人项目经理（如果适用）：</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(a)经常行为不轨或不认真；</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(b)履行职责时不能胜任或玩忽职守；</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(c)不遵守合同的规定；或</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(d)经常出现有损健康与安全或有损环境保护的行为。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如果适当的话，承包人应随后指定（或使他人指定）合适的替代人员。</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6.10 </w:t>
      </w:r>
      <w:r>
        <w:rPr>
          <w:rFonts w:hint="eastAsia" w:ascii="宋体" w:hAnsi="宋体"/>
          <w:color w:val="auto"/>
          <w:szCs w:val="21"/>
          <w:highlight w:val="none"/>
        </w:rPr>
        <w:tab/>
      </w:r>
      <w:r>
        <w:rPr>
          <w:rFonts w:hint="eastAsia" w:ascii="宋体" w:hAnsi="宋体"/>
          <w:color w:val="auto"/>
          <w:szCs w:val="21"/>
          <w:highlight w:val="none"/>
        </w:rPr>
        <w:t>承包人的人员和设备的记录</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向工程师提交记录详细说明现场各等级的承包人的人员及各类承包人的设备的数量。该记录工程师批准的格式在每个日历月提交，直至承包人完成了在工程接收证书中注明的竣工日期时尚未完成的所有工程。</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6.11 </w:t>
      </w:r>
      <w:r>
        <w:rPr>
          <w:rFonts w:hint="eastAsia" w:ascii="宋体" w:hAnsi="宋体"/>
          <w:color w:val="auto"/>
          <w:szCs w:val="21"/>
          <w:highlight w:val="none"/>
        </w:rPr>
        <w:tab/>
      </w:r>
      <w:r>
        <w:rPr>
          <w:rFonts w:hint="eastAsia" w:ascii="宋体" w:hAnsi="宋体"/>
          <w:color w:val="auto"/>
          <w:szCs w:val="21"/>
          <w:highlight w:val="none"/>
        </w:rPr>
        <w:t>妨碍治安的行为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承包人应始终采取各种合理的预防措施，以防止其人员发生任何非法的、制造事端以及妨碍治安的行为，并保持其人员安定，以及保证现场及邻近地区人员和财产的安全。</w:t>
      </w: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rPr>
        <w:t>7.</w:t>
      </w:r>
      <w:r>
        <w:rPr>
          <w:rFonts w:hint="eastAsia" w:ascii="宋体"/>
          <w:color w:val="auto"/>
          <w:highlight w:val="none"/>
        </w:rPr>
        <w:tab/>
      </w:r>
      <w:r>
        <w:rPr>
          <w:rFonts w:hint="eastAsia" w:ascii="宋体"/>
          <w:color w:val="auto"/>
          <w:highlight w:val="none"/>
        </w:rPr>
        <w:t>永久设备、材料和工艺</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7.1 </w:t>
      </w:r>
      <w:r>
        <w:rPr>
          <w:rFonts w:hint="eastAsia" w:ascii="宋体" w:hAnsi="宋体"/>
          <w:color w:val="auto"/>
          <w:szCs w:val="21"/>
          <w:highlight w:val="none"/>
        </w:rPr>
        <w:tab/>
      </w:r>
      <w:r>
        <w:rPr>
          <w:rFonts w:hint="eastAsia" w:ascii="宋体" w:hAnsi="宋体"/>
          <w:color w:val="auto"/>
          <w:szCs w:val="21"/>
          <w:highlight w:val="none"/>
        </w:rPr>
        <w:t>实施方式</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承包人应进行永久设备的制造、材料的制造和生产，并实施所有其他工程：</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以合同中规定的方法（如有时），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按照公认的良好惯例，以恰当、熟练和谨慎的方式，</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(c) 使用适当装备的设施以及安全材料，除非合同中另有规定。</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7.2 </w:t>
      </w:r>
      <w:r>
        <w:rPr>
          <w:rFonts w:hint="eastAsia" w:ascii="宋体" w:hAnsi="宋体"/>
          <w:color w:val="auto"/>
          <w:szCs w:val="21"/>
          <w:highlight w:val="none"/>
        </w:rPr>
        <w:tab/>
      </w:r>
      <w:r>
        <w:rPr>
          <w:rFonts w:hint="eastAsia" w:ascii="宋体" w:hAnsi="宋体"/>
          <w:color w:val="auto"/>
          <w:szCs w:val="21"/>
          <w:highlight w:val="none"/>
        </w:rPr>
        <w:t>样本</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承包人应向工程师提交以下材料的样本以及有关资料，以在工程中或为工程使用该材料之前获得同意：</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制造商的材料标准样本和合同中规定的样本均由承包人自费提供，以及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工程师指示作为变更增加的样本。</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每件样本都应标明其原产地以及在工程中的预期使用部位。</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7.3 </w:t>
      </w:r>
      <w:r>
        <w:rPr>
          <w:rFonts w:hint="eastAsia" w:ascii="宋体" w:hAnsi="宋体"/>
          <w:color w:val="auto"/>
          <w:szCs w:val="21"/>
          <w:highlight w:val="none"/>
        </w:rPr>
        <w:tab/>
      </w:r>
      <w:r>
        <w:rPr>
          <w:rFonts w:hint="eastAsia" w:ascii="宋体" w:hAnsi="宋体"/>
          <w:color w:val="auto"/>
          <w:szCs w:val="21"/>
          <w:highlight w:val="none"/>
        </w:rPr>
        <w:t xml:space="preserve">检查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发包人的人员在一切合理的时间内：</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应完全能进入现场及进入获得自然材料的所有场所，以及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有权在生产、制造和施工期间（在现场或其他地方）对材料和工艺进行审核、检查、测量与检验，并对永久设备的制造进度和材料的生产及制造进度进行审查。</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承包人应向发包人的人员提供一切机会执行该任务，包括提供通道、设施、许可及安全装备。但此类活动并不解除承包人的任何义务和责任。</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覆盖、掩蔽或包装以备储运或运输之前，无论何时，当此类工作已准备就绪，承包人应及时通知工程师。工程师应随即进行审核、检查、测量或检验，不得无故拖延，或立即通知承包人无需进行上述工作。如果承包人未发出此类通知而工程师要求时，他应打开这部分工程并随后自费恢复原状，使之完好。</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7.4 </w:t>
      </w:r>
      <w:r>
        <w:rPr>
          <w:rFonts w:hint="eastAsia" w:ascii="宋体" w:hAnsi="宋体"/>
          <w:color w:val="auto"/>
          <w:szCs w:val="21"/>
          <w:highlight w:val="none"/>
        </w:rPr>
        <w:tab/>
      </w:r>
      <w:r>
        <w:rPr>
          <w:rFonts w:hint="eastAsia" w:ascii="宋体" w:hAnsi="宋体"/>
          <w:color w:val="auto"/>
          <w:szCs w:val="21"/>
          <w:highlight w:val="none"/>
        </w:rPr>
        <w:t>检验</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本款适用于所有合同中规定的检验，竣工后的检验（如有时）除外。</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提供所有为有效进行检验所需的装置、协助、文件和其他资料、电、燃料、消耗品、仪器、劳工、材料与适当的有经验的合格职员。承包人应与工程师商定对任何永久设备、材料和工程其他部分进行规定检验的时间和地点。</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工程师可以按照第13款【变更和调整】的规定，变更规定检验的位置或细节，或指示承包人进行附加检验。如果此变更或附加检验证明被检验的永久设备、材料或工艺不符合合同规定，则此变更费用由承包人承担，不论合同中是否有其他规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工程师应提前至少24小时将其参加检验的意图通知承包人。如果工程师未在商定的时间和地点参加检验，除非工程师另有指示，承包人可着手进行检验，并且此检验应被视为是在工程师在场的情况下进行的。</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如果由于遵守工程师的指示或因发包人的延误而使承包人遭受了延误和(/或)导致了费用，则承包人应通知工程师并有权依据第20.1款【承包人的索赔】要求：</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根据第8.4款【竣工时间的延长】的规定，获得任何延长的工期，如果竣工已经或将被延误；以及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支付任何有关费用加上合理利润，并将之加入合同价格。</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在接到此通知后，工程师应按照第3.5款【决定】的规定，对此事作出商定或决定。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承包人应立即向工程师提交具有有效证明的检验报告。当规定的检验通过后，工程师应对承包人的检验证书批注认可或就此向承包人颁发证书。若工程师未能参加检验，他应被视为对检验数据的准确性予以认可。</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olor w:val="auto"/>
          <w:szCs w:val="21"/>
          <w:highlight w:val="none"/>
        </w:rPr>
        <w:tab/>
      </w:r>
      <w:r>
        <w:rPr>
          <w:rFonts w:hint="eastAsia" w:ascii="宋体" w:hAnsi="宋体"/>
          <w:color w:val="auto"/>
          <w:szCs w:val="21"/>
          <w:highlight w:val="none"/>
        </w:rPr>
        <w:t>拒收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从审核、检查、测量或检验的结果看，发现任何永久设备、材料或工艺是有缺陷的或不符合合同其他规定的，工程师可拒收此永久设备、材料或工艺，并通知承包人，同时说明理由。承包人应立即修复上述缺陷并保证使被拒收的项目符合合同规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若工程师要求对此永久设备、材料或工艺再度进行检验，则检验应按相同条款和条件重新进行。如果此类拒收和再度检验致使发包人产生了附加费用，则承包人应按照第2.5款【发包人的索赔】的规定，向发包人支付这笔费用。</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7.6 </w:t>
      </w:r>
      <w:r>
        <w:rPr>
          <w:rFonts w:hint="eastAsia" w:ascii="宋体" w:hAnsi="宋体"/>
          <w:color w:val="auto"/>
          <w:szCs w:val="21"/>
          <w:highlight w:val="none"/>
        </w:rPr>
        <w:tab/>
      </w:r>
      <w:r>
        <w:rPr>
          <w:rFonts w:hint="eastAsia" w:ascii="宋体" w:hAnsi="宋体"/>
          <w:color w:val="auto"/>
          <w:szCs w:val="21"/>
          <w:highlight w:val="none"/>
        </w:rPr>
        <w:t>补救工作</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不论以前是否进行了任何检验或颁发了证书，工程师仍可以指示承包人：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将工程师认为不符合合同规定的永久设备或材料从现场移走并进行替换；</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把不符合合同规定的任何其他工程移走并重建；以及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(c) 实施任何因保护工程安全而急需的工作，无论因为事故、不可预见事件或是其他事件。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承包人应在指示规定的期限内（如有时）在一合理的时间或立即（如果依(c)段所述是急需的）执行该指示。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如果承包人未能遵守该指示，则发包人有权雇用其他人来实施工作，并予以支付。除非承包人有权获得此类工作的付款，否则他按照第2.5款【发包人的索赔】的规定，向发包人支付因其未完成工作而导致的费用。</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7.7 </w:t>
      </w:r>
      <w:r>
        <w:rPr>
          <w:rFonts w:hint="eastAsia" w:ascii="宋体" w:hAnsi="宋体"/>
          <w:color w:val="auto"/>
          <w:szCs w:val="21"/>
          <w:highlight w:val="none"/>
        </w:rPr>
        <w:tab/>
      </w:r>
      <w:r>
        <w:rPr>
          <w:rFonts w:hint="eastAsia" w:ascii="宋体" w:hAnsi="宋体"/>
          <w:color w:val="auto"/>
          <w:szCs w:val="21"/>
          <w:highlight w:val="none"/>
        </w:rPr>
        <w:t>对永久设备和材料的拥有权</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在下述时间的较早者，符合工程所在国法律规定范围内的每项永久设备和材料均应成为发包人的财产，无任何留置权和其他限制：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当运至现场时；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当依据第8.10款【暂停时永久设备和材料的支付】承包人有权获得相当于永久设备和材料的价值的付款时。</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7.8 </w:t>
      </w:r>
      <w:r>
        <w:rPr>
          <w:rFonts w:hint="eastAsia" w:ascii="宋体" w:hAnsi="宋体"/>
          <w:color w:val="auto"/>
          <w:szCs w:val="21"/>
          <w:highlight w:val="none"/>
        </w:rPr>
        <w:tab/>
      </w:r>
      <w:r>
        <w:rPr>
          <w:rFonts w:hint="eastAsia" w:ascii="宋体" w:hAnsi="宋体"/>
          <w:color w:val="auto"/>
          <w:szCs w:val="21"/>
          <w:highlight w:val="none"/>
        </w:rPr>
        <w:t xml:space="preserve">矿区使用费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除非规范中另有规定，承包人应为下列各项支付所有矿区使用费、租金或其他费用：</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从现场外获得的原材料；以及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对拆除及开挖的材料和其他剩余材料（无论是天然的或合成的），但不包括合同中规定的现场内的弃土区。</w:t>
      </w: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rPr>
        <w:t>8.</w:t>
      </w:r>
      <w:r>
        <w:rPr>
          <w:rFonts w:hint="eastAsia" w:ascii="宋体"/>
          <w:color w:val="auto"/>
          <w:highlight w:val="none"/>
        </w:rPr>
        <w:tab/>
      </w:r>
      <w:r>
        <w:rPr>
          <w:rFonts w:hint="eastAsia" w:ascii="宋体"/>
          <w:color w:val="auto"/>
          <w:highlight w:val="none"/>
        </w:rPr>
        <w:t>开工、延误和暂停</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8.1 </w:t>
      </w:r>
      <w:r>
        <w:rPr>
          <w:rFonts w:hint="eastAsia" w:ascii="宋体" w:hAnsi="宋体"/>
          <w:color w:val="auto"/>
          <w:szCs w:val="21"/>
          <w:highlight w:val="none"/>
        </w:rPr>
        <w:tab/>
      </w:r>
      <w:r>
        <w:rPr>
          <w:rFonts w:hint="eastAsia" w:ascii="宋体" w:hAnsi="宋体"/>
          <w:color w:val="auto"/>
          <w:szCs w:val="21"/>
          <w:highlight w:val="none"/>
        </w:rPr>
        <w:t>工程的开工</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工程师应至少提前7天通知承包人开工日期。除非专用条件中另有说明，开工日期应在承包人接到中标通知书后的42天内。</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承包人应在开工日期后合理可行的情况下尽快开始实施工程，随后应迅速且毫不拖延地进行施工。</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8.2 </w:t>
      </w:r>
      <w:r>
        <w:rPr>
          <w:rFonts w:hint="eastAsia" w:ascii="宋体" w:hAnsi="宋体"/>
          <w:color w:val="auto"/>
          <w:szCs w:val="21"/>
          <w:highlight w:val="none"/>
        </w:rPr>
        <w:tab/>
      </w:r>
      <w:r>
        <w:rPr>
          <w:rFonts w:hint="eastAsia" w:ascii="宋体" w:hAnsi="宋体"/>
          <w:color w:val="auto"/>
          <w:szCs w:val="21"/>
          <w:highlight w:val="none"/>
        </w:rPr>
        <w:t>竣工时间</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承包人应在工程或区段（如有时）的竣工时间内完成整个工程以及每一区段（视情况而定），包括：</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通过竣工检验，以及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完成合同中规定的所有工作，这些工作被认为是为了按照第10.1款【对工程和区段的接收】的规定，进行移交之目的而完成工程和区段所必需的工作。</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8.3 </w:t>
      </w:r>
      <w:r>
        <w:rPr>
          <w:rFonts w:hint="eastAsia" w:ascii="宋体" w:hAnsi="宋体"/>
          <w:color w:val="auto"/>
          <w:szCs w:val="21"/>
          <w:highlight w:val="none"/>
        </w:rPr>
        <w:tab/>
      </w:r>
      <w:r>
        <w:rPr>
          <w:rFonts w:hint="eastAsia" w:ascii="宋体" w:hAnsi="宋体"/>
          <w:color w:val="auto"/>
          <w:szCs w:val="21"/>
          <w:highlight w:val="none"/>
        </w:rPr>
        <w:t>进度计划</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在按照第8.1款【工程的开工】的规定接到通知后28天内承包人应向工程师提交详细的进度计划。当原进度计划与实际进度或承包人的义务不符时，承包人还应提交一份修改的进度计划。每份进度计划应包括：</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承包人计划实施工程的次序，包括设计（如有时），承包人的文件，采购，永久设备的制造，运达现场，施工，安装和检验的各个阶段的预期时间，</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每个指定分包商（在第5款【指定分包商】中定义的）的工程的各个阶段，</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(c) 合同中规定的检查和检验的次序和时间，以及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(d) 一份证明文件，内容为：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(i) 对实施工程中承包人准备采用的方法和主要阶段的总体描述，以及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(ii) 各主要阶段现场所需的各等级的承包人的人员和各类承包人的设备的数量的合理估算的详细说明。</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除非工程师在接到进度计划后21天内通知承包人该计划不符合合同规定，否则承包人应按照此进度计划履行义务，但不应影响到合同中规定的其他义务。发包人的人员应有权在计划他们的活动时依据该进度计划。</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及时通知工程师，具体说明可能发生将对工程造成不利影响、使合同价格增加或延误工程施工的事件或情况。工程师可能要求承包人提交一份对将来事件或情况的预期影响的估计，和（或）按第13.3款【变更程序】提交一份建议书。</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如果在任何时候工程师通知承包人该进度计划（规定范围内）不符合合同规定，或与实际进度及承包人说明的计划不一致，承包人应按本款规定向工程师提交一份修改的进度计划。</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8.4 </w:t>
      </w:r>
      <w:r>
        <w:rPr>
          <w:rFonts w:hint="eastAsia" w:ascii="宋体" w:hAnsi="宋体"/>
          <w:color w:val="auto"/>
          <w:szCs w:val="21"/>
          <w:highlight w:val="none"/>
        </w:rPr>
        <w:tab/>
      </w:r>
      <w:r>
        <w:rPr>
          <w:rFonts w:hint="eastAsia" w:ascii="宋体" w:hAnsi="宋体"/>
          <w:color w:val="auto"/>
          <w:szCs w:val="21"/>
          <w:highlight w:val="none"/>
        </w:rPr>
        <w:t xml:space="preserve">竣工时间的延长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如果由于下述任何原因致使承包人对第10.1款【对工程和区段的接收】中的竣工在一定程度上遭到或将要遭到延误，承包人可依据第20.1款【承包人的索赔】要求延长竣工时间：</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一项变更（除非已根据第13.3款【变更程序】商定对竣工时间作出调整）或其他合同中包括的任何一项工程数量上的实质性变化；</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导致承包人根据本合同条件的某条款有权获得延长工期的延误原因；</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(c) 异常不利的气候条件；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(d) 由于传染病或其他政府行为导致人员或货物的可获得的不可预见的短缺；或</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(e) 由发包人，发包人人员或现场中发包人的其他承包人直接造成的或认为属于其责任的任何延误、干扰或阻碍。</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承包人认为他有权获得竣工时间的延长，承包人应按第20.1款【承包人的索赔】的规定，向工程师发出通知。当依据第20.1款确定每一延长时间时，工程师应复查以前的决定并可增加（但不应减少）整个延期时间。</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8.5 </w:t>
      </w:r>
      <w:r>
        <w:rPr>
          <w:rFonts w:hint="eastAsia" w:ascii="宋体" w:hAnsi="宋体"/>
          <w:color w:val="auto"/>
          <w:szCs w:val="21"/>
          <w:highlight w:val="none"/>
        </w:rPr>
        <w:tab/>
      </w:r>
      <w:r>
        <w:rPr>
          <w:rFonts w:hint="eastAsia" w:ascii="宋体" w:hAnsi="宋体"/>
          <w:color w:val="auto"/>
          <w:szCs w:val="21"/>
          <w:highlight w:val="none"/>
        </w:rPr>
        <w:t>由公共当局引起的延误</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如果下列条件成立，即：</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(a)承包人已努力遵守了工程所在国有关合法公共当局制定的程序；</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(b)这些公共当局延误或干扰了承包人的工作；以及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(c)此延误或干扰是无法预见的，</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则此类延误或干扰应被视为是属于第8.4款【竣工时间的延长】(b)段中规定的一种延误原因。</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8.6 </w:t>
      </w:r>
      <w:r>
        <w:rPr>
          <w:rFonts w:hint="eastAsia" w:ascii="宋体" w:hAnsi="宋体"/>
          <w:color w:val="auto"/>
          <w:szCs w:val="21"/>
          <w:highlight w:val="none"/>
        </w:rPr>
        <w:tab/>
      </w:r>
      <w:r>
        <w:rPr>
          <w:rFonts w:hint="eastAsia" w:ascii="宋体" w:hAnsi="宋体"/>
          <w:color w:val="auto"/>
          <w:szCs w:val="21"/>
          <w:highlight w:val="none"/>
        </w:rPr>
        <w:t>进展速度</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如果任何时候：</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实际进度过于缓慢以致无法按竣工时间完工，和(/或)</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进度已经（或将要）落后于第8.3款【进度计划】中规定的现行进度计划，</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除了由于第8.4款【竣工时间的延长】中所列原因导致的落后，工程师可以指示承包人按照第8.3款【进度计划】的规定提交一份修改的进度计划以及证明文件，详细说明承包人为加快施工并在竣工时间内完工拟采取的修正方法。</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除非工程师另有通知，承包人应自担风险和自付费用采取这些修正方法，这些方法可能需要增加工作时间和(/或)增加承包人人员和(/或)货物。如果这些修正方法导致发包人产生了附加费用，则除第8.7款中所述的误期损害赔偿费（如有时）外，承包人还应按第2.5款【发包人的索赔】的规定向发包人支付该笔附加费用。</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8.7 </w:t>
      </w:r>
      <w:r>
        <w:rPr>
          <w:rFonts w:hint="eastAsia" w:ascii="宋体" w:hAnsi="宋体"/>
          <w:color w:val="auto"/>
          <w:szCs w:val="21"/>
          <w:highlight w:val="none"/>
        </w:rPr>
        <w:tab/>
      </w:r>
      <w:r>
        <w:rPr>
          <w:rFonts w:hint="eastAsia" w:ascii="宋体" w:hAnsi="宋体"/>
          <w:color w:val="auto"/>
          <w:szCs w:val="21"/>
          <w:highlight w:val="none"/>
        </w:rPr>
        <w:t xml:space="preserve">误期损害赔偿费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承包人未能遵守第8.2款【竣工时间】，承包人应依据第2.5款【发包人的索赔】为此违约向发包人支付误期损害赔偿费。这笔误期损害赔偿费是指投标函附录中注明的金额，即自相应的竣工时间起至接收证书注明的日期止的每日支付。但全部应付款额不应超过投标函附录中规定的误期损失的最高限额（如有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除工程竣工之前根据第15.2款【发包人提出终止】发生终止事件的情况之外，此误期损害赔偿费是由于承包人违约所应支付的唯一损失费。此损失费并不解除承包人完成工程的义务或合同规定的其他职责、义务或责任。</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8.8 </w:t>
      </w:r>
      <w:r>
        <w:rPr>
          <w:rFonts w:hint="eastAsia" w:ascii="宋体" w:hAnsi="宋体"/>
          <w:color w:val="auto"/>
          <w:szCs w:val="21"/>
          <w:highlight w:val="none"/>
        </w:rPr>
        <w:tab/>
      </w:r>
      <w:r>
        <w:rPr>
          <w:rFonts w:hint="eastAsia" w:ascii="宋体" w:hAnsi="宋体"/>
          <w:color w:val="auto"/>
          <w:szCs w:val="21"/>
          <w:highlight w:val="none"/>
        </w:rPr>
        <w:t>工程暂停</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工程师可随时指示承包人暂停进行部分或全部工程。暂停期间，承包人应保护、保管以及保障该部分或全部工程免遭任何损蚀、损失或损害。</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工程师还应通知停工原因。如果且(在一定程度上)已通知了原因并认为是因为承包人的责任所导致，则下列第8.9款、第8.10款和第8.11款不适用。</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8.9 </w:t>
      </w:r>
      <w:r>
        <w:rPr>
          <w:rFonts w:hint="eastAsia" w:ascii="宋体" w:hAnsi="宋体"/>
          <w:color w:val="auto"/>
          <w:szCs w:val="21"/>
          <w:highlight w:val="none"/>
        </w:rPr>
        <w:tab/>
      </w:r>
      <w:r>
        <w:rPr>
          <w:rFonts w:hint="eastAsia" w:ascii="宋体" w:hAnsi="宋体"/>
          <w:color w:val="auto"/>
          <w:szCs w:val="21"/>
          <w:highlight w:val="none"/>
        </w:rPr>
        <w:t>暂停引起的后果</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如果承包人在遵守工程师根据第8.8款【工程暂停】所发出的指示以及/或在复工时遭受了延误和/或导致了费用，则承包人应通知工程师并有权依据第20.1款【承包人的索赔】要求：</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根据第8.4款【竣工时间的延长】的规定，获得任何延长的工期，如果竣工已经或将被延误；以及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支付任何有关费用，并将之加入合同价格。</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在接到此通知后，工程师应按照第3.5款【决定】的规定对此事作出商定或决定。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如果以上后果是由承包人错误的设计、工艺或材料引起的，或由于承包人未能按第8.8款【工程暂停】的规定采取保护、保管及保障措施引起的，则承包人无权获得为修复上述后果所需的延期和招致的费用。</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8.10 </w:t>
      </w:r>
      <w:r>
        <w:rPr>
          <w:rFonts w:hint="eastAsia" w:ascii="宋体" w:hAnsi="宋体"/>
          <w:color w:val="auto"/>
          <w:szCs w:val="21"/>
          <w:highlight w:val="none"/>
        </w:rPr>
        <w:tab/>
      </w:r>
      <w:r>
        <w:rPr>
          <w:rFonts w:hint="eastAsia" w:ascii="宋体" w:hAnsi="宋体"/>
          <w:color w:val="auto"/>
          <w:szCs w:val="21"/>
          <w:highlight w:val="none"/>
        </w:rPr>
        <w:t xml:space="preserve">暂停时对永久设备和材料的支付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承包人有权获得未被运至现场的永久设备以及/或材料的支付，付款应为该永久设备以及/或材料在停工开始日期时的价值，如果：</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有关永久设备的工作或永久设备以及/或材料的运送被暂停超过28天，以及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承包人根据工程师的指示已将这些永久设备和/或材料标记为发包人的财产。</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8.11 </w:t>
      </w:r>
      <w:r>
        <w:rPr>
          <w:rFonts w:hint="eastAsia" w:ascii="宋体" w:hAnsi="宋体"/>
          <w:color w:val="auto"/>
          <w:szCs w:val="21"/>
          <w:highlight w:val="none"/>
        </w:rPr>
        <w:tab/>
      </w:r>
      <w:r>
        <w:rPr>
          <w:rFonts w:hint="eastAsia" w:ascii="宋体" w:hAnsi="宋体"/>
          <w:color w:val="auto"/>
          <w:szCs w:val="21"/>
          <w:highlight w:val="none"/>
        </w:rPr>
        <w:t>持续的暂停</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第8.8款【工程暂停】所述的暂停已持续84天以上，承包人可要求工程师同意继续施工。若在接到上述请求后28天内工程师未给予许可，则承包人可以通知工程师将把暂停影响到的工程视为第13款【变更和调整】所述的删减。如果此类暂停影响到整个工程，承包人可根据第16.2款【承包人提出终止】发出通知，提出终止合同。</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8.12 </w:t>
      </w:r>
      <w:r>
        <w:rPr>
          <w:rFonts w:hint="eastAsia" w:ascii="宋体" w:hAnsi="宋体"/>
          <w:color w:val="auto"/>
          <w:szCs w:val="21"/>
          <w:highlight w:val="none"/>
        </w:rPr>
        <w:tab/>
      </w:r>
      <w:r>
        <w:rPr>
          <w:rFonts w:hint="eastAsia" w:ascii="宋体" w:hAnsi="宋体"/>
          <w:color w:val="auto"/>
          <w:szCs w:val="21"/>
          <w:highlight w:val="none"/>
        </w:rPr>
        <w:t xml:space="preserve">复工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在接到继续工作的许可或指示后，承包人应和工程师一起检查受到暂停影响的工程以及永久设备和材料。承包人应修复在暂停期间发生在工程、永久设备或材料中的任何损蚀、缺陷或损失。</w:t>
      </w: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rPr>
        <w:t>9.</w:t>
      </w:r>
      <w:r>
        <w:rPr>
          <w:rFonts w:hint="eastAsia" w:ascii="宋体"/>
          <w:color w:val="auto"/>
          <w:highlight w:val="none"/>
        </w:rPr>
        <w:tab/>
      </w:r>
      <w:r>
        <w:rPr>
          <w:rFonts w:hint="eastAsia" w:ascii="宋体"/>
          <w:color w:val="auto"/>
          <w:highlight w:val="none"/>
        </w:rPr>
        <w:t>竣工检验</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9.1 </w:t>
      </w:r>
      <w:r>
        <w:rPr>
          <w:rFonts w:hint="eastAsia" w:ascii="宋体" w:hAnsi="宋体"/>
          <w:color w:val="auto"/>
          <w:szCs w:val="21"/>
          <w:highlight w:val="none"/>
        </w:rPr>
        <w:tab/>
      </w:r>
      <w:r>
        <w:rPr>
          <w:rFonts w:hint="eastAsia" w:ascii="宋体" w:hAnsi="宋体"/>
          <w:color w:val="auto"/>
          <w:szCs w:val="21"/>
          <w:highlight w:val="none"/>
        </w:rPr>
        <w:t>承包人的义务</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承包人在根据第4.1款【承包人的一般义务】(d)段所述提交文件后，应根据本款和第7.4款【检验】进行竣工检验。</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承包人应提前21天将某一确定日期通知工程师，说明在该日期后他将准备好进行竣工检验。除非另有商定，此类检验应在该日期后14天内于工程师指示的某日或数日内进行。</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考虑竣工检验结果时，工程师应考虑到因发包人对工程的任何使用而对工程的性能或其他特性所产生的影响。一旦工程或某一区段通过了竣工检验，承包人应向工程师提交一份有关此类检验结果并经证明的报告。</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olor w:val="auto"/>
          <w:szCs w:val="21"/>
          <w:highlight w:val="none"/>
        </w:rPr>
        <w:tab/>
      </w:r>
      <w:r>
        <w:rPr>
          <w:rFonts w:hint="eastAsia" w:ascii="宋体" w:hAnsi="宋体"/>
          <w:color w:val="auto"/>
          <w:szCs w:val="21"/>
          <w:highlight w:val="none"/>
        </w:rPr>
        <w:t>延误的检验</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如果发包人无故延误竣工检验时，则第7.4款【检验】（第五段）和(/或)第10.3款【对竣工检验的干扰】将适用。</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如果承包人无故延误竣工检验，工程师可通知承包人要求他在收到该通知后21天内进行此类检验。承包人应在该期限内他可能确定的某日或数日内进行检验，并将此日期通知工程师。</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若承包人未能在21天的期限内进行竣工检验，发包人的人员可着手进行此类检验，其风险和费用均由承包人承担。此类竣工检验应被视为是在承包人在场的情况下进行的且检验结果应被认为是准确的。</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9.3 </w:t>
      </w:r>
      <w:r>
        <w:rPr>
          <w:rFonts w:hint="eastAsia" w:ascii="宋体" w:hAnsi="宋体"/>
          <w:color w:val="auto"/>
          <w:szCs w:val="21"/>
          <w:highlight w:val="none"/>
        </w:rPr>
        <w:tab/>
      </w:r>
      <w:r>
        <w:rPr>
          <w:rFonts w:hint="eastAsia" w:ascii="宋体" w:hAnsi="宋体"/>
          <w:color w:val="auto"/>
          <w:szCs w:val="21"/>
          <w:highlight w:val="none"/>
        </w:rPr>
        <w:t xml:space="preserve">重新检验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如果工程或某区段未能通过竣工检验，则第7.5款【拒收】将适用，且工程师或承包人可要求按相同条款或条件，重复进行此类未通过的检验以及对任何相关工作的竣工检验。</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9.4 </w:t>
      </w:r>
      <w:r>
        <w:rPr>
          <w:rFonts w:hint="eastAsia" w:ascii="宋体" w:hAnsi="宋体"/>
          <w:color w:val="auto"/>
          <w:szCs w:val="21"/>
          <w:highlight w:val="none"/>
        </w:rPr>
        <w:tab/>
      </w:r>
      <w:r>
        <w:rPr>
          <w:rFonts w:hint="eastAsia" w:ascii="宋体" w:hAnsi="宋体"/>
          <w:color w:val="auto"/>
          <w:szCs w:val="21"/>
          <w:highlight w:val="none"/>
        </w:rPr>
        <w:t>未能通过竣工检验</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当整个工程或某区段未能通过根据第9.3款【重新检验】所进行的重复竣工检验时，工程师应有权：</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指示按照第9.3款再进行一次重复的竣工检验；</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如果由于该过失致使发包人基本上无法享用该工程或区段所带来的全部利益，拒收整个工程或区段（视情况而定），在此情况下，发包人应获得与第11.4款【未能修补缺陷】(c)段中的规定相同的补偿；或</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(c) 颁发一份接收证书（如果发包人如此要求的话）。</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c)段所述的情况下，承包人应根据合同中规定的所有其他义务继续工作，并且合同价格应按照可以适当弥补由于此类失误而给发包人造成的减少的价值数额予以扣除。除非合同中已规定了此类失误的有关扣除（或定义了计算方法），发包人可以要求此扣除(i)以双方商定的数额（仅限于用来弥补此类失误），并在颁发接收证书前获得支付，或(ii)依据第2.5款【发包人的索赔】和第3.5款【决定】作出决定及支付。</w:t>
      </w: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rPr>
        <w:t>10.</w:t>
      </w:r>
      <w:r>
        <w:rPr>
          <w:rFonts w:hint="eastAsia" w:ascii="宋体"/>
          <w:color w:val="auto"/>
          <w:highlight w:val="none"/>
        </w:rPr>
        <w:tab/>
      </w:r>
      <w:r>
        <w:rPr>
          <w:rFonts w:hint="eastAsia" w:ascii="宋体"/>
          <w:color w:val="auto"/>
          <w:highlight w:val="none"/>
        </w:rPr>
        <w:t>发包人的接收</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10.1 </w:t>
      </w:r>
      <w:r>
        <w:rPr>
          <w:rFonts w:hint="eastAsia" w:ascii="宋体" w:hAnsi="宋体"/>
          <w:color w:val="auto"/>
          <w:szCs w:val="21"/>
          <w:highlight w:val="none"/>
        </w:rPr>
        <w:tab/>
      </w:r>
      <w:r>
        <w:rPr>
          <w:rFonts w:hint="eastAsia" w:ascii="宋体" w:hAnsi="宋体"/>
          <w:color w:val="auto"/>
          <w:szCs w:val="21"/>
          <w:highlight w:val="none"/>
        </w:rPr>
        <w:t>对工程和区段的接收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除第9.4款【未能通过竣工检验】所述情况外，当(i)工程根据合同已竣工，包括第8.2款【竣工时间】中所述事宜，但下面(a)段所述情况除外，且(ii)根据本款已颁发或认为已颁发工程接收证书时，发包人应接收工程。</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承包人可在他认为工程将完工并准备移交前14天内，向工程师发出申请接收证书的通知。如果工程分为区段，则承包人应同样为每一区段申请接收证书。</w:t>
      </w:r>
    </w:p>
    <w:p>
      <w:pPr>
        <w:pStyle w:val="17"/>
        <w:spacing w:after="0"/>
        <w:ind w:left="0" w:leftChars="0"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工程师在收到承包人的申请后28天内，应</w:t>
      </w:r>
      <w:r>
        <w:rPr>
          <w:rFonts w:hint="eastAsia" w:ascii="宋体" w:hAnsi="宋体"/>
          <w:color w:val="auto"/>
          <w:szCs w:val="21"/>
          <w:highlight w:val="none"/>
          <w:lang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向承包人颁发接收证书，说明根据合同工程或区段完工的日期，但某些不会实质影响工程或区段按其预定目的使用的扫尾工作以及缺陷除外（直到或当该工程已完成且已修补缺陷时），或</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驳回申请，提出理由并说明为使接收证书得以颁发承包人尚需完成的工作。随后承包人应在根据本款再一次发出申请通知前，完成此类工作。</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若在28天期限内工程师既未颁发接收证书也未驳回承包人的申请，而当工程或区段（视情况而定）基本符合合同要求时，应视为在上述期限内的最后一天已经颁发了接收证书。</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10.2 </w:t>
      </w:r>
      <w:r>
        <w:rPr>
          <w:rFonts w:hint="eastAsia" w:ascii="宋体" w:hAnsi="宋体"/>
          <w:color w:val="auto"/>
          <w:szCs w:val="21"/>
          <w:highlight w:val="none"/>
        </w:rPr>
        <w:tab/>
      </w:r>
      <w:r>
        <w:rPr>
          <w:rFonts w:hint="eastAsia" w:ascii="宋体" w:hAnsi="宋体"/>
          <w:color w:val="auto"/>
          <w:szCs w:val="21"/>
          <w:highlight w:val="none"/>
        </w:rPr>
        <w:t xml:space="preserve">对部分工程的接收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在发包人的决定下，工程师可以为部分永久工程颁发接收证书。</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发包人不得使用工程的任何部分（合同规定或双方协议的临时措施除外）除非且直至工程师已颁发了该部分的接收证书。但是，如果在接收证书颁发前发包人确实使用了工程的任何部分：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该被使用的部分自被使用之日，应视为已被发包人接收；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承包人应从使用之日起停止对该部分的照管责任，此时，责任应转给发包人；以及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(c) 当承包人要求时，工程师应为此部分颁发接收证书。</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工程师为此部分工程颁发接收证书后，应尽早给予承包人机会以使其采取可能必要的步骤完成任何尚未完成的竣工检验，承包人应在缺陷责任期期满前尽快进行此类竣工检验。</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由于发包人接收和(或)使用该部分工程（合同中规定的及承包人同意的使用除外，）而使承包人招致了费用，承包人应(i)通知工程师并(ii)有权依据第20.1款【承包人的索赔】获得有关费用以及合理利润的支付，并将之加入合同价格。在接到此通知后，工程师应按照第3.5款【决定】，对此费用及利润做出商定或决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若对工程的任何部分（而不是区段）颁发了接收证书，对于完成该工程的剩余部分的延误损失应减少。同样，包含该部分的区段（如有时）的剩余部分的延误损失也应减少。在接收证书注明的日期之后的任何拖延期间，延误损失减少的比例应按已签发部分的价值相对于整个工程或区段（视情况而定）的总价值的比例计算。工程师应根据第3.5款【决定】，对此比例作出商定或决定。本段规定仅适用于第8.7款【延误损失】规定的延误损失的日费率，但并不对其最大限额构成影响。</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10.3 </w:t>
      </w:r>
      <w:r>
        <w:rPr>
          <w:rFonts w:hint="eastAsia" w:ascii="宋体" w:hAnsi="宋体"/>
          <w:color w:val="auto"/>
          <w:szCs w:val="21"/>
          <w:highlight w:val="none"/>
        </w:rPr>
        <w:tab/>
      </w:r>
      <w:r>
        <w:rPr>
          <w:rFonts w:hint="eastAsia" w:ascii="宋体" w:hAnsi="宋体"/>
          <w:color w:val="auto"/>
          <w:szCs w:val="21"/>
          <w:highlight w:val="none"/>
        </w:rPr>
        <w:t>对竣工检验的干扰</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如果由于发包人负责的原因妨碍承包人进行竣工检验已达14天以上，则应认为发包人已在本应完成竣工检验之日接收了工程或区段（视情况而定）。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工程师随后应相应地颁发一份接收证书，并且承包人应在缺陷责任期期满前尽快进行竣工检验。工程师应提前14天发出通知，要求根据合同的有关规定进行竣工检验。</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若延误进行竣工检验致使承包人遭受了延误和(或)导致了费用，则承包人应通知工程师并有权依据第20.1款【承包人的索赔】，要求：</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根据第8.4款【竣工时间的延长】的规定，获得任何延长的工期，如果竣工已经或将被延误；以及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支付任何有关费用加上合理的利润，并将之加入合同价格。</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在接到此通知后，工程师应按照第3.5款【决定】的规定，对此事作出商定或决定。</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10.4 </w:t>
      </w:r>
      <w:r>
        <w:rPr>
          <w:rFonts w:hint="eastAsia" w:ascii="宋体" w:hAnsi="宋体"/>
          <w:color w:val="auto"/>
          <w:szCs w:val="21"/>
          <w:highlight w:val="none"/>
        </w:rPr>
        <w:tab/>
      </w:r>
      <w:r>
        <w:rPr>
          <w:rFonts w:hint="eastAsia" w:ascii="宋体" w:hAnsi="宋体"/>
          <w:color w:val="auto"/>
          <w:szCs w:val="21"/>
          <w:highlight w:val="none"/>
        </w:rPr>
        <w:t xml:space="preserve">地表需要恢复原状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除非接收证书中另有规定，区段或部分工程的证书并不认为可以证明任何需要恢复原状的场地或其他地表面的工作已经完成。</w:t>
      </w: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rPr>
        <w:t>11.</w:t>
      </w:r>
      <w:r>
        <w:rPr>
          <w:rFonts w:hint="eastAsia" w:ascii="宋体"/>
          <w:color w:val="auto"/>
          <w:highlight w:val="none"/>
        </w:rPr>
        <w:tab/>
      </w:r>
      <w:r>
        <w:rPr>
          <w:rFonts w:hint="eastAsia" w:ascii="宋体"/>
          <w:color w:val="auto"/>
          <w:highlight w:val="none"/>
        </w:rPr>
        <w:t>缺陷责任</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11.1 </w:t>
      </w:r>
      <w:r>
        <w:rPr>
          <w:rFonts w:hint="eastAsia" w:ascii="宋体" w:hAnsi="宋体"/>
          <w:color w:val="auto"/>
          <w:szCs w:val="21"/>
          <w:highlight w:val="none"/>
        </w:rPr>
        <w:tab/>
      </w:r>
      <w:r>
        <w:rPr>
          <w:rFonts w:hint="eastAsia" w:ascii="宋体" w:hAnsi="宋体"/>
          <w:color w:val="auto"/>
          <w:szCs w:val="21"/>
          <w:highlight w:val="none"/>
        </w:rPr>
        <w:t>完成扫尾工作和修补缺陷</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为在相关缺陷责任期期满前或之后尽快使工作和承包人的文件以及每一区段符合合同要求的条件（合理的磨损除外），承包人应：</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在工程师指定的一段合理时间内完成至接收证书注明的日期时尚未完成的任何工作；</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按照发包人（或发包人授权的他人）指示，在工程或区段的缺陷责任期期满之日或之前（视情况而定）实施补救缺陷或损害所必需的所有工作。</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若出现任何此类缺陷或发生损坏的情况，发包人（或发包人授权他人）应立即通知承包人。</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11.2 </w:t>
      </w:r>
      <w:r>
        <w:rPr>
          <w:rFonts w:hint="eastAsia" w:ascii="宋体" w:hAnsi="宋体"/>
          <w:color w:val="auto"/>
          <w:szCs w:val="21"/>
          <w:highlight w:val="none"/>
        </w:rPr>
        <w:tab/>
      </w:r>
      <w:r>
        <w:rPr>
          <w:rFonts w:hint="eastAsia" w:ascii="宋体" w:hAnsi="宋体"/>
          <w:color w:val="auto"/>
          <w:szCs w:val="21"/>
          <w:highlight w:val="none"/>
        </w:rPr>
        <w:t xml:space="preserve">修补缺陷的费用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如果所有第11.1款【完成扫尾工作和修补缺陷】(b)段中所述工作的必要性是由下列原因引起的，则所有此类工作应由承包人自担风险和费用进行：</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任何承包人负责的设计；</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永久设备、材料或工艺不符合合同要求；或</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(c) 承包人未履行其任何其他义务。</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如果且在一定程度上上述工作的必要性是由于任何其他原因引起的，发包人（或发包人授权的他人）应立即通知承包人，此时适用第13.3款【变更程序】。</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11.3 </w:t>
      </w:r>
      <w:r>
        <w:rPr>
          <w:rFonts w:hint="eastAsia" w:ascii="宋体" w:hAnsi="宋体"/>
          <w:color w:val="auto"/>
          <w:szCs w:val="21"/>
          <w:highlight w:val="none"/>
        </w:rPr>
        <w:tab/>
      </w:r>
      <w:r>
        <w:rPr>
          <w:rFonts w:hint="eastAsia" w:ascii="宋体" w:hAnsi="宋体"/>
          <w:color w:val="auto"/>
          <w:szCs w:val="21"/>
          <w:highlight w:val="none"/>
        </w:rPr>
        <w:t xml:space="preserve">缺陷责任期的延长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且在一定程度上工程、区段或主要永久设备（视情况而定，并且在接收以后）由于缺陷或损害而不能按照预定的目的进行使用，则发包人有权依据第2.5款【发包人的索赔】要求延长工程或区段的缺陷责任期。但缺陷责任期的延长不得超过2年。</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永久设备和(或)材料的运送以及(或)安装根据第8.8款【工程暂停】或第16.1款【承包人有权暂停工作】发生了暂停，则本款所规定的承包人的义务不适用于永久设备和(或)材料的缺陷责任期期满2年后发生的任何缺陷或损害的情况。</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11.4 </w:t>
      </w:r>
      <w:r>
        <w:rPr>
          <w:rFonts w:hint="eastAsia" w:ascii="宋体" w:hAnsi="宋体"/>
          <w:color w:val="auto"/>
          <w:szCs w:val="21"/>
          <w:highlight w:val="none"/>
        </w:rPr>
        <w:tab/>
      </w:r>
      <w:r>
        <w:rPr>
          <w:rFonts w:hint="eastAsia" w:ascii="宋体" w:hAnsi="宋体"/>
          <w:color w:val="auto"/>
          <w:szCs w:val="21"/>
          <w:highlight w:val="none"/>
        </w:rPr>
        <w:t>未能补救缺陷</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如果承包人未能在某一合理时间内修补任何缺陷或损害，发包人（或发包人授权的他人）可确定一日期，规定在该日或该日之前修补缺陷或损害，并且应向承包人发出一合理的通知。</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如果承包人到该日期尚未修补好缺陷或损害，并且依据第11.2款【修补缺陷的费用】，这些修补工作应由承包人自费进行，发包人可（自行）：</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以合理的方式由自己或他人进行此项工作，并由承包人承担费用，但承包人对此项工作不负责任，并且承包人应依据第2.5款【发包人的索赔】，向发包人支付其因修补缺陷或损害导致的合理费用；</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要求工程师依据第3.5款【决定】，对合同价格的合理减少额作出商定或决定；或</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(c) 在该缺陷或损害致使发包人基本上无法享用全部工程或部分工程所带来的全部利益时，对整个工程或不能按期投入使用的那部分主要工程终止合同。但不影响任何其他权利，依据合同或其他规定，发包人还应有权收回为整个工程或该部分工程（视情况而定）所支付的全部费用以及融资费用、拆除工程、清理现场和将永久设备和材料退还给承包人所支付的费用。</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11.5 </w:t>
      </w:r>
      <w:r>
        <w:rPr>
          <w:rFonts w:hint="eastAsia" w:ascii="宋体" w:hAnsi="宋体"/>
          <w:color w:val="auto"/>
          <w:szCs w:val="21"/>
          <w:highlight w:val="none"/>
        </w:rPr>
        <w:tab/>
      </w:r>
      <w:r>
        <w:rPr>
          <w:rFonts w:hint="eastAsia" w:ascii="宋体" w:hAnsi="宋体"/>
          <w:color w:val="auto"/>
          <w:szCs w:val="21"/>
          <w:highlight w:val="none"/>
        </w:rPr>
        <w:t xml:space="preserve">清除有缺陷的部分工程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若此类缺陷或损害不能在现场迅速修复时，在发包人的同意下，承包人可将任何有缺陷或损害的永久设备移出现场进行修理。此类同意可要求承包人以该部分的重置费用增加履约保证的款额或提供其他适当的保证。</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11.6 </w:t>
      </w:r>
      <w:r>
        <w:rPr>
          <w:rFonts w:hint="eastAsia" w:ascii="宋体" w:hAnsi="宋体"/>
          <w:color w:val="auto"/>
          <w:szCs w:val="21"/>
          <w:highlight w:val="none"/>
        </w:rPr>
        <w:tab/>
      </w:r>
      <w:r>
        <w:rPr>
          <w:rFonts w:hint="eastAsia" w:ascii="宋体" w:hAnsi="宋体"/>
          <w:color w:val="auto"/>
          <w:szCs w:val="21"/>
          <w:highlight w:val="none"/>
        </w:rPr>
        <w:t>进一步的检验</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如果任何缺陷或损害的修补工作可能影响到工程运行时，工程师可要求重新进行合同中列明的任何检验。该要求应在修补缺陷或损害后28天内通知承包人。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此类检验应按照以前的检验适用的条件进行，但是依据第11.2款【修补缺陷的费用】，此类检验的风险和费用由责任方承担，并承担修补工作的费用。</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11.7 </w:t>
      </w:r>
      <w:r>
        <w:rPr>
          <w:rFonts w:hint="eastAsia" w:ascii="宋体" w:hAnsi="宋体"/>
          <w:color w:val="auto"/>
          <w:szCs w:val="21"/>
          <w:highlight w:val="none"/>
        </w:rPr>
        <w:tab/>
      </w:r>
      <w:r>
        <w:rPr>
          <w:rFonts w:hint="eastAsia" w:ascii="宋体" w:hAnsi="宋体"/>
          <w:color w:val="auto"/>
          <w:szCs w:val="21"/>
          <w:highlight w:val="none"/>
        </w:rPr>
        <w:t>进入权</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在履约证书颁发之前，承包人应有为遵守本款合理所需的进入工程的权力，但不符合发包人限定的任何合理安全措施的情况除外。</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11.8 </w:t>
      </w:r>
      <w:r>
        <w:rPr>
          <w:rFonts w:hint="eastAsia" w:ascii="宋体" w:hAnsi="宋体"/>
          <w:color w:val="auto"/>
          <w:szCs w:val="21"/>
          <w:highlight w:val="none"/>
        </w:rPr>
        <w:tab/>
      </w:r>
      <w:r>
        <w:rPr>
          <w:rFonts w:hint="eastAsia" w:ascii="宋体" w:hAnsi="宋体"/>
          <w:color w:val="auto"/>
          <w:szCs w:val="21"/>
          <w:highlight w:val="none"/>
        </w:rPr>
        <w:t>承包人的检查</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工程师要求的话，承包人应在其指导下调查产生任何缺陷的原因。除非此类缺陷已依据第11.2款【修补缺陷的费用】，由承包人支付费用进行了修补，否则调查费用及其合理的利润应由工程师依据第3.5款【决定】，作出商定或决定，并加入合同价格。</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11.9 </w:t>
      </w:r>
      <w:r>
        <w:rPr>
          <w:rFonts w:hint="eastAsia" w:ascii="宋体" w:hAnsi="宋体"/>
          <w:color w:val="auto"/>
          <w:szCs w:val="21"/>
          <w:highlight w:val="none"/>
        </w:rPr>
        <w:tab/>
      </w:r>
      <w:r>
        <w:rPr>
          <w:rFonts w:hint="eastAsia" w:ascii="宋体" w:hAnsi="宋体"/>
          <w:color w:val="auto"/>
          <w:szCs w:val="21"/>
          <w:highlight w:val="none"/>
        </w:rPr>
        <w:t>履约证书</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只有在工程师向承包人颁发了履约证书，说明承包人已依据合同履行其义务的日期之后，承包人的义务的履行才被认为已完成。</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工程师应在最后一个缺陷责任期期满后28天内颁发履约证书，或在承包人已提供了全部承包人的文件并完成和检验了所有工程，包括修补了所有缺陷的日期之后尽快颁发。还应向发包人提交一份履约证书的副本。</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只有履约证书才应被视为构成对工程的接受。</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11.10 </w:t>
      </w:r>
      <w:r>
        <w:rPr>
          <w:rFonts w:hint="eastAsia" w:ascii="宋体" w:hAnsi="宋体"/>
          <w:color w:val="auto"/>
          <w:szCs w:val="21"/>
          <w:highlight w:val="none"/>
        </w:rPr>
        <w:tab/>
      </w:r>
      <w:r>
        <w:rPr>
          <w:rFonts w:hint="eastAsia" w:ascii="宋体" w:hAnsi="宋体"/>
          <w:color w:val="auto"/>
          <w:szCs w:val="21"/>
          <w:highlight w:val="none"/>
        </w:rPr>
        <w:t>未履行的义务</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在履约证书颁发之后，每一方仍应负责完成届时尚未履行的任何义务。就确定未履行的义务的性质和范围而言，合同应被认为仍然有效。</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11.11 </w:t>
      </w:r>
      <w:r>
        <w:rPr>
          <w:rFonts w:hint="eastAsia" w:ascii="宋体" w:hAnsi="宋体"/>
          <w:color w:val="auto"/>
          <w:szCs w:val="21"/>
          <w:highlight w:val="none"/>
        </w:rPr>
        <w:tab/>
      </w:r>
      <w:r>
        <w:rPr>
          <w:rFonts w:hint="eastAsia" w:ascii="宋体" w:hAnsi="宋体"/>
          <w:color w:val="auto"/>
          <w:szCs w:val="21"/>
          <w:highlight w:val="none"/>
        </w:rPr>
        <w:t>现场的清理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在接到履约证书以后，承包人应从现场运走任何剩余的承包人的设备、剩余材料、残物、垃圾或临时工程。</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若在发包人接到履约证书副本后28天内上述物品还未被运走，则发包人可对此留下的任何物品予以出售或另作处理。发包人应有权获得为此类出售或处理及整理现场所发生的或有关的费用的支付。</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此类出售的所有余额应归还承包人。若出售所得少于发包人的费用支出，则承包人应向发包人支付不足部分的款项。</w:t>
      </w: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rPr>
        <w:t>12.</w:t>
      </w:r>
      <w:r>
        <w:rPr>
          <w:rFonts w:hint="eastAsia" w:ascii="宋体"/>
          <w:color w:val="auto"/>
          <w:highlight w:val="none"/>
        </w:rPr>
        <w:tab/>
      </w:r>
      <w:r>
        <w:rPr>
          <w:rFonts w:hint="eastAsia" w:ascii="宋体"/>
          <w:color w:val="auto"/>
          <w:highlight w:val="none"/>
        </w:rPr>
        <w:t>测量和估价</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12.1 </w:t>
      </w:r>
      <w:r>
        <w:rPr>
          <w:rFonts w:hint="eastAsia" w:ascii="宋体" w:hAnsi="宋体"/>
          <w:color w:val="auto"/>
          <w:szCs w:val="21"/>
          <w:highlight w:val="none"/>
        </w:rPr>
        <w:tab/>
      </w:r>
      <w:r>
        <w:rPr>
          <w:rFonts w:hint="eastAsia" w:ascii="宋体" w:hAnsi="宋体"/>
          <w:color w:val="auto"/>
          <w:szCs w:val="21"/>
          <w:highlight w:val="none"/>
        </w:rPr>
        <w:t xml:space="preserve">需测量的工程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应对工程依据本款进行测量并确定其支付价值。</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当工程师要求对工程的任何部分进行测量时，他应合理地通知承包人项目经理，承包人项目经理应：</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立即参加或派一名合格的代表协助工程师进行测量；以及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 w:val="18"/>
          <w:szCs w:val="18"/>
          <w:highlight w:val="none"/>
        </w:rPr>
      </w:pPr>
      <w:r>
        <w:rPr>
          <w:rFonts w:hint="eastAsia" w:ascii="宋体" w:hAnsi="宋体"/>
          <w:color w:val="auto"/>
          <w:szCs w:val="21"/>
          <w:highlight w:val="none"/>
        </w:rPr>
        <w:t xml:space="preserve"> (b) </w:t>
      </w:r>
      <w:r>
        <w:rPr>
          <w:rFonts w:hint="eastAsia" w:ascii="宋体" w:hAnsi="宋体"/>
          <w:color w:val="auto"/>
          <w:sz w:val="18"/>
          <w:szCs w:val="18"/>
          <w:highlight w:val="none"/>
        </w:rPr>
        <w:t>提供工程师所要求的全部详细资料。</w:t>
      </w:r>
    </w:p>
    <w:p>
      <w:pPr>
        <w:pStyle w:val="17"/>
        <w:spacing w:after="0"/>
        <w:ind w:left="0" w:leftChars="0" w:firstLine="360" w:firstLineChars="200"/>
        <w:rPr>
          <w:rFonts w:ascii="宋体" w:hAnsi="宋体"/>
          <w:color w:val="auto"/>
          <w:sz w:val="18"/>
          <w:szCs w:val="18"/>
          <w:highlight w:val="none"/>
        </w:rPr>
      </w:pPr>
      <w:r>
        <w:rPr>
          <w:rFonts w:hint="eastAsia" w:ascii="宋体" w:hAnsi="宋体"/>
          <w:color w:val="auto"/>
          <w:sz w:val="18"/>
          <w:szCs w:val="18"/>
          <w:highlight w:val="none"/>
        </w:rPr>
        <w:t>如果承包人未能参加或派出一名代表，则由工程师（或工程师授权的他人）进行的测量应被视为准确地测量而接受。</w:t>
      </w:r>
    </w:p>
    <w:p>
      <w:pPr>
        <w:pStyle w:val="17"/>
        <w:spacing w:after="0"/>
        <w:ind w:left="0" w:leftChars="0" w:firstLine="360" w:firstLineChars="200"/>
        <w:rPr>
          <w:rFonts w:ascii="宋体" w:hAnsi="宋体"/>
          <w:color w:val="auto"/>
          <w:sz w:val="18"/>
          <w:szCs w:val="18"/>
          <w:highlight w:val="none"/>
        </w:rPr>
      </w:pPr>
      <w:r>
        <w:rPr>
          <w:rFonts w:hint="eastAsia" w:ascii="宋体" w:hAnsi="宋体"/>
          <w:color w:val="auto"/>
          <w:sz w:val="18"/>
          <w:szCs w:val="18"/>
          <w:highlight w:val="none"/>
        </w:rPr>
        <w:t>除非合同中另有规定，在需用记录对任何永久工程进行计量时，工程师应对此做好准备。当承包人被要求时，他应参加审查并就此类记录与工程师达成一致，并在双方一致时，在上述文件上签名。如果承包人没有参加审查，则应认为此类记录是准确的并被接受。</w:t>
      </w:r>
    </w:p>
    <w:p>
      <w:pPr>
        <w:pStyle w:val="17"/>
        <w:spacing w:after="0"/>
        <w:ind w:left="0" w:leftChars="0" w:firstLine="360" w:firstLineChars="200"/>
        <w:rPr>
          <w:rFonts w:ascii="宋体" w:hAnsi="宋体"/>
          <w:color w:val="auto"/>
          <w:sz w:val="18"/>
          <w:szCs w:val="18"/>
          <w:highlight w:val="none"/>
        </w:rPr>
      </w:pPr>
      <w:r>
        <w:rPr>
          <w:rFonts w:hint="eastAsia" w:ascii="宋体" w:hAnsi="宋体"/>
          <w:color w:val="auto"/>
          <w:sz w:val="18"/>
          <w:szCs w:val="18"/>
          <w:highlight w:val="none"/>
        </w:rPr>
        <w:t>如果承包人在审查之后不同意上述记录，并且(或)不签字表示同意，承包人应通知工程师并说明上述记录中被认为不准确的各个方面。在接到此类通知后，工程师应复查此类记录，或予以确认或予以修改。如果承包人在被要求对记录进行审查后14天内未向工程师发出此类通知，则认为它们是准确的并被接受。</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12.2 </w:t>
      </w:r>
      <w:r>
        <w:rPr>
          <w:rFonts w:hint="eastAsia" w:ascii="宋体" w:hAnsi="宋体"/>
          <w:color w:val="auto"/>
          <w:szCs w:val="21"/>
          <w:highlight w:val="none"/>
        </w:rPr>
        <w:tab/>
      </w:r>
      <w:r>
        <w:rPr>
          <w:rFonts w:hint="eastAsia" w:ascii="宋体" w:hAnsi="宋体"/>
          <w:color w:val="auto"/>
          <w:szCs w:val="21"/>
          <w:highlight w:val="none"/>
        </w:rPr>
        <w:t xml:space="preserve">测量方法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除非合同中另有规定，无论当地惯例如何：</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测量应该是测量每部分永久工程的实际净值，以及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测量方法应符合工程量表或其他适用报表。</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12.3 </w:t>
      </w:r>
      <w:r>
        <w:rPr>
          <w:rFonts w:hint="eastAsia" w:ascii="宋体" w:hAnsi="宋体"/>
          <w:color w:val="auto"/>
          <w:szCs w:val="21"/>
          <w:highlight w:val="none"/>
        </w:rPr>
        <w:tab/>
      </w:r>
      <w:r>
        <w:rPr>
          <w:rFonts w:hint="eastAsia" w:ascii="宋体" w:hAnsi="宋体"/>
          <w:color w:val="auto"/>
          <w:szCs w:val="21"/>
          <w:highlight w:val="none"/>
        </w:rPr>
        <w:t>估价</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除非合同中另有规定，工程师应通过对每一项工作的估价，根据第3.5款【决定】，商定或决定合同价格。每项工作的估价是用依据上述第12.1款和第12.2款商定或决定的测量数据乘以此项工作的相应价格费率或价格得到的。</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对每一项工作，该项合适的费率或价格应该是合同中对此项工作规定的费率或价格，或者如果没有该项，则为对其类似工作所规定的费率或价格。但是在下列情况下，对这一项工作规定新的费率或价格将是合适的：</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(i) 如果此项工作实际测量的工程量比工程量表或其他报表中规定的工程量的变动大于10％；</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(ii) 工程量的变更与对该项工作规定的具体费率的乘积超过了接受的合同款额的0.01％；</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(iii) 由此工程量的变更直接造成该项工作每单位工程量费用的变动超过1％；以及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(iv) 这项工作不是合同中规定的“固定费率项目”；</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(i) 此工作是根据第13款【变更与调整】的指示进行的；</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(ii) 合同中对此项工作未规定费率或价格；且</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(iii) 由于该项工作与合同中的任何工作没有类似的性质或不在类似的条件下进行，故没有一个规定的费率或价格适用。</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每种新的费率或价格是对合同中相关费率或价格在考虑到上述(a)、(b)段所描述的适用的事件以后作出的合理调整。如果没有相关的费率或价格，则新的费率或价格应是在考虑任何相关事件以后，从实施工作的合理费用加上合理利润中得到。</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在商定或决定了一合适的费率或价格之前，工程师还应为期中支付证书决定一临时费率或价格。</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12.4 </w:t>
      </w:r>
      <w:r>
        <w:rPr>
          <w:rFonts w:hint="eastAsia" w:ascii="宋体" w:hAnsi="宋体"/>
          <w:color w:val="auto"/>
          <w:szCs w:val="21"/>
          <w:highlight w:val="none"/>
        </w:rPr>
        <w:tab/>
      </w:r>
      <w:r>
        <w:rPr>
          <w:rFonts w:hint="eastAsia" w:ascii="宋体" w:hAnsi="宋体"/>
          <w:color w:val="auto"/>
          <w:szCs w:val="21"/>
          <w:highlight w:val="none"/>
        </w:rPr>
        <w:t xml:space="preserve">省略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当对任何工作的省略构成部分（或全部）变更且对其价值未达成一致时，如果：</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承包人将招致（或已经招致）一笔费用，这笔费用应被视为是如果工作未被省略时，在构成部分接受的合同款额的一笔金额中所包含的；</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该工作的省略将导致（或已经导致）这笔金额不构成部分合同价格；并且</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(c) 这笔费用并不被认为包含在任何替代工作的估价之中，</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承包人应随即向工程师发出通知，并附具体的证明资料。在接到通知后，工程师应依据第3.5款【决定】，对此费用作出商定或决定，并将之加入合同价格。</w:t>
      </w: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rPr>
        <w:t>13.</w:t>
      </w:r>
      <w:r>
        <w:rPr>
          <w:rFonts w:hint="eastAsia" w:ascii="宋体"/>
          <w:color w:val="auto"/>
          <w:highlight w:val="none"/>
        </w:rPr>
        <w:tab/>
      </w:r>
      <w:r>
        <w:rPr>
          <w:rFonts w:hint="eastAsia" w:ascii="宋体"/>
          <w:color w:val="auto"/>
          <w:highlight w:val="none"/>
        </w:rPr>
        <w:t>变更和调整</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olor w:val="auto"/>
          <w:szCs w:val="21"/>
          <w:highlight w:val="none"/>
        </w:rPr>
        <w:tab/>
      </w:r>
      <w:r>
        <w:rPr>
          <w:rFonts w:hint="eastAsia" w:ascii="宋体" w:hAnsi="宋体"/>
          <w:color w:val="auto"/>
          <w:szCs w:val="21"/>
          <w:highlight w:val="none"/>
        </w:rPr>
        <w:t xml:space="preserve">有权变更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在颁发工程接收证书前的任何时间，工程师可通过发布指示或以要求承包人递交建议书的方式，提出变更。</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承包人应执行每项变更并受每项变更的约束，除非承包人马上通知工程师（并附具体的证明资料）并说明承包人无法得到变更所需的货物。在接到此通知后，工程师应取消、确认或修改指示。</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如在变电站土建工程施工期间发生重大设计变更的（单次金额为</w:t>
      </w:r>
      <w:r>
        <w:rPr>
          <w:rFonts w:hint="eastAsia" w:ascii="宋体" w:hAnsi="宋体"/>
          <w:color w:val="auto"/>
          <w:szCs w:val="21"/>
          <w:highlight w:val="none"/>
          <w:u w:val="single"/>
        </w:rPr>
        <w:t> 伍 </w:t>
      </w:r>
      <w:r>
        <w:rPr>
          <w:rFonts w:hint="eastAsia" w:ascii="宋体" w:hAnsi="宋体"/>
          <w:color w:val="auto"/>
          <w:szCs w:val="21"/>
          <w:highlight w:val="none"/>
        </w:rPr>
        <w:t>万元及以上），由</w:t>
      </w:r>
      <w:r>
        <w:rPr>
          <w:rFonts w:hint="eastAsia" w:ascii="宋体" w:hAnsi="宋体"/>
          <w:color w:val="auto"/>
          <w:szCs w:val="21"/>
          <w:highlight w:val="none"/>
          <w:lang w:val="en-US" w:eastAsia="zh-CN"/>
        </w:rPr>
        <w:t>广州供电局</w:t>
      </w:r>
      <w:r>
        <w:rPr>
          <w:rFonts w:hint="eastAsia" w:ascii="宋体" w:hAnsi="宋体"/>
          <w:color w:val="auto"/>
          <w:szCs w:val="21"/>
          <w:highlight w:val="none"/>
        </w:rPr>
        <w:t>、</w:t>
      </w:r>
      <w:r>
        <w:rPr>
          <w:rFonts w:hint="eastAsia" w:ascii="宋体" w:hAnsi="宋体"/>
          <w:color w:val="auto"/>
          <w:szCs w:val="21"/>
          <w:highlight w:val="none"/>
          <w:lang w:val="en-US" w:eastAsia="zh-CN"/>
        </w:rPr>
        <w:t>甲方</w:t>
      </w:r>
      <w:r>
        <w:rPr>
          <w:rFonts w:hint="eastAsia" w:ascii="宋体" w:hAnsi="宋体"/>
          <w:color w:val="auto"/>
          <w:szCs w:val="21"/>
          <w:highlight w:val="none"/>
        </w:rPr>
        <w:t>联合设计、施工、监理单位一同到施工现场勘察见证并共同签字确认，现场签证单据由</w:t>
      </w:r>
      <w:r>
        <w:rPr>
          <w:rFonts w:hint="eastAsia" w:ascii="宋体" w:hAnsi="宋体"/>
          <w:color w:val="auto"/>
          <w:szCs w:val="21"/>
          <w:highlight w:val="none"/>
          <w:lang w:val="en-US" w:eastAsia="zh-CN"/>
        </w:rPr>
        <w:t>广州供电局</w:t>
      </w:r>
      <w:r>
        <w:rPr>
          <w:rFonts w:hint="eastAsia" w:ascii="宋体" w:hAnsi="宋体"/>
          <w:color w:val="auto"/>
          <w:szCs w:val="21"/>
          <w:highlight w:val="none"/>
        </w:rPr>
        <w:t>、</w:t>
      </w:r>
      <w:r>
        <w:rPr>
          <w:rFonts w:hint="eastAsia" w:ascii="宋体" w:hAnsi="宋体"/>
          <w:color w:val="auto"/>
          <w:szCs w:val="21"/>
          <w:highlight w:val="none"/>
          <w:lang w:val="en-US" w:eastAsia="zh-CN"/>
        </w:rPr>
        <w:t>甲方</w:t>
      </w:r>
      <w:r>
        <w:rPr>
          <w:rFonts w:hint="eastAsia" w:ascii="宋体" w:hAnsi="宋体"/>
          <w:color w:val="auto"/>
          <w:szCs w:val="21"/>
          <w:highlight w:val="none"/>
        </w:rPr>
        <w:t>各执一联，作为设计变更的原始依据；设计变更最终以甲方盖章确认的图纸及工程量为准。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每项变更可包括：</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对合同中任何工作的工程量的改变（此类改变并不一定必然构成变更）；</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任何工作质量或其他特性上的变更；</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(c) 工程任何部分标高、位置和(或)尺寸上的改变；</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(d) 省略任何工作，除非它已被他人完成；</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(e) 永久工程所必需的任何附加工作、永久设备、材料或服务，包括任何联合竣工检验、钻孔和其他检验以及勘察工作，或</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(f) 工程的实施顺序或时间安排的改变。</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承包人不应对永久工程作任何更改或修改，除非且直到工程师发出指示或同意变更。</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13.2 </w:t>
      </w:r>
      <w:r>
        <w:rPr>
          <w:rFonts w:hint="eastAsia" w:ascii="宋体" w:hAnsi="宋体"/>
          <w:color w:val="auto"/>
          <w:szCs w:val="21"/>
          <w:highlight w:val="none"/>
        </w:rPr>
        <w:tab/>
      </w:r>
      <w:r>
        <w:rPr>
          <w:rFonts w:hint="eastAsia" w:ascii="宋体" w:hAnsi="宋体"/>
          <w:color w:val="auto"/>
          <w:szCs w:val="21"/>
          <w:highlight w:val="none"/>
        </w:rPr>
        <w:t>价值工程</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可以随时向工程师提交一份书面建议，如果该建议被采用，它（在承包人看来）将(i)加速完工，(ii)降低发包人实施、维护或运行工程的费用，(iii)对发包人而言能提高竣工工程的效率或价值，或(iv)为发包人带来其他利益。</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承包人应自费编制此类建议书，并将其包括在第13.3款【变更程序】所列的条目中。</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13.3 </w:t>
      </w:r>
      <w:r>
        <w:rPr>
          <w:rFonts w:hint="eastAsia" w:ascii="宋体" w:hAnsi="宋体"/>
          <w:color w:val="auto"/>
          <w:szCs w:val="21"/>
          <w:highlight w:val="none"/>
        </w:rPr>
        <w:tab/>
      </w:r>
      <w:r>
        <w:rPr>
          <w:rFonts w:hint="eastAsia" w:ascii="宋体" w:hAnsi="宋体"/>
          <w:color w:val="auto"/>
          <w:szCs w:val="21"/>
          <w:highlight w:val="none"/>
        </w:rPr>
        <w:t xml:space="preserve">变更程序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如果工程师在发布任何变更指示之前要求承包人提交一份建议书，则承包人应尽快作出书面反应，要么说明理由为何不能遵守指示（如果未遵守时），要么提交：</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将要实施的工作的说明书以及该工作实施的进度计划，</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承包人依据第8.3款对进度计划和竣工时间作出任何必要修改的建议书，以及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(c) 承包人对变更估价的建议书。</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工程师在接到上述建议后（依据第13.2款【价值工程】或其它规定），应尽快予以答复，说明批准与否或提出意见。在等待答复期间，承包人不应延误任何工作。</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工程师应向承包人发出每一项实施变更的指示，并要求其记录费用，承包人应确认收到该指示。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每一项变更应依据第12款【测量与估价】进行估价，除非工程师依据本款另外作出指示或批准。</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13.4 </w:t>
      </w:r>
      <w:r>
        <w:rPr>
          <w:rFonts w:hint="eastAsia" w:ascii="宋体" w:hAnsi="宋体"/>
          <w:color w:val="auto"/>
          <w:szCs w:val="21"/>
          <w:highlight w:val="none"/>
        </w:rPr>
        <w:tab/>
      </w:r>
      <w:r>
        <w:rPr>
          <w:rFonts w:hint="eastAsia" w:ascii="宋体" w:hAnsi="宋体"/>
          <w:color w:val="auto"/>
          <w:szCs w:val="21"/>
          <w:highlight w:val="none"/>
        </w:rPr>
        <w:t xml:space="preserve">以适用的货币支付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合同规定合同价格以一种以上的货币支付，则在按上述规定已商定、批准或决定调整的同时，应规定以每种适用的货币支付的金额。在规定每种货币的金额时，应参照变更工作费用的实际或预期的货币比例以及为支付合同价格所规定的各种货币比例。</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13.5 </w:t>
      </w:r>
      <w:r>
        <w:rPr>
          <w:rFonts w:hint="eastAsia" w:ascii="宋体" w:hAnsi="宋体"/>
          <w:color w:val="auto"/>
          <w:szCs w:val="21"/>
          <w:highlight w:val="none"/>
        </w:rPr>
        <w:tab/>
      </w:r>
      <w:r>
        <w:rPr>
          <w:rFonts w:hint="eastAsia" w:ascii="宋体" w:hAnsi="宋体"/>
          <w:color w:val="auto"/>
          <w:szCs w:val="21"/>
          <w:highlight w:val="none"/>
        </w:rPr>
        <w:t xml:space="preserve">暂定金额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每一笔暂定金额仅按照工程师的指示全部或部分地使用，并相应地调整合同价格。支付给承包人的此类总金额仅应包括工程师指示的且与暂定金额有关的工作、供货或服务的款项。对于每一笔暂定金额，工程师可指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由承包人实施工作（包括提供永久设备、材料或服务），并按照第13.3款【变更程序】进行估价，和(或)</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由承包人从指定分包商（第5.1款【指定分包商】中所定义的）处或其他人处购买永久设备、材料或服务，并应加入合同价格：</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(i) 承包人已支付（或将支付）的实际款额，以及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(ii) 采用适用的报表中规定的相关百分比（如有时），以此实际款额的一个百分比来计算一笔金额包括上级管理费和利润。如果没有这一相关百分比，则可采用投标函附录中规定的百分比。</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当工程师要求时，承包人应出示报价单、发票、凭证以及帐单或收据，以示证明。</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13.6 </w:t>
      </w:r>
      <w:r>
        <w:rPr>
          <w:rFonts w:hint="eastAsia" w:ascii="宋体" w:hAnsi="宋体"/>
          <w:color w:val="auto"/>
          <w:szCs w:val="21"/>
          <w:highlight w:val="none"/>
        </w:rPr>
        <w:tab/>
      </w:r>
      <w:r>
        <w:rPr>
          <w:rFonts w:hint="eastAsia" w:ascii="宋体" w:hAnsi="宋体"/>
          <w:color w:val="auto"/>
          <w:szCs w:val="21"/>
          <w:highlight w:val="none"/>
        </w:rPr>
        <w:t xml:space="preserve">计日工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对于数量少或偶然进行的零散工作，工程师可以指示规定在计日工的基础上实施任何变更。对于此类工作应按合同中包括的计日工报表中的规定进行估价，并采用下述程序。如果合同中没有计日工报表，则本款不适用。</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在订购工程所需货物时，承包人应向工程师提交报价。当申请支付时，承包人应提交此货物的发票、凭证以及帐单或收据。</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除了计日工报表中规定的不进行支付的任何项目以外，承包人应每日向工程师提交包括下列在实施前一日工作时使用的资源的详细情况在内的准确报表，一式两份：</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承包人的人员的姓名、工种和工时，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承包人的设备和临时工程的种类、型号以及工时，以及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(c) 使用的永久设备和材料的数量和型号。</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如内容正确或经同意时，工程师将在每种报表的一份上签字并退还给承包人。在将它们纳入依据第14.3款【申请期中支付证书】提交的报表中之前，承包人应向工程师提交一份以上各资源的价格报表。</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13.7 </w:t>
      </w:r>
      <w:r>
        <w:rPr>
          <w:rFonts w:hint="eastAsia" w:ascii="宋体" w:hAnsi="宋体"/>
          <w:color w:val="auto"/>
          <w:szCs w:val="21"/>
          <w:highlight w:val="none"/>
        </w:rPr>
        <w:tab/>
      </w:r>
      <w:r>
        <w:rPr>
          <w:rFonts w:hint="eastAsia" w:ascii="宋体" w:hAnsi="宋体"/>
          <w:color w:val="auto"/>
          <w:szCs w:val="21"/>
          <w:highlight w:val="none"/>
        </w:rPr>
        <w:t xml:space="preserve">法规变化引起的调整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在基准日期以后，能够影响承包人履行其合同义务的工程所在国的法律（包括新法律的实施以及现有法律的废止或修改）或对此法律的司法的或官方政府的解释的变更导致费用的增减，则合同价格应作出相应调整。</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如果承包人由于此类在基准日期后所作的法律或解释上的变更而遭受了延误（或将遭受延误）和/或承担（或将承担）额外费用，承包人应通知工程师并有权依据第20.1款【承包人的索赔】，要求：</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根据第8.4款【竣工时间的延长】的规定，获得任何延长的工期，如果竣工已经或将被延误；以及</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支付任何有关费用，并将之加入合同价格。</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在接到此通知后，工程师应按照第3.5款【决定】的规定，对此事作出商定或决定。</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13.8 </w:t>
      </w:r>
      <w:r>
        <w:rPr>
          <w:rFonts w:hint="eastAsia" w:ascii="宋体" w:hAnsi="宋体"/>
          <w:color w:val="auto"/>
          <w:szCs w:val="21"/>
          <w:highlight w:val="none"/>
        </w:rPr>
        <w:tab/>
      </w:r>
      <w:r>
        <w:rPr>
          <w:rFonts w:hint="eastAsia" w:ascii="宋体" w:hAnsi="宋体"/>
          <w:color w:val="auto"/>
          <w:szCs w:val="21"/>
          <w:highlight w:val="none"/>
        </w:rPr>
        <w:t>费用变化引起的调整</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在专用合同条款中约定。</w:t>
      </w: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rPr>
        <w:t>14.</w:t>
      </w:r>
      <w:r>
        <w:rPr>
          <w:rFonts w:hint="eastAsia" w:ascii="宋体"/>
          <w:color w:val="auto"/>
          <w:highlight w:val="none"/>
        </w:rPr>
        <w:tab/>
      </w:r>
      <w:r>
        <w:rPr>
          <w:rFonts w:hint="eastAsia" w:ascii="宋体"/>
          <w:color w:val="auto"/>
          <w:highlight w:val="none"/>
        </w:rPr>
        <w:t>合同价格和支付</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14.1 </w:t>
      </w:r>
      <w:r>
        <w:rPr>
          <w:rFonts w:hint="eastAsia" w:ascii="宋体" w:hAnsi="宋体"/>
          <w:color w:val="auto"/>
          <w:szCs w:val="21"/>
          <w:highlight w:val="none"/>
        </w:rPr>
        <w:tab/>
      </w:r>
      <w:r>
        <w:rPr>
          <w:rFonts w:hint="eastAsia" w:ascii="宋体" w:hAnsi="宋体"/>
          <w:color w:val="auto"/>
          <w:szCs w:val="21"/>
          <w:highlight w:val="none"/>
        </w:rPr>
        <w:t>合同价格</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除非专用条件中另有规定，否则：</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(a) 合同价格应根据第12.3款【估价】来商定或决定，并应根据本合同对其进行调整；</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(b) 承包人应支付根据合同他应支付的所有税费、关税和费用，而合同价格不应因此类费用进行调整（第13.17款【法规变化引起的调整】的规定除外）；</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(c) 工程量清单或其他报表中可能列出的任何工程量仅为估算的工程量，不得将其视为：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（i） 要求承包人实施的工程的实际或正确的工程量，或者</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（ii）用于第12条【测量和估价】的目的实际或正确的工程量；且</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(d) 在开工日期开始后28天之内，承包人应该向工程师提交对资料表中每一项总价款项的价格分解建议表。在编写支付证书时，工程师可以将该价格分解表考虑在内，但不应受其制约。</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14.2 </w:t>
      </w:r>
      <w:r>
        <w:rPr>
          <w:rFonts w:hint="eastAsia" w:ascii="宋体" w:hAnsi="宋体"/>
          <w:color w:val="auto"/>
          <w:szCs w:val="21"/>
          <w:highlight w:val="none"/>
        </w:rPr>
        <w:tab/>
      </w:r>
      <w:r>
        <w:rPr>
          <w:rFonts w:hint="eastAsia" w:ascii="宋体" w:hAnsi="宋体"/>
          <w:color w:val="auto"/>
          <w:szCs w:val="21"/>
          <w:highlight w:val="none"/>
        </w:rPr>
        <w:t>预付款</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当承包人根据本款提交了履约担保和付款申请时，发包人应向承包人支付一笔预付款，作为对承包人动员工作的无息贷款。预付款总额，分期预付的次数与时间（一次以上时），以及适用的货币与比例应符合投标函附录中的规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如果发包人没有收到该保函，或者投标函附录中没有规定预付款总额，则本款不再适用。</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在工程师收到报表（根据第14.3款【期中支付证书的申请】），并且发包人收到了由承包人提交的 （i）根据第4.2款【履约保证】规定的履约保证后，工程师应为第一笔分期付款颁发一份期中支付证书。该保函应由发包人认可的机构和国家（或其他司法管辖区）签发，并且其格式应使用专用条件中所附的格式或业主认可的其他格式。</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该预付款应在支付证书中按百分比扣减的方式偿还。除非在投标函附录中另外注明了其他百分比，否则：</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此种扣减应开始于支付证书中所有被证明了的期中付款的总额（不包括预付款及质量保证金的扣减与偿还）超过接受的合同款额（减去暂定金额）的10％时；且</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按照预付款的货币的种类及其比例，分期从每份支付证书中的数额（不包括预付款及质量保证金的扣减与偿还）中扣除25％，直至还清全部预付款。</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在颁发工程的接收证书前或按第15条【发包人提出终止】，第16条【承包人提出暂停和终止】，或第19条【不可抗力】（视情况而定）终止合同前，尚未偿清预付款，承包人应将届时未付债务的全部余额立即支付给发包人。</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14.3 </w:t>
      </w:r>
      <w:r>
        <w:rPr>
          <w:rFonts w:hint="eastAsia" w:ascii="宋体" w:hAnsi="宋体"/>
          <w:color w:val="auto"/>
          <w:szCs w:val="21"/>
          <w:highlight w:val="none"/>
        </w:rPr>
        <w:tab/>
      </w:r>
      <w:r>
        <w:rPr>
          <w:rFonts w:hint="eastAsia" w:ascii="宋体" w:hAnsi="宋体"/>
          <w:color w:val="auto"/>
          <w:szCs w:val="21"/>
          <w:highlight w:val="none"/>
        </w:rPr>
        <w:t>期中支付证书的申请</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承包人应按工程师批准的格式在每个月末之后向工程师提交一式六份报表，详细说明承包人认为自己有权得到的款额，同时提交各证明文件，包括根据第4.21款【进度报告】，提交当月进度情况的详细报告。</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该报表应包括下列项目(如适用)，这些项目应以应付合同价格的各种货币表示，并按下列顺序排列：</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截至当月末已实施的工程及承包人的文件的估算合同价值(包括变更，但不包括以下（b）段至（g）段中所列项目）；</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根据第13.7款【法规变化引起的调整】和第13.8款【费用变化引起的调整】，由于立法和费用变化应增加和减扣的任何款额；</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（c） 作为质量保证金减扣的任何款额，质量保证金按投标函附录中标明的质量保证金百分率乘以上述款额的总额计算得出，减扣直至发包人保留的款额达到投标函附录中规定的质量保证金限额（如有时）为止；</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（d） 根据第14.2款【预付款】，为预付款的支付和偿还应增加和减扣的任何款额；</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（e） 根据第14.5款【用于永久工程的永久设备和材料】，为永久设备和材料应增加和减扣的款额；</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（f） 根据合同或其他规定（包括第20条【索赔、争端和仲裁】的规定），应付的任何其他的增加和减扣的款额；</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（g） 对所有以前的支付证书中证明的款额的扣除。</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14.4 </w:t>
      </w:r>
      <w:r>
        <w:rPr>
          <w:rFonts w:hint="eastAsia" w:ascii="宋体" w:hAnsi="宋体"/>
          <w:color w:val="auto"/>
          <w:szCs w:val="21"/>
          <w:highlight w:val="none"/>
        </w:rPr>
        <w:tab/>
      </w:r>
      <w:r>
        <w:rPr>
          <w:rFonts w:hint="eastAsia" w:ascii="宋体" w:hAnsi="宋体"/>
          <w:color w:val="auto"/>
          <w:szCs w:val="21"/>
          <w:highlight w:val="none"/>
        </w:rPr>
        <w:t>支付表</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若合同包括支付表，其中规定了合同价格的分期付款数额，除非在此支付表中另有规定，否则：</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在此支付表中所报的分期支付额即为第14.3款【期中支付证书的申请】（a）段所述的合同价值；</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第14.5款【用于永久工程的永久设备和材料】将不再适用；并且</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（c） 如果分期支付额不是参照工程实施所达到的实际进度制定的，且如果实际进度落后于支付表中分期支付所依据的进度状况，则工程师可通过考虑所达到的实际进度落后于分期支付所依据的进度的情况，根据第3.5款【决定】来商定或决定修正分期支付额。</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在合同中没有支付表，则每个季度承包人应就其到期应得的款额向发包人提交一份不具约束力的估价单。第一份估价单应在开工日期后42天之内提交，修正的估价单应按季度提交，直到工程的接收证书已经颁发。</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14.5 </w:t>
      </w:r>
      <w:r>
        <w:rPr>
          <w:rFonts w:hint="eastAsia" w:ascii="宋体" w:hAnsi="宋体"/>
          <w:color w:val="auto"/>
          <w:szCs w:val="21"/>
          <w:highlight w:val="none"/>
        </w:rPr>
        <w:tab/>
      </w:r>
      <w:r>
        <w:rPr>
          <w:rFonts w:hint="eastAsia" w:ascii="宋体" w:hAnsi="宋体"/>
          <w:color w:val="auto"/>
          <w:szCs w:val="21"/>
          <w:highlight w:val="none"/>
        </w:rPr>
        <w:t>用于永久工程的永久设备和材料</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若本款适用，则根据第14.3款（e）段的规定，期中支付证书应包括，（i）已运至现场为永久工程配套的永久设备与材料的预支款额；以及（ii）当此类永久设备与材料的合同价值已构成永久工程的一部分时的扣除款额（根据第14.3款【期中支付证书的申请】（a）段）。</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如果在投标函附录中没有下述（b）（i）段或（c）（i）段提到的列表，本款将不适用。</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如果工程师认为下列条件已经得到满足，他应该决定并证明每一项预支款额：</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承包人已经：</w:t>
      </w:r>
    </w:p>
    <w:p>
      <w:pPr>
        <w:pStyle w:val="17"/>
        <w:spacing w:after="0"/>
        <w:ind w:left="0" w:leftChars="0"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（i） 完整保存了各种记录（包括有关永久设备和材料的订单、收据、费用及使用），且此类记录可供随时检查；以及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（ii） 提交了购买永久设备和材料并将其运至现场的费用报表，同时提交了有关的证明文件；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以及或者：</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相关的永久设备和材料：</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（i） 均属投标函附录中所列的在装运时应支付款额的项目；</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（ii） 按照合同的要求已经运至工程所在国，并正在运往现场的途中；并且</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（iii） 是清洁装船提单或其他装运证明中声明的。该提单或证明，与运输费和保险费的支付证明、其他可能合理要求的文件以及由发包人接受的银行按发包人接受的格式开具的无条件银行保函（保函开具的各笔用不同货币表示的金额应等同于根据本款规定应付的总额）应该已一同提交给了工程师。该保函的格式可以同第14.2款【预付款】中所提到的格式相类似，且其有效期应一直持续到此类永久设备和材料已适当地存放在现场并得到防失、防损、防腐之保护为止；</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或者</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（c） 相关的永久设备和材料：</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（i） 均属投标函附录中所列在运至现场时应支付款额的项目；并且</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（ii） 已经运至现场，适当地存放在现场，得到防失、防损、防腐之保护，并完全符合合同的要求。</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工程师应该确定永久设备和材料（包括运至现场）的费用，支付证书中应增加或扣除的款额为该费用的80％，此时他应将本款中所涉及到的文件以及永久设备和材料的合同价值考虑在内。</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对于每笔预支款额，其货币种类应为第14.3款【期中支付证书的申请】（a）段中涉及的合同价值最终支付时所应采用的货币种类。支付证书应该包括适当的扣除款额，该扣除款额应与相关的永久设备和材料的预支款额相等，并采用相同的货币种类。</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14.6 </w:t>
      </w:r>
      <w:r>
        <w:rPr>
          <w:rFonts w:hint="eastAsia" w:ascii="宋体" w:hAnsi="宋体"/>
          <w:color w:val="auto"/>
          <w:szCs w:val="21"/>
          <w:highlight w:val="none"/>
        </w:rPr>
        <w:tab/>
      </w:r>
      <w:r>
        <w:rPr>
          <w:rFonts w:hint="eastAsia" w:ascii="宋体" w:hAnsi="宋体"/>
          <w:color w:val="auto"/>
          <w:szCs w:val="21"/>
          <w:highlight w:val="none"/>
        </w:rPr>
        <w:t>期中支付证书的颁发</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发包人收到并批准了履约保证之后，工程师才能为任何付款开具支付证书。此后，在收到承包人的报表和证明文件后28天内，工程师应向发包人签发期中支付证书，列出他认为应支付承包人的金额，并提交详细证明资料。</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但是，在颁发工程的接收证书之前，若被开具证书的净金额（在扣除质量保证金及其他应扣款额之后）少于投标函附录中规定的期中支付证书的最低限额（如有此规定时），则工程师没有义务为任何付款开具支付证书。在这种情况下，工程师应相应地通知承包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除以下情况外，期中支付证书不得由于任何原因而被扣发：</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如果承包人所提供的物品或已完成的工作不符合合同要求，则可扣发修正或重置的费用，直至修正或重置工作完成；以及（或者）</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如果承包人未能按照合同规定，进行工作或履行义务，并且工程师已经通知承包人，则可扣留该工作或义务的价值，直至该工作或义务被履行为止。</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工程师可在任何支付证书中对任何以前的证书给予恰当的改正或修正。支付证书不应被视为是工程师的接受、批准、同意或满意的意思表示。</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14.7 </w:t>
      </w:r>
      <w:r>
        <w:rPr>
          <w:rFonts w:hint="eastAsia" w:ascii="宋体" w:hAnsi="宋体"/>
          <w:color w:val="auto"/>
          <w:szCs w:val="21"/>
          <w:highlight w:val="none"/>
        </w:rPr>
        <w:tab/>
      </w:r>
      <w:r>
        <w:rPr>
          <w:rFonts w:hint="eastAsia" w:ascii="宋体" w:hAnsi="宋体"/>
          <w:color w:val="auto"/>
          <w:szCs w:val="21"/>
          <w:highlight w:val="none"/>
        </w:rPr>
        <w:t>支付</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发包人应向承包人支付：</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首次分期预付款额，时间是在中标通知书颁发之日起42天内，或在根据第4.2款【履约保证】以及第14.2款【预付款】的规定，收到相关的文件之日起21天内，二者中取较晚者；</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期中支付证书中开具的款额，时间是在工程师收到报表及证明文件之日起56天内；以及</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（c） 最终支付证书中开具的款额，时间是在发包人收到该支付证书之日起56天内。</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每种货币支付的款项应被转入承包人在合同中指定的对该种货币的付款国的指定银行帐户。</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14.8 </w:t>
      </w:r>
      <w:r>
        <w:rPr>
          <w:rFonts w:hint="eastAsia" w:ascii="宋体" w:hAnsi="宋体"/>
          <w:color w:val="auto"/>
          <w:szCs w:val="21"/>
          <w:highlight w:val="none"/>
        </w:rPr>
        <w:tab/>
      </w:r>
      <w:r>
        <w:rPr>
          <w:rFonts w:hint="eastAsia" w:ascii="宋体" w:hAnsi="宋体"/>
          <w:color w:val="auto"/>
          <w:szCs w:val="21"/>
          <w:highlight w:val="none"/>
        </w:rPr>
        <w:t>延误的支付</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承包人没有收到根据第14.7款【支付】应获得的任何款额，承包人应有权就未付款额按月所计复利收取延误期的融资费。延误期应认为是从第14.7款【支付】规定的支付日期开始计算的，而不考虑（当（b）段的情况发生时）期中支付证书颁发的日期。</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除非在专用条件中另有规定，此融资费应以年利率为支付货币所在国中央银行的贴现率加上三个百分点进行计算，并用这种货币进行支付。</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承包人有权得到此类付款而无需正式通知或证明，并且不损害他的任何其他权利或补偿。</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14.9 </w:t>
      </w:r>
      <w:r>
        <w:rPr>
          <w:rFonts w:hint="eastAsia" w:ascii="宋体" w:hAnsi="宋体"/>
          <w:color w:val="auto"/>
          <w:szCs w:val="21"/>
          <w:highlight w:val="none"/>
        </w:rPr>
        <w:tab/>
      </w:r>
      <w:r>
        <w:rPr>
          <w:rFonts w:hint="eastAsia" w:ascii="宋体" w:hAnsi="宋体"/>
          <w:color w:val="auto"/>
          <w:szCs w:val="21"/>
          <w:highlight w:val="none"/>
        </w:rPr>
        <w:t>质量保证金的支付</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当工程师已经颁发了整个工程的接收证书时，工程师应开具证书将质量保证金的前一半支付给承包人。如果颁发的接收证书只是限于一个区段或工程的一部分，则应就相应百分比的质量保证金开具证书并给予支付。这个百分数应该是将估算的区段或部分的合同价值除以最终合同价格的估算值计算得出的比例的40％。</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缺陷责任期期满时，工程师应立即开具证书将质量保证金尚未支付的部分支付给承包人。如果颁发的接收证书只限于一个区段，则在这个区段的缺陷责任期期满后，应立即就质量保证金的后一半的相应百分比开具证书并给予支付。这个百分数应该是将估算的区段或部分的合同价值除以最终合同价格的估算值计算得出的比例的40％。</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但如果在此时根据第11条【缺陷责任】，尚有任何工作仍需完成，工程师有权在此类工作完成之前扣发与完成工作所需费用相应的质量保证金余额的支付证书。</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在计算上述的各项百分比时，不考虑根据第13.7款【法规变化引起的调整】和第13.8款【费用变化引起的调整】所进行的任何调整。</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14.10 </w:t>
      </w:r>
      <w:r>
        <w:rPr>
          <w:rFonts w:hint="eastAsia" w:ascii="宋体" w:hAnsi="宋体"/>
          <w:color w:val="auto"/>
          <w:szCs w:val="21"/>
          <w:highlight w:val="none"/>
        </w:rPr>
        <w:tab/>
      </w:r>
      <w:r>
        <w:rPr>
          <w:rFonts w:hint="eastAsia" w:ascii="宋体" w:hAnsi="宋体"/>
          <w:color w:val="auto"/>
          <w:szCs w:val="21"/>
          <w:highlight w:val="none"/>
        </w:rPr>
        <w:t>竣工报表</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在收到工程的接收证书后84天内，承包人应向工程师提交按其批准的格式编制的竣工报表一式六份，并附第14.3款【期中支付证书的申请】要求的证明文件，详细说明：</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到工程的接收证书注明的日期为止，根据合同所完成的所有工作的价值，</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承包人认为应进一步支付给他的任何款项，以及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（c） 承包人认为根据合同将应支付给他的任何其他估算款额。估算款额应在此竣工报表中单独列出。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工程师应根据第14.6款【期中支付证书的颁发】开具支付证书。</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14.11 </w:t>
      </w:r>
      <w:r>
        <w:rPr>
          <w:rFonts w:hint="eastAsia" w:ascii="宋体" w:hAnsi="宋体"/>
          <w:color w:val="auto"/>
          <w:szCs w:val="21"/>
          <w:highlight w:val="none"/>
        </w:rPr>
        <w:tab/>
      </w:r>
      <w:r>
        <w:rPr>
          <w:rFonts w:hint="eastAsia" w:ascii="宋体" w:hAnsi="宋体"/>
          <w:color w:val="auto"/>
          <w:szCs w:val="21"/>
          <w:highlight w:val="none"/>
        </w:rPr>
        <w:t>申请最终支付证书</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在颁发履约证书56天内，承包人应向工程师提交按其批准的格式编制的最终报表草案一式六份，并附证明文件，详细说明以下内容：</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根据合同所完成的所有工作的价值，以及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承包人认为根据合同或其他规定应进一步支付给他的任何款项。</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工程师不同意或不能证实该最终报表草案中的某一部分，承包人应根据工程师的合理要求提交进一步的的资料，并就双方所达成的一致意见对草案进行修改。随后，承包人应编制并向工程师提交双方同意的最终报表。在本条件中，该双方同意的报表被称为“最终报表”。</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但是如果工程师和承包人讨论并对最终报表草案进行了双方同意的修改后，仍明显存在争议，工程师应向发包人送交一份最终报表中双方协商一致的期中支付证书，同时将一副本送交承包人。此后，如果存在的争议最终根据第20.4款【获得争端裁决委员会的决定】或第20.5款【友好解决】得到解决，承包人随后应根据争议解决的结果编制一份最终报表提交给发包人（同时将一副本送交工程师）。</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14.12 </w:t>
      </w:r>
      <w:r>
        <w:rPr>
          <w:rFonts w:hint="eastAsia" w:ascii="宋体" w:hAnsi="宋体"/>
          <w:color w:val="auto"/>
          <w:szCs w:val="21"/>
          <w:highlight w:val="none"/>
        </w:rPr>
        <w:tab/>
      </w:r>
      <w:r>
        <w:rPr>
          <w:rFonts w:hint="eastAsia" w:ascii="宋体" w:hAnsi="宋体"/>
          <w:color w:val="auto"/>
          <w:szCs w:val="21"/>
          <w:highlight w:val="none"/>
        </w:rPr>
        <w:t>结清单</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提交最终报表时，承包人应提交一份书面结清单，确认最终报表的总额为根据或参照合同应支付给他的所有款项的全部和最终的结算额。该结清单可注明，只有在全部未支付的余额得到支付且履约保证退还给承包人当日起，该结清单才能生效。</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14.13 </w:t>
      </w:r>
      <w:r>
        <w:rPr>
          <w:rFonts w:hint="eastAsia" w:ascii="宋体" w:hAnsi="宋体"/>
          <w:color w:val="auto"/>
          <w:szCs w:val="21"/>
          <w:highlight w:val="none"/>
        </w:rPr>
        <w:tab/>
      </w:r>
      <w:r>
        <w:rPr>
          <w:rFonts w:hint="eastAsia" w:ascii="宋体" w:hAnsi="宋体"/>
          <w:color w:val="auto"/>
          <w:szCs w:val="21"/>
          <w:highlight w:val="none"/>
        </w:rPr>
        <w:t>最终支付证书的颁发</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根据第14.11款【最终支付证书的申请】和第14.12款【结清单】，在收到最终报表及书面结清单单后28天内，工程师应向发包人发出一份最终支付证书，说明：</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最终应支付的款额，以及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在对发包人以前支付过的款额与发包人有权得到的全部金额加以核算后，发包人还应支付给承包人，或承包人还应支付给发包人（视情况而定）的余额（如有时）。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承包人未根据第14.11款【最终支付证书的申请】和第14.12款【结清单】，申请最终支付证书，工程师应要求承包人提出申请。如果承包人未能在28天期限内提交此类申请，工程师应对其公正决定的应支付的此类款额颁发最终支付证书。</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14.14 </w:t>
      </w:r>
      <w:r>
        <w:rPr>
          <w:rFonts w:hint="eastAsia" w:ascii="宋体" w:hAnsi="宋体"/>
          <w:color w:val="auto"/>
          <w:szCs w:val="21"/>
          <w:highlight w:val="none"/>
        </w:rPr>
        <w:tab/>
      </w:r>
      <w:r>
        <w:rPr>
          <w:rFonts w:hint="eastAsia" w:ascii="宋体" w:hAnsi="宋体"/>
          <w:color w:val="auto"/>
          <w:szCs w:val="21"/>
          <w:highlight w:val="none"/>
        </w:rPr>
        <w:t>发包人责任的终止</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对于由合同或工程实施引起的（或与之相关的）任何问题和事件，发包人不对承包人负有责任，除非承包人在下述文件中明确地包括了有关金额；</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最终报表，以及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（工程的接收证书颁发后发生的问题或事件除外）第14.10款【竣工报表】提及的竣工报表。</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但是，本款将不限定由于发包人的损害赔偿义务引起的责任，或者发包人的欺诈、故意违约或管理不善而造成的发包人的责任。</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14.15 </w:t>
      </w:r>
      <w:r>
        <w:rPr>
          <w:rFonts w:hint="eastAsia" w:ascii="宋体" w:hAnsi="宋体"/>
          <w:color w:val="auto"/>
          <w:szCs w:val="21"/>
          <w:highlight w:val="none"/>
        </w:rPr>
        <w:tab/>
      </w:r>
      <w:r>
        <w:rPr>
          <w:rFonts w:hint="eastAsia" w:ascii="宋体" w:hAnsi="宋体"/>
          <w:color w:val="auto"/>
          <w:szCs w:val="21"/>
          <w:highlight w:val="none"/>
        </w:rPr>
        <w:t>支付的货币</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合同价格应以投标函附录中指定的一种或几种货币支付。除非在专用条件中另有规定，如果指定的货币不限于一种，则应按下述规定进行支付：</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如果接受的合同款额仅以当地货币表示：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（i） 则支付当地货币与外币的比例或数额，以及计算该款额所用的固定汇率应按投标函附录中的规定执行，双方另有协议的情况除外；</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（ii） 根据第13.5款【暂定金额】和第13.7款【法规变化引起的调整】，应付款项和减扣款项应以适用的货币种类和比例进行支付和减扣；以及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（iii）根据第14.3款【期中支付证书的申请】（a）段至（d）段的要求的其他应付款项和减扣款项，应以上述（a）段（i）中规定的货币种类和比例进行支付和减扣；</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投标函附录中规定的损害赔偿费应按投标函附录中规定的货币种类和比例进行支付；</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（c） 承包人应该支付给发包人的其他款项应以发包人支付时使用的货币种类支付，或以双方协议使用的货币支付；</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（d） 如果承包人以某种特殊货币向发包人支付时的金额，超过了发包人以同种货币向承包人支付时的金额，发包人可从以其他货币进行支付的金额中弥补上述金额的余额；以及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（e） 如果在投标函附录中未注明汇率，所采用的汇率应为工程所在国中央银行规定的在基准日期通行的汇率。</w:t>
      </w: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rPr>
        <w:t>15.</w:t>
      </w:r>
      <w:r>
        <w:rPr>
          <w:rFonts w:hint="eastAsia" w:ascii="宋体"/>
          <w:color w:val="auto"/>
          <w:highlight w:val="none"/>
        </w:rPr>
        <w:tab/>
      </w:r>
      <w:r>
        <w:rPr>
          <w:rFonts w:hint="eastAsia" w:ascii="宋体"/>
          <w:color w:val="auto"/>
          <w:highlight w:val="none"/>
        </w:rPr>
        <w:t>发包人提出终止</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15.1 </w:t>
      </w:r>
      <w:r>
        <w:rPr>
          <w:rFonts w:hint="eastAsia" w:ascii="宋体" w:hAnsi="宋体"/>
          <w:color w:val="auto"/>
          <w:szCs w:val="21"/>
          <w:highlight w:val="none"/>
        </w:rPr>
        <w:tab/>
      </w:r>
      <w:r>
        <w:rPr>
          <w:rFonts w:hint="eastAsia" w:ascii="宋体" w:hAnsi="宋体"/>
          <w:color w:val="auto"/>
          <w:szCs w:val="21"/>
          <w:highlight w:val="none"/>
        </w:rPr>
        <w:t>通知改正</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如果承包人未能根据合同履行任何义务，工程师可通知承包人，要求他在一规定的合理时间内改正此类过失。</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15.2 </w:t>
      </w:r>
      <w:r>
        <w:rPr>
          <w:rFonts w:hint="eastAsia" w:ascii="宋体" w:hAnsi="宋体"/>
          <w:color w:val="auto"/>
          <w:szCs w:val="21"/>
          <w:highlight w:val="none"/>
        </w:rPr>
        <w:tab/>
      </w:r>
      <w:r>
        <w:rPr>
          <w:rFonts w:hint="eastAsia" w:ascii="宋体" w:hAnsi="宋体"/>
          <w:color w:val="auto"/>
          <w:szCs w:val="21"/>
          <w:highlight w:val="none"/>
        </w:rPr>
        <w:t>发包人提出终止</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发包人有权终止合同，如果承包人：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未能遵守第4.2款【履约保证】或根据第15.1款【通知改正】发出的通知，</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放弃工程或证明他不愿继续按照合同履行义务，</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（c） 无正当理由而未能：</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（i） 按第8条【开工、延误和暂停】实施工程，或</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（ii） 在接到通知后28天内，遵守根据第7.5款【拒收】或第7.6款【补救工作】颁发的通知，</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（d） 未按要求经过许可便擅自将整个工程分包出去或转让合同，</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（e） 破产或无力偿还债务，或停业清理，或已由法院委派其破产案财产管理人或遗产管理人，或为其债权人的利益与债权人达成有关协议，或在财产管理人，财产委托人或财务管理人的监督下营业，或承包人所采取的任何行动或发生的任何事件（根据有关适用的法律）具有与前述行动或事件相似的效果，或</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f</w:t>
      </w:r>
      <w:r>
        <w:rPr>
          <w:rFonts w:hint="eastAsia" w:ascii="宋体" w:hAnsi="宋体"/>
          <w:color w:val="auto"/>
          <w:szCs w:val="21"/>
          <w:highlight w:val="none"/>
          <w:lang w:eastAsia="zh-CN"/>
        </w:rPr>
        <w:t>）本项目严格按照发包人与供电局签订的《广东电网公司广州供电局开发项目配套变电站建设移交合同》执行，若因其它原因最终未签订上述合同，本次项目终止，各方互不追究责任，也不承担任何损失及赔偿责任。</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g</w:t>
      </w:r>
      <w:r>
        <w:rPr>
          <w:rFonts w:hint="eastAsia" w:ascii="宋体" w:hAnsi="宋体"/>
          <w:color w:val="auto"/>
          <w:szCs w:val="21"/>
          <w:highlight w:val="none"/>
        </w:rPr>
        <w:t>） 给予或提出给予（直接或间接）任何人以任何贿赂、礼品、小费、佣金或其他有价值的物品，作为引诱或报酬；</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（i） 使该人员采取或不采取与该合同有关的任何行动，或</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（ii） 使该人员对与该合同有关的任何人员表示赞同或不赞同，</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或者，如果任何承包人的人员、代理商或分包商如（f）段所述的那样给予或提出给予（直接或间接）任何人以任何此类引诱或报酬。但是，给予承包人的人员的合法奖励和报酬应不会导致合同终止。</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如果发生上述事件或情况，则发包人可在向承包人发出通知14天后，终止本合同，并将承包人逐出现场。另外，如果发生（e）段或（f）段的情况，发包人可通知承包人立即终止合同。</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发包人选择终止合同不应影响他根据合同或其他规定享有的发包人的任何其他权利。</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随后应离开现场，并将任何要求的货物，所有他自己编制的或他人为其编制的承包人的文件以及其他设计文件转交给工程师。此外，承包人还应尽其最大努力立即遵守下述通知中所包含的合理指示：（i）为任何分包合同的转让，以及（ii）为保护生命或财产或工程的安全。</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在此类终止之后，发包人可以安排由任何其他实体完成工程，或安排由任何其他实体和自己一起完成工程。发包人和此类实体可使用任何货物、承包人编制的或以其名义编制的承包人的文件以及其他设计文件。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发包人随后发出通知，说明承包人的设备和临时工程将在现场或现场附近退还给承包人。承包人应以自己的费用及自担风险安排上述设备和临时工程的撤离，不得拖延。此外，如果此时承包人还有应支付给发包人的款额未支付，为了获取这笔款额，发包人可以出售上述设备和临时工程。此类收益的所有余额应归还承包人。</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15.3 </w:t>
      </w:r>
      <w:r>
        <w:rPr>
          <w:rFonts w:hint="eastAsia" w:ascii="宋体" w:hAnsi="宋体"/>
          <w:color w:val="auto"/>
          <w:szCs w:val="21"/>
          <w:highlight w:val="none"/>
        </w:rPr>
        <w:tab/>
      </w:r>
      <w:r>
        <w:rPr>
          <w:rFonts w:hint="eastAsia" w:ascii="宋体" w:hAnsi="宋体"/>
          <w:color w:val="auto"/>
          <w:szCs w:val="21"/>
          <w:highlight w:val="none"/>
        </w:rPr>
        <w:t>终止日期时的估价</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在根据第15.2款【发包人提出终止】发出的终止通知生效后，工程师应尽快根据第3.5款【决定】，商定或决定工程、货物和承包人的文件的价值，以及就其根据合同实施的工作承包人应得到的所有款项。</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15.4 </w:t>
      </w:r>
      <w:r>
        <w:rPr>
          <w:rFonts w:hint="eastAsia" w:ascii="宋体" w:hAnsi="宋体"/>
          <w:color w:val="auto"/>
          <w:szCs w:val="21"/>
          <w:highlight w:val="none"/>
        </w:rPr>
        <w:tab/>
      </w:r>
      <w:r>
        <w:rPr>
          <w:rFonts w:hint="eastAsia" w:ascii="宋体" w:hAnsi="宋体"/>
          <w:color w:val="auto"/>
          <w:szCs w:val="21"/>
          <w:highlight w:val="none"/>
        </w:rPr>
        <w:t>终止后的支付</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在根据第15.2款【发包人提出终止】发出的终止通知生效后，发包人可以：</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按照第2.5款【发包人的索赔】的要求执行，</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扣留向承包人支付的进一步款项，直至发包人确定了施工、竣工和修补任何工程缺陷的费用、误期损害赔偿费（如有时），以及发包人花费的所有其它费用，以及（或者）</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（c） 在考虑根据第15.3款【终止日期时的估价】应支付承包人的任何金额后，自承包人处收回发包人由此招致的任何损失以及为完成工程所导致的超支费用。在收回此类损失和超支费用后，发包人应向承包人支付任何结存金额。</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15.5 </w:t>
      </w:r>
      <w:r>
        <w:rPr>
          <w:rFonts w:hint="eastAsia" w:ascii="宋体" w:hAnsi="宋体"/>
          <w:color w:val="auto"/>
          <w:szCs w:val="21"/>
          <w:highlight w:val="none"/>
        </w:rPr>
        <w:tab/>
      </w:r>
      <w:r>
        <w:rPr>
          <w:rFonts w:hint="eastAsia" w:ascii="宋体" w:hAnsi="宋体"/>
          <w:color w:val="auto"/>
          <w:szCs w:val="21"/>
          <w:highlight w:val="none"/>
        </w:rPr>
        <w:t>发包人终止合同的权力</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任何发包人认为适宜时，发包人有权向承包人发出终止通知，终止合同。此类终止应在下述日期较晚者后28天生效：（i）收到该终止通知的日期，或（ii）发包人退还履约保证的日期。如果发包人为了自己实施工程或为了安排由其他承包人实施工程，则他将无权根据本款终止合同。</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在此类终止之后，承包人应按照第16.3款【通知工作及承包人的设备的撤离】的要求执行，并应按照第19.6款【可选择的终止、支付和返回】从发包人处得到支付。</w:t>
      </w: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rPr>
        <w:t>16.</w:t>
      </w:r>
      <w:r>
        <w:rPr>
          <w:rFonts w:hint="eastAsia" w:ascii="宋体"/>
          <w:color w:val="auto"/>
          <w:highlight w:val="none"/>
        </w:rPr>
        <w:tab/>
      </w:r>
      <w:r>
        <w:rPr>
          <w:rFonts w:hint="eastAsia" w:ascii="宋体"/>
          <w:color w:val="auto"/>
          <w:highlight w:val="none"/>
        </w:rPr>
        <w:t>承包人提出暂停和终止</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16.1 </w:t>
      </w:r>
      <w:r>
        <w:rPr>
          <w:rFonts w:hint="eastAsia" w:ascii="宋体" w:hAnsi="宋体"/>
          <w:color w:val="auto"/>
          <w:szCs w:val="21"/>
          <w:highlight w:val="none"/>
        </w:rPr>
        <w:tab/>
      </w:r>
      <w:r>
        <w:rPr>
          <w:rFonts w:hint="eastAsia" w:ascii="宋体" w:hAnsi="宋体"/>
          <w:color w:val="auto"/>
          <w:szCs w:val="21"/>
          <w:highlight w:val="none"/>
        </w:rPr>
        <w:t>承包人有权暂停工作</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工程师未能按照第14.6款【期中支付证书的颁发】开具支付证书，或者发包人未能按照第2.4款【发包人的资金安排】或第14.7款【支付】的规定执行，则承包人可在提前21天以上通知发包人，暂停工作（或降低工作速度），除非并且直到承包人收到了支付证书，合理的证明或支付（视情况而定并且遵守通知的指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此行为不应影响承包人根据第14.8款【延误的支付】得到融资费和根据第16.2款【承包人提出终止】终止合同的权利。</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如果在发出终止通知之前，承包人随即收到了此类支付证书、证明或支付（如相关条款和上述通知中所述），则承包人应尽快恢复正常工作。</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如果承包人根据本款规定暂停工作或降低工作速度而造成拖期和（或）导致发生费用，则承包人应通知工程师，并根据第20.1款【承包人的索赔】承包人有权：</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根据第8.4款【竣工时间的延长】的规定，就任何此类延误获得延长的工期，如果竣工时间已经（或将要）被延误，以及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获得任何此类费用加上合理的利润，并将之加入在合同价格。</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在收到此类通知后，工程师应根据第3.5款【决定】，对上述事宜表示同意或作出决定。</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16.2 </w:t>
      </w:r>
      <w:r>
        <w:rPr>
          <w:rFonts w:hint="eastAsia" w:ascii="宋体" w:hAnsi="宋体"/>
          <w:color w:val="auto"/>
          <w:szCs w:val="21"/>
          <w:highlight w:val="none"/>
        </w:rPr>
        <w:tab/>
      </w:r>
      <w:r>
        <w:rPr>
          <w:rFonts w:hint="eastAsia" w:ascii="宋体" w:hAnsi="宋体"/>
          <w:color w:val="auto"/>
          <w:szCs w:val="21"/>
          <w:highlight w:val="none"/>
        </w:rPr>
        <w:t>承包人提出终止</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如果发生下述情况，承包人应有权终止合同：</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在根据第16.1款【承包人有权暂停工作】发出通知（有关于发包人未能按照第2.4款【发包人的资金安排】的规定执行）后42天内，承包人没有收到合理的证明，</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在收到报表和证明文件后56天内，工程师未能颁发相应的支付证书，</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（c） 在第14.7款【支付】规定的支付时间期满后42天内，承包人没有收到按开具的期中支付证书应向其支付的应付款额（根据第2.5款【发包人的索赔】进行扣除的金额除外），</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（d） 发包人基本上没有执行合同规定的义务，</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（e） 发包人未能按照第1.6款【合同协议书】或第1.7款【转让】的规定执行，</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（f） 第8.11款【持续的暂停】所述的持续的暂时停工影响到整个工程，或</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（g） 发包人破产或无力偿还债务，或停业清理，或已由法院委派其破产案财产管理人或遗产管理人，或为其债权人的利益与债权人达成有关协议，或在财产管理人，财产委托人或财务管理人的监督下营业，或承包人所采取的任何行动或发生的任何事件（根据有关适用的法律）具有与前述行动或事件相似的效果。</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如果发生上述事件或情况，则承包人可在向发包人发出通知14天后，终止本合同。此外，如果发生（f）段或（g）段的情况，承包人可通知发包人立即终止合同。</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承包人选择终止合同不应影响他根据合同或其他规定享有的承包人的任何其他权利。</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16.3 </w:t>
      </w:r>
      <w:r>
        <w:rPr>
          <w:rFonts w:hint="eastAsia" w:ascii="宋体" w:hAnsi="宋体"/>
          <w:color w:val="auto"/>
          <w:szCs w:val="21"/>
          <w:highlight w:val="none"/>
        </w:rPr>
        <w:tab/>
      </w:r>
      <w:r>
        <w:rPr>
          <w:rFonts w:hint="eastAsia" w:ascii="宋体" w:hAnsi="宋体"/>
          <w:color w:val="auto"/>
          <w:szCs w:val="21"/>
          <w:highlight w:val="none"/>
        </w:rPr>
        <w:t>停止工作及承包人的设备的撤离</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在根据第15.5款【发包人终止合同的权力】，或第16.2款【承包人提出终止】或第19.6款【可选择的终止、支付和返回】发出的终止通知生效后，承包人应尽快：</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停止一切进一步的工作，但应负责工程师为保护生命或财产或为了工程的安全可能指示进行的此类工作，</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移交承包人已得到付款的承包人的文件、永久设备、材料及其他工作，以及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（c） 撤离现场上所有其他的货物（为了安全所需的货物除外），而后离开现场。</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16.4 </w:t>
      </w:r>
      <w:r>
        <w:rPr>
          <w:rFonts w:hint="eastAsia" w:ascii="宋体" w:hAnsi="宋体"/>
          <w:color w:val="auto"/>
          <w:szCs w:val="21"/>
          <w:highlight w:val="none"/>
        </w:rPr>
        <w:tab/>
      </w:r>
      <w:r>
        <w:rPr>
          <w:rFonts w:hint="eastAsia" w:ascii="宋体" w:hAnsi="宋体"/>
          <w:color w:val="auto"/>
          <w:szCs w:val="21"/>
          <w:highlight w:val="none"/>
        </w:rPr>
        <w:t>终止时的支付</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在根据第16.2款【承包人提出终止】发出的终止通知生效后，发包人应尽快：</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将履约保证退还承包人，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根据第19.6款【可选择的终止、支付和返回】向承包人进行支付，以及</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（c） 向承包人支付因终止合同承包人遭受的任何利润的损失或其他损失或损害的款额。</w:t>
      </w: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rPr>
        <w:t>17.</w:t>
      </w:r>
      <w:r>
        <w:rPr>
          <w:rFonts w:hint="eastAsia" w:ascii="宋体"/>
          <w:color w:val="auto"/>
          <w:highlight w:val="none"/>
        </w:rPr>
        <w:tab/>
      </w:r>
      <w:r>
        <w:rPr>
          <w:rFonts w:hint="eastAsia" w:ascii="宋体"/>
          <w:color w:val="auto"/>
          <w:highlight w:val="none"/>
        </w:rPr>
        <w:t>风险和责任</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17.1 </w:t>
      </w:r>
      <w:r>
        <w:rPr>
          <w:rFonts w:hint="eastAsia" w:ascii="宋体" w:hAnsi="宋体"/>
          <w:color w:val="auto"/>
          <w:szCs w:val="21"/>
          <w:highlight w:val="none"/>
        </w:rPr>
        <w:tab/>
      </w:r>
      <w:r>
        <w:rPr>
          <w:rFonts w:hint="eastAsia" w:ascii="宋体" w:hAnsi="宋体"/>
          <w:color w:val="auto"/>
          <w:szCs w:val="21"/>
          <w:highlight w:val="none"/>
        </w:rPr>
        <w:t>保障</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承包人应保障和保护发包人，发包人的人员，以及他们各自的代理人免遭与下述有关的一切索赔、损害、损失和开支（包括法律费用和开支）：</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由于承包人的设计（如有时），施工、竣工以及任何缺陷的修补导致的任何人员的身体伤害、生病、病疫或死亡，由于发包人、发包人的人员或他们各自的代理人的任何渎职、恶意行为或违反合同而造成的除外，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物资财产，即不动产或私人财产（工程除外）的损伤或毁坏，当此类损伤或毁坏是：</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（i） 由于承包人的设计（如有时），施工、竣工以及任何缺陷的修补导致的，以及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（ii）由于承包人、承包人的人员，他们各自的代理人，或由他们直接或间接雇用的任何人的任何渎职、恶意行为或违反合同而造成的。</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发包人应保障和保护承包人，承包人的人员，以及他们各自的代理人免遭与下述有关的一切索赔、损害、损失和开支（包括法律费用和开支）：（1）由于发包人、发包人的人员或他们各自的代理人的任何渎职、恶意行为或违反合同而造成的身体伤害、生病、病疫或死亡，（2）没有承保的责任，如第18.3款【人员伤亡和财产损害的保险】第（d）段（i），（ii）及（iii） 中所述的。</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17.2 </w:t>
      </w:r>
      <w:r>
        <w:rPr>
          <w:rFonts w:hint="eastAsia" w:ascii="宋体" w:hAnsi="宋体"/>
          <w:color w:val="auto"/>
          <w:szCs w:val="21"/>
          <w:highlight w:val="none"/>
        </w:rPr>
        <w:tab/>
      </w:r>
      <w:r>
        <w:rPr>
          <w:rFonts w:hint="eastAsia" w:ascii="宋体" w:hAnsi="宋体"/>
          <w:color w:val="auto"/>
          <w:szCs w:val="21"/>
          <w:highlight w:val="none"/>
        </w:rPr>
        <w:t>承包人对工程的照管</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从工程开工日期起直到颁发（或认为根据第10.1款【对工程和区段的接收】已颁发）接收证书的日期为止，承包人应对工程的照管负全部责任。此后，照管工程的责任移交给发包人。如果就工程的某区段或部分颁发了接收证书（或认为已颁发），则该区段或部分工程的照管责任即移交给发包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在责任相应地移交给发包人后，承包人仍有责任照管任何在接收证书上注明的日期内应完成而尚未完成的工作，直至此类扫尾工作已经完成。</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承包人负责照管期间，如果工程、货物或承包人的文件发生的任何损失或损害不是由于第17.3款【发包人的风险】所列的发包人的风险所致，则承包人应自担风险和费用弥补此类损失或修补损害，以使工程、货物或承包人的文件符合合同的要求。</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承包人还应为在接收证书颁发后由于他的任何行为导致的任何损失或损害负责。同时，对于接收证书颁发后出现，并且是由于在此之前承包人的责任而导致的任何损失或损害，承包人也应负有责任。</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17.3 </w:t>
      </w:r>
      <w:r>
        <w:rPr>
          <w:rFonts w:hint="eastAsia" w:ascii="宋体" w:hAnsi="宋体"/>
          <w:color w:val="auto"/>
          <w:szCs w:val="21"/>
          <w:highlight w:val="none"/>
        </w:rPr>
        <w:tab/>
      </w:r>
      <w:r>
        <w:rPr>
          <w:rFonts w:hint="eastAsia" w:ascii="宋体" w:hAnsi="宋体"/>
          <w:color w:val="auto"/>
          <w:szCs w:val="21"/>
          <w:highlight w:val="none"/>
        </w:rPr>
        <w:t>发包人的风险</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与下述第17.4款有关的风险如下：</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战争、敌对行动（不论宣战与否）、入侵、外敌行动，</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工程所在国内的叛乱、恐怖活动、革命、暴动、军事政变或篡夺政权，或内战，</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（c） 暴乱、骚乱或混乱，完全局限于承包人的人员以及承包人和分包商的其他雇用人员中间的事件除外，</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（d） 工程所在国的军火、爆炸性物质、离子辐射或放射性污染，由于承包人使用此类军火、爆炸性物质、辐射或放射性活动的情况除外，</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（e） 以音速或超音速飞行的飞机或其他飞行装置产生的压力波，</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（f） 发包人使用或占用永久工程的任何部分，合同中另有规定的除外，</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（g） 因工程任何部分设计不当而造成的，而此类设计是由发包人的人员提供的，或由发包人所负责的其他人员提供的，以及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（h） 一个有经验的承包人不可预见且无法合理防范的自然力的作用。</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17.4 </w:t>
      </w:r>
      <w:r>
        <w:rPr>
          <w:rFonts w:hint="eastAsia" w:ascii="宋体" w:hAnsi="宋体"/>
          <w:color w:val="auto"/>
          <w:szCs w:val="21"/>
          <w:highlight w:val="none"/>
        </w:rPr>
        <w:tab/>
      </w:r>
      <w:r>
        <w:rPr>
          <w:rFonts w:hint="eastAsia" w:ascii="宋体" w:hAnsi="宋体"/>
          <w:color w:val="auto"/>
          <w:szCs w:val="21"/>
          <w:highlight w:val="none"/>
        </w:rPr>
        <w:t>发包人的风险造成的后果</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如果上述第17.3款所列的发包人的风险导致了工程、货物或承包人的文件的损失或损害，则承包人应尽快通知工程师，并且应按工程师的要求弥补此类损失或修复此类损害。</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如果为了弥补此类损失或修复此类损害使承包人延误工期和（或）承担了费用，则承包人应进一步通知工程师，并且根据第20.1款【承包人的索赔】，有权：</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根据第8.4款【竣工时间的延长】的规定，就任何此类延误获得延长的工期，如果竣工时间已经（或将要）被延误，以及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获得任何此类费用，并将之加在合同价格中。如果第17.3款【发包人的风险】（f）段及（g）段的情况发生，上述费用应加上合理的利润。</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在收到此类通知后，工程师应根据第3.5款【决定】，对上述事宜表示同意或作出决定。</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17.5 </w:t>
      </w:r>
      <w:r>
        <w:rPr>
          <w:rFonts w:hint="eastAsia" w:ascii="宋体" w:hAnsi="宋体"/>
          <w:color w:val="auto"/>
          <w:szCs w:val="21"/>
          <w:highlight w:val="none"/>
        </w:rPr>
        <w:tab/>
      </w:r>
      <w:r>
        <w:rPr>
          <w:rFonts w:hint="eastAsia" w:ascii="宋体" w:hAnsi="宋体"/>
          <w:color w:val="auto"/>
          <w:szCs w:val="21"/>
          <w:highlight w:val="none"/>
        </w:rPr>
        <w:t>知识产权和工业产权</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本款中，“侵权”的含义是指对与工程有关的任何专利权，已注册的设计、版权、商标、商品名称、商业秘密或其他知识产权的侵权（或声称的侵权）；“索赔”的含义是指声称侵权的索赔（或为索赔进行的诉讼活动）。</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如果一方在收到此类索赔后28天内未向任何索赔事件的另一方发出通知，则认为前者已经放弃了根据本款得到保障的一切权利。</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发包人应保障和保护承包人免遭由于下述情况（或以前发生的情况）导致的任何对于声称的侵权的索赔：</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由于承包人遵循合同而必然引起的结果，或者</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由于发包人使用任何工程引起的结果：</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（i） 不是为合同中指明或可合理推论出来的目的，或</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（ii）与非承包人提供的任何事物联合使用，除非此类使用在基准日期之前已向承包人公开说明或在合同中指出。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承包人应保障和保护发包人免遭由于下述情况导致的或与下述情况相关的任何其他索赔：</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（i） 所有货物的制造、使用、出售或进口，或</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（ii） 承包人负责进行的设计。</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一方有权根据本款得到保障，则保障方可以（自费）为解决该索赔进行谈判和进行由此索赔而引起的任何诉讼或仲裁。应保障方的要求并在由其负担费用的情况下，被保障方应协助对此类索赔进行争辩。该被保障方（包括其人员）不应承认任何有损于保障方的谈判、诉讼或仲裁，除非保障方未能按照被保障方的要求进行谈判、诉讼或仲裁。</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17.6 </w:t>
      </w:r>
      <w:r>
        <w:rPr>
          <w:rFonts w:hint="eastAsia" w:ascii="宋体" w:hAnsi="宋体"/>
          <w:color w:val="auto"/>
          <w:szCs w:val="21"/>
          <w:highlight w:val="none"/>
        </w:rPr>
        <w:tab/>
      </w:r>
      <w:r>
        <w:rPr>
          <w:rFonts w:hint="eastAsia" w:ascii="宋体" w:hAnsi="宋体"/>
          <w:color w:val="auto"/>
          <w:szCs w:val="21"/>
          <w:highlight w:val="none"/>
        </w:rPr>
        <w:t>责任限度</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任何一方均不向另一方负责赔偿另一方可能遭受的与合同有关的任何工程的使用损失、利润损失、任何其它合同损失，或任何间接或由之引起的损失或损害，根据第16.4款【终止时的支付】和第17.1款【保障】规定的情况除外。</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根据合同对发包人应负的全部责任（不包括第4.19款【电、水、气】，第4.20款【发包人的设备和免费提供的材料】，第17.1款【保障】以及第17.5款【知识产权和工业产权】所规定的责任），不应超过专用条件中注明的金额，或者（如果没有注明此类金额）不应超过接受的合同款额。</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本款不限制违约方的欺诈行为、故意违约或管理不善所导致的责任。</w:t>
      </w: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rPr>
        <w:t>18.</w:t>
      </w:r>
      <w:r>
        <w:rPr>
          <w:rFonts w:hint="eastAsia" w:ascii="宋体"/>
          <w:color w:val="auto"/>
          <w:highlight w:val="none"/>
        </w:rPr>
        <w:tab/>
      </w:r>
      <w:r>
        <w:rPr>
          <w:rFonts w:hint="eastAsia" w:ascii="宋体"/>
          <w:color w:val="auto"/>
          <w:highlight w:val="none"/>
        </w:rPr>
        <w:t>保险</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18.1 </w:t>
      </w:r>
      <w:r>
        <w:rPr>
          <w:rFonts w:hint="eastAsia" w:ascii="宋体" w:hAnsi="宋体"/>
          <w:color w:val="auto"/>
          <w:szCs w:val="21"/>
          <w:highlight w:val="none"/>
        </w:rPr>
        <w:tab/>
      </w:r>
      <w:r>
        <w:rPr>
          <w:rFonts w:hint="eastAsia" w:ascii="宋体" w:hAnsi="宋体"/>
          <w:color w:val="auto"/>
          <w:szCs w:val="21"/>
          <w:highlight w:val="none"/>
        </w:rPr>
        <w:t>有关保险的总体要求</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在本条中，“保险方”的含义是指根据相关条款的规定投保各种类型的保险并保持其有效的一方。</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当承包人作为保险方时，他应按照发包人批准的承保人及条件办理保险。这些条件应与中标通知书颁发日期前达成的条件保持一致，且此达成一致的条件优先于本条的各项规定。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当发包人作为保险方时，他应按照专用条件后所附详细说明的承保人及条件办理保险。</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某一保险单被要求对联合被投保人进行保障，则该保险应适用于每一单独的被投保人，其效力应和向每一联合被投保人颁发了一张保险单的效力一致。如果某一保险单保障了另外的联合被投保人，即本条款规定的被投保人以外的被投保人，则（i）承包人应代表此类另外的联合被投保人根据保险单行动（发包人代表发包人的人员行动的情况除外），（ii）另外的联合被投保人应无权直接从承保人处获得支付，或者直接与承保人办理任何业务，以及（iii）保险方应要求所有另外的联合被投保人遵循保险单规定的条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为防范损失或损害，对于所办理的每份保险单应规定按照修复损失或损害所需的货币种类进行补偿。从承保人处得到的赔偿金应用于修复和弥补上述损失或损害。</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在投标函附录中规定的各个期限内（从开工日期算起），相应的保险方应向另一方提交：</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本条所述的保险已生效的证明，以及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第18.2款【工程和承包人的设备的保险】和第18.3款【人员伤亡和财产损害的保险】所述的保险单的副本。</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保险方在支付每一笔保险费后，应将支付证明提交给另一方。在提交此类证明或投保单的同时，保险方还应将此类提交事宜通知工程师。</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每一方都应遵守每份保险单规定的条件。保险方应将工程实施过程中发生的任何有关的变动通知给承保人，并确保保险条件与本条的规定一致。</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没有另一方的事先批准，任一方都不得对保险条款作出实质性的变动。如果承保人作出（或欲作出）任何实质性的变动，承保人先行通知的一方应立即通知另一方。</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保险方未能按合同要求办理保险并使之保持有效，或未能按本款要求提供令另一方满意的证明和保险单的副本，则另一方可以（按他自己的决定且不影响任何其他权利或补救的情况下）为此类违约相关的险别办理保险并支付应交的保险费。保险方应向另一方支付此类保险费的款额，同时合同价格应做相应的调整。</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本条规定不限制合同的其余条款或其他文件所规定的承包人或发包人的义务、职责或责任。任何未保险或未能从承保人处收回的款额，应由承包人和（或）发包人根据上述义务、职责或责任相应负担。但是，如果保险方未能按合同要求办理保险并使之保持有效（且该保险是可以办理的），并且另一方没有批准将其作为一项工作的删减，也没有为此类违约相关的险别办理保险，则任何通过此类保险本可收回的款项应由保险方支付给另一方。</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一方向另一方进行的支付必须遵循第2.5款【发包人的索赔】或第20.1款【承包人的索赔】（如适用）的规定。</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18.2 </w:t>
      </w:r>
      <w:r>
        <w:rPr>
          <w:rFonts w:hint="eastAsia" w:ascii="宋体" w:hAnsi="宋体"/>
          <w:color w:val="auto"/>
          <w:szCs w:val="21"/>
          <w:highlight w:val="none"/>
        </w:rPr>
        <w:tab/>
      </w:r>
      <w:r>
        <w:rPr>
          <w:rFonts w:hint="eastAsia" w:ascii="宋体" w:hAnsi="宋体"/>
          <w:color w:val="auto"/>
          <w:szCs w:val="21"/>
          <w:highlight w:val="none"/>
        </w:rPr>
        <w:t>工程和承包人的设备的保险</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保险方应为工程、永久设备、材料以及承包人的文件投保，该保险的最低限额应不少于全部复原成本，包括补偿拆除和移走废弃物以及专业服务费和利润。此类保险应自根据第18.1款【有关保险的总体要求】提交证明之日起，至颁发工程的接收证书之日止保持有效。</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对于颁发接收证书前发生的由承包人负责的原因以及承包人在进行任何其他作业（包括第11条【缺陷责任】所规定的作业）过程中造成的损失或损坏，保险方应将此类保险的有效期延至履约证书颁发的日期。</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保险方应为承包人的设备投保，该保险的最低限额应不少于全部重置价值（包括运至现场）。对于每项承包人的设备，该保险应保证其运往现场的过程中以及设备停留在现场或附近期间，均处于被保险之中，直至不再将其作为承包人的设备使用为止。</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除非专用条件中另有规定，否则本款规定的保险：</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应由承包人作为保险方办理并使之保持有效，</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应以合同双方联合的名义投保，联合的合同双方均有权从承保人处得到支付，仅为修复损失或损害的目的，该支付的款额由合同双方共同占有或在各方间进行分配，</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（c） 应补偿除第17.3款【发包人的风险】所列发包人的风险之外的任何原因所导致的所有损失和损害，</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（d） 还应补偿由于发包人使用或占用工程的另一部分而对工程的某一部分造成的损失或损害，以及第17.3款【发包人的风险】（c）、（g）及（h）段所列发包人的风险所导致的损失或损害（对于每种情况，不包括那些根据商业合理条款不能进行保险的风险），每次发生事故的扣减不大于投标函附录中注明的款额（如果没有注明此类款额，（d）段将不适用），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（e） 将不包括下述情况导致的损失、损害，以及将其恢复原状：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(i)工程的某一部分由于其设计、材料或工艺的缺陷而处于不完善的状态（但是保险应包括直接由此类不完善的状态（下述（ii）段中的情况除外）导致的工程的任何其他部分的损失和损害），</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(ii)工程的某一部分所遭受的损失或损害是为了修复工程的任何其他部分所致，而此类其他部分由于其设计、材料或工艺的缺陷而处于不完善的状态，</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(iii) 工程的某一部分已移交给发包人，但承包人负责的损失或损害除外，以及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(iv)根据第14.5款【用于永久工程的永久设备和材料】，货物还未运抵工程所在国时。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在基准日期后超过一年时间，上述（d）段所述保险由于商业合理条件而无法再获得，则承包人（作为保险方）应通知发包人，并提交详细证明文件。发包人应该随即（i）有权根据第2.5款【发包人的索赔】，获得款额与此类商业合理条件相等的支付，作为承包人为此类保险本应作出的支付，以及（ii）被认为（除非他依据商业合理条件办理了保险）已经根据第18.1款【有关保险的总体要求】，批准了此类工作的删减。</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18.3 </w:t>
      </w:r>
      <w:r>
        <w:rPr>
          <w:rFonts w:hint="eastAsia" w:ascii="宋体" w:hAnsi="宋体"/>
          <w:color w:val="auto"/>
          <w:szCs w:val="21"/>
          <w:highlight w:val="none"/>
        </w:rPr>
        <w:tab/>
      </w:r>
      <w:r>
        <w:rPr>
          <w:rFonts w:hint="eastAsia" w:ascii="宋体" w:hAnsi="宋体"/>
          <w:color w:val="auto"/>
          <w:szCs w:val="21"/>
          <w:highlight w:val="none"/>
        </w:rPr>
        <w:t>人员伤亡和财产损害的保险</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保险方应为履行合同引起的，并在履约证书颁发之前发生的任何物资财产（第18.2款【工程和承包人的设备的保险】的规定被投保的物品除外）的损失或损害，或任何人员（根据第18.4款【承包人人员的保险】规定的被投保的人员除外）的伤亡引起的每一方的责任办理保险。</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该保险每一次事故的最低限额应不少于投标函附录中规定的数额，对于事故的数目并无限制。如果在投标函附录中没有注明此类金额，则本款将不再适用。</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除非专用条件中另有规定，本款中规定的保险：</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应由承包人作为保险方办理并使之保持有效，</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应以合同双方联合的名义投保，</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（c） 应保证弥补由于承包人履行合同而导致的发包人的财产的一切损失和损害（根据第18.2款的规定被投保的物品除外），以及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（d） 不承保下述情况引起的责任：</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(i)发包人有权在任何土地上，越过该土地，在该土地之下、之内或穿过其间实施永久工程，并为永久工程占有该土地，</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(ii)承包人履行实施工程并修补缺陷而导致的无法避免的损害，以及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 (iii) 第17.3款【发包人的风险】所列发包人的风险所导致的情况，根据商业合理条件可以投保的除外。</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18.4 </w:t>
      </w:r>
      <w:r>
        <w:rPr>
          <w:rFonts w:hint="eastAsia" w:ascii="宋体" w:hAnsi="宋体"/>
          <w:color w:val="auto"/>
          <w:szCs w:val="21"/>
          <w:highlight w:val="none"/>
        </w:rPr>
        <w:tab/>
      </w:r>
      <w:r>
        <w:rPr>
          <w:rFonts w:hint="eastAsia" w:ascii="宋体" w:hAnsi="宋体"/>
          <w:color w:val="auto"/>
          <w:szCs w:val="21"/>
          <w:highlight w:val="none"/>
        </w:rPr>
        <w:t>承包人的人员的保险</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承包人应为由于承包人或任何其他承包人的人员雇用的任何人员的伤害、疾病、病疫或死亡所导致的一切索赔、损害、损失和开支（包括法律费用和开支）的责任投保，并使之保持有效。</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发包人和工程师也应能够依此保险单得到保障，但此类保险不承保由发包人或发包人的人员的任何行为或疏忽造成的损失和索赔。</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该保险此类人员协助实施工程的整个期间都要保持完全有效。对于分包商的雇员，此类保险可由分包商来办理，但承包人应负责使分包商遵循本条的要求。</w:t>
      </w: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rPr>
        <w:t>19.</w:t>
      </w:r>
      <w:r>
        <w:rPr>
          <w:rFonts w:hint="eastAsia" w:ascii="宋体"/>
          <w:color w:val="auto"/>
          <w:highlight w:val="none"/>
        </w:rPr>
        <w:tab/>
      </w:r>
      <w:r>
        <w:rPr>
          <w:rFonts w:hint="eastAsia" w:ascii="宋体"/>
          <w:color w:val="auto"/>
          <w:highlight w:val="none"/>
        </w:rPr>
        <w:t>不可抗力</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19.1 </w:t>
      </w:r>
      <w:r>
        <w:rPr>
          <w:rFonts w:hint="eastAsia" w:ascii="宋体" w:hAnsi="宋体"/>
          <w:color w:val="auto"/>
          <w:szCs w:val="21"/>
          <w:highlight w:val="none"/>
        </w:rPr>
        <w:tab/>
      </w:r>
      <w:r>
        <w:rPr>
          <w:rFonts w:hint="eastAsia" w:ascii="宋体" w:hAnsi="宋体"/>
          <w:color w:val="auto"/>
          <w:szCs w:val="21"/>
          <w:highlight w:val="none"/>
        </w:rPr>
        <w:t>不可抗力的定义</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在本条中，“不可抗力”的含义是指如下所述的特殊事件或情况：</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一方无法控制的，</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在签订合同前该方无法合理防范的，</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（c） 情况发生时，该方无法合理回避或克服的，以及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（d） 主要不是由于另一方造成的。</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只要满足上述（a）至（d）段所述的条件，不可抗力可包括（但不限于）下列特殊事件或情况：</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（i） 战争、敌对行动（不论宣战与否）、入侵、外敌行动，</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（ii） 叛乱、恐怖活动、革命、暴动、军事政变或篡夺政权，或内战，</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（iii） 暴乱、骚乱、混乱、罢工或停业，完全局限于承包人的人员以及承包人和分包商的其它雇员中间的事件除外，</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（iv） 军火，炸药，离子辐射或放射性污染，由于承包人使用此类军火，炸药，辐射或放射性的情况除外，</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（v） 自然灾害，如地震、飓风、台风或火山爆发。</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19.2 </w:t>
      </w:r>
      <w:r>
        <w:rPr>
          <w:rFonts w:hint="eastAsia" w:ascii="宋体" w:hAnsi="宋体"/>
          <w:color w:val="auto"/>
          <w:szCs w:val="21"/>
          <w:highlight w:val="none"/>
        </w:rPr>
        <w:tab/>
      </w:r>
      <w:r>
        <w:rPr>
          <w:rFonts w:hint="eastAsia" w:ascii="宋体" w:hAnsi="宋体"/>
          <w:color w:val="auto"/>
          <w:szCs w:val="21"/>
          <w:highlight w:val="none"/>
        </w:rPr>
        <w:t>不可抗力的通知</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由于不可抗力，一方已经或将要无法依据合同履行他的任何义务，则该方应将构成不可抗力的事件或情况通知另一方，并具体说明已经无法或将要无法履行的义务、工作。该方应在注意到（或应该开始注意到）构成不可抗力的相应事件或情况发生后14天内发出通知。</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在发出通知后，该方应在此类不可抗力持续期间免除此类义务的履行。</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不论本条中其它款作何规定，不可抗力的规定不适用于任一方依据合同向另一方进行支付的义务。</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19.3 </w:t>
      </w:r>
      <w:r>
        <w:rPr>
          <w:rFonts w:hint="eastAsia" w:ascii="宋体" w:hAnsi="宋体"/>
          <w:color w:val="auto"/>
          <w:szCs w:val="21"/>
          <w:highlight w:val="none"/>
        </w:rPr>
        <w:tab/>
      </w:r>
      <w:r>
        <w:rPr>
          <w:rFonts w:hint="eastAsia" w:ascii="宋体" w:hAnsi="宋体"/>
          <w:color w:val="auto"/>
          <w:szCs w:val="21"/>
          <w:highlight w:val="none"/>
        </w:rPr>
        <w:t>减少延误的责任</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只要合理，自始至终，每一方都应尽力履行合同规定的义务，以减少由于不可抗力导致的任何延误。</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当不可抗力的影响终止时，一方应通知另一方。</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19.4 </w:t>
      </w:r>
      <w:r>
        <w:rPr>
          <w:rFonts w:hint="eastAsia" w:ascii="宋体" w:hAnsi="宋体"/>
          <w:color w:val="auto"/>
          <w:szCs w:val="21"/>
          <w:highlight w:val="none"/>
        </w:rPr>
        <w:tab/>
      </w:r>
      <w:r>
        <w:rPr>
          <w:rFonts w:hint="eastAsia" w:ascii="宋体" w:hAnsi="宋体"/>
          <w:color w:val="auto"/>
          <w:szCs w:val="21"/>
          <w:highlight w:val="none"/>
        </w:rPr>
        <w:t>不可抗力引起的后果</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由于不可抗力，承包人无法依据合同履行他的任何义务，而且已经根据第19.2款【不可抗力的通知】，发出了相应的通知，并且由于承包人无法履行此类义务而使其遭受工期的延误和（或）费用的增加，则根据第20.1款【承包人的索赔】，承包人有权：</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根据第8.4款【竣工时间的延长】的规定，就任何此类延误获得延长的工期，如果竣工时间已经（或将要）被延误，以及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获得任何此类费用的支付款额，如果发生了如第19.1款【不可抗力的定义】中（i）至(iv)段所描述的事件或情况，以及如果在工程所在国发生了如（ii）至(iv)段中所述的事件或情况。</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在收到此类通知后，工程师应根据第3.5款【决定】对上述事宜表示同意或作出决定。</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19.5 </w:t>
      </w:r>
      <w:r>
        <w:rPr>
          <w:rFonts w:hint="eastAsia" w:ascii="宋体" w:hAnsi="宋体"/>
          <w:color w:val="auto"/>
          <w:szCs w:val="21"/>
          <w:highlight w:val="none"/>
        </w:rPr>
        <w:tab/>
      </w:r>
      <w:r>
        <w:rPr>
          <w:rFonts w:hint="eastAsia" w:ascii="宋体" w:hAnsi="宋体"/>
          <w:color w:val="auto"/>
          <w:szCs w:val="21"/>
          <w:highlight w:val="none"/>
        </w:rPr>
        <w:t>不可抗力对分包商的影响</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根据有关工程的任何合同或协议，分包商有权在附加的或超出本款规定范围之外的不可抗力发生时解除其义务，则在此类附加的或超出的不可抗力事件或情况发生时，承包人应继续工作，且他无权根据本款解除其履约义务。</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19.6 </w:t>
      </w:r>
      <w:r>
        <w:rPr>
          <w:rFonts w:hint="eastAsia" w:ascii="宋体" w:hAnsi="宋体"/>
          <w:color w:val="auto"/>
          <w:szCs w:val="21"/>
          <w:highlight w:val="none"/>
        </w:rPr>
        <w:tab/>
      </w:r>
      <w:r>
        <w:rPr>
          <w:rFonts w:hint="eastAsia" w:ascii="宋体" w:hAnsi="宋体"/>
          <w:color w:val="auto"/>
          <w:szCs w:val="21"/>
          <w:highlight w:val="none"/>
        </w:rPr>
        <w:t>可选择的终止、支付和返回</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由于不可抗力，导致整个工程的施工无法进行已经持续了84天，且已根据第19.2款【不可抗力的通知】发出了相应的通知，或如果由于同样原因停工时间的总和已经超过了140天，则任一方可向另一方发出终止合同的通知。在这种情况下，合同将在通知发出后7天终止，同时承包人应按照第16.3款【停止工作及承包人的设备的撤离】的规定执行。</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一旦发生此类终止，工程师应决定已完成的工作的价值，并颁发包括下列内容的支付证书：</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已完成的且其价格在合同中有规定的任何工作的应付款额；</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为工程订购的，且已交付给承包人或承包人有责任去接受交货的永久设备和材料的费用：当发包人为之付款后，此类永久设备和材料应成为发包人的财产（发包人亦为之承担风险），并且承包人应将此类永久设备和材料交由发包人处置；</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（c） 为完成整个工程，承包人在某些情况合理导致的任何其他费用或负债；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（d） 将临时工程和承包人的设备撤离现场并运回承包人本国设备基地的合理费用（或运回其他目的地的费用，但不能超过运回本国基地的费用）；以及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（e） 在合同终止日期将完全是为工程雇用的承包人的职员和劳工遣返回国的费用。</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19.7 </w:t>
      </w:r>
      <w:r>
        <w:rPr>
          <w:rFonts w:hint="eastAsia" w:ascii="宋体" w:hAnsi="宋体"/>
          <w:color w:val="auto"/>
          <w:szCs w:val="21"/>
          <w:highlight w:val="none"/>
        </w:rPr>
        <w:tab/>
      </w:r>
      <w:r>
        <w:rPr>
          <w:rFonts w:hint="eastAsia" w:ascii="宋体" w:hAnsi="宋体"/>
          <w:color w:val="auto"/>
          <w:szCs w:val="21"/>
          <w:highlight w:val="none"/>
        </w:rPr>
        <w:t>根据法律解除履约</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除非本条另有规定，如果合同双方无法控制的任何事件或情况（包括，但不限于不可抗力）的发生使任一方（或合同双方）履行他（或他们）的合同义务已变为不可能或非法，或者根据本合同适用的法律，合同双方均被解除进一步的履约，那么在任一方向另一方发出此类事件或情况的通知的条件下：</w:t>
      </w:r>
    </w:p>
    <w:p>
      <w:pPr>
        <w:pStyle w:val="17"/>
        <w:spacing w:after="0"/>
        <w:ind w:left="0" w:leftChars="0"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（a） 合同双方应被解除进一步的履约，但是不影响由于任何以前的违约任一方享有的权利，以及</w:t>
      </w:r>
      <w:r>
        <w:rPr>
          <w:rFonts w:hint="eastAsia" w:ascii="宋体" w:hAnsi="宋体"/>
          <w:color w:val="auto"/>
          <w:szCs w:val="21"/>
          <w:highlight w:val="none"/>
          <w:u w:val="single"/>
          <w:lang w:val="en-US" w:eastAsia="zh-CN"/>
        </w:rPr>
        <w:t xml:space="preserve">  /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如果合同是依据第19.6款的规定终止的，发包人支付给承包人的金额应与根据第19.6款【可选择的终止、支付和返回】终止合同时支付给承包人的金额相同。</w:t>
      </w: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rPr>
        <w:t>20.</w:t>
      </w:r>
      <w:r>
        <w:rPr>
          <w:rFonts w:hint="eastAsia" w:ascii="宋体"/>
          <w:color w:val="auto"/>
          <w:highlight w:val="none"/>
        </w:rPr>
        <w:tab/>
      </w:r>
      <w:r>
        <w:rPr>
          <w:rFonts w:hint="eastAsia" w:ascii="宋体"/>
          <w:color w:val="auto"/>
          <w:highlight w:val="none"/>
        </w:rPr>
        <w:t>索赔、争端和仲裁</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olor w:val="auto"/>
          <w:szCs w:val="21"/>
          <w:highlight w:val="none"/>
        </w:rPr>
        <w:tab/>
      </w:r>
      <w:r>
        <w:rPr>
          <w:rFonts w:hint="eastAsia" w:ascii="宋体" w:hAnsi="宋体"/>
          <w:color w:val="auto"/>
          <w:szCs w:val="21"/>
          <w:highlight w:val="none"/>
        </w:rPr>
        <w:t>承包人的索赔</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承包人根据本合同条件的任何条款或参照合同的其他规定，认为他有权获得任何竣工时间的延长和（或）任何附加款项，他应通知工程师，说明引起索赔的事件或情况。该通知应尽快发出，并应不迟于承包人开始注意到或应该开始注意到这种事件或情况之后28天。</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如果承包人未能在28天内发出索赔通知，竣工时间将不被延长，承包人将无权得到附加款项，并且发包人将被解除有关索赔的一切责任。否则本款以下规定应适用。</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承包人还应提交一切与此类事件或情况有关的任何其他通知（如果合同要求），以及索赔的详细证明报告。</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在现场或工程师可接受的另一地点保持用以证明任何索赔可能需要的同期记录。工程师在收到根据本款发出的上述通知后，在不必事先承认发包人责任的情况下，监督此类记录的进行，并（或）可指示承包人保持进一步的同期记录。承包人应允许工程师审查所有此类记录，并应向工程师提供复印件（如果工程师指示的话）。</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承包人开始注意到，或应该开始注意到，引起索赔的事件或情况之日起42天内，或在承包人可能建议且由工程师批准的此类其他时间内，承包人应向工程师提交一份足够详细的索赔，包括一份完整的证明报告，详细说明索赔的依据以及索赔的工期和（或）索赔的金额。如果引起索赔的事件或情况具有连续影响：</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该全面详细的索赔应被认为是临时的；</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承包人应该按月提交进一步的临时索赔，说明累计索赔工期和（或）索赔款额，以及工程师可能合理要求的此类进一步的详细报告；以及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（c） 在索赔事件所产生的影响结束后的28天内（或在承包人可能建议且由工程师批准的此类其他时间内），承包人应提交一份最终索赔报告。</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收到索赔报告或该索赔的任何进一步的详细证明报告后42天内（或在工程师可能建议且由承包人批准的此类其他时间内），工程师应表示批准或不批准，不批准时要给予详细的评价。他可能会要求任何必要的进一步的详细报告，但他应在这段时间内就索赔的原则作出反应。</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每一份支付证明应将根据相关合同条款应支付并已被合理证实的此类索赔金额纳入其中。如果承包人提供的详细报告不足以证明全部的索赔，则承包人仅有权得到已被证实的那部分索赔。</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工程师应根据第3.5款【决定】，表示同意或作出决定：（i）根据第8.4款【竣工时间的延长】的规定延长竣工时间（在其终止时间之前或之后）（如果有的话），以及（或者）（ii）根据合同承包人有权获得的附加款项（如果有的话）。</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除本款的规定外，还有许多其他条款适用于索赔。如果承包人未能遵循本款或其他有关索赔的条款的规定，则在决定竣工时间的延长和（或）额外款项时，要考虑这种未遵循（如果有的话）已妨碍或影响索赔调查的程度，除非根据本款第二段该索赔已被排除。</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20.2 </w:t>
      </w:r>
      <w:r>
        <w:rPr>
          <w:rFonts w:hint="eastAsia" w:ascii="宋体" w:hAnsi="宋体"/>
          <w:color w:val="auto"/>
          <w:szCs w:val="21"/>
          <w:highlight w:val="none"/>
        </w:rPr>
        <w:tab/>
      </w:r>
      <w:r>
        <w:rPr>
          <w:rFonts w:hint="eastAsia" w:ascii="宋体" w:hAnsi="宋体"/>
          <w:color w:val="auto"/>
          <w:szCs w:val="21"/>
          <w:highlight w:val="none"/>
        </w:rPr>
        <w:t>争端裁决委员会的委任</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争端应由争端裁决委员会根据第20.4款【获得争端裁决委员会的决定】进行裁决。合同双方应在投标函附录规定的日期内，共同任命一争端裁决委员会。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该争端裁决委员会应由具有恰当资格的成员组成，成员的数目可为一名或三名（“成员”），具体情况按投标函附录中的规定。如果投标函附录中没有注明成员的数目，且合同双方没有其他的协议，则争端裁决委员会应包含三名成员。</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如果争端裁决委员会由三名成员组成，则合同每一方应提名一位成员，由对方批准。合同双方应与这两名成员协商，并应商定第三位成员（作为主席）。</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但是，如果合同中包含了意向性成员的名单，则成员应从该名单中选出，除非他不能或不愿接受争端裁决委员会的任命。</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合同双方与唯一的成员（“裁决人”）或三个成员中的每一个人的协议书（包括各方之间达成的此类修正）应编入附在通用条件后的争端裁决协议书的通用条件中。</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关于唯一成员或三个成员中的每一个人（包括争端裁决委员会向其征求建议的任何专家）的报酬的支付条件，应由合同双方在协商上述任命条件时共同商定。每一方应负责支付此类酬金的一半。</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在合同双方同意的任何时候，他们可以共同将事宜提交给争端裁决委员会，使其给出意见。没有另一方的同意，任一方不得就任何事宜向争端裁决委员会征求建议。</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合同双方同意的任何时候，他们可以任命一合格人选（或多个合格人选）替代（或备有人选替代）争端裁决委员会的任何一个或多个成员。除非合同双方另有协议，只要某一成员拒绝履行其职责或由于死亡、伤残、辞职或其委任终止而不能尽其职责，该任命即告生效。</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如果发生了上述情况，而没有可替换的人员，委任替换人员的方式与本款中规定的任命或商定被替换人员的方式相同。</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任何成员的委任只有在合同双方同意的情况下才能终止，发包人或承包人各自的行动将不能终止此类委任。除非双方另有协议，在第14.12款【结清单】提及的结清单单即将生效时，争端裁决委员会（包括每一个成员）的任期即告期满。</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20.3 </w:t>
      </w:r>
      <w:r>
        <w:rPr>
          <w:rFonts w:hint="eastAsia" w:ascii="宋体" w:hAnsi="宋体"/>
          <w:color w:val="auto"/>
          <w:szCs w:val="21"/>
          <w:highlight w:val="none"/>
        </w:rPr>
        <w:tab/>
      </w:r>
      <w:r>
        <w:rPr>
          <w:rFonts w:hint="eastAsia" w:ascii="宋体" w:hAnsi="宋体"/>
          <w:color w:val="auto"/>
          <w:szCs w:val="21"/>
          <w:highlight w:val="none"/>
        </w:rPr>
        <w:t>未能同意争端裁决委员会的委任</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如果下列条件中任一条件适用，即：</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合同双方未能在第20.2款第一段说明的日期就争端裁决委员会的唯一成员的委任达成一致意见，</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合同中任一方未能在此日期，为由三名成员组成的争端裁决委员会提名一名人员（可为另一方接受的），</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（c） 合同双方未能在此日期，就第三位成员（担任主席）的委任达成一致意见，或者</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（d） 合同双方在唯一成员或三名成员中的一名成员拒绝履行其职责，或由于死亡、伤残、辞职或其委任终止而不能尽其职责之日后42天内，未能就替代人选的任命达成一致意见，</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则专用条件中指定的机构或官方应根据合同一方或双方的要求，并在与合同双方适当协商后，提名该争端裁决委员会成员。该任命应是最终的和具有决定性的。每一方应负责支付该指定的机构或官方的酬金的一半。</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20.4 </w:t>
      </w:r>
      <w:r>
        <w:rPr>
          <w:rFonts w:hint="eastAsia" w:ascii="宋体" w:hAnsi="宋体"/>
          <w:color w:val="auto"/>
          <w:szCs w:val="21"/>
          <w:highlight w:val="none"/>
        </w:rPr>
        <w:tab/>
      </w:r>
      <w:r>
        <w:rPr>
          <w:rFonts w:hint="eastAsia" w:ascii="宋体" w:hAnsi="宋体"/>
          <w:color w:val="auto"/>
          <w:szCs w:val="21"/>
          <w:highlight w:val="none"/>
        </w:rPr>
        <w:t>获得争端裁决委员会的决定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在合同双方之间产生起因于合同或实施过程或与之相关的任何争端（任何种类），包括对工程师的任何证书的签发、决定、指示、意见或估价的任何争端，任一方可以将此类争端事宜以书面形式提交争端裁决委员会，供其裁定，并将副本送交另一方和工程师。应说明争端的提交是根据本款作出的。</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对于由三名成员组成的争端裁决委员会，当争端裁决委员会的主席收到此类提交时即认为争端裁决委员会收到了此类提交。</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合同双方应立即向争端裁决委员会提供为对此类争端进行裁决的目的而可能要求的所有此类附加资料、进一步的现场通道和适当的设施。争端裁决委员不应被视为作为仲裁人。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争端裁决委员会收到上述争端事宜的提交后84天内，或在争端裁决委员会建议并由双方批准的此类其他时间内，争端裁决委员会应作出决定，该决定应是合理的，并应声明该决定是根据本款作出的。该决定对双方都有约束力，合同双方应立即执行争端裁决委员会作出的每项决定，除非此类决定按下文规定在友好解决或仲裁裁决中得以修改。除非合同已被放弃、撤消或终止，否则承包人应继续按照合同实施工程。</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合同双方中任一方对争端裁决委员会的裁决不满意，则他可在收到该决定的通知后第28天内或此前将其不满通知对方。如果争端裁决委员会未能在其收到此类不满通知后84天（或其他批准的时间）内作出决定，那么合同双方中的任一方均可在上述期限期满后28天之内将其不满通知对方。</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在上述任一情况下，表示不满的通知应说明是根据本款发出的，且该通知应指明争端事宜及不满的理由。除非依据本款发出此类通知，否则将不能对争端进行仲裁，但第20.7款【未能遵守争端裁决委员会的决定】和第20.8款【争端裁决委员会的委任期满】所述的情况除外。任何一方若未按本款发出表示不满的通知，均无权就该争端要求开始仲裁。</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如果争端裁决委员会已将其对争端作出的决定通知了合同双方，而双方中的任一方在收到争端裁决委员会的决定的第28天或此前未将其不满事宜通知对方，则该决定应被视为最终决定并对合同双方均具有约束力。</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20.5 </w:t>
      </w:r>
      <w:r>
        <w:rPr>
          <w:rFonts w:hint="eastAsia" w:ascii="宋体" w:hAnsi="宋体"/>
          <w:color w:val="auto"/>
          <w:szCs w:val="21"/>
          <w:highlight w:val="none"/>
        </w:rPr>
        <w:tab/>
      </w:r>
      <w:r>
        <w:rPr>
          <w:rFonts w:hint="eastAsia" w:ascii="宋体" w:hAnsi="宋体"/>
          <w:color w:val="auto"/>
          <w:szCs w:val="21"/>
          <w:highlight w:val="none"/>
        </w:rPr>
        <w:t>友好解决</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按上述第20.4款规定已发出表示不满的通知后，合同双方在仲裁开始前应尽力以友好的方式解决争端。规定，除非合同双方另有协议，否则，仲裁将在表示不满的通知发出后第56天或此后开始，即使双方未曾作过友好解决的努力。</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20.6 </w:t>
      </w:r>
      <w:r>
        <w:rPr>
          <w:rFonts w:hint="eastAsia" w:ascii="宋体" w:hAnsi="宋体"/>
          <w:color w:val="auto"/>
          <w:szCs w:val="21"/>
          <w:highlight w:val="none"/>
        </w:rPr>
        <w:tab/>
      </w:r>
      <w:r>
        <w:rPr>
          <w:rFonts w:hint="eastAsia" w:ascii="宋体" w:hAnsi="宋体"/>
          <w:color w:val="auto"/>
          <w:szCs w:val="21"/>
          <w:highlight w:val="none"/>
        </w:rPr>
        <w:t>仲裁</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除非通过友好解决，否则如果争端裁决委员会有关争端的决定（如有时）未能成为最终决定并具有约束力，那么此类争端应由国际仲裁机构最终裁决。除非合同双方另有协议，否则：</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该争端应根据国际商会的仲裁规则被最终解决，</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该争端应由按本规则指定的三位仲裁人裁决，以及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（c） 该仲裁应以第1.4款【法律和语言】规定的日常交流语言作为仲裁语言。</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仲裁人应有全权公开、审查和修改工程师的任何证书的签发、决定、指示、意见或估价，以及任何争端裁决委员会有关争端事宜的决定。无论如何，工程师都不会失去被作为证人以及向仲裁人提供任何与争端有关的证据的资格。</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合同双方的任一方在上述仲裁人的仲裁过程中均不受以前为取得争端裁决委员会的决定而提供的证据或论据或其不满意通知中提出的不满理由的限制。在仲裁过程中，可将争端裁决委员会的决定作为一项证据。</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工程竣工之前或之后均可开始仲裁。但在工程进行过程中，合同双方、工程师以及争端裁决委员会的各自义务不得因任何仲裁正在进行而改变。</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20.7 </w:t>
      </w:r>
      <w:r>
        <w:rPr>
          <w:rFonts w:hint="eastAsia" w:ascii="宋体" w:hAnsi="宋体"/>
          <w:color w:val="auto"/>
          <w:szCs w:val="21"/>
          <w:highlight w:val="none"/>
        </w:rPr>
        <w:tab/>
      </w:r>
      <w:r>
        <w:rPr>
          <w:rFonts w:hint="eastAsia" w:ascii="宋体" w:hAnsi="宋体"/>
          <w:color w:val="auto"/>
          <w:szCs w:val="21"/>
          <w:highlight w:val="none"/>
        </w:rPr>
        <w:t>未能遵守争端裁决委员会的决定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如果下述情况发生：</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合同双方中的任一方均未在第20.4款【获得争端裁决委员会的决定】规定的期限内向争端裁决委员会发出表示不满的通知，</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该争端裁决委员会的有关决定（如有时）已成为最终决定并且具有约束力，以及</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（c） 合同一方未遵守此类决定，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则合同的另一方在不损害其拥有的其他权利的情况下，可将不执行决定的行为提交第20.6款【仲裁】中规定的仲裁。并且此时，第20.4款【获得争端裁决委员会的决定】和第20.5款【友好解决】的各项规定均不适用。</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20.8 </w:t>
      </w:r>
      <w:r>
        <w:rPr>
          <w:rFonts w:hint="eastAsia" w:ascii="宋体" w:hAnsi="宋体"/>
          <w:color w:val="auto"/>
          <w:szCs w:val="21"/>
          <w:highlight w:val="none"/>
        </w:rPr>
        <w:tab/>
      </w:r>
      <w:r>
        <w:rPr>
          <w:rFonts w:hint="eastAsia" w:ascii="宋体" w:hAnsi="宋体"/>
          <w:color w:val="auto"/>
          <w:szCs w:val="21"/>
          <w:highlight w:val="none"/>
        </w:rPr>
        <w:t>争端裁决委员会的委任期满</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如果合同双方之间产生了起因于或相关于合同或工程的实施过程的某一争端，而此时不存在一个争端裁决委员会（there is no DAB in place）（无论是因为争端裁决委员会的任命已到期还是因为其他原因）：</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第20.4款【获得争端裁决委员会的决定】和第20.5款【友好解决】的各项规定均不适用，以及</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none"/>
          <w:lang w:val="en-US" w:eastAsia="zh-CN"/>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 该争端应根据第20.6款【仲裁】，直接通过仲裁最终解决。</w:t>
      </w:r>
    </w:p>
    <w:p>
      <w:pPr>
        <w:autoSpaceDE w:val="0"/>
        <w:autoSpaceDN w:val="0"/>
        <w:adjustRightInd w:val="0"/>
        <w:rPr>
          <w:rFonts w:hint="eastAsia" w:ascii="宋体" w:hAnsi="宋体"/>
          <w:color w:val="auto"/>
          <w:szCs w:val="21"/>
          <w:highlight w:val="none"/>
        </w:rPr>
      </w:pPr>
    </w:p>
    <w:p>
      <w:pPr>
        <w:pStyle w:val="2"/>
        <w:pageBreakBefore/>
        <w:widowControl/>
        <w:spacing w:before="0" w:after="0" w:line="240" w:lineRule="auto"/>
        <w:ind w:firstLine="422" w:firstLineChars="200"/>
        <w:jc w:val="center"/>
        <w:rPr>
          <w:rFonts w:ascii="宋体" w:hAnsi="宋体" w:eastAsia="宋体"/>
          <w:color w:val="auto"/>
          <w:sz w:val="21"/>
          <w:szCs w:val="21"/>
          <w:highlight w:val="none"/>
        </w:rPr>
      </w:pPr>
      <w:bookmarkStart w:id="2147" w:name="_Toc20644922"/>
      <w:bookmarkStart w:id="2148" w:name="_Toc296719073"/>
      <w:bookmarkStart w:id="2149" w:name="_Toc244412952"/>
      <w:r>
        <w:rPr>
          <w:rFonts w:hint="eastAsia" w:ascii="宋体" w:hAnsi="宋体" w:eastAsia="宋体"/>
          <w:color w:val="auto"/>
          <w:sz w:val="21"/>
          <w:szCs w:val="21"/>
          <w:highlight w:val="none"/>
        </w:rPr>
        <w:t xml:space="preserve">第三节 </w:t>
      </w:r>
      <w:r>
        <w:rPr>
          <w:rFonts w:hint="eastAsia" w:ascii="宋体" w:hAnsi="宋体" w:eastAsia="宋体" w:cs="宋体"/>
          <w:color w:val="auto"/>
          <w:sz w:val="21"/>
          <w:szCs w:val="21"/>
          <w:highlight w:val="none"/>
        </w:rPr>
        <w:t>专用合同条款</w:t>
      </w:r>
      <w:bookmarkEnd w:id="2147"/>
      <w:bookmarkEnd w:id="2148"/>
      <w:bookmarkEnd w:id="2149"/>
    </w:p>
    <w:p>
      <w:pPr>
        <w:pStyle w:val="17"/>
        <w:spacing w:after="0"/>
        <w:ind w:left="0" w:leftChars="0" w:firstLine="420" w:firstLineChars="200"/>
        <w:rPr>
          <w:rFonts w:hint="eastAsia" w:ascii="宋体" w:hAnsi="宋体"/>
          <w:color w:val="auto"/>
          <w:szCs w:val="21"/>
          <w:highlight w:val="none"/>
        </w:rPr>
      </w:pP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以下专用合同条款将作为通用条款的补充，当两者出现矛盾时，专用合同条款的优先级高于通用条款。与通用条款对应的附加条款用括号标示。</w:t>
      </w:r>
    </w:p>
    <w:p>
      <w:pPr>
        <w:pStyle w:val="17"/>
        <w:spacing w:after="0"/>
        <w:ind w:left="0" w:leftChars="0" w:firstLine="420" w:firstLineChars="200"/>
        <w:outlineLvl w:val="2"/>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rPr>
        <w:tab/>
      </w:r>
      <w:r>
        <w:rPr>
          <w:rFonts w:hint="eastAsia" w:ascii="宋体" w:hAnsi="宋体"/>
          <w:color w:val="auto"/>
          <w:szCs w:val="21"/>
          <w:highlight w:val="none"/>
        </w:rPr>
        <w:t>一般规定</w:t>
      </w:r>
    </w:p>
    <w:p>
      <w:pPr>
        <w:pStyle w:val="17"/>
        <w:spacing w:after="0"/>
        <w:ind w:left="0" w:leftChars="0" w:firstLine="420" w:firstLineChars="200"/>
        <w:outlineLvl w:val="3"/>
        <w:rPr>
          <w:rFonts w:ascii="宋体" w:hAnsi="宋体"/>
          <w:color w:val="auto"/>
          <w:szCs w:val="21"/>
          <w:highlight w:val="none"/>
        </w:rPr>
      </w:pPr>
      <w:r>
        <w:rPr>
          <w:rFonts w:ascii="宋体" w:hAnsi="宋体"/>
          <w:color w:val="auto"/>
          <w:szCs w:val="21"/>
          <w:highlight w:val="none"/>
        </w:rPr>
        <w:t>1.1定义</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1.1.1 合同</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1.1.1.1“</w:t>
      </w:r>
      <w:r>
        <w:rPr>
          <w:rFonts w:hint="eastAsia" w:ascii="宋体" w:hAnsi="宋体"/>
          <w:color w:val="auto"/>
          <w:szCs w:val="21"/>
          <w:highlight w:val="none"/>
        </w:rPr>
        <w:t>合同单价</w:t>
      </w:r>
      <w:r>
        <w:rPr>
          <w:rFonts w:ascii="宋体" w:hAnsi="宋体"/>
          <w:color w:val="auto"/>
          <w:szCs w:val="21"/>
          <w:highlight w:val="none"/>
        </w:rPr>
        <w:t>”</w:t>
      </w:r>
      <w:r>
        <w:rPr>
          <w:rFonts w:hint="eastAsia" w:ascii="宋体" w:hAnsi="宋体"/>
          <w:color w:val="auto"/>
          <w:szCs w:val="21"/>
          <w:highlight w:val="none"/>
        </w:rPr>
        <w:t>是指合同当事人约定以工程量清单及其综合单价进行合同价格计算、调整和确认的建设工程施工合同，在约定的范围内合同单价不作调整。</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1.1.1.2 “</w:t>
      </w:r>
      <w:r>
        <w:rPr>
          <w:rFonts w:hint="eastAsia" w:ascii="宋体" w:hAnsi="宋体"/>
          <w:color w:val="auto"/>
          <w:szCs w:val="21"/>
          <w:highlight w:val="none"/>
        </w:rPr>
        <w:t>合同总价”合同总价是指合同当事人约定以施工图、已标价工程量清单或预算书及有关条件进行合同价格计算、调整和确认的建设工程施工合同</w:t>
      </w:r>
      <w:r>
        <w:rPr>
          <w:rFonts w:hint="eastAsia" w:ascii="宋体" w:hAnsi="宋体"/>
          <w:color w:val="auto"/>
          <w:szCs w:val="21"/>
          <w:highlight w:val="none"/>
          <w:lang w:val="en-US" w:eastAsia="zh-CN"/>
        </w:rPr>
        <w:t>价格</w:t>
      </w:r>
      <w:r>
        <w:rPr>
          <w:rFonts w:hint="eastAsia" w:ascii="宋体" w:hAnsi="宋体"/>
          <w:color w:val="auto"/>
          <w:szCs w:val="21"/>
          <w:highlight w:val="none"/>
        </w:rPr>
        <w:t>，在约定的范围内合同总价不作调整。</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1.1.2 当事各方和当事人</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 xml:space="preserve">1.1.2.1  </w:t>
      </w:r>
      <w:r>
        <w:rPr>
          <w:rFonts w:hint="eastAsia" w:ascii="宋体" w:hAnsi="宋体"/>
          <w:color w:val="auto"/>
          <w:szCs w:val="21"/>
          <w:highlight w:val="none"/>
        </w:rPr>
        <w:t>“总监理工程师”是指由工程师的法定代表人书面授权，全面负责履行本合同、主持项目监理机构工作的注册监理工程师。</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1.1.2.2 “</w:t>
      </w:r>
      <w:r>
        <w:rPr>
          <w:rFonts w:hint="eastAsia" w:ascii="宋体" w:hAnsi="宋体"/>
          <w:color w:val="auto"/>
          <w:szCs w:val="21"/>
          <w:highlight w:val="none"/>
        </w:rPr>
        <w:t>设计单位</w:t>
      </w:r>
      <w:r>
        <w:rPr>
          <w:rFonts w:ascii="宋体" w:hAnsi="宋体"/>
          <w:color w:val="auto"/>
          <w:szCs w:val="21"/>
          <w:highlight w:val="none"/>
        </w:rPr>
        <w:t>”指由</w:t>
      </w:r>
      <w:r>
        <w:rPr>
          <w:rFonts w:hint="eastAsia" w:ascii="宋体" w:hAnsi="宋体"/>
          <w:color w:val="auto"/>
          <w:szCs w:val="21"/>
          <w:highlight w:val="none"/>
        </w:rPr>
        <w:t>发包人</w:t>
      </w:r>
      <w:r>
        <w:rPr>
          <w:rFonts w:ascii="宋体" w:hAnsi="宋体"/>
          <w:color w:val="auto"/>
          <w:szCs w:val="21"/>
          <w:highlight w:val="none"/>
        </w:rPr>
        <w:t>聘请的具有相应资质与能力的负责对本工程实施</w:t>
      </w:r>
      <w:r>
        <w:rPr>
          <w:rFonts w:hint="eastAsia" w:ascii="宋体" w:hAnsi="宋体"/>
          <w:color w:val="auto"/>
          <w:szCs w:val="21"/>
          <w:highlight w:val="none"/>
        </w:rPr>
        <w:t>设计</w:t>
      </w:r>
      <w:r>
        <w:rPr>
          <w:rFonts w:ascii="宋体" w:hAnsi="宋体"/>
          <w:color w:val="auto"/>
          <w:szCs w:val="21"/>
          <w:highlight w:val="none"/>
        </w:rPr>
        <w:t>的当事人。</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1.1.2.3“</w:t>
      </w:r>
      <w:r>
        <w:rPr>
          <w:rFonts w:hint="eastAsia" w:ascii="宋体" w:hAnsi="宋体"/>
          <w:color w:val="auto"/>
          <w:szCs w:val="21"/>
          <w:highlight w:val="none"/>
        </w:rPr>
        <w:t>项目建设单位</w:t>
      </w:r>
      <w:r>
        <w:rPr>
          <w:rFonts w:ascii="宋体" w:hAnsi="宋体"/>
          <w:color w:val="auto"/>
          <w:szCs w:val="21"/>
          <w:highlight w:val="none"/>
        </w:rPr>
        <w:t>”</w:t>
      </w:r>
      <w:r>
        <w:rPr>
          <w:rFonts w:hint="eastAsia" w:ascii="宋体" w:hAnsi="宋体"/>
          <w:color w:val="auto"/>
          <w:szCs w:val="21"/>
          <w:highlight w:val="none"/>
        </w:rPr>
        <w:t>由发包人委托</w:t>
      </w:r>
      <w:r>
        <w:rPr>
          <w:rFonts w:ascii="宋体" w:hAnsi="宋体"/>
          <w:color w:val="auto"/>
          <w:szCs w:val="21"/>
          <w:highlight w:val="none"/>
        </w:rPr>
        <w:t>执行本项目的单位</w:t>
      </w:r>
      <w:r>
        <w:rPr>
          <w:rFonts w:hint="eastAsia" w:ascii="宋体" w:hAnsi="宋体"/>
          <w:color w:val="auto"/>
          <w:szCs w:val="21"/>
          <w:highlight w:val="none"/>
        </w:rPr>
        <w:t>。</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1.1.2.4“</w:t>
      </w:r>
      <w:r>
        <w:rPr>
          <w:rFonts w:hint="eastAsia" w:ascii="宋体" w:hAnsi="宋体"/>
          <w:color w:val="auto"/>
          <w:szCs w:val="21"/>
          <w:highlight w:val="none"/>
        </w:rPr>
        <w:t>业主项目部</w:t>
      </w:r>
      <w:r>
        <w:rPr>
          <w:rFonts w:ascii="宋体" w:hAnsi="宋体"/>
          <w:color w:val="auto"/>
          <w:szCs w:val="21"/>
          <w:highlight w:val="none"/>
        </w:rPr>
        <w:t>”</w:t>
      </w:r>
      <w:r>
        <w:rPr>
          <w:rFonts w:hint="eastAsia" w:ascii="宋体" w:hAnsi="宋体"/>
          <w:color w:val="auto"/>
          <w:szCs w:val="21"/>
          <w:highlight w:val="none"/>
        </w:rPr>
        <w:t>：由项目建设单位组建，代表建设单位开展项目过程管理各项具体工作。</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1.1.2.5“业主项目分部”：由项目建设单位组建，业主项目部统一管理，代表项目部负责开展项目现场现场过程管理的各项具体工作。</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1.1.2.6本合同“工程师”特指本项目的工程监理。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ascii="宋体" w:hAnsi="宋体"/>
          <w:color w:val="auto"/>
          <w:szCs w:val="21"/>
          <w:highlight w:val="none"/>
        </w:rPr>
        <w:t xml:space="preserve"> </w:t>
      </w:r>
      <w:r>
        <w:rPr>
          <w:rFonts w:hint="eastAsia" w:ascii="宋体" w:hAnsi="宋体"/>
          <w:color w:val="auto"/>
          <w:szCs w:val="21"/>
          <w:highlight w:val="none"/>
        </w:rPr>
        <w:t>“法律”是指中华人民共和国法律、行政法规、部门规章，以及工程所在地的地方性法规、自治条例、单行条例和地方政府规章等。</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 xml:space="preserve">3 </w:t>
      </w:r>
      <w:r>
        <w:rPr>
          <w:rFonts w:hint="eastAsia" w:ascii="宋体" w:hAnsi="宋体"/>
          <w:color w:val="auto"/>
          <w:szCs w:val="21"/>
          <w:highlight w:val="none"/>
        </w:rPr>
        <w:t>通讯</w:t>
      </w:r>
      <w:r>
        <w:rPr>
          <w:rFonts w:ascii="宋体" w:hAnsi="宋体"/>
          <w:color w:val="auto"/>
          <w:szCs w:val="21"/>
          <w:highlight w:val="none"/>
        </w:rPr>
        <w:t>联络</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为提高效率，合同各方可在通用合同条款规定的通知方式以外约定一种或几种电子传输方式，如电子信箱。</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合同各方应本着便于和高效履行合同的原则，约定各自的通讯地址。</w:t>
      </w:r>
    </w:p>
    <w:p>
      <w:pPr>
        <w:rPr>
          <w:rFonts w:ascii="宋体" w:hAnsi="宋体"/>
          <w:color w:val="auto"/>
          <w:szCs w:val="21"/>
          <w:highlight w:val="none"/>
        </w:rPr>
      </w:pPr>
      <w:r>
        <w:rPr>
          <w:rFonts w:hint="eastAsia" w:ascii="宋体" w:hAnsi="宋体"/>
          <w:color w:val="auto"/>
          <w:szCs w:val="21"/>
          <w:highlight w:val="none"/>
        </w:rPr>
        <w:t>在经对方同意的情况下，一方可通过电子信箱向对方发送相关文件或其他信息。其中，发包人的电子信箱为：【</w:t>
      </w:r>
      <w:permStart w:id="22" w:edGrp="everyone"/>
      <w:r>
        <w:rPr>
          <w:rFonts w:hint="eastAsia" w:ascii="宋体" w:hAnsi="宋体"/>
          <w:color w:val="auto"/>
          <w:szCs w:val="21"/>
          <w:highlight w:val="none"/>
        </w:rPr>
        <w:t xml:space="preserve"> </w:t>
      </w:r>
      <w:r>
        <w:rPr>
          <w:rFonts w:hint="eastAsia"/>
          <w:color w:val="auto"/>
          <w:highlight w:val="none"/>
          <w:lang w:val="en-US" w:eastAsia="zh-CN"/>
        </w:rPr>
        <w:t xml:space="preserve"> </w:t>
      </w:r>
      <w:sdt>
        <w:sdtPr>
          <w:rPr>
            <w:rFonts w:hint="eastAsia" w:asciiTheme="minorHAnsi" w:hAnsiTheme="minorHAnsi" w:eastAsiaTheme="minorEastAsia" w:cstheme="minorBidi"/>
            <w:color w:val="auto"/>
            <w:kern w:val="2"/>
            <w:sz w:val="21"/>
            <w:szCs w:val="24"/>
            <w:highlight w:val="none"/>
            <w:lang w:val="en-US" w:eastAsia="zh-CN" w:bidi="ar-SA"/>
          </w:rPr>
          <w:alias w:val="甲方联系人电子邮箱"/>
          <w:tag w:val="甲方联系人电子邮箱"/>
          <w:id w:val="147465619"/>
          <w:placeholder>
            <w:docPart w:val="{28e4b38b-5f3c-416c-bd3b-e06ba6f13f03}"/>
          </w:placeholder>
          <w:text/>
        </w:sdtPr>
        <w:sdtEndPr>
          <w:rPr>
            <w:rFonts w:hint="eastAsia" w:asciiTheme="minorHAnsi" w:hAnsiTheme="minorHAnsi" w:eastAsiaTheme="minorEastAsia" w:cstheme="minorBidi"/>
            <w:color w:val="auto"/>
            <w:kern w:val="2"/>
            <w:sz w:val="21"/>
            <w:szCs w:val="24"/>
            <w:highlight w:val="none"/>
            <w:lang w:val="en-US" w:eastAsia="zh-CN" w:bidi="ar-SA"/>
          </w:rPr>
        </w:sdtEndPr>
        <w:sdtContent>
          <w:r>
            <w:rPr>
              <w:rFonts w:hint="eastAsia" w:asciiTheme="minorHAnsi" w:hAnsiTheme="minorHAnsi" w:eastAsiaTheme="minorEastAsia" w:cstheme="minorBidi"/>
              <w:color w:val="auto"/>
              <w:kern w:val="2"/>
              <w:sz w:val="21"/>
              <w:szCs w:val="24"/>
              <w:highlight w:val="none"/>
              <w:lang w:val="en-US" w:eastAsia="zh-CN" w:bidi="ar-SA"/>
            </w:rPr>
            <w:t xml:space="preserve"> </w:t>
          </w:r>
        </w:sdtContent>
      </w:sdt>
      <w:r>
        <w:rPr>
          <w:rFonts w:hint="eastAsia" w:ascii="宋体" w:hAnsi="宋体"/>
          <w:color w:val="auto"/>
          <w:szCs w:val="21"/>
          <w:highlight w:val="none"/>
        </w:rPr>
        <w:t xml:space="preserve">  </w:t>
      </w:r>
      <w:permEnd w:id="22"/>
      <w:r>
        <w:rPr>
          <w:rFonts w:hint="eastAsia" w:ascii="宋体" w:hAnsi="宋体"/>
          <w:color w:val="auto"/>
          <w:szCs w:val="21"/>
          <w:highlight w:val="none"/>
        </w:rPr>
        <w:t>】；承包人的电子信箱为：【</w:t>
      </w:r>
      <w:permStart w:id="23" w:edGrp="everyone"/>
      <w:r>
        <w:rPr>
          <w:rFonts w:hint="eastAsia" w:ascii="宋体" w:hAnsi="宋体"/>
          <w:color w:val="auto"/>
          <w:szCs w:val="21"/>
          <w:highlight w:val="none"/>
        </w:rPr>
        <w:t xml:space="preserve"> </w:t>
      </w:r>
      <w:r>
        <w:rPr>
          <w:rFonts w:hint="eastAsia"/>
          <w:color w:val="auto"/>
          <w:highlight w:val="none"/>
          <w:lang w:val="en-US" w:eastAsia="zh-CN"/>
        </w:rPr>
        <w:t xml:space="preserve"> </w:t>
      </w:r>
      <w:sdt>
        <w:sdtPr>
          <w:rPr>
            <w:rFonts w:hint="eastAsia" w:asciiTheme="minorHAnsi" w:hAnsiTheme="minorHAnsi" w:eastAsiaTheme="minorEastAsia" w:cstheme="minorBidi"/>
            <w:color w:val="auto"/>
            <w:kern w:val="2"/>
            <w:sz w:val="21"/>
            <w:szCs w:val="24"/>
            <w:highlight w:val="none"/>
            <w:lang w:val="en-US" w:eastAsia="zh-CN" w:bidi="ar-SA"/>
          </w:rPr>
          <w:alias w:val="乙方联系人电子邮箱"/>
          <w:tag w:val="乙方联系人电子邮箱"/>
          <w:id w:val="147465619"/>
          <w:placeholder>
            <w:docPart w:val="{b7befd5f-d23a-45c6-bfad-7700d7070bed}"/>
          </w:placeholder>
          <w:text/>
        </w:sdtPr>
        <w:sdtEndPr>
          <w:rPr>
            <w:rFonts w:hint="eastAsia" w:asciiTheme="minorHAnsi" w:hAnsiTheme="minorHAnsi" w:eastAsiaTheme="minorEastAsia" w:cstheme="minorBidi"/>
            <w:color w:val="auto"/>
            <w:kern w:val="2"/>
            <w:sz w:val="21"/>
            <w:szCs w:val="24"/>
            <w:highlight w:val="none"/>
            <w:lang w:val="en-US" w:eastAsia="zh-CN" w:bidi="ar-SA"/>
          </w:rPr>
        </w:sdtEndPr>
        <w:sdtContent>
          <w:r>
            <w:rPr>
              <w:rFonts w:hint="eastAsia" w:asciiTheme="minorHAnsi" w:hAnsiTheme="minorHAnsi" w:eastAsiaTheme="minorEastAsia" w:cstheme="minorBidi"/>
              <w:color w:val="auto"/>
              <w:kern w:val="2"/>
              <w:sz w:val="21"/>
              <w:szCs w:val="24"/>
              <w:highlight w:val="none"/>
              <w:lang w:val="en-US" w:eastAsia="zh-CN" w:bidi="ar-SA"/>
            </w:rPr>
            <w:t xml:space="preserve"> </w:t>
          </w:r>
        </w:sdtContent>
      </w:sdt>
      <w:r>
        <w:rPr>
          <w:rFonts w:hint="eastAsia" w:ascii="宋体" w:hAnsi="宋体"/>
          <w:color w:val="auto"/>
          <w:szCs w:val="21"/>
          <w:highlight w:val="none"/>
        </w:rPr>
        <w:t xml:space="preserve"> </w:t>
      </w:r>
      <w:permEnd w:id="23"/>
      <w:r>
        <w:rPr>
          <w:rFonts w:hint="eastAsia" w:ascii="宋体" w:hAnsi="宋体"/>
          <w:color w:val="auto"/>
          <w:szCs w:val="21"/>
          <w:highlight w:val="none"/>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合同各方在本合同下的通讯地址分别为：</w:t>
      </w:r>
    </w:p>
    <w:p>
      <w:pPr>
        <w:rPr>
          <w:rFonts w:ascii="宋体" w:hAnsi="宋体"/>
          <w:color w:val="auto"/>
          <w:szCs w:val="21"/>
          <w:highlight w:val="none"/>
        </w:rPr>
      </w:pPr>
      <w:permStart w:id="24" w:edGrp="everyone"/>
      <w:r>
        <w:rPr>
          <w:rFonts w:hint="eastAsia" w:ascii="宋体" w:hAnsi="宋体"/>
          <w:color w:val="auto"/>
          <w:szCs w:val="21"/>
          <w:highlight w:val="none"/>
        </w:rPr>
        <w:t xml:space="preserve">发包人： </w:t>
      </w:r>
      <w:r>
        <w:rPr>
          <w:rFonts w:hint="eastAsia"/>
          <w:color w:val="auto"/>
          <w:highlight w:val="none"/>
          <w:lang w:val="en-US" w:eastAsia="zh-CN"/>
        </w:rPr>
        <w:t xml:space="preserve">  </w:t>
      </w:r>
      <w:sdt>
        <w:sdtPr>
          <w:rPr>
            <w:rFonts w:hint="eastAsia" w:asciiTheme="minorHAnsi" w:hAnsiTheme="minorHAnsi" w:eastAsiaTheme="minorEastAsia" w:cstheme="minorBidi"/>
            <w:color w:val="auto"/>
            <w:kern w:val="2"/>
            <w:sz w:val="21"/>
            <w:szCs w:val="24"/>
            <w:highlight w:val="none"/>
            <w:lang w:val="en-US" w:eastAsia="zh-CN" w:bidi="ar-SA"/>
          </w:rPr>
          <w:alias w:val="甲方当事人全称"/>
          <w:tag w:val="甲方当事人全称"/>
          <w:id w:val="147467539"/>
          <w:placeholder>
            <w:docPart w:val="{cf0df3de-5770-4253-ac65-a38d6420304d}"/>
          </w:placeholder>
          <w:text/>
        </w:sdtPr>
        <w:sdtEndPr>
          <w:rPr>
            <w:rFonts w:hint="eastAsia" w:asciiTheme="minorHAnsi" w:hAnsiTheme="minorHAnsi" w:eastAsiaTheme="minorEastAsia" w:cstheme="minorBidi"/>
            <w:color w:val="auto"/>
            <w:kern w:val="2"/>
            <w:sz w:val="21"/>
            <w:szCs w:val="24"/>
            <w:highlight w:val="none"/>
            <w:lang w:val="en-US" w:eastAsia="zh-CN" w:bidi="ar-SA"/>
          </w:rPr>
        </w:sdtEndPr>
        <w:sdtContent>
          <w:r>
            <w:rPr>
              <w:rFonts w:hint="eastAsia" w:asciiTheme="minorHAnsi" w:hAnsiTheme="minorHAnsi" w:eastAsiaTheme="minorEastAsia" w:cstheme="minorBidi"/>
              <w:color w:val="auto"/>
              <w:kern w:val="2"/>
              <w:sz w:val="21"/>
              <w:szCs w:val="24"/>
              <w:highlight w:val="none"/>
              <w:lang w:val="en-US" w:eastAsia="zh-CN" w:bidi="ar-SA"/>
            </w:rPr>
            <w:t xml:space="preserve">  </w:t>
          </w:r>
        </w:sdtContent>
      </w:sdt>
      <w:r>
        <w:rPr>
          <w:rFonts w:hint="eastAsia" w:ascii="宋体" w:hAnsi="宋体"/>
          <w:color w:val="auto"/>
          <w:szCs w:val="21"/>
          <w:highlight w:val="none"/>
        </w:rPr>
        <w:t xml:space="preserve">                     承包人：</w:t>
      </w:r>
      <w:sdt>
        <w:sdtPr>
          <w:rPr>
            <w:rFonts w:hint="eastAsia" w:asciiTheme="minorHAnsi" w:hAnsiTheme="minorHAnsi" w:eastAsiaTheme="minorEastAsia" w:cstheme="minorBidi"/>
            <w:color w:val="auto"/>
            <w:kern w:val="2"/>
            <w:sz w:val="21"/>
            <w:szCs w:val="24"/>
            <w:highlight w:val="none"/>
            <w:lang w:val="en-US" w:eastAsia="zh-CN" w:bidi="ar-SA"/>
          </w:rPr>
          <w:alias w:val="乙方当事人全称"/>
          <w:tag w:val="乙方当事人全称"/>
          <w:id w:val="147467539"/>
          <w:placeholder>
            <w:docPart w:val="{c88a1e25-47b1-40aa-8f90-1cf4195a5c95}"/>
          </w:placeholder>
          <w:text/>
        </w:sdtPr>
        <w:sdtEndPr>
          <w:rPr>
            <w:rFonts w:hint="eastAsia" w:asciiTheme="minorHAnsi" w:hAnsiTheme="minorHAnsi" w:eastAsiaTheme="minorEastAsia" w:cstheme="minorBidi"/>
            <w:color w:val="auto"/>
            <w:kern w:val="2"/>
            <w:sz w:val="21"/>
            <w:szCs w:val="24"/>
            <w:highlight w:val="none"/>
            <w:lang w:val="en-US" w:eastAsia="zh-CN" w:bidi="ar-SA"/>
          </w:rPr>
        </w:sdtEndPr>
        <w:sdtContent>
          <w:r>
            <w:rPr>
              <w:rFonts w:hint="eastAsia" w:asciiTheme="minorHAnsi" w:hAnsiTheme="minorHAnsi" w:eastAsiaTheme="minorEastAsia" w:cstheme="minorBidi"/>
              <w:color w:val="auto"/>
              <w:kern w:val="2"/>
              <w:sz w:val="21"/>
              <w:szCs w:val="24"/>
              <w:highlight w:val="none"/>
              <w:lang w:val="en-US" w:eastAsia="zh-CN" w:bidi="ar-SA"/>
            </w:rPr>
            <w:t xml:space="preserve">  </w:t>
          </w:r>
        </w:sdtContent>
      </w:sdt>
    </w:p>
    <w:p>
      <w:pPr>
        <w:pStyle w:val="17"/>
        <w:spacing w:after="0"/>
        <w:ind w:left="0" w:leftChars="0" w:firstLine="0" w:firstLineChars="0"/>
        <w:rPr>
          <w:rFonts w:ascii="宋体" w:hAnsi="宋体"/>
          <w:color w:val="auto"/>
          <w:szCs w:val="21"/>
          <w:highlight w:val="none"/>
        </w:rPr>
      </w:pPr>
      <w:r>
        <w:rPr>
          <w:rFonts w:hint="eastAsia" w:ascii="宋体" w:hAnsi="宋体"/>
          <w:color w:val="auto"/>
          <w:szCs w:val="21"/>
          <w:highlight w:val="none"/>
        </w:rPr>
        <w:t xml:space="preserve">地址： </w:t>
      </w:r>
      <w:r>
        <w:rPr>
          <w:rFonts w:hint="eastAsia"/>
          <w:color w:val="auto"/>
          <w:highlight w:val="none"/>
          <w:lang w:val="en-US" w:eastAsia="zh-CN"/>
        </w:rPr>
        <w:t xml:space="preserve"> </w:t>
      </w:r>
      <w:sdt>
        <w:sdtPr>
          <w:rPr>
            <w:rFonts w:hint="eastAsia" w:asciiTheme="minorHAnsi" w:hAnsiTheme="minorHAnsi" w:eastAsiaTheme="minorEastAsia" w:cstheme="minorBidi"/>
            <w:color w:val="auto"/>
            <w:kern w:val="2"/>
            <w:sz w:val="21"/>
            <w:szCs w:val="24"/>
            <w:highlight w:val="none"/>
            <w:lang w:val="en-US" w:eastAsia="zh-CN" w:bidi="ar-SA"/>
          </w:rPr>
          <w:alias w:val="甲方办公通讯地址"/>
          <w:tag w:val="甲方办公通讯地址"/>
          <w:id w:val="147467376"/>
          <w:placeholder>
            <w:docPart w:val="{fe82703b-54d2-4159-ac80-88e4c5c63f17}"/>
          </w:placeholder>
          <w:text/>
        </w:sdtPr>
        <w:sdtEndPr>
          <w:rPr>
            <w:rFonts w:hint="eastAsia" w:asciiTheme="minorHAnsi" w:hAnsiTheme="minorHAnsi" w:eastAsiaTheme="minorEastAsia" w:cstheme="minorBidi"/>
            <w:color w:val="auto"/>
            <w:kern w:val="2"/>
            <w:sz w:val="21"/>
            <w:szCs w:val="24"/>
            <w:highlight w:val="none"/>
            <w:lang w:val="en-US" w:eastAsia="zh-CN" w:bidi="ar-SA"/>
          </w:rPr>
        </w:sdtEndPr>
        <w:sdtContent>
          <w:r>
            <w:rPr>
              <w:rFonts w:hint="eastAsia" w:asciiTheme="minorHAnsi" w:hAnsiTheme="minorHAnsi" w:eastAsiaTheme="minorEastAsia" w:cstheme="minorBidi"/>
              <w:color w:val="auto"/>
              <w:kern w:val="2"/>
              <w:sz w:val="21"/>
              <w:szCs w:val="24"/>
              <w:highlight w:val="none"/>
              <w:lang w:val="en-US" w:eastAsia="zh-CN" w:bidi="ar-SA"/>
            </w:rPr>
            <w:t xml:space="preserve"> </w:t>
          </w:r>
        </w:sdtContent>
      </w:sdt>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地址：</w:t>
      </w:r>
      <w:r>
        <w:rPr>
          <w:rFonts w:hint="eastAsia"/>
          <w:color w:val="auto"/>
          <w:highlight w:val="none"/>
          <w:lang w:val="en-US" w:eastAsia="zh-CN"/>
        </w:rPr>
        <w:t xml:space="preserve"> </w:t>
      </w:r>
      <w:sdt>
        <w:sdtPr>
          <w:rPr>
            <w:rFonts w:hint="eastAsia" w:asciiTheme="minorHAnsi" w:hAnsiTheme="minorHAnsi" w:eastAsiaTheme="minorEastAsia" w:cstheme="minorBidi"/>
            <w:color w:val="auto"/>
            <w:kern w:val="2"/>
            <w:sz w:val="21"/>
            <w:szCs w:val="24"/>
            <w:highlight w:val="none"/>
            <w:lang w:val="en-US" w:eastAsia="zh-CN" w:bidi="ar-SA"/>
          </w:rPr>
          <w:alias w:val="乙方办公通讯地址"/>
          <w:tag w:val="乙方办公通讯地址"/>
          <w:id w:val="147467376"/>
          <w:placeholder>
            <w:docPart w:val="{fe947a7d-5614-4a86-8208-628168ee495a}"/>
          </w:placeholder>
          <w:text/>
        </w:sdtPr>
        <w:sdtEndPr>
          <w:rPr>
            <w:rFonts w:hint="eastAsia" w:asciiTheme="minorHAnsi" w:hAnsiTheme="minorHAnsi" w:eastAsiaTheme="minorEastAsia" w:cstheme="minorBidi"/>
            <w:color w:val="auto"/>
            <w:kern w:val="2"/>
            <w:sz w:val="21"/>
            <w:szCs w:val="24"/>
            <w:highlight w:val="none"/>
            <w:lang w:val="en-US" w:eastAsia="zh-CN" w:bidi="ar-SA"/>
          </w:rPr>
        </w:sdtEndPr>
        <w:sdtContent>
          <w:r>
            <w:rPr>
              <w:rFonts w:hint="eastAsia" w:asciiTheme="minorHAnsi" w:hAnsiTheme="minorHAnsi" w:eastAsiaTheme="minorEastAsia" w:cstheme="minorBidi"/>
              <w:color w:val="auto"/>
              <w:kern w:val="2"/>
              <w:sz w:val="21"/>
              <w:szCs w:val="24"/>
              <w:highlight w:val="none"/>
              <w:lang w:val="en-US" w:eastAsia="zh-CN" w:bidi="ar-SA"/>
            </w:rPr>
            <w:t xml:space="preserve"> </w:t>
          </w:r>
        </w:sdtContent>
      </w:sdt>
    </w:p>
    <w:p>
      <w:pPr>
        <w:pStyle w:val="17"/>
        <w:spacing w:after="0"/>
        <w:ind w:left="0" w:leftChars="0" w:firstLine="0" w:firstLineChars="0"/>
        <w:rPr>
          <w:rFonts w:ascii="宋体" w:hAnsi="宋体"/>
          <w:color w:val="auto"/>
          <w:szCs w:val="21"/>
          <w:highlight w:val="none"/>
        </w:rPr>
      </w:pPr>
      <w:r>
        <w:rPr>
          <w:rFonts w:hint="eastAsia" w:ascii="宋体" w:hAnsi="宋体"/>
          <w:color w:val="auto"/>
          <w:szCs w:val="21"/>
          <w:highlight w:val="none"/>
        </w:rPr>
        <w:t>邮政编码：                        邮政编码：</w:t>
      </w:r>
    </w:p>
    <w:p>
      <w:pPr>
        <w:rPr>
          <w:rFonts w:ascii="宋体" w:hAnsi="宋体"/>
          <w:color w:val="auto"/>
          <w:szCs w:val="21"/>
          <w:highlight w:val="none"/>
        </w:rPr>
      </w:pPr>
      <w:r>
        <w:rPr>
          <w:rFonts w:hint="eastAsia" w:ascii="宋体" w:hAnsi="宋体"/>
          <w:color w:val="auto"/>
          <w:szCs w:val="21"/>
          <w:highlight w:val="none"/>
        </w:rPr>
        <w:t xml:space="preserve">电话： </w:t>
      </w:r>
      <w:sdt>
        <w:sdtPr>
          <w:rPr>
            <w:rFonts w:hint="eastAsia" w:asciiTheme="minorHAnsi" w:hAnsiTheme="minorHAnsi" w:eastAsiaTheme="minorEastAsia" w:cstheme="minorBidi"/>
            <w:color w:val="auto"/>
            <w:kern w:val="2"/>
            <w:sz w:val="21"/>
            <w:szCs w:val="24"/>
            <w:highlight w:val="none"/>
            <w:lang w:val="en-US" w:eastAsia="zh-CN" w:bidi="ar-SA"/>
          </w:rPr>
          <w:alias w:val="甲方联系人手机"/>
          <w:tag w:val="甲方联系人手机"/>
          <w:id w:val="147465652"/>
          <w:placeholder>
            <w:docPart w:val="{00a92e5f-1d2e-4356-9b14-4e6a06849389}"/>
          </w:placeholder>
          <w:text/>
        </w:sdtPr>
        <w:sdtEndPr>
          <w:rPr>
            <w:rFonts w:hint="eastAsia" w:asciiTheme="minorHAnsi" w:hAnsiTheme="minorHAnsi" w:eastAsiaTheme="minorEastAsia" w:cstheme="minorBidi"/>
            <w:color w:val="auto"/>
            <w:kern w:val="2"/>
            <w:sz w:val="21"/>
            <w:szCs w:val="24"/>
            <w:highlight w:val="none"/>
            <w:lang w:val="en-US" w:eastAsia="zh-CN" w:bidi="ar-SA"/>
          </w:rPr>
        </w:sdtEndPr>
        <w:sdtContent>
          <w:r>
            <w:rPr>
              <w:rFonts w:hint="eastAsia" w:asciiTheme="minorHAnsi" w:hAnsiTheme="minorHAnsi" w:eastAsiaTheme="minorEastAsia" w:cstheme="minorBidi"/>
              <w:color w:val="auto"/>
              <w:kern w:val="2"/>
              <w:sz w:val="21"/>
              <w:szCs w:val="24"/>
              <w:highlight w:val="none"/>
              <w:lang w:val="en-US" w:eastAsia="zh-CN" w:bidi="ar-SA"/>
            </w:rPr>
            <w:t xml:space="preserve"> </w:t>
          </w:r>
        </w:sdtContent>
      </w:sdt>
      <w:r>
        <w:rPr>
          <w:rFonts w:hint="eastAsia" w:ascii="宋体" w:hAnsi="宋体"/>
          <w:color w:val="auto"/>
          <w:szCs w:val="21"/>
          <w:highlight w:val="none"/>
        </w:rPr>
        <w:t xml:space="preserve">                          电话：</w:t>
      </w:r>
      <w:r>
        <w:rPr>
          <w:rFonts w:hint="eastAsia"/>
          <w:color w:val="auto"/>
          <w:highlight w:val="none"/>
          <w:lang w:val="en-US" w:eastAsia="zh-CN"/>
        </w:rPr>
        <w:t xml:space="preserve"> </w:t>
      </w:r>
      <w:sdt>
        <w:sdtPr>
          <w:rPr>
            <w:rFonts w:hint="eastAsia" w:asciiTheme="minorHAnsi" w:hAnsiTheme="minorHAnsi" w:eastAsiaTheme="minorEastAsia" w:cstheme="minorBidi"/>
            <w:color w:val="auto"/>
            <w:kern w:val="2"/>
            <w:sz w:val="21"/>
            <w:szCs w:val="24"/>
            <w:highlight w:val="none"/>
            <w:lang w:val="en-US" w:eastAsia="zh-CN" w:bidi="ar-SA"/>
          </w:rPr>
          <w:alias w:val="乙方联系人手机"/>
          <w:tag w:val="乙方联系人手机"/>
          <w:id w:val="147465652"/>
          <w:placeholder>
            <w:docPart w:val="{2f7fdc3f-dd56-41a3-9445-985464b5dadc}"/>
          </w:placeholder>
          <w:text/>
        </w:sdtPr>
        <w:sdtEndPr>
          <w:rPr>
            <w:rFonts w:hint="eastAsia" w:asciiTheme="minorHAnsi" w:hAnsiTheme="minorHAnsi" w:eastAsiaTheme="minorEastAsia" w:cstheme="minorBidi"/>
            <w:color w:val="auto"/>
            <w:kern w:val="2"/>
            <w:sz w:val="21"/>
            <w:szCs w:val="24"/>
            <w:highlight w:val="none"/>
            <w:lang w:val="en-US" w:eastAsia="zh-CN" w:bidi="ar-SA"/>
          </w:rPr>
        </w:sdtEndPr>
        <w:sdtContent>
          <w:r>
            <w:rPr>
              <w:rFonts w:hint="eastAsia" w:asciiTheme="minorHAnsi" w:hAnsiTheme="minorHAnsi" w:eastAsiaTheme="minorEastAsia" w:cstheme="minorBidi"/>
              <w:color w:val="auto"/>
              <w:kern w:val="2"/>
              <w:sz w:val="21"/>
              <w:szCs w:val="24"/>
              <w:highlight w:val="none"/>
              <w:lang w:val="en-US" w:eastAsia="zh-CN" w:bidi="ar-SA"/>
            </w:rPr>
            <w:t xml:space="preserve"> </w:t>
          </w:r>
        </w:sdtContent>
      </w:sdt>
    </w:p>
    <w:p>
      <w:pPr>
        <w:pStyle w:val="17"/>
        <w:spacing w:after="0"/>
        <w:ind w:left="0" w:leftChars="0" w:firstLine="0" w:firstLineChars="0"/>
        <w:rPr>
          <w:rFonts w:ascii="宋体" w:hAnsi="宋体"/>
          <w:color w:val="auto"/>
          <w:szCs w:val="21"/>
          <w:highlight w:val="none"/>
        </w:rPr>
      </w:pPr>
      <w:r>
        <w:rPr>
          <w:rFonts w:hint="eastAsia" w:ascii="宋体" w:hAnsi="宋体"/>
          <w:color w:val="auto"/>
          <w:szCs w:val="21"/>
          <w:highlight w:val="none"/>
        </w:rPr>
        <w:t>传真：                            传真：</w:t>
      </w:r>
    </w:p>
    <w:p>
      <w:pPr>
        <w:rPr>
          <w:rFonts w:ascii="宋体" w:hAnsi="宋体"/>
          <w:color w:val="auto"/>
          <w:szCs w:val="21"/>
          <w:highlight w:val="none"/>
        </w:rPr>
      </w:pPr>
      <w:r>
        <w:rPr>
          <w:rFonts w:hint="eastAsia" w:ascii="宋体" w:hAnsi="宋体"/>
          <w:color w:val="auto"/>
          <w:szCs w:val="21"/>
          <w:highlight w:val="none"/>
        </w:rPr>
        <w:t>收件人：                          收件人：</w:t>
      </w:r>
    </w:p>
    <w:permEnd w:id="24"/>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1.4</w:t>
      </w:r>
      <w:r>
        <w:rPr>
          <w:rFonts w:hint="eastAsia" w:ascii="宋体" w:hAnsi="宋体"/>
          <w:color w:val="auto"/>
          <w:szCs w:val="21"/>
          <w:highlight w:val="none"/>
        </w:rPr>
        <w:tab/>
      </w:r>
      <w:r>
        <w:rPr>
          <w:rFonts w:hint="eastAsia" w:ascii="宋体" w:hAnsi="宋体"/>
          <w:color w:val="auto"/>
          <w:szCs w:val="21"/>
          <w:highlight w:val="none"/>
        </w:rPr>
        <w:t>法律和语言</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合同应受中华人民共和国（“适用法律”）的法律管理和解释。</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合同为中文版本。所有构成合同的文件必须由双方授权人员签发。</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通讯交流的正式语言为中文，包括争端解决的通信也应使用中文。</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5</w:t>
      </w:r>
      <w:r>
        <w:rPr>
          <w:rFonts w:hint="eastAsia" w:ascii="宋体" w:hAnsi="宋体"/>
          <w:color w:val="auto"/>
          <w:szCs w:val="21"/>
          <w:highlight w:val="none"/>
        </w:rPr>
        <w:tab/>
      </w:r>
      <w:r>
        <w:rPr>
          <w:rFonts w:hint="eastAsia" w:ascii="宋体" w:hAnsi="宋体"/>
          <w:color w:val="auto"/>
          <w:szCs w:val="21"/>
          <w:highlight w:val="none"/>
        </w:rPr>
        <w:t>严禁贿赂</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如果承包人或其任何分包商，代理人或雇员向任何人提出给予或同意给予或给予任何人以任何贿赂，礼品、赏金或佣金，作为引诱或报酬，使该员采取或不采取与该合同或与项目</w:t>
      </w:r>
      <w:r>
        <w:rPr>
          <w:rFonts w:hint="eastAsia" w:ascii="宋体" w:hAnsi="宋体"/>
          <w:color w:val="auto"/>
          <w:szCs w:val="21"/>
          <w:highlight w:val="none"/>
        </w:rPr>
        <w:t>发包人</w:t>
      </w:r>
      <w:r>
        <w:rPr>
          <w:rFonts w:ascii="宋体" w:hAnsi="宋体"/>
          <w:color w:val="auto"/>
          <w:szCs w:val="21"/>
          <w:highlight w:val="none"/>
        </w:rPr>
        <w:t>订立的任何其它合同有关的行动，则项目</w:t>
      </w:r>
      <w:r>
        <w:rPr>
          <w:rFonts w:hint="eastAsia" w:ascii="宋体" w:hAnsi="宋体"/>
          <w:color w:val="auto"/>
          <w:szCs w:val="21"/>
          <w:highlight w:val="none"/>
        </w:rPr>
        <w:t>发包人</w:t>
      </w:r>
      <w:r>
        <w:rPr>
          <w:rFonts w:ascii="宋体" w:hAnsi="宋体"/>
          <w:color w:val="auto"/>
          <w:szCs w:val="21"/>
          <w:highlight w:val="none"/>
        </w:rPr>
        <w:t>可以终止雇用该承包人。</w:t>
      </w:r>
    </w:p>
    <w:p>
      <w:pPr>
        <w:pStyle w:val="17"/>
        <w:spacing w:after="0"/>
        <w:ind w:left="0" w:leftChars="0" w:firstLine="420" w:firstLineChars="200"/>
        <w:rPr>
          <w:rFonts w:ascii="宋体" w:hAnsi="宋体"/>
          <w:color w:val="auto"/>
          <w:szCs w:val="21"/>
          <w:highlight w:val="none"/>
        </w:rPr>
      </w:pPr>
      <w:r>
        <w:rPr>
          <w:rFonts w:hint="eastAsia" w:ascii="宋体" w:hAnsi="宋体" w:cs="仿宋_GB2312"/>
          <w:color w:val="auto"/>
          <w:kern w:val="0"/>
          <w:szCs w:val="21"/>
          <w:highlight w:val="none"/>
        </w:rPr>
        <w:t>根据《关于进一步加强供应商廉洁诚信管理的通知》（南方电网监察〔2013〕4号）要求，发包人</w:t>
      </w:r>
      <w:r>
        <w:rPr>
          <w:rFonts w:ascii="宋体" w:hAnsi="宋体" w:cs="仿宋_GB2312"/>
          <w:color w:val="auto"/>
          <w:kern w:val="0"/>
          <w:szCs w:val="21"/>
          <w:highlight w:val="none"/>
        </w:rPr>
        <w:t>与承包人</w:t>
      </w:r>
      <w:r>
        <w:rPr>
          <w:rFonts w:hint="eastAsia" w:ascii="宋体" w:hAnsi="宋体" w:cs="仿宋_GB2312"/>
          <w:color w:val="auto"/>
          <w:kern w:val="0"/>
          <w:szCs w:val="21"/>
          <w:highlight w:val="none"/>
        </w:rPr>
        <w:t>按照</w:t>
      </w:r>
      <w:r>
        <w:rPr>
          <w:rFonts w:ascii="宋体" w:hAnsi="宋体" w:cs="仿宋_GB2312"/>
          <w:color w:val="auto"/>
          <w:kern w:val="0"/>
          <w:szCs w:val="21"/>
          <w:highlight w:val="none"/>
        </w:rPr>
        <w:t>合同附件</w:t>
      </w:r>
      <w:r>
        <w:rPr>
          <w:rFonts w:hint="eastAsia" w:ascii="宋体" w:hAnsi="宋体" w:cs="仿宋_GB2312"/>
          <w:color w:val="auto"/>
          <w:kern w:val="0"/>
          <w:szCs w:val="21"/>
          <w:highlight w:val="none"/>
        </w:rPr>
        <w:t>格式</w:t>
      </w:r>
      <w:r>
        <w:rPr>
          <w:rFonts w:ascii="宋体" w:hAnsi="宋体" w:cs="仿宋_GB2312"/>
          <w:color w:val="auto"/>
          <w:kern w:val="0"/>
          <w:szCs w:val="21"/>
          <w:highlight w:val="none"/>
        </w:rPr>
        <w:t>要求，</w:t>
      </w:r>
      <w:r>
        <w:rPr>
          <w:rFonts w:hint="eastAsia" w:ascii="宋体" w:hAnsi="宋体" w:cs="仿宋_GB2312"/>
          <w:color w:val="auto"/>
          <w:kern w:val="0"/>
          <w:szCs w:val="21"/>
          <w:highlight w:val="none"/>
        </w:rPr>
        <w:t>签署本工程廉洁协议书。</w:t>
      </w: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rPr>
        <w:t>2. 发包人</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2.1 </w:t>
      </w:r>
      <w:r>
        <w:rPr>
          <w:rFonts w:hint="eastAsia" w:ascii="宋体" w:hAnsi="宋体"/>
          <w:color w:val="auto"/>
          <w:szCs w:val="21"/>
          <w:highlight w:val="none"/>
        </w:rPr>
        <w:tab/>
      </w:r>
      <w:r>
        <w:rPr>
          <w:rFonts w:hint="eastAsia" w:ascii="宋体" w:hAnsi="宋体"/>
          <w:color w:val="auto"/>
          <w:szCs w:val="21"/>
          <w:highlight w:val="none"/>
        </w:rPr>
        <w:t>进入现场的权利</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发包人应在开工日前【</w:t>
      </w:r>
      <w:permStart w:id="25" w:edGrp="everyone"/>
      <w:r>
        <w:rPr>
          <w:rFonts w:hint="eastAsia" w:ascii="宋体" w:hAnsi="宋体"/>
          <w:color w:val="auto"/>
          <w:szCs w:val="21"/>
          <w:highlight w:val="none"/>
        </w:rPr>
        <w:t xml:space="preserve">  </w:t>
      </w:r>
      <w:permEnd w:id="25"/>
      <w:r>
        <w:rPr>
          <w:rFonts w:hint="eastAsia" w:ascii="宋体" w:hAnsi="宋体"/>
          <w:color w:val="auto"/>
          <w:szCs w:val="21"/>
          <w:highlight w:val="none"/>
        </w:rPr>
        <w:t>】天（日历天）向承包人提供进入和占用工程场地各部分的权利。</w:t>
      </w:r>
    </w:p>
    <w:p>
      <w:pPr>
        <w:pStyle w:val="17"/>
        <w:spacing w:after="0"/>
        <w:ind w:left="0" w:leftChars="0"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变电站土建工程施工期间，</w:t>
      </w:r>
      <w:r>
        <w:rPr>
          <w:rFonts w:hint="eastAsia" w:ascii="宋体" w:hAnsi="宋体"/>
          <w:color w:val="auto"/>
          <w:szCs w:val="21"/>
          <w:highlight w:val="none"/>
          <w:lang w:val="en-US" w:eastAsia="zh-CN"/>
        </w:rPr>
        <w:t>广州供电局</w:t>
      </w:r>
      <w:r>
        <w:rPr>
          <w:rFonts w:hint="eastAsia" w:ascii="宋体" w:hAnsi="宋体"/>
          <w:color w:val="auto"/>
          <w:szCs w:val="21"/>
          <w:highlight w:val="none"/>
        </w:rPr>
        <w:t>有权随时进入施工场地对施工进度、质量、安全等进行监督、检查，</w:t>
      </w:r>
      <w:r>
        <w:rPr>
          <w:rFonts w:hint="eastAsia" w:ascii="宋体" w:hAnsi="宋体"/>
          <w:color w:val="auto"/>
          <w:szCs w:val="21"/>
          <w:highlight w:val="none"/>
          <w:lang w:val="en-US" w:eastAsia="zh-CN"/>
        </w:rPr>
        <w:t>甲方、</w:t>
      </w:r>
      <w:r>
        <w:rPr>
          <w:rFonts w:hint="eastAsia" w:ascii="宋体" w:hAnsi="宋体"/>
          <w:color w:val="auto"/>
          <w:szCs w:val="21"/>
          <w:highlight w:val="none"/>
        </w:rPr>
        <w:t>乙方须全力配合。乙方应确保工程质量执行国家工程建设标准强制性条文及南方电网公司发布的基建质量管理办法、变电站相关技术标准和反措、电网建设施工作业指导书、10kV-500kV输变电及配电工程质量验收与评定标准、基建工程质量控制（WHS）及量化评价标准等文件要求，以及执行</w:t>
      </w:r>
      <w:r>
        <w:rPr>
          <w:rFonts w:hint="eastAsia" w:ascii="宋体" w:hAnsi="宋体"/>
          <w:color w:val="auto"/>
          <w:szCs w:val="21"/>
          <w:highlight w:val="none"/>
          <w:lang w:val="en-US" w:eastAsia="zh-CN"/>
        </w:rPr>
        <w:t>广州供电局、</w:t>
      </w:r>
      <w:r>
        <w:rPr>
          <w:rFonts w:hint="eastAsia" w:ascii="宋体" w:hAnsi="宋体"/>
          <w:color w:val="auto"/>
          <w:szCs w:val="21"/>
          <w:highlight w:val="none"/>
        </w:rPr>
        <w:t>甲方有关工程质量管控工作指引，保证变电站工程实体质量优良</w:t>
      </w:r>
      <w:r>
        <w:rPr>
          <w:rFonts w:hint="eastAsia" w:ascii="宋体" w:hAnsi="宋体"/>
          <w:color w:val="auto"/>
          <w:szCs w:val="21"/>
          <w:highlight w:val="none"/>
          <w:lang w:eastAsia="zh-CN"/>
        </w:rPr>
        <w:t>。</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2.2 </w:t>
      </w:r>
      <w:r>
        <w:rPr>
          <w:rFonts w:hint="eastAsia" w:ascii="宋体" w:hAnsi="宋体"/>
          <w:color w:val="auto"/>
          <w:szCs w:val="21"/>
          <w:highlight w:val="none"/>
        </w:rPr>
        <w:tab/>
      </w:r>
      <w:r>
        <w:rPr>
          <w:rFonts w:hint="eastAsia" w:ascii="宋体" w:hAnsi="宋体"/>
          <w:color w:val="auto"/>
          <w:szCs w:val="21"/>
          <w:highlight w:val="none"/>
        </w:rPr>
        <w:t>许可、执照和批准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发包人</w:t>
      </w:r>
      <w:r>
        <w:rPr>
          <w:rFonts w:ascii="宋体" w:hAnsi="宋体"/>
          <w:color w:val="auto"/>
          <w:szCs w:val="21"/>
          <w:highlight w:val="none"/>
        </w:rPr>
        <w:t>应按照《建设施工现场管理规定》完成以下工作：</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（a）设计工作：由</w:t>
      </w:r>
      <w:permStart w:id="26" w:edGrp="everyone"/>
      <w:r>
        <w:rPr>
          <w:rFonts w:hint="eastAsia" w:ascii="宋体" w:hAnsi="宋体"/>
          <w:color w:val="auto"/>
          <w:szCs w:val="21"/>
          <w:highlight w:val="none"/>
          <w:u w:val="single"/>
        </w:rPr>
        <w:t>（设计单位）</w:t>
      </w:r>
      <w:permEnd w:id="26"/>
      <w:r>
        <w:rPr>
          <w:rFonts w:hint="eastAsia" w:ascii="宋体" w:hAnsi="宋体"/>
          <w:color w:val="auto"/>
          <w:szCs w:val="21"/>
          <w:highlight w:val="none"/>
        </w:rPr>
        <w:t>完成</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（b）工程地质资料的提供时间：</w:t>
      </w:r>
      <w:permStart w:id="27" w:edGrp="everyone"/>
      <w:r>
        <w:rPr>
          <w:rFonts w:ascii="宋体" w:hAnsi="宋体"/>
          <w:color w:val="auto"/>
          <w:szCs w:val="21"/>
          <w:highlight w:val="none"/>
        </w:rPr>
        <w:t>开工前</w:t>
      </w:r>
      <w:permEnd w:id="27"/>
      <w:r>
        <w:rPr>
          <w:rFonts w:hint="eastAsia" w:ascii="宋体" w:hAnsi="宋体"/>
          <w:color w:val="auto"/>
          <w:szCs w:val="21"/>
          <w:highlight w:val="none"/>
        </w:rPr>
        <w:t>。</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（c）办理证件、批件的名称和完成时间：</w:t>
      </w:r>
      <w:permStart w:id="28" w:edGrp="everyone"/>
      <w:r>
        <w:rPr>
          <w:rFonts w:hint="eastAsia" w:ascii="宋体" w:hAnsi="宋体"/>
          <w:color w:val="auto"/>
          <w:szCs w:val="21"/>
          <w:highlight w:val="none"/>
          <w:u w:val="single"/>
        </w:rPr>
        <w:t xml:space="preserve">    </w:t>
      </w:r>
      <w:permEnd w:id="28"/>
      <w:r>
        <w:rPr>
          <w:rFonts w:hint="eastAsia" w:ascii="宋体" w:hAnsi="宋体"/>
          <w:color w:val="auto"/>
          <w:szCs w:val="21"/>
          <w:highlight w:val="none"/>
        </w:rPr>
        <w:t>。</w:t>
      </w:r>
      <w:r>
        <w:rPr>
          <w:rFonts w:ascii="宋体" w:hAnsi="宋体"/>
          <w:color w:val="auto"/>
          <w:szCs w:val="21"/>
          <w:highlight w:val="none"/>
        </w:rPr>
        <w:t>按计划应在开工前完成，包括项目开工文件（国家文件和地方文件）、工程建设允许用地文件等</w:t>
      </w:r>
      <w:r>
        <w:rPr>
          <w:rFonts w:hint="eastAsia" w:ascii="宋体" w:hAnsi="宋体"/>
          <w:color w:val="auto"/>
          <w:szCs w:val="21"/>
          <w:highlight w:val="none"/>
        </w:rPr>
        <w:t>，由承包人负责相关工作的除外</w:t>
      </w:r>
      <w:r>
        <w:rPr>
          <w:rFonts w:ascii="宋体" w:hAnsi="宋体"/>
          <w:color w:val="auto"/>
          <w:szCs w:val="21"/>
          <w:highlight w:val="none"/>
        </w:rPr>
        <w:t>。</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（d）水准点与坐标控制点位置提供及交验要求：开工前书面提供。</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 xml:space="preserve">（e）设计交底的时间： </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线路工程：具体时间安排在相应项目施工之前半个月前完成。</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变电工程：具体时间安排在相应项目施工之前半个月前完成。</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（f）建设场地准备：为配合施工和运行安全所需要进行的建筑物拆迁、电力线、通信线及其他障碍物拆迁、通讯干扰问题的处理工作</w:t>
      </w:r>
      <w:r>
        <w:rPr>
          <w:rFonts w:hint="eastAsia" w:ascii="宋体" w:hAnsi="宋体"/>
          <w:color w:val="auto"/>
          <w:szCs w:val="21"/>
          <w:highlight w:val="none"/>
        </w:rPr>
        <w:t>，由承包人负责相关工作的除外</w:t>
      </w:r>
      <w:r>
        <w:rPr>
          <w:rFonts w:ascii="宋体" w:hAnsi="宋体"/>
          <w:color w:val="auto"/>
          <w:szCs w:val="21"/>
          <w:highlight w:val="none"/>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（g）发包人组织</w:t>
      </w:r>
      <w:r>
        <w:rPr>
          <w:rFonts w:ascii="宋体" w:hAnsi="宋体"/>
          <w:color w:val="auto"/>
          <w:szCs w:val="21"/>
          <w:highlight w:val="none"/>
        </w:rPr>
        <w:t>启动方案的编写</w:t>
      </w:r>
      <w:r>
        <w:rPr>
          <w:rFonts w:hint="eastAsia" w:ascii="宋体" w:hAnsi="宋体"/>
          <w:color w:val="auto"/>
          <w:szCs w:val="21"/>
          <w:highlight w:val="none"/>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h）</w:t>
      </w:r>
      <w:r>
        <w:rPr>
          <w:rFonts w:hint="eastAsia" w:ascii="宋体" w:hAnsi="宋体"/>
          <w:color w:val="auto"/>
          <w:szCs w:val="21"/>
          <w:highlight w:val="none"/>
        </w:rPr>
        <w:t>提供施工场地，以下</w:t>
      </w:r>
      <w:r>
        <w:rPr>
          <w:rFonts w:ascii="宋体" w:hAnsi="宋体"/>
          <w:color w:val="auto"/>
          <w:szCs w:val="21"/>
          <w:highlight w:val="none"/>
        </w:rPr>
        <w:t>子项</w:t>
      </w:r>
      <w:r>
        <w:rPr>
          <w:rFonts w:hint="eastAsia" w:ascii="宋体" w:hAnsi="宋体"/>
          <w:color w:val="auto"/>
          <w:szCs w:val="21"/>
          <w:highlight w:val="none"/>
        </w:rPr>
        <w:t>（</w:t>
      </w:r>
      <w:r>
        <w:rPr>
          <w:rFonts w:ascii="宋体" w:hAnsi="宋体"/>
          <w:color w:val="auto"/>
          <w:szCs w:val="21"/>
          <w:highlight w:val="none"/>
        </w:rPr>
        <w:t>h</w:t>
      </w:r>
      <w:r>
        <w:rPr>
          <w:rFonts w:hint="eastAsia" w:ascii="宋体" w:hAnsi="宋体"/>
          <w:color w:val="auto"/>
          <w:szCs w:val="21"/>
          <w:highlight w:val="none"/>
        </w:rPr>
        <w:t xml:space="preserve"> 1</w:t>
      </w:r>
      <w:r>
        <w:rPr>
          <w:rFonts w:ascii="宋体" w:hAnsi="宋体"/>
          <w:color w:val="auto"/>
          <w:szCs w:val="21"/>
          <w:highlight w:val="none"/>
        </w:rPr>
        <w:t>）</w:t>
      </w:r>
      <w:r>
        <w:rPr>
          <w:rFonts w:hint="eastAsia" w:ascii="宋体" w:hAnsi="宋体"/>
          <w:color w:val="auto"/>
          <w:szCs w:val="21"/>
          <w:highlight w:val="none"/>
        </w:rPr>
        <w:t>适用于变电工程，</w:t>
      </w:r>
      <w:r>
        <w:rPr>
          <w:rFonts w:ascii="宋体" w:hAnsi="宋体"/>
          <w:color w:val="auto"/>
          <w:szCs w:val="21"/>
          <w:highlight w:val="none"/>
        </w:rPr>
        <w:t>（h</w:t>
      </w:r>
      <w:r>
        <w:rPr>
          <w:rFonts w:hint="eastAsia" w:ascii="宋体" w:hAnsi="宋体"/>
          <w:color w:val="auto"/>
          <w:szCs w:val="21"/>
          <w:highlight w:val="none"/>
        </w:rPr>
        <w:t xml:space="preserve"> 2</w:t>
      </w:r>
      <w:r>
        <w:rPr>
          <w:rFonts w:ascii="宋体" w:hAnsi="宋体"/>
          <w:color w:val="auto"/>
          <w:szCs w:val="21"/>
          <w:highlight w:val="none"/>
        </w:rPr>
        <w:t>）</w:t>
      </w:r>
      <w:r>
        <w:rPr>
          <w:rFonts w:hint="eastAsia" w:ascii="宋体" w:hAnsi="宋体"/>
          <w:color w:val="auto"/>
          <w:szCs w:val="21"/>
          <w:highlight w:val="none"/>
        </w:rPr>
        <w:t>适用于</w:t>
      </w:r>
      <w:r>
        <w:rPr>
          <w:rFonts w:ascii="宋体" w:hAnsi="宋体"/>
          <w:color w:val="auto"/>
          <w:szCs w:val="21"/>
          <w:highlight w:val="none"/>
        </w:rPr>
        <w:t>线路工程</w:t>
      </w:r>
      <w:r>
        <w:rPr>
          <w:rFonts w:hint="eastAsia" w:ascii="宋体" w:hAnsi="宋体"/>
          <w:color w:val="auto"/>
          <w:szCs w:val="21"/>
          <w:highlight w:val="none"/>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h1）</w:t>
      </w:r>
      <w:r>
        <w:rPr>
          <w:rFonts w:hint="eastAsia" w:ascii="宋体" w:hAnsi="宋体"/>
          <w:color w:val="auto"/>
          <w:szCs w:val="21"/>
          <w:highlight w:val="none"/>
        </w:rPr>
        <w:t>根据设计单位的施工组织设计，工程施工时的临建、库房等设施不存在站外的临时用地，均在围墙内实施。若在站外租房，由承包人自行解决。</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h2）</w:t>
      </w:r>
      <w:r>
        <w:rPr>
          <w:rFonts w:hint="eastAsia" w:ascii="宋体" w:hAnsi="宋体"/>
          <w:color w:val="auto"/>
          <w:szCs w:val="21"/>
          <w:highlight w:val="none"/>
        </w:rPr>
        <w:t>线路工程：承包人的临时施工用地，由承包人自行解决。</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w:t>
      </w:r>
      <w:r>
        <w:rPr>
          <w:rFonts w:hint="eastAsia" w:ascii="宋体" w:hAnsi="宋体"/>
          <w:color w:val="auto"/>
          <w:szCs w:val="21"/>
          <w:highlight w:val="none"/>
        </w:rPr>
        <w:tab/>
      </w:r>
      <w:r>
        <w:rPr>
          <w:rFonts w:hint="eastAsia" w:ascii="宋体" w:hAnsi="宋体"/>
          <w:color w:val="auto"/>
          <w:szCs w:val="21"/>
          <w:highlight w:val="none"/>
        </w:rPr>
        <w:t>发包人的权利</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.1 追究违约</w:t>
      </w:r>
      <w:r>
        <w:rPr>
          <w:rFonts w:ascii="宋体" w:hAnsi="宋体"/>
          <w:color w:val="auto"/>
          <w:szCs w:val="21"/>
          <w:highlight w:val="none"/>
        </w:rPr>
        <w:t>责任的权利</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承包人有下列违约行为，发包人应有权追究违约</w:t>
      </w:r>
      <w:r>
        <w:rPr>
          <w:rFonts w:ascii="宋体" w:hAnsi="宋体"/>
          <w:color w:val="auto"/>
          <w:szCs w:val="21"/>
          <w:highlight w:val="none"/>
        </w:rPr>
        <w:t>责任的措施，具体包括：</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.1.1 如果承包人有下列行为，发包人应有权向承包人发出书面警告：</w:t>
      </w:r>
    </w:p>
    <w:p>
      <w:pPr>
        <w:pStyle w:val="17"/>
        <w:spacing w:after="0"/>
        <w:ind w:left="0" w:leftChars="0" w:firstLine="420" w:firstLineChars="200"/>
        <w:rPr>
          <w:rFonts w:ascii="宋体" w:hAnsi="宋体"/>
          <w:strike w:val="0"/>
          <w:dstrike w:val="0"/>
          <w:color w:val="auto"/>
          <w:szCs w:val="21"/>
          <w:highlight w:val="none"/>
        </w:rPr>
      </w:pPr>
      <w:r>
        <w:rPr>
          <w:rFonts w:hint="eastAsia" w:ascii="宋体" w:hAnsi="宋体"/>
          <w:strike w:val="0"/>
          <w:dstrike w:val="0"/>
          <w:color w:val="auto"/>
          <w:szCs w:val="21"/>
          <w:highlight w:val="none"/>
        </w:rPr>
        <w:t>A</w:t>
      </w:r>
      <w:r>
        <w:rPr>
          <w:rFonts w:ascii="宋体" w:hAnsi="宋体"/>
          <w:strike w:val="0"/>
          <w:dstrike w:val="0"/>
          <w:color w:val="auto"/>
          <w:szCs w:val="21"/>
          <w:highlight w:val="none"/>
        </w:rPr>
        <w:t xml:space="preserve"> </w:t>
      </w:r>
      <w:r>
        <w:rPr>
          <w:rFonts w:hint="eastAsia" w:ascii="宋体" w:hAnsi="宋体"/>
          <w:strike w:val="0"/>
          <w:dstrike w:val="0"/>
          <w:color w:val="auto"/>
          <w:szCs w:val="21"/>
          <w:highlight w:val="none"/>
        </w:rPr>
        <w:t>采购</w:t>
      </w:r>
      <w:r>
        <w:rPr>
          <w:rFonts w:ascii="宋体" w:hAnsi="宋体"/>
          <w:strike w:val="0"/>
          <w:dstrike w:val="0"/>
          <w:color w:val="auto"/>
          <w:szCs w:val="21"/>
          <w:highlight w:val="none"/>
        </w:rPr>
        <w:t>管理</w:t>
      </w:r>
    </w:p>
    <w:p>
      <w:pPr>
        <w:pStyle w:val="17"/>
        <w:spacing w:after="0"/>
        <w:ind w:left="0" w:leftChars="0" w:firstLine="420" w:firstLineChars="200"/>
        <w:rPr>
          <w:rFonts w:ascii="宋体" w:hAnsi="宋体"/>
          <w:strike w:val="0"/>
          <w:dstrike w:val="0"/>
          <w:color w:val="auto"/>
          <w:szCs w:val="21"/>
          <w:highlight w:val="none"/>
        </w:rPr>
      </w:pPr>
      <w:r>
        <w:rPr>
          <w:rFonts w:hint="eastAsia" w:ascii="宋体" w:hAnsi="宋体"/>
          <w:strike w:val="0"/>
          <w:dstrike w:val="0"/>
          <w:color w:val="auto"/>
          <w:szCs w:val="21"/>
          <w:highlight w:val="none"/>
        </w:rPr>
        <w:t xml:space="preserve">（1）若承包人连续两年呈红灯状态(N≥12分) </w:t>
      </w:r>
    </w:p>
    <w:p>
      <w:pPr>
        <w:pStyle w:val="17"/>
        <w:spacing w:after="0"/>
        <w:ind w:left="0" w:leftChars="0" w:firstLine="420" w:firstLineChars="200"/>
        <w:rPr>
          <w:rFonts w:ascii="宋体" w:hAnsi="宋体"/>
          <w:strike w:val="0"/>
          <w:dstrike w:val="0"/>
          <w:color w:val="auto"/>
          <w:szCs w:val="21"/>
          <w:highlight w:val="none"/>
        </w:rPr>
      </w:pPr>
      <w:r>
        <w:rPr>
          <w:rFonts w:hint="eastAsia" w:ascii="宋体" w:hAnsi="宋体"/>
          <w:strike w:val="0"/>
          <w:dstrike w:val="0"/>
          <w:color w:val="auto"/>
          <w:szCs w:val="21"/>
          <w:highlight w:val="none"/>
        </w:rPr>
        <w:t>（2）若承包人一年呈红灯状态(N≥12分)，</w:t>
      </w:r>
    </w:p>
    <w:p>
      <w:pPr>
        <w:pStyle w:val="17"/>
        <w:spacing w:after="0"/>
        <w:ind w:left="0" w:leftChars="0" w:firstLine="420" w:firstLineChars="200"/>
        <w:rPr>
          <w:rFonts w:ascii="宋体" w:hAnsi="宋体"/>
          <w:strike w:val="0"/>
          <w:dstrike w:val="0"/>
          <w:color w:val="auto"/>
          <w:szCs w:val="21"/>
          <w:highlight w:val="none"/>
        </w:rPr>
      </w:pPr>
      <w:r>
        <w:rPr>
          <w:rFonts w:hint="eastAsia" w:ascii="宋体" w:hAnsi="宋体"/>
          <w:strike w:val="0"/>
          <w:dstrike w:val="0"/>
          <w:color w:val="auto"/>
          <w:szCs w:val="21"/>
          <w:highlight w:val="none"/>
        </w:rPr>
        <w:t>（3）若承包人连续两年呈黄灯状态（6分≤N＜12分）</w:t>
      </w:r>
    </w:p>
    <w:p>
      <w:pPr>
        <w:pStyle w:val="17"/>
        <w:spacing w:after="0"/>
        <w:ind w:left="0" w:leftChars="0" w:firstLine="420" w:firstLineChars="200"/>
        <w:rPr>
          <w:rFonts w:ascii="宋体" w:hAnsi="宋体"/>
          <w:strike w:val="0"/>
          <w:dstrike w:val="0"/>
          <w:color w:val="auto"/>
          <w:szCs w:val="21"/>
          <w:highlight w:val="none"/>
        </w:rPr>
      </w:pPr>
      <w:r>
        <w:rPr>
          <w:rFonts w:hint="eastAsia" w:ascii="宋体" w:hAnsi="宋体"/>
          <w:strike w:val="0"/>
          <w:dstrike w:val="0"/>
          <w:color w:val="auto"/>
          <w:szCs w:val="21"/>
          <w:highlight w:val="none"/>
        </w:rPr>
        <w:t>（4）若承包人一年呈黄灯状态（6分≤N＜12分）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lang w:val="en-US" w:eastAsia="zh-CN"/>
        </w:rPr>
        <w:t>B</w:t>
      </w:r>
      <w:r>
        <w:rPr>
          <w:rFonts w:ascii="宋体" w:hAnsi="宋体"/>
          <w:color w:val="auto"/>
          <w:szCs w:val="21"/>
          <w:highlight w:val="none"/>
        </w:rPr>
        <w:t xml:space="preserve"> </w:t>
      </w:r>
      <w:r>
        <w:rPr>
          <w:rFonts w:hint="eastAsia" w:ascii="宋体" w:hAnsi="宋体"/>
          <w:color w:val="auto"/>
          <w:szCs w:val="21"/>
          <w:highlight w:val="none"/>
        </w:rPr>
        <w:t>安全</w:t>
      </w:r>
      <w:r>
        <w:rPr>
          <w:rFonts w:ascii="宋体" w:hAnsi="宋体"/>
          <w:color w:val="auto"/>
          <w:szCs w:val="21"/>
          <w:highlight w:val="none"/>
        </w:rPr>
        <w:t>管理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）工程建设过程中发生一、二级电力安全事件；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）承包人在基建安全管理中未贯彻安全生产方针，未制定安全生产责任制，未将安全责任制落实到项目经理、安全员、现场负责人等具体岗位；</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）承包人有违反安规的事实；</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）承包人有违章指挥、违章作业的事实；</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）承包人未在每个项目进程和作业活动中落实基建安全“四步法”，出现以下情况：</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①承包人现场作业未正确选用作业指导书指导现场施工；</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②施工现场作业过程出现重大危险源，未及时进行动态更新并在现场严格落实相关风险管控措施；</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③施工现场未按安全施工作业票作业或作业票填写的相关内容与现场严重不符，在发包人、监理人及其他相关单位检查中累计发现问题超过五次；</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④施工现场未开站班会或站班会安全技术交底等“三交”、“三查”工作与现场实际不符、流于形式，安全控制措施未真正落实，在发包人、监理人及其他相关单位检查中累计发现问题超过五次。</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）承包人未按照相关规定设置安全管理机构，不服从监理人和发包人管理，缺席安全会议三次；</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）承包人对高和特高等级风险的施工作业未制定专项风险控制措施或专项风险控制措施未经审批流程擅自用于现场指导施工；</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）承包人未建立有效的应急机构，制订应急预案并定期演练。</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 xml:space="preserve">C </w:t>
      </w:r>
      <w:r>
        <w:rPr>
          <w:rFonts w:hint="eastAsia" w:ascii="宋体" w:hAnsi="宋体"/>
          <w:color w:val="auto"/>
          <w:szCs w:val="21"/>
          <w:highlight w:val="none"/>
        </w:rPr>
        <w:t>质量</w:t>
      </w:r>
      <w:r>
        <w:rPr>
          <w:rFonts w:ascii="宋体" w:hAnsi="宋体"/>
          <w:color w:val="auto"/>
          <w:szCs w:val="21"/>
          <w:highlight w:val="none"/>
        </w:rPr>
        <w:t>管理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）承包人违反国家工程建设强制性条文标准、技术规程规范，造成严重后果；</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）承包人开工、复工前不具备施工条件或未经审核批准擅自施工，开工后未对项目实施的实际情况编制完整的安全、质量技术文件，施工现场未按已审批的技术文件及方案指导施工；</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）承包人项目经理、技术负责人、安全员</w:t>
      </w:r>
      <w:r>
        <w:rPr>
          <w:rFonts w:ascii="宋体" w:hAnsi="宋体"/>
          <w:color w:val="auto"/>
          <w:szCs w:val="21"/>
          <w:highlight w:val="none"/>
        </w:rPr>
        <w:t>、质检员</w:t>
      </w:r>
      <w:r>
        <w:rPr>
          <w:rFonts w:hint="eastAsia" w:ascii="宋体" w:hAnsi="宋体"/>
          <w:color w:val="auto"/>
          <w:szCs w:val="21"/>
          <w:highlight w:val="none"/>
        </w:rPr>
        <w:t>等管理人员与投标组织架构不一致或不一致且未履行变更手续；承包人未制定管理人员到位管理制度，管理人员长期未到岗、到位，缺岗、缺位时间累计超过三十个合同日；</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）承包人未执行南方电网公司《关于</w:t>
      </w:r>
      <w:r>
        <w:rPr>
          <w:rFonts w:ascii="宋体" w:hAnsi="宋体"/>
          <w:color w:val="auto"/>
          <w:szCs w:val="21"/>
          <w:highlight w:val="none"/>
        </w:rPr>
        <w:t>调整公司基建</w:t>
      </w:r>
      <w:r>
        <w:rPr>
          <w:rFonts w:hint="eastAsia" w:ascii="宋体" w:hAnsi="宋体"/>
          <w:color w:val="auto"/>
          <w:szCs w:val="21"/>
          <w:highlight w:val="none"/>
        </w:rPr>
        <w:t>承包商</w:t>
      </w:r>
      <w:r>
        <w:rPr>
          <w:rFonts w:ascii="宋体" w:hAnsi="宋体"/>
          <w:color w:val="auto"/>
          <w:szCs w:val="21"/>
          <w:highlight w:val="none"/>
        </w:rPr>
        <w:t>人员</w:t>
      </w:r>
      <w:r>
        <w:rPr>
          <w:rFonts w:hint="eastAsia" w:ascii="宋体" w:hAnsi="宋体"/>
          <w:color w:val="auto"/>
          <w:szCs w:val="21"/>
          <w:highlight w:val="none"/>
        </w:rPr>
        <w:t>持证上岗工作方案的</w:t>
      </w:r>
      <w:r>
        <w:rPr>
          <w:rFonts w:ascii="宋体" w:hAnsi="宋体"/>
          <w:color w:val="auto"/>
          <w:szCs w:val="21"/>
          <w:highlight w:val="none"/>
        </w:rPr>
        <w:t>通知</w:t>
      </w:r>
      <w:r>
        <w:rPr>
          <w:rFonts w:hint="eastAsia" w:ascii="宋体" w:hAnsi="宋体"/>
          <w:color w:val="auto"/>
          <w:szCs w:val="21"/>
          <w:highlight w:val="none"/>
        </w:rPr>
        <w:t>》（南网电网</w:t>
      </w:r>
      <w:r>
        <w:rPr>
          <w:rFonts w:ascii="宋体" w:hAnsi="宋体"/>
          <w:color w:val="auto"/>
          <w:szCs w:val="21"/>
          <w:highlight w:val="none"/>
        </w:rPr>
        <w:t>基建（</w:t>
      </w:r>
      <w:r>
        <w:rPr>
          <w:rFonts w:hint="eastAsia" w:ascii="宋体" w:hAnsi="宋体"/>
          <w:color w:val="auto"/>
          <w:szCs w:val="21"/>
          <w:highlight w:val="none"/>
        </w:rPr>
        <w:t>2015</w:t>
      </w:r>
      <w:r>
        <w:rPr>
          <w:rFonts w:ascii="宋体" w:hAnsi="宋体"/>
          <w:color w:val="auto"/>
          <w:szCs w:val="21"/>
          <w:highlight w:val="none"/>
        </w:rPr>
        <w:t>）</w:t>
      </w:r>
      <w:r>
        <w:rPr>
          <w:rFonts w:hint="eastAsia" w:ascii="宋体" w:hAnsi="宋体"/>
          <w:color w:val="auto"/>
          <w:szCs w:val="21"/>
          <w:highlight w:val="none"/>
        </w:rPr>
        <w:t>31号</w:t>
      </w:r>
      <w:r>
        <w:rPr>
          <w:rFonts w:ascii="宋体" w:hAnsi="宋体"/>
          <w:color w:val="auto"/>
          <w:szCs w:val="21"/>
          <w:highlight w:val="none"/>
        </w:rPr>
        <w:t>）</w:t>
      </w:r>
      <w:r>
        <w:rPr>
          <w:rFonts w:hint="eastAsia" w:ascii="宋体" w:hAnsi="宋体"/>
          <w:color w:val="auto"/>
          <w:szCs w:val="21"/>
          <w:highlight w:val="none"/>
        </w:rPr>
        <w:t>及</w:t>
      </w:r>
      <w:r>
        <w:rPr>
          <w:rFonts w:ascii="宋体" w:hAnsi="宋体"/>
          <w:color w:val="auto"/>
          <w:szCs w:val="21"/>
          <w:highlight w:val="none"/>
        </w:rPr>
        <w:t>附件要求</w:t>
      </w:r>
      <w:r>
        <w:rPr>
          <w:rFonts w:hint="eastAsia" w:ascii="宋体" w:hAnsi="宋体"/>
          <w:color w:val="auto"/>
          <w:szCs w:val="21"/>
          <w:highlight w:val="none"/>
        </w:rPr>
        <w:t>，管理人员、特种人员未取得有关证书或未通过中国南方电网公司安规考试和施工类相应考试。在发包人、监理人及其他相关单位检查中累计发现问题超过三次；</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）现场施工机具（含特种设备）未</w:t>
      </w:r>
      <w:r>
        <w:rPr>
          <w:rFonts w:hint="eastAsia" w:ascii="宋体" w:hAnsi="宋体"/>
          <w:color w:val="auto"/>
          <w:szCs w:val="21"/>
          <w:highlight w:val="none"/>
          <w:lang w:val="en-US" w:eastAsia="zh-CN"/>
        </w:rPr>
        <w:t>参考</w:t>
      </w:r>
      <w:r>
        <w:rPr>
          <w:rFonts w:hint="eastAsia" w:ascii="宋体" w:hAnsi="宋体"/>
          <w:color w:val="auto"/>
          <w:szCs w:val="21"/>
          <w:highlight w:val="none"/>
        </w:rPr>
        <w:t>《中国南方电网公司施工机械（具）和设备管理业务指导书（试行）》的要求进行执行，未严格按照“八步骤”要求管理。在发包人、监理人及其他相关单位检查中累计发现问题超过六次；</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）承包人未在基建项目现场推进“7S”管理，检查中累计发现问题超过六次；</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）承包人未按照国家、电力行业和中国南方电网公司</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广州市公共交通集团有限公司</w:t>
      </w:r>
      <w:r>
        <w:rPr>
          <w:rFonts w:hint="eastAsia" w:ascii="宋体" w:hAnsi="宋体"/>
          <w:color w:val="auto"/>
          <w:szCs w:val="21"/>
          <w:highlight w:val="none"/>
        </w:rPr>
        <w:t>的有关质量标准和规定，建立、健全质量管理体系且有效运转，并层层分解质量管理责任；</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）承包人未</w:t>
      </w:r>
      <w:r>
        <w:rPr>
          <w:rFonts w:hint="eastAsia" w:ascii="宋体" w:hAnsi="宋体"/>
          <w:color w:val="auto"/>
          <w:szCs w:val="21"/>
          <w:highlight w:val="none"/>
          <w:lang w:val="en-US" w:eastAsia="zh-CN"/>
        </w:rPr>
        <w:t>严格参照</w:t>
      </w:r>
      <w:r>
        <w:rPr>
          <w:rFonts w:hint="eastAsia" w:ascii="宋体" w:hAnsi="宋体"/>
          <w:color w:val="auto"/>
          <w:szCs w:val="21"/>
          <w:highlight w:val="none"/>
        </w:rPr>
        <w:t>执行《中国南方电网有限责任公司基建工程质量控制（WHS）及量化评价标准》（Q/CSG 533034-2014），未落实WHS质量控制工作，导致工程实体质量（含关键部位、工序或隐蔽工程）出现缺陷，可能影响工程性能、寿命、安全、可靠性和精度等：</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9</w:t>
      </w:r>
      <w:r>
        <w:rPr>
          <w:rFonts w:hint="eastAsia" w:ascii="宋体" w:hAnsi="宋体"/>
          <w:color w:val="auto"/>
          <w:szCs w:val="21"/>
          <w:highlight w:val="none"/>
        </w:rPr>
        <w:t>）承包人在基建施工过程中未严格</w:t>
      </w:r>
      <w:r>
        <w:rPr>
          <w:rFonts w:hint="eastAsia" w:ascii="宋体" w:hAnsi="宋体"/>
          <w:color w:val="auto"/>
          <w:szCs w:val="21"/>
          <w:highlight w:val="none"/>
          <w:lang w:val="en-US" w:eastAsia="zh-CN"/>
        </w:rPr>
        <w:t>参照</w:t>
      </w:r>
      <w:r>
        <w:rPr>
          <w:rFonts w:hint="eastAsia" w:ascii="宋体" w:hAnsi="宋体"/>
          <w:color w:val="auto"/>
          <w:szCs w:val="21"/>
          <w:highlight w:val="none"/>
        </w:rPr>
        <w:t>执行《中国南方电网有限责任公司输变电及配电工程质量验收与评定标准》进行质量验收；未结合工程施工实际情况开展三级检验工作；不配合各级主管部门或独立第三方对项目的现场监察（包含工程竣工前质量评价、竣工后质量监督）；</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10</w:t>
      </w:r>
      <w:r>
        <w:rPr>
          <w:rFonts w:hint="eastAsia" w:ascii="宋体" w:hAnsi="宋体"/>
          <w:color w:val="auto"/>
          <w:szCs w:val="21"/>
          <w:highlight w:val="none"/>
        </w:rPr>
        <w:t>）承包人将未经监理人审批同意进场使用的主要原材料、设备、构配件、半成品擅自用于本项目建设；</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11</w:t>
      </w:r>
      <w:r>
        <w:rPr>
          <w:rFonts w:hint="eastAsia" w:ascii="宋体" w:hAnsi="宋体"/>
          <w:color w:val="auto"/>
          <w:szCs w:val="21"/>
          <w:highlight w:val="none"/>
        </w:rPr>
        <w:t>）承包人未</w:t>
      </w:r>
      <w:r>
        <w:rPr>
          <w:rFonts w:hint="eastAsia" w:ascii="宋体" w:hAnsi="宋体"/>
          <w:color w:val="auto"/>
          <w:szCs w:val="21"/>
          <w:highlight w:val="none"/>
          <w:lang w:val="en-US" w:eastAsia="zh-CN"/>
        </w:rPr>
        <w:t>参考</w:t>
      </w:r>
      <w:r>
        <w:rPr>
          <w:rFonts w:hint="eastAsia" w:ascii="宋体" w:hAnsi="宋体"/>
          <w:color w:val="auto"/>
          <w:szCs w:val="21"/>
          <w:highlight w:val="none"/>
        </w:rPr>
        <w:t>南方电网公司基建承包人管理要求做好登记建档工作；</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 xml:space="preserve">D </w:t>
      </w:r>
      <w:r>
        <w:rPr>
          <w:rFonts w:hint="eastAsia" w:ascii="宋体" w:hAnsi="宋体"/>
          <w:color w:val="auto"/>
          <w:szCs w:val="21"/>
          <w:highlight w:val="none"/>
        </w:rPr>
        <w:t>进度</w:t>
      </w:r>
      <w:r>
        <w:rPr>
          <w:rFonts w:ascii="宋体" w:hAnsi="宋体"/>
          <w:color w:val="auto"/>
          <w:szCs w:val="21"/>
          <w:highlight w:val="none"/>
        </w:rPr>
        <w:t>管理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）承包人不及时制定三级进度计划的，或不及时对三级进度计划进行纠偏措施并调整计划的。</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 xml:space="preserve">E </w:t>
      </w:r>
      <w:r>
        <w:rPr>
          <w:rFonts w:hint="eastAsia" w:ascii="宋体" w:hAnsi="宋体"/>
          <w:color w:val="auto"/>
          <w:szCs w:val="21"/>
          <w:highlight w:val="none"/>
        </w:rPr>
        <w:t>造价</w:t>
      </w:r>
      <w:r>
        <w:rPr>
          <w:rFonts w:ascii="宋体" w:hAnsi="宋体"/>
          <w:color w:val="auto"/>
          <w:szCs w:val="21"/>
          <w:highlight w:val="none"/>
        </w:rPr>
        <w:t>管理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）承包人未履行合同约定造价管理义务。</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F</w:t>
      </w:r>
      <w:r>
        <w:rPr>
          <w:rFonts w:hint="eastAsia" w:ascii="宋体" w:hAnsi="宋体"/>
          <w:color w:val="auto"/>
          <w:szCs w:val="21"/>
          <w:highlight w:val="none"/>
        </w:rPr>
        <w:t xml:space="preserve"> 综合</w:t>
      </w:r>
      <w:r>
        <w:rPr>
          <w:rFonts w:ascii="宋体" w:hAnsi="宋体"/>
          <w:color w:val="auto"/>
          <w:szCs w:val="21"/>
          <w:highlight w:val="none"/>
        </w:rPr>
        <w:t>管理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）承包人未根据工程进展实际情况，及时更新信息系统数据，并保证数据质量。（详见附件 功能应用要求）</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（2）承包人没有对项目全过程中形成的文字、图表、声像等文件进行同步归档、分阶段移交。</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.1.2 如果承包人有下列行为，发包人应有权向承包人提出经济索赔，每发生一次扣除合同总额的0.2%，累计最多可扣除合同总额的1%：</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w:t>
      </w:r>
      <w:r>
        <w:rPr>
          <w:rFonts w:ascii="宋体" w:hAnsi="宋体"/>
          <w:color w:val="auto"/>
          <w:szCs w:val="21"/>
          <w:highlight w:val="none"/>
        </w:rPr>
        <w:t>安全</w:t>
      </w:r>
      <w:r>
        <w:rPr>
          <w:rFonts w:hint="eastAsia" w:ascii="宋体" w:hAnsi="宋体"/>
          <w:color w:val="auto"/>
          <w:szCs w:val="21"/>
          <w:highlight w:val="none"/>
        </w:rPr>
        <w:t>管理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（1）发生较大及以上安全质量事故；</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（2）发生一般电力安全质量事故；</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（3）在上级单位对承包人进行检查发现严重问题时；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）承包人有违反安规的事实，造成不良后果的；</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）承包人有违章指挥、违章作业的事实，造成不良后果的；</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）承包人出现违章情况，不接受《</w:t>
      </w:r>
      <w:r>
        <w:rPr>
          <w:rFonts w:hint="eastAsia" w:ascii="宋体" w:hAnsi="宋体"/>
          <w:color w:val="auto"/>
          <w:szCs w:val="21"/>
          <w:highlight w:val="none"/>
          <w:lang w:val="en-US" w:eastAsia="zh-CN"/>
        </w:rPr>
        <w:t>广州市公共交通集团有限公司（或发包人）</w:t>
      </w:r>
      <w:r>
        <w:rPr>
          <w:rFonts w:hint="eastAsia" w:ascii="宋体" w:hAnsi="宋体"/>
          <w:color w:val="auto"/>
          <w:szCs w:val="21"/>
          <w:highlight w:val="none"/>
        </w:rPr>
        <w:t>违章处罚通知单》处罚。</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 xml:space="preserve">B </w:t>
      </w:r>
      <w:r>
        <w:rPr>
          <w:rFonts w:hint="eastAsia" w:ascii="宋体" w:hAnsi="宋体"/>
          <w:color w:val="auto"/>
          <w:szCs w:val="21"/>
          <w:highlight w:val="none"/>
        </w:rPr>
        <w:t>采购管理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）在工程建设过程中承包人存在转包、违法分包及挂靠等触犯基建工作“八不准”的行为；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）承包人项目经理等管理人员长期无法到岗、到位，长期由他人代行使职责，缺岗、缺位时间累计超过45个合同日；</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C</w:t>
      </w:r>
      <w:r>
        <w:rPr>
          <w:rFonts w:ascii="宋体" w:hAnsi="宋体"/>
          <w:color w:val="auto"/>
          <w:szCs w:val="21"/>
          <w:highlight w:val="none"/>
        </w:rPr>
        <w:t xml:space="preserve"> </w:t>
      </w:r>
      <w:r>
        <w:rPr>
          <w:rFonts w:hint="eastAsia" w:ascii="宋体" w:hAnsi="宋体"/>
          <w:color w:val="auto"/>
          <w:szCs w:val="21"/>
          <w:highlight w:val="none"/>
        </w:rPr>
        <w:t>质量</w:t>
      </w:r>
      <w:r>
        <w:rPr>
          <w:rFonts w:ascii="宋体" w:hAnsi="宋体"/>
          <w:color w:val="auto"/>
          <w:szCs w:val="21"/>
          <w:highlight w:val="none"/>
        </w:rPr>
        <w:t>管理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）承包人开工、复工前不具备施工条件或未经审核批准擅自施工，未按发包人、监理人要求停工；</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）承包人对高和特高等级风险的施工作业未制定专项风险控制措施或专项风险控制措施未经审批流程擅自用于现场指导施工，未按发包人及监理人要求落实整改措施；</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）承包人未严格</w:t>
      </w:r>
      <w:r>
        <w:rPr>
          <w:rFonts w:hint="eastAsia" w:ascii="宋体" w:hAnsi="宋体"/>
          <w:color w:val="auto"/>
          <w:szCs w:val="21"/>
          <w:highlight w:val="none"/>
          <w:lang w:val="en-US" w:eastAsia="zh-CN"/>
        </w:rPr>
        <w:t>参照</w:t>
      </w:r>
      <w:r>
        <w:rPr>
          <w:rFonts w:hint="eastAsia" w:ascii="宋体" w:hAnsi="宋体"/>
          <w:color w:val="auto"/>
          <w:szCs w:val="21"/>
          <w:highlight w:val="none"/>
        </w:rPr>
        <w:t>执行《中国南方电网有限责任公司基建工程质量控制（WHS）及量化评价标准》（Q/CSG 533034-2014），未落实WHS质量控制工作，导致工程实体质量（含关键部位、工序或隐蔽工程）出现缺陷，严重影响工程性能、寿命、安全、可靠性和精度等：</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）工程存在质量事故或质量缺陷，启动质量追溯流程，承包人除上述经济索赔外，还进行通报批评，或在3个月内其评标中扣1-3分，或停止其3个月内参与投标及分包工程的资格的处罚。</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 xml:space="preserve">D </w:t>
      </w:r>
      <w:r>
        <w:rPr>
          <w:rFonts w:hint="eastAsia" w:ascii="宋体" w:hAnsi="宋体"/>
          <w:color w:val="auto"/>
          <w:szCs w:val="21"/>
          <w:highlight w:val="none"/>
        </w:rPr>
        <w:t>综合</w:t>
      </w:r>
      <w:r>
        <w:rPr>
          <w:rFonts w:ascii="宋体" w:hAnsi="宋体"/>
          <w:color w:val="auto"/>
          <w:szCs w:val="21"/>
          <w:highlight w:val="none"/>
        </w:rPr>
        <w:t>管理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）承包人未</w:t>
      </w:r>
      <w:r>
        <w:rPr>
          <w:rFonts w:hint="eastAsia" w:ascii="宋体" w:hAnsi="宋体"/>
          <w:color w:val="auto"/>
          <w:szCs w:val="21"/>
          <w:highlight w:val="none"/>
          <w:lang w:val="en-US" w:eastAsia="zh-CN"/>
        </w:rPr>
        <w:t>参考</w:t>
      </w:r>
      <w:r>
        <w:rPr>
          <w:rFonts w:hint="eastAsia" w:ascii="宋体" w:hAnsi="宋体"/>
          <w:color w:val="auto"/>
          <w:szCs w:val="21"/>
          <w:highlight w:val="none"/>
        </w:rPr>
        <w:t>《南方电网公司基建承包商管理业务指导书》要求完成登记建档工作，经三次警告后仍未按要求完成登记建档工作的；</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）在项目投产后30天内，未向建设单位业主</w:t>
      </w:r>
      <w:r>
        <w:rPr>
          <w:rFonts w:ascii="宋体" w:hAnsi="宋体"/>
          <w:color w:val="auto"/>
          <w:szCs w:val="21"/>
          <w:highlight w:val="none"/>
        </w:rPr>
        <w:t>项目部</w:t>
      </w:r>
      <w:r>
        <w:rPr>
          <w:rFonts w:hint="eastAsia" w:ascii="宋体" w:hAnsi="宋体"/>
          <w:color w:val="auto"/>
          <w:szCs w:val="21"/>
          <w:highlight w:val="none"/>
        </w:rPr>
        <w:t>移交项目档案，档案资料不齐全；</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）发生拖欠民工工资导致群体性事件造成恶劣社会影响的；</w:t>
      </w:r>
      <w:r>
        <w:rPr>
          <w:rFonts w:ascii="宋体" w:hAnsi="宋体"/>
          <w:color w:val="auto"/>
          <w:szCs w:val="21"/>
          <w:highlight w:val="none"/>
        </w:rPr>
        <w:t xml:space="preserve">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）承包人根据工程进展实际情况，未及时更新信息系统数据，不配合完成信息系统填报的情况，经三次警告后仍未按要求完成工作的。</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（5）承包人未能及时、准确、完整地在规定时间内完成电子化移交或参数移交。</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 xml:space="preserve">E </w:t>
      </w:r>
      <w:r>
        <w:rPr>
          <w:rFonts w:hint="eastAsia" w:ascii="宋体" w:hAnsi="宋体"/>
          <w:color w:val="auto"/>
          <w:szCs w:val="21"/>
          <w:highlight w:val="none"/>
        </w:rPr>
        <w:t>造价</w:t>
      </w:r>
      <w:r>
        <w:rPr>
          <w:rFonts w:ascii="宋体" w:hAnsi="宋体"/>
          <w:color w:val="auto"/>
          <w:szCs w:val="21"/>
          <w:highlight w:val="none"/>
        </w:rPr>
        <w:t>管理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）承包人未履行合同约定造价管理义务，经三次书面警告仍未履行的。</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F</w:t>
      </w:r>
      <w:r>
        <w:rPr>
          <w:rFonts w:ascii="宋体" w:hAnsi="宋体"/>
          <w:color w:val="auto"/>
          <w:szCs w:val="21"/>
          <w:highlight w:val="none"/>
        </w:rPr>
        <w:t xml:space="preserve"> </w:t>
      </w:r>
      <w:r>
        <w:rPr>
          <w:rFonts w:hint="eastAsia" w:ascii="宋体" w:hAnsi="宋体"/>
          <w:color w:val="auto"/>
          <w:szCs w:val="21"/>
          <w:highlight w:val="none"/>
        </w:rPr>
        <w:t>进度</w:t>
      </w:r>
      <w:r>
        <w:rPr>
          <w:rFonts w:ascii="宋体" w:hAnsi="宋体"/>
          <w:color w:val="auto"/>
          <w:szCs w:val="21"/>
          <w:highlight w:val="none"/>
        </w:rPr>
        <w:t>管理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）承包人未</w:t>
      </w:r>
      <w:r>
        <w:rPr>
          <w:rFonts w:hint="eastAsia" w:ascii="宋体" w:hAnsi="宋体"/>
          <w:color w:val="auto"/>
          <w:szCs w:val="21"/>
          <w:highlight w:val="none"/>
          <w:lang w:val="en-US" w:eastAsia="zh-CN"/>
        </w:rPr>
        <w:t>按照广州市公共交通集团有限公司</w:t>
      </w:r>
      <w:r>
        <w:rPr>
          <w:rFonts w:hint="eastAsia" w:ascii="宋体" w:hAnsi="宋体"/>
          <w:color w:val="auto"/>
          <w:szCs w:val="21"/>
          <w:highlight w:val="none"/>
        </w:rPr>
        <w:t>相关规定，编制、执行三级进度计划，发生工程进度失控；</w:t>
      </w:r>
    </w:p>
    <w:p>
      <w:pPr>
        <w:pStyle w:val="17"/>
        <w:spacing w:after="0"/>
        <w:ind w:left="0" w:leftChars="0" w:firstLine="420" w:firstLineChars="200"/>
        <w:rPr>
          <w:rFonts w:ascii="宋体" w:hAnsi="宋体"/>
          <w:b/>
          <w:color w:val="auto"/>
          <w:szCs w:val="21"/>
          <w:highlight w:val="none"/>
          <w:u w:val="single"/>
        </w:rPr>
      </w:pP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.1.3 </w:t>
      </w:r>
      <w:r>
        <w:rPr>
          <w:rFonts w:hint="eastAsia" w:ascii="宋体" w:hAnsi="宋体"/>
          <w:b/>
          <w:color w:val="auto"/>
          <w:szCs w:val="21"/>
          <w:highlight w:val="none"/>
          <w:u w:val="single"/>
        </w:rPr>
        <w:t>如果承包人有下列行为，发包人应有权向承包人提出暂停合同：</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w:t>
      </w:r>
      <w:r>
        <w:rPr>
          <w:rFonts w:ascii="宋体" w:hAnsi="宋体"/>
          <w:color w:val="auto"/>
          <w:szCs w:val="21"/>
          <w:highlight w:val="none"/>
        </w:rPr>
        <w:t xml:space="preserve"> </w:t>
      </w:r>
      <w:r>
        <w:rPr>
          <w:rFonts w:hint="eastAsia" w:ascii="宋体" w:hAnsi="宋体"/>
          <w:color w:val="auto"/>
          <w:szCs w:val="21"/>
          <w:highlight w:val="none"/>
        </w:rPr>
        <w:t>安全</w:t>
      </w:r>
      <w:r>
        <w:rPr>
          <w:rFonts w:ascii="宋体" w:hAnsi="宋体"/>
          <w:color w:val="auto"/>
          <w:szCs w:val="21"/>
          <w:highlight w:val="none"/>
        </w:rPr>
        <w:t>管理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）发生较大及以上安全质量事故，并不配合事故调查的；</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）发生一般电力安全质量事故，并不配合事故调查的；</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）承包人在发生电力安全质量事故、事件后，瞒报、虚报安全事件、事故；</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）承包人有违反安规的事实，造成严重后果的；</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）承包人有违章指挥、违章作业的事实，造成严重后果的；</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w:t>
      </w:r>
      <w:r>
        <w:rPr>
          <w:rFonts w:ascii="宋体" w:hAnsi="宋体"/>
          <w:color w:val="auto"/>
          <w:szCs w:val="21"/>
          <w:highlight w:val="none"/>
        </w:rPr>
        <w:t xml:space="preserve"> </w:t>
      </w:r>
      <w:r>
        <w:rPr>
          <w:rFonts w:hint="eastAsia" w:ascii="宋体" w:hAnsi="宋体"/>
          <w:color w:val="auto"/>
          <w:szCs w:val="21"/>
          <w:highlight w:val="none"/>
        </w:rPr>
        <w:t>采购</w:t>
      </w:r>
      <w:r>
        <w:rPr>
          <w:rFonts w:ascii="宋体" w:hAnsi="宋体"/>
          <w:color w:val="auto"/>
          <w:szCs w:val="21"/>
          <w:highlight w:val="none"/>
        </w:rPr>
        <w:t>管理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）在工程建设过程中承包人存在转包、违法分包及挂靠等触犯基建工作“八不准”的行为，且拒不整改，除进行上述处罚外，还停止其3- 12个月内参与投标及分包工程的资格。</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 xml:space="preserve">C </w:t>
      </w:r>
      <w:r>
        <w:rPr>
          <w:rFonts w:hint="eastAsia" w:ascii="宋体" w:hAnsi="宋体"/>
          <w:color w:val="auto"/>
          <w:szCs w:val="21"/>
          <w:highlight w:val="none"/>
        </w:rPr>
        <w:t>质量</w:t>
      </w:r>
      <w:r>
        <w:rPr>
          <w:rFonts w:ascii="宋体" w:hAnsi="宋体"/>
          <w:color w:val="auto"/>
          <w:szCs w:val="21"/>
          <w:highlight w:val="none"/>
        </w:rPr>
        <w:t>管理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）在工程建设过程中，由于承包人未按合同约定履行职责，给发包人造成巨大经济损失。</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D</w:t>
      </w:r>
      <w:r>
        <w:rPr>
          <w:rFonts w:ascii="宋体" w:hAnsi="宋体"/>
          <w:color w:val="auto"/>
          <w:szCs w:val="21"/>
          <w:highlight w:val="none"/>
        </w:rPr>
        <w:t xml:space="preserve"> </w:t>
      </w:r>
      <w:r>
        <w:rPr>
          <w:rFonts w:hint="eastAsia" w:ascii="宋体" w:hAnsi="宋体"/>
          <w:color w:val="auto"/>
          <w:szCs w:val="21"/>
          <w:highlight w:val="none"/>
        </w:rPr>
        <w:t>综合</w:t>
      </w:r>
      <w:r>
        <w:rPr>
          <w:rFonts w:ascii="宋体" w:hAnsi="宋体"/>
          <w:color w:val="auto"/>
          <w:szCs w:val="21"/>
          <w:highlight w:val="none"/>
        </w:rPr>
        <w:t>管理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（1）若发现承包人有伪造、变造企业有关资料、工程结算文件等不诚信行为。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 xml:space="preserve">）承包人造成恶劣影响的社会事件的。 </w:t>
      </w:r>
    </w:p>
    <w:p>
      <w:pPr>
        <w:pStyle w:val="17"/>
        <w:spacing w:after="0"/>
        <w:ind w:left="0" w:leftChars="0" w:firstLine="420" w:firstLineChars="200"/>
        <w:rPr>
          <w:rFonts w:ascii="宋体" w:hAnsi="宋体"/>
          <w:b/>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.1.4 </w:t>
      </w:r>
      <w:r>
        <w:rPr>
          <w:rFonts w:hint="eastAsia" w:ascii="宋体" w:hAnsi="宋体"/>
          <w:b/>
          <w:color w:val="auto"/>
          <w:szCs w:val="21"/>
          <w:highlight w:val="none"/>
        </w:rPr>
        <w:t>如果承包人有下列行为，发包人应有权终止合同：</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w:t>
      </w:r>
      <w:r>
        <w:rPr>
          <w:rFonts w:ascii="宋体" w:hAnsi="宋体"/>
          <w:color w:val="auto"/>
          <w:szCs w:val="21"/>
          <w:highlight w:val="none"/>
        </w:rPr>
        <w:t xml:space="preserve"> </w:t>
      </w:r>
      <w:r>
        <w:rPr>
          <w:rFonts w:hint="eastAsia" w:ascii="宋体" w:hAnsi="宋体"/>
          <w:color w:val="auto"/>
          <w:szCs w:val="21"/>
          <w:highlight w:val="none"/>
        </w:rPr>
        <w:t>安全</w:t>
      </w:r>
      <w:r>
        <w:rPr>
          <w:rFonts w:ascii="宋体" w:hAnsi="宋体"/>
          <w:color w:val="auto"/>
          <w:szCs w:val="21"/>
          <w:highlight w:val="none"/>
        </w:rPr>
        <w:t>管理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）承包人在施工中发生较大及以上电力安全质量事故，且恶意隐瞒事故或破坏现场；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）承包人在施工中发生一般电力安全质量事故，且恶意隐瞒事故或破坏现场，后果严重的；</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）承包人有违反安规的事实，造成严重后果且不能容忍的；</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）承包人有违章指挥、违章作业的事实，造成严重后果且不能容忍的；</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D综合</w:t>
      </w:r>
      <w:r>
        <w:rPr>
          <w:rFonts w:ascii="宋体" w:hAnsi="宋体"/>
          <w:color w:val="auto"/>
          <w:szCs w:val="21"/>
          <w:highlight w:val="none"/>
        </w:rPr>
        <w:t>管理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（1）承包人因违反国家有关的法律法规，并被政府部门追究民事责任、行政责任和刑事责任，不具备执行合同能力；</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）承包人被建设行政主管部门给予处罚，因企业资质等级降低或被吊销资质证书，导致资质等级已不满足承揽本合同业务范围。</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）承包人造成恶劣影响社会事件，且不能容忍的。</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.1.5 承包人</w:t>
      </w:r>
      <w:r>
        <w:rPr>
          <w:rFonts w:ascii="宋体" w:hAnsi="宋体"/>
          <w:color w:val="auto"/>
          <w:szCs w:val="21"/>
          <w:highlight w:val="none"/>
        </w:rPr>
        <w:t>考核</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（1）若承包人连续两年呈红灯状态(N≥12分)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发包人还有权停止其12个月内参与</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rPr>
        <w:t>工程投标及承接分包工程资格（或经公司决定延长），以及以下处罚：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①不认可原审核钻级；</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②停止本年度及下一年度前6个月审核安排；</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③取消原钻级招标加分。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（2）若承包人一年呈红灯状态(N≥12分)，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发包人还有权立即取消其评价结果，待处罚期满验收合格后，由原评价单位对该承包人上一年度评价结果进行修正，并停止其3-12个月内参与</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rPr>
        <w:t>投标及承接分包工程资格（情节严重的，经公司决定可延长），同时进行以下处罚：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①所认可的审核钻级降两级；</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②停止本年度审核安排；</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③一年内取消招标加分。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（3）若承包人连续两年呈黄灯状态（6分≤N＜12分）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发包人还有权停止其3-12个月内参与</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rPr>
        <w:t>工程投标及承接分包工程资格，同时进行以下处罚：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①所认可的审核钻级降一级；</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②停止本年度审核安排；</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③一年内取消招标加分。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（4）若承包人一年呈黄灯状态（6分≤N＜12分）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发包人还有权要求企业安全第一责任人及分管负责人参加公司组织的安全教育以及在专题会议上发言，不按要求参加安全教育或未通过考核的将对该承包人处以暂停承接</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rPr>
        <w:t>工程资格三个月的处罚（从处罚生效之日起计算），同时进行以下处罚：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①对原审核钻级进行复核；</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②停止本年度审核安排；</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③一年内在复核钻级招标加分基础上扣减0.5分。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）工程建设过程中发生一、二级电力安全事件，承包人还需在其3-6个月内评标中扣1-3分，或停止其3-6个月内参与投标及分包工程的资格；</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）承包人违反国家工程建设强制性条文标准、技术规程规范，造成严重后果，还需在3-6个月内其评标中扣1-3分，或停止其3-6个月内参与投标及分包工程的资格。</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）发生较大及以上安全质量事故，对承包人进行如下惩罚：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①停止其12- 24个月内参与投标及分包工程的资格；</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②不认可其安全生产风险管理体系原审核钻级，取消原钻级招标加分；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③停止其本年度及下一年度前6个月安全生产风险管理体系审核安排；</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）发生一般电力安全质量事故，进行如下惩罚：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①停止其3- 12个月内参与投标及分包工程的资格；</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②不认可其安全生产风险管理体系原审核钻级，取消原钻级招标加分；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③停止其本年度及下一年度前6个月安全生产风险管理体系审核安排；</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9</w:t>
      </w:r>
      <w:r>
        <w:rPr>
          <w:rFonts w:hint="eastAsia" w:ascii="宋体" w:hAnsi="宋体"/>
          <w:color w:val="auto"/>
          <w:szCs w:val="21"/>
          <w:highlight w:val="none"/>
        </w:rPr>
        <w:t>）在上级单位对承包人进行检查发现严重问题时，进行如下惩罚：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①国家层面检查发现的严重安全问题，直接扣减安全生产风险管理体系审核结1.5分；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②网公司检查发现的严重安全问题，直接扣减安全生产风险管理体系审核结1.0分；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③省公司检查发现的严重安全问题，直接扣减安全生产风险管理体系审核结0.5分；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10</w:t>
      </w:r>
      <w:r>
        <w:rPr>
          <w:rFonts w:hint="eastAsia" w:ascii="宋体" w:hAnsi="宋体"/>
          <w:color w:val="auto"/>
          <w:szCs w:val="21"/>
          <w:highlight w:val="none"/>
        </w:rPr>
        <w:t>）在工程建设过程中承包人存在转包、违法分包及挂靠等触犯基建安全“八不准”的行为，停止其3- 12个月内参与投标及分包工程的资格；</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11</w:t>
      </w:r>
      <w:r>
        <w:rPr>
          <w:rFonts w:hint="eastAsia" w:ascii="宋体" w:hAnsi="宋体"/>
          <w:color w:val="auto"/>
          <w:szCs w:val="21"/>
          <w:highlight w:val="none"/>
        </w:rPr>
        <w:t>）工程存在质量事故或质量缺陷，启动质量追溯流程，对承包人在3个月内其评标中扣1-3分，或停止其3个月内参与投标及分包工程的资格的处罚。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.2 奖励</w:t>
      </w:r>
      <w:r>
        <w:rPr>
          <w:rFonts w:ascii="宋体" w:hAnsi="宋体"/>
          <w:color w:val="auto"/>
          <w:szCs w:val="21"/>
          <w:highlight w:val="none"/>
        </w:rPr>
        <w:t>权利</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承包人有下列良好表现，发包人应有权实施奖励</w:t>
      </w:r>
      <w:r>
        <w:rPr>
          <w:rFonts w:ascii="宋体" w:hAnsi="宋体"/>
          <w:color w:val="auto"/>
          <w:szCs w:val="21"/>
          <w:highlight w:val="none"/>
        </w:rPr>
        <w:t>措施，具体包括：</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）发包人</w:t>
      </w:r>
      <w:r>
        <w:rPr>
          <w:rFonts w:hint="eastAsia" w:ascii="宋体" w:hAnsi="宋体"/>
          <w:color w:val="auto"/>
          <w:szCs w:val="21"/>
          <w:highlight w:val="none"/>
        </w:rPr>
        <w:t>可根据有关规定，对获奖单位及做出突出贡献的人员，给予精神和物质奖励。</w:t>
      </w:r>
    </w:p>
    <w:p>
      <w:pPr>
        <w:pStyle w:val="17"/>
        <w:spacing w:after="0"/>
        <w:ind w:left="0" w:leftChars="0" w:firstLine="420" w:firstLineChars="200"/>
        <w:rPr>
          <w:rFonts w:hint="eastAsia" w:ascii="宋体" w:hAnsi="宋体"/>
          <w:color w:val="auto"/>
          <w:szCs w:val="21"/>
          <w:highlight w:val="none"/>
          <w:u w:val="singl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rPr>
        <w:t>其他</w:t>
      </w:r>
      <w:r>
        <w:rPr>
          <w:rFonts w:ascii="宋体" w:hAnsi="宋体"/>
          <w:color w:val="auto"/>
          <w:szCs w:val="21"/>
          <w:highlight w:val="none"/>
        </w:rPr>
        <w:t>奖励：</w:t>
      </w:r>
      <w:permStart w:id="29" w:edGrp="everyone"/>
      <w:r>
        <w:rPr>
          <w:rFonts w:hint="eastAsia" w:ascii="宋体" w:hAnsi="宋体"/>
          <w:color w:val="auto"/>
          <w:szCs w:val="21"/>
          <w:highlight w:val="none"/>
          <w:u w:val="single"/>
        </w:rPr>
        <w:t xml:space="preserve">                                   </w:t>
      </w:r>
      <w:permEnd w:id="29"/>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rPr>
        <w:t>3.</w:t>
      </w:r>
      <w:r>
        <w:rPr>
          <w:rFonts w:hint="eastAsia" w:ascii="宋体"/>
          <w:color w:val="auto"/>
          <w:highlight w:val="none"/>
        </w:rPr>
        <w:tab/>
      </w:r>
      <w:r>
        <w:rPr>
          <w:rFonts w:hint="eastAsia" w:ascii="宋体"/>
          <w:color w:val="auto"/>
          <w:highlight w:val="none"/>
        </w:rPr>
        <w:t>工程师</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olor w:val="auto"/>
          <w:szCs w:val="21"/>
          <w:highlight w:val="none"/>
        </w:rPr>
        <w:tab/>
      </w:r>
      <w:r>
        <w:rPr>
          <w:rFonts w:hint="eastAsia" w:ascii="宋体" w:hAnsi="宋体"/>
          <w:color w:val="auto"/>
          <w:szCs w:val="21"/>
          <w:highlight w:val="none"/>
        </w:rPr>
        <w:t>工程师的职责和权力</w:t>
      </w:r>
    </w:p>
    <w:p>
      <w:pPr>
        <w:pStyle w:val="17"/>
        <w:spacing w:after="0"/>
        <w:ind w:left="0" w:leftChars="0" w:firstLine="420" w:firstLineChars="200"/>
        <w:rPr>
          <w:rFonts w:ascii="宋体" w:hAnsi="宋体"/>
          <w:color w:val="auto"/>
          <w:szCs w:val="21"/>
          <w:highlight w:val="none"/>
        </w:rPr>
      </w:pPr>
      <w:permStart w:id="30" w:edGrp="everyone"/>
      <w:r>
        <w:rPr>
          <w:rFonts w:hint="eastAsia" w:ascii="宋体" w:hAnsi="宋体"/>
          <w:color w:val="auto"/>
          <w:szCs w:val="21"/>
          <w:highlight w:val="none"/>
        </w:rPr>
        <w:t>工程师</w:t>
      </w:r>
      <w:r>
        <w:rPr>
          <w:rFonts w:ascii="宋体" w:hAnsi="宋体"/>
          <w:color w:val="auto"/>
          <w:szCs w:val="21"/>
          <w:highlight w:val="none"/>
        </w:rPr>
        <w:t>（</w:t>
      </w:r>
      <w:r>
        <w:rPr>
          <w:rFonts w:hint="eastAsia" w:ascii="宋体" w:hAnsi="宋体"/>
          <w:color w:val="auto"/>
          <w:szCs w:val="21"/>
          <w:highlight w:val="none"/>
        </w:rPr>
        <w:t>监理单位</w:t>
      </w:r>
      <w:r>
        <w:rPr>
          <w:rFonts w:ascii="宋体" w:hAnsi="宋体"/>
          <w:color w:val="auto"/>
          <w:szCs w:val="21"/>
          <w:highlight w:val="none"/>
        </w:rPr>
        <w:t>名称）</w:t>
      </w:r>
      <w:r>
        <w:rPr>
          <w:rFonts w:hint="eastAsia" w:ascii="宋体" w:hAnsi="宋体"/>
          <w:color w:val="auto"/>
          <w:szCs w:val="21"/>
          <w:highlight w:val="none"/>
        </w:rPr>
        <w:t>：</w:t>
      </w:r>
      <w:r>
        <w:rPr>
          <w:rFonts w:ascii="宋体" w:hAnsi="宋体"/>
          <w:color w:val="auto"/>
          <w:szCs w:val="21"/>
          <w:highlight w:val="none"/>
          <w:u w:val="single"/>
        </w:rPr>
        <w:t>   </w:t>
      </w:r>
      <w:r>
        <w:rPr>
          <w:rFonts w:ascii="宋体" w:hAnsi="宋体"/>
          <w:color w:val="auto"/>
          <w:szCs w:val="21"/>
          <w:highlight w:val="none"/>
        </w:rPr>
        <w:t>；</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总监理工程师：</w:t>
      </w:r>
      <w:r>
        <w:rPr>
          <w:rFonts w:ascii="宋体" w:hAnsi="宋体"/>
          <w:color w:val="auto"/>
          <w:szCs w:val="21"/>
          <w:highlight w:val="none"/>
          <w:u w:val="single"/>
        </w:rPr>
        <w:t>   ；</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姓    名：</w:t>
      </w:r>
      <w:r>
        <w:rPr>
          <w:rFonts w:ascii="宋体" w:hAnsi="宋体"/>
          <w:color w:val="auto"/>
          <w:szCs w:val="21"/>
          <w:highlight w:val="none"/>
          <w:u w:val="single"/>
        </w:rPr>
        <w:t>   ；</w:t>
      </w:r>
    </w:p>
    <w:p>
      <w:pPr>
        <w:pStyle w:val="17"/>
        <w:spacing w:after="0"/>
        <w:ind w:left="0" w:leftChars="0" w:firstLine="420" w:firstLineChars="200"/>
        <w:rPr>
          <w:rFonts w:ascii="宋体" w:hAnsi="宋体"/>
          <w:color w:val="auto"/>
          <w:szCs w:val="21"/>
          <w:highlight w:val="none"/>
          <w:u w:val="single"/>
        </w:rPr>
      </w:pPr>
      <w:r>
        <w:rPr>
          <w:rFonts w:ascii="宋体" w:hAnsi="宋体"/>
          <w:color w:val="auto"/>
          <w:szCs w:val="21"/>
          <w:highlight w:val="none"/>
        </w:rPr>
        <w:t>监理工程师执业资格证书号：</w:t>
      </w:r>
      <w:r>
        <w:rPr>
          <w:rFonts w:ascii="宋体" w:hAnsi="宋体"/>
          <w:color w:val="auto"/>
          <w:szCs w:val="21"/>
          <w:highlight w:val="none"/>
          <w:u w:val="single"/>
        </w:rPr>
        <w:t>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身份证号：</w:t>
      </w:r>
      <w:r>
        <w:rPr>
          <w:rFonts w:hint="eastAsia" w:ascii="宋体" w:hAnsi="宋体"/>
          <w:color w:val="auto"/>
          <w:szCs w:val="21"/>
          <w:highlight w:val="none"/>
          <w:u w:val="single"/>
        </w:rPr>
        <w:t xml:space="preserve">                                 </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 ；</w:t>
      </w:r>
    </w:p>
    <w:p>
      <w:pPr>
        <w:pStyle w:val="17"/>
        <w:spacing w:after="0"/>
        <w:ind w:left="0" w:leftChars="0" w:firstLine="420" w:firstLineChars="200"/>
        <w:rPr>
          <w:rFonts w:ascii="宋体" w:hAnsi="宋体"/>
          <w:color w:val="auto"/>
          <w:szCs w:val="21"/>
          <w:highlight w:val="none"/>
          <w:u w:val="single"/>
        </w:rPr>
      </w:pPr>
      <w:r>
        <w:rPr>
          <w:rFonts w:ascii="宋体" w:hAnsi="宋体"/>
          <w:color w:val="auto"/>
          <w:szCs w:val="21"/>
          <w:highlight w:val="none"/>
        </w:rPr>
        <w:t>电子信箱：</w:t>
      </w:r>
      <w:r>
        <w:rPr>
          <w:rFonts w:ascii="宋体" w:hAnsi="宋体"/>
          <w:color w:val="auto"/>
          <w:szCs w:val="21"/>
          <w:highlight w:val="none"/>
          <w:u w:val="single"/>
        </w:rPr>
        <w:t>   ；</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   ；</w:t>
      </w:r>
    </w:p>
    <w:permEnd w:id="30"/>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工程师在行使以下权力前需要经发包人事先批准：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（1）对工程质量、进度有影响的事件处理作出决定时；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（2）有违背初步设计原则的决定作出之时；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（3）事件处理的结果对工程建成后的运行有影响时；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（4）事件处理的结果需要追加投资时；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（5）处理重大设计变更时；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（6）工程进行过程中需要再分包时；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（7）事件处理对项目发包人履行合同有较大影响时；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（8）除了在合同中有明文规定外，监理工程师无权变更合同文件，无权免除合同规定的承包人的义务。</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w:t>
      </w:r>
      <w:r>
        <w:rPr>
          <w:rFonts w:hint="eastAsia" w:ascii="宋体" w:hAnsi="宋体"/>
          <w:color w:val="auto"/>
          <w:szCs w:val="21"/>
          <w:highlight w:val="none"/>
        </w:rPr>
        <w:tab/>
      </w:r>
      <w:r>
        <w:rPr>
          <w:rFonts w:hint="eastAsia" w:ascii="宋体" w:hAnsi="宋体"/>
          <w:color w:val="auto"/>
          <w:szCs w:val="21"/>
          <w:highlight w:val="none"/>
        </w:rPr>
        <w:t>工程师的撤换</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如果发包人准备撤换工程师，则必须在期望撤换日期</w:t>
      </w:r>
      <w:r>
        <w:rPr>
          <w:rFonts w:ascii="宋体" w:hAnsi="宋体"/>
          <w:color w:val="auto"/>
          <w:szCs w:val="21"/>
          <w:highlight w:val="none"/>
        </w:rPr>
        <w:t>7</w:t>
      </w:r>
      <w:r>
        <w:rPr>
          <w:rFonts w:hint="eastAsia" w:ascii="宋体" w:hAnsi="宋体"/>
          <w:color w:val="auto"/>
          <w:szCs w:val="21"/>
          <w:highlight w:val="none"/>
        </w:rPr>
        <w:t>天以前向承包人发出通知说明拟替换的工程师的名称、地址及相关经历。发包人</w:t>
      </w:r>
      <w:r>
        <w:rPr>
          <w:rFonts w:ascii="宋体" w:hAnsi="宋体"/>
          <w:color w:val="auto"/>
          <w:szCs w:val="21"/>
          <w:highlight w:val="none"/>
        </w:rPr>
        <w:t>更换工程师无需</w:t>
      </w:r>
      <w:r>
        <w:rPr>
          <w:rFonts w:hint="eastAsia" w:ascii="宋体" w:hAnsi="宋体"/>
          <w:color w:val="auto"/>
          <w:szCs w:val="21"/>
          <w:highlight w:val="none"/>
        </w:rPr>
        <w:t>征得</w:t>
      </w:r>
      <w:r>
        <w:rPr>
          <w:rFonts w:ascii="宋体" w:hAnsi="宋体"/>
          <w:color w:val="auto"/>
          <w:szCs w:val="21"/>
          <w:highlight w:val="none"/>
        </w:rPr>
        <w:t>承包人的同意。</w:t>
      </w: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rPr>
        <w:t>4.</w:t>
      </w:r>
      <w:r>
        <w:rPr>
          <w:rFonts w:hint="eastAsia" w:ascii="宋体"/>
          <w:color w:val="auto"/>
          <w:highlight w:val="none"/>
        </w:rPr>
        <w:tab/>
      </w:r>
      <w:r>
        <w:rPr>
          <w:rFonts w:hint="eastAsia" w:ascii="宋体"/>
          <w:color w:val="auto"/>
          <w:highlight w:val="none"/>
        </w:rPr>
        <w:t>承包人</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4.1 </w:t>
      </w:r>
      <w:r>
        <w:rPr>
          <w:rFonts w:hint="eastAsia" w:ascii="宋体" w:hAnsi="宋体"/>
          <w:color w:val="auto"/>
          <w:szCs w:val="21"/>
          <w:highlight w:val="none"/>
        </w:rPr>
        <w:tab/>
      </w:r>
      <w:r>
        <w:rPr>
          <w:rFonts w:hint="eastAsia" w:ascii="宋体" w:hAnsi="宋体"/>
          <w:color w:val="auto"/>
          <w:szCs w:val="21"/>
          <w:highlight w:val="none"/>
        </w:rPr>
        <w:t>承包人的一般义务</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承包人应履行的其他义务包括如下事项：</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（1）施工严格控制在规定的范围内，不允许发生越线施工。如承包人擅自越线施工引起的一切矛盾和纠纷全部由承包人承担责任。</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（2）负责恢复项目周围耕种土地遭到破坏的灌溉系统，认真、彻底、解决好，不遗留任何问题；</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（3）施工之前要认真查阅设计和有关资料，确认</w:t>
      </w:r>
      <w:r>
        <w:rPr>
          <w:rFonts w:ascii="宋体" w:hAnsi="宋体"/>
          <w:color w:val="auto"/>
          <w:szCs w:val="21"/>
          <w:highlight w:val="none"/>
        </w:rPr>
        <w:t>与发包人提供的资料相符</w:t>
      </w:r>
      <w:r>
        <w:rPr>
          <w:rFonts w:hint="eastAsia" w:ascii="宋体" w:hAnsi="宋体"/>
          <w:color w:val="auto"/>
          <w:szCs w:val="21"/>
          <w:highlight w:val="none"/>
        </w:rPr>
        <w:t>，否则引起的后果由承包人承担；</w:t>
      </w:r>
      <w:r>
        <w:rPr>
          <w:rFonts w:ascii="宋体" w:hAnsi="宋体"/>
          <w:color w:val="auto"/>
          <w:szCs w:val="21"/>
          <w:highlight w:val="none"/>
        </w:rPr>
        <w:t xml:space="preserve"> </w:t>
      </w:r>
    </w:p>
    <w:p>
      <w:pPr>
        <w:pStyle w:val="17"/>
        <w:spacing w:after="0"/>
        <w:ind w:left="0" w:leftChars="0" w:firstLine="420" w:firstLineChars="200"/>
        <w:rPr>
          <w:rFonts w:ascii="宋体" w:hAnsi="宋体"/>
          <w:strike w:val="0"/>
          <w:dstrike w:val="0"/>
          <w:color w:val="auto"/>
          <w:szCs w:val="21"/>
          <w:highlight w:val="none"/>
        </w:rPr>
      </w:pPr>
      <w:r>
        <w:rPr>
          <w:rFonts w:hint="eastAsia" w:ascii="宋体" w:hAnsi="宋体"/>
          <w:strike w:val="0"/>
          <w:dstrike w:val="0"/>
          <w:color w:val="auto"/>
          <w:szCs w:val="21"/>
          <w:highlight w:val="none"/>
        </w:rPr>
        <w:t>（</w:t>
      </w:r>
      <w:r>
        <w:rPr>
          <w:rFonts w:hint="eastAsia" w:ascii="宋体" w:hAnsi="宋体"/>
          <w:strike w:val="0"/>
          <w:dstrike w:val="0"/>
          <w:color w:val="auto"/>
          <w:szCs w:val="21"/>
          <w:highlight w:val="none"/>
          <w:lang w:val="en-US" w:eastAsia="zh-CN"/>
        </w:rPr>
        <w:t>4</w:t>
      </w:r>
      <w:r>
        <w:rPr>
          <w:rFonts w:hint="eastAsia" w:ascii="宋体" w:hAnsi="宋体"/>
          <w:strike w:val="0"/>
          <w:dstrike w:val="0"/>
          <w:color w:val="auto"/>
          <w:szCs w:val="21"/>
          <w:highlight w:val="none"/>
        </w:rPr>
        <w:t xml:space="preserve">）（电缆线路部分）负责办理与市城规、市政、园林、交警、城监、公路等部门联系办理施工许可的申请手续；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）设备、器材该进库的必须要进库存放，库房必须满足设备、器材保管的要求；</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）工程建设过程中，承包人对外的交涉与纠纷，以及所造成的损失，除招标文件中有明确规定者外，均由承包人自行解决。如确需发包人进行协调时，协调解决问题所发生的一切费用仍由承包人承担；</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应在工地提供发包人、工程监理办公室，面积不小于30㎡(应配有空调机)。承包方在施工时应给予适当的保护，维持用水、用电、排污、电话线及所有现有的设施，并在发包人要求时拆除及修复受影响的地方，有关的用水、用电、排污等费用由承包人负责。</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）发包人提供的材料设备运至承包人的材料站，由承包人负责卸车、保管。</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消灭病虫害措施：承包人应自始至终采取必要的预防措施保护在现场所雇的职员和工人免受病虫害、老鼠和其他害虫的侵害，减少对健康的威胁以及由之造成的普遍的危害。承包人应向职员和工人提供预防疟疾的适当的预防药品，并采取措施防止造成水池污浊。承包人应遵守当地卫生部门一切有关规定，特别是安排用经批准使用的杀虫剂对所有在建现场的房屋进行彻底喷洒，对这一处理应至少每年进行一次或根据监理工程师的指示进行。</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）食物供应：承包人为了合同之目的及与合同有关事宜，应安排向其职员及工人或其分包商供应足够的、价格 合理的、合适的食品。</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供水：承包人根据当地条件只要合理可行时，应在现场为职员和工人提供足够的饮用水和其他生活用水。</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）节假日及宗教习惯：承包人在处理其职员与工人的一切事务时，应对公认的节日、休息日、宗教习惯和其他习俗应依法进行。</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ascii="宋体" w:hAnsi="宋体"/>
          <w:color w:val="auto"/>
          <w:szCs w:val="21"/>
          <w:highlight w:val="none"/>
        </w:rPr>
        <w:t>）造价管理</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1）承包人投标报价和工程结算应符合《南方电网公司基建项目造价信息化规约》要求</w:t>
      </w:r>
      <w:r>
        <w:rPr>
          <w:rFonts w:hint="eastAsia" w:ascii="宋体" w:hAnsi="宋体"/>
          <w:color w:val="auto"/>
          <w:szCs w:val="21"/>
          <w:highlight w:val="none"/>
        </w:rPr>
        <w:t>；</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承包人负责在变更执行完毕或签证发生后5个工作日内，上报变更完工工程量或提出工程量签证；负责按基建项目工程建设合同管理业务指导书中完工工程量确认表确认并按季度汇总上报。</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b/>
          <w:color w:val="auto"/>
          <w:szCs w:val="21"/>
          <w:highlight w:val="none"/>
        </w:rPr>
        <w:t>承包人承诺已仔细阅读合同中列明的中国南方电网有限公司</w:t>
      </w:r>
      <w:r>
        <w:rPr>
          <w:rFonts w:hint="eastAsia" w:ascii="宋体" w:hAnsi="宋体"/>
          <w:b/>
          <w:color w:val="auto"/>
          <w:szCs w:val="21"/>
          <w:highlight w:val="none"/>
          <w:lang w:eastAsia="zh-CN"/>
        </w:rPr>
        <w:t>、</w:t>
      </w:r>
      <w:r>
        <w:rPr>
          <w:rFonts w:hint="eastAsia" w:ascii="宋体" w:hAnsi="宋体"/>
          <w:b/>
          <w:bCs/>
          <w:color w:val="auto"/>
          <w:szCs w:val="21"/>
          <w:highlight w:val="none"/>
          <w:lang w:val="en-US" w:eastAsia="zh-CN"/>
        </w:rPr>
        <w:t>广州市公共交通集团有限公司</w:t>
      </w:r>
      <w:r>
        <w:rPr>
          <w:rFonts w:hint="eastAsia" w:ascii="宋体" w:hAnsi="宋体"/>
          <w:b/>
          <w:bCs/>
          <w:color w:val="auto"/>
          <w:szCs w:val="21"/>
          <w:highlight w:val="none"/>
        </w:rPr>
        <w:t>基建</w:t>
      </w:r>
      <w:r>
        <w:rPr>
          <w:rFonts w:hint="eastAsia" w:ascii="宋体" w:hAnsi="宋体"/>
          <w:b/>
          <w:bCs/>
          <w:color w:val="auto"/>
          <w:szCs w:val="21"/>
          <w:highlight w:val="none"/>
          <w:lang w:val="en-US" w:eastAsia="zh-CN"/>
        </w:rPr>
        <w:t>项目</w:t>
      </w:r>
      <w:r>
        <w:rPr>
          <w:rFonts w:hint="eastAsia" w:ascii="宋体" w:hAnsi="宋体"/>
          <w:b/>
          <w:bCs/>
          <w:color w:val="auto"/>
          <w:szCs w:val="21"/>
          <w:highlight w:val="none"/>
        </w:rPr>
        <w:t>管</w:t>
      </w:r>
      <w:r>
        <w:rPr>
          <w:rFonts w:hint="eastAsia" w:ascii="宋体" w:hAnsi="宋体"/>
          <w:b/>
          <w:color w:val="auto"/>
          <w:szCs w:val="21"/>
          <w:highlight w:val="none"/>
        </w:rPr>
        <w:t>理各项管理规定，在项目执行过程中自愿服从并严格遵守合同【附件 各项管理制度清单】中各项管理规定的要求（如项目执行过程中，有最新文件，以最新文件为准），在项目执行期间如若违反相关条款，承包人自愿接受发包人相关的处罚（如通报批评、承包人考核扣分、停止投标资格以及依照合同额相关比例进行扣罚）。</w:t>
      </w:r>
    </w:p>
    <w:p>
      <w:pPr>
        <w:pStyle w:val="17"/>
        <w:spacing w:after="0"/>
        <w:ind w:left="0" w:leftChars="0" w:firstLine="420" w:firstLineChars="200"/>
        <w:outlineLvl w:val="3"/>
        <w:rPr>
          <w:rFonts w:ascii="宋体" w:hAnsi="宋体"/>
          <w:color w:val="auto"/>
          <w:szCs w:val="21"/>
          <w:highlight w:val="none"/>
        </w:rPr>
      </w:pPr>
      <w:r>
        <w:rPr>
          <w:rFonts w:ascii="宋体" w:hAnsi="宋体"/>
          <w:color w:val="auto"/>
          <w:szCs w:val="21"/>
          <w:highlight w:val="none"/>
        </w:rPr>
        <w:t>4.2</w:t>
      </w:r>
      <w:r>
        <w:rPr>
          <w:rFonts w:hint="eastAsia" w:ascii="宋体" w:hAnsi="宋体"/>
          <w:color w:val="auto"/>
          <w:szCs w:val="21"/>
          <w:highlight w:val="none"/>
        </w:rPr>
        <w:t xml:space="preserve"> 履约保证</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承包人是否提供履约担保：</w:t>
      </w:r>
      <w:permStart w:id="31" w:edGrp="everyone"/>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ermEnd w:id="31"/>
      <w:r>
        <w:rPr>
          <w:rFonts w:hint="eastAsia" w:ascii="宋体" w:hAnsi="宋体"/>
          <w:color w:val="auto"/>
          <w:szCs w:val="21"/>
          <w:highlight w:val="none"/>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如有履约担保，承包人提供履约担保的形式、金额及期限的：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（a）履约担保的有效期为：自发包人与承包人签订的合同生效之日起至发包人签发工程接收证书之日止。</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（b）履约担保的金额为：合同总价的</w:t>
      </w:r>
      <w:permStart w:id="32"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5</w:t>
      </w:r>
      <w:r>
        <w:rPr>
          <w:rFonts w:hint="eastAsia" w:ascii="宋体" w:hAnsi="宋体"/>
          <w:color w:val="auto"/>
          <w:szCs w:val="21"/>
          <w:highlight w:val="none"/>
        </w:rPr>
        <w:t>％</w:t>
      </w:r>
      <w:permEnd w:id="32"/>
      <w:r>
        <w:rPr>
          <w:rFonts w:hint="eastAsia" w:ascii="宋体" w:hAnsi="宋体"/>
          <w:color w:val="auto"/>
          <w:szCs w:val="21"/>
          <w:highlight w:val="none"/>
        </w:rPr>
        <w:t>，计为：</w:t>
      </w:r>
      <w:permStart w:id="33" w:edGrp="everyone"/>
      <w:r>
        <w:rPr>
          <w:rFonts w:hint="eastAsia" w:ascii="宋体" w:hAnsi="宋体"/>
          <w:color w:val="auto"/>
          <w:szCs w:val="21"/>
          <w:highlight w:val="none"/>
          <w:u w:val="single"/>
        </w:rPr>
        <w:t xml:space="preserve">    </w:t>
      </w:r>
      <w:permEnd w:id="33"/>
      <w:r>
        <w:rPr>
          <w:rFonts w:hint="eastAsia" w:ascii="宋体" w:hAnsi="宋体"/>
          <w:color w:val="auto"/>
          <w:szCs w:val="21"/>
          <w:highlight w:val="none"/>
        </w:rPr>
        <w:t xml:space="preserve"> 元人民币。</w:t>
      </w:r>
    </w:p>
    <w:p>
      <w:pPr>
        <w:pStyle w:val="17"/>
        <w:spacing w:after="0"/>
        <w:ind w:left="0" w:leftChars="0" w:firstLine="420" w:firstLineChars="200"/>
        <w:rPr>
          <w:rFonts w:hint="eastAsia" w:ascii="宋体" w:hAnsi="宋体" w:cs="仿宋_GB2312"/>
          <w:color w:val="auto"/>
          <w:kern w:val="0"/>
          <w:szCs w:val="21"/>
          <w:highlight w:val="none"/>
        </w:rPr>
      </w:pPr>
      <w:r>
        <w:rPr>
          <w:rFonts w:hint="eastAsia" w:ascii="宋体" w:hAnsi="宋体"/>
          <w:color w:val="auto"/>
          <w:szCs w:val="21"/>
          <w:highlight w:val="none"/>
        </w:rPr>
        <w:t>（</w:t>
      </w:r>
      <w:r>
        <w:rPr>
          <w:rFonts w:ascii="宋体" w:hAnsi="宋体"/>
          <w:color w:val="auto"/>
          <w:szCs w:val="21"/>
          <w:highlight w:val="none"/>
        </w:rPr>
        <w:t>c</w:t>
      </w:r>
      <w:r>
        <w:rPr>
          <w:rFonts w:hint="eastAsia" w:ascii="宋体" w:hAnsi="宋体"/>
          <w:color w:val="auto"/>
          <w:szCs w:val="21"/>
          <w:highlight w:val="none"/>
        </w:rPr>
        <w:t>）</w:t>
      </w:r>
      <w:r>
        <w:rPr>
          <w:rFonts w:hint="eastAsia" w:ascii="宋体" w:hAnsi="宋体" w:cs="仿宋_GB2312"/>
          <w:color w:val="auto"/>
          <w:kern w:val="0"/>
          <w:szCs w:val="21"/>
          <w:highlight w:val="none"/>
        </w:rPr>
        <w:t>履约担保</w:t>
      </w:r>
      <w:r>
        <w:rPr>
          <w:rFonts w:ascii="宋体" w:hAnsi="宋体" w:cs="仿宋_GB2312"/>
          <w:color w:val="auto"/>
          <w:kern w:val="0"/>
          <w:szCs w:val="21"/>
          <w:highlight w:val="none"/>
        </w:rPr>
        <w:t>的提交时间：在正式合同签订</w:t>
      </w:r>
      <w:r>
        <w:rPr>
          <w:rFonts w:hint="eastAsia" w:ascii="宋体" w:hAnsi="宋体" w:cs="仿宋_GB2312"/>
          <w:color w:val="auto"/>
          <w:kern w:val="0"/>
          <w:szCs w:val="21"/>
          <w:highlight w:val="none"/>
        </w:rPr>
        <w:t>后</w:t>
      </w:r>
      <w:permStart w:id="34" w:edGrp="everyone"/>
      <w:r>
        <w:rPr>
          <w:rFonts w:hint="eastAsia" w:ascii="宋体" w:hAnsi="宋体" w:cs="仿宋_GB2312"/>
          <w:color w:val="auto"/>
          <w:kern w:val="0"/>
          <w:szCs w:val="21"/>
          <w:highlight w:val="none"/>
          <w:u w:val="single"/>
        </w:rPr>
        <w:t>28天</w:t>
      </w:r>
      <w:permEnd w:id="34"/>
      <w:r>
        <w:rPr>
          <w:rFonts w:hint="eastAsia" w:ascii="宋体" w:hAnsi="宋体" w:cs="仿宋_GB2312"/>
          <w:color w:val="auto"/>
          <w:kern w:val="0"/>
          <w:szCs w:val="21"/>
          <w:highlight w:val="none"/>
        </w:rPr>
        <w:t>内</w:t>
      </w:r>
      <w:r>
        <w:rPr>
          <w:rFonts w:ascii="宋体" w:hAnsi="宋体" w:cs="仿宋_GB2312"/>
          <w:color w:val="auto"/>
          <w:kern w:val="0"/>
          <w:szCs w:val="21"/>
          <w:highlight w:val="none"/>
        </w:rPr>
        <w:t>。</w:t>
      </w:r>
    </w:p>
    <w:p>
      <w:pPr>
        <w:pStyle w:val="17"/>
        <w:spacing w:after="0"/>
        <w:ind w:left="0" w:leftChars="0" w:firstLine="420" w:firstLineChars="200"/>
        <w:rPr>
          <w:rFonts w:ascii="宋体" w:hAnsi="宋体"/>
          <w:color w:val="auto"/>
          <w:szCs w:val="21"/>
          <w:highlight w:val="none"/>
        </w:rPr>
      </w:pPr>
      <w:r>
        <w:rPr>
          <w:rFonts w:hint="eastAsia" w:ascii="宋体" w:hAnsi="宋体" w:cs="仿宋_GB2312"/>
          <w:color w:val="auto"/>
          <w:kern w:val="0"/>
          <w:szCs w:val="21"/>
          <w:highlight w:val="none"/>
        </w:rPr>
        <w:t>注：此款约定内容如与通用合同条款不一致时，以此款约定为准。</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4.3 </w:t>
      </w:r>
      <w:r>
        <w:rPr>
          <w:rFonts w:hint="eastAsia" w:ascii="宋体" w:hAnsi="宋体"/>
          <w:color w:val="auto"/>
          <w:szCs w:val="21"/>
          <w:highlight w:val="none"/>
        </w:rPr>
        <w:tab/>
      </w:r>
      <w:r>
        <w:rPr>
          <w:rFonts w:hint="eastAsia" w:ascii="宋体" w:hAnsi="宋体"/>
          <w:color w:val="auto"/>
          <w:szCs w:val="21"/>
          <w:highlight w:val="none"/>
        </w:rPr>
        <w:t>承包人项目经理</w:t>
      </w:r>
    </w:p>
    <w:p>
      <w:pPr>
        <w:pStyle w:val="17"/>
        <w:spacing w:after="0"/>
        <w:ind w:left="0" w:leftChars="0" w:firstLine="420" w:firstLineChars="200"/>
        <w:rPr>
          <w:rFonts w:ascii="宋体" w:hAnsi="宋体"/>
          <w:color w:val="auto"/>
          <w:szCs w:val="21"/>
          <w:highlight w:val="none"/>
        </w:rPr>
      </w:pPr>
      <w:permStart w:id="35" w:edGrp="everyone"/>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身份证号：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建造师执业资格等级：</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建造师注册证书号：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建造师执业印章号：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安全生产考核合格证书号：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ermEnd w:id="35"/>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承包人对承包人项目经理的授权范围如下：</w:t>
      </w:r>
    </w:p>
    <w:p>
      <w:pPr>
        <w:pStyle w:val="17"/>
        <w:spacing w:after="0"/>
        <w:ind w:left="0" w:leftChars="0" w:firstLine="420" w:firstLineChars="200"/>
        <w:rPr>
          <w:rFonts w:ascii="宋体" w:hAnsi="宋体"/>
          <w:color w:val="auto"/>
          <w:szCs w:val="21"/>
          <w:highlight w:val="none"/>
        </w:rPr>
      </w:pPr>
      <w:permStart w:id="36" w:edGrp="everyone"/>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ermEnd w:id="36"/>
      <w:r>
        <w:rPr>
          <w:rFonts w:hint="eastAsia" w:ascii="宋体" w:hAnsi="宋体"/>
          <w:color w:val="auto"/>
          <w:szCs w:val="21"/>
          <w:highlight w:val="none"/>
        </w:rPr>
        <w:t xml:space="preserve">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关于承包人项目经理每月在施工现场的时间要求：</w:t>
      </w:r>
    </w:p>
    <w:p>
      <w:pPr>
        <w:pStyle w:val="17"/>
        <w:spacing w:after="0"/>
        <w:ind w:left="0" w:leftChars="0" w:firstLine="420" w:firstLineChars="200"/>
        <w:rPr>
          <w:rFonts w:ascii="宋体" w:hAnsi="宋体"/>
          <w:color w:val="auto"/>
          <w:szCs w:val="21"/>
          <w:highlight w:val="none"/>
        </w:rPr>
      </w:pPr>
      <w:permStart w:id="37" w:edGrp="everyone"/>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ermEnd w:id="37"/>
      <w:r>
        <w:rPr>
          <w:rFonts w:hint="eastAsia" w:ascii="宋体" w:hAnsi="宋体"/>
          <w:color w:val="auto"/>
          <w:szCs w:val="21"/>
          <w:highlight w:val="none"/>
        </w:rPr>
        <w:t xml:space="preserve">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承包人项目经理未经批准，擅自离开施工现场的违约责任：</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permStart w:id="38" w:edGrp="everyone"/>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ermEnd w:id="38"/>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承包人项目</w:t>
      </w:r>
      <w:r>
        <w:rPr>
          <w:rFonts w:ascii="宋体" w:hAnsi="宋体"/>
          <w:color w:val="auto"/>
          <w:szCs w:val="21"/>
          <w:highlight w:val="none"/>
        </w:rPr>
        <w:t>管理人员的更换</w:t>
      </w:r>
      <w:r>
        <w:rPr>
          <w:rFonts w:hint="eastAsia" w:ascii="宋体" w:hAnsi="宋体"/>
          <w:color w:val="auto"/>
          <w:szCs w:val="21"/>
          <w:highlight w:val="none"/>
        </w:rPr>
        <w:t>规定：</w:t>
      </w:r>
    </w:p>
    <w:p>
      <w:pPr>
        <w:pStyle w:val="17"/>
        <w:spacing w:after="0"/>
        <w:ind w:left="0" w:leftChars="0" w:firstLine="420" w:firstLineChars="200"/>
        <w:rPr>
          <w:rFonts w:ascii="宋体" w:hAnsi="宋体"/>
          <w:color w:val="auto"/>
          <w:szCs w:val="21"/>
          <w:highlight w:val="none"/>
        </w:rPr>
      </w:pPr>
      <w:permStart w:id="39" w:edGrp="everyone"/>
      <w:r>
        <w:rPr>
          <w:rFonts w:hint="eastAsia" w:ascii="宋体" w:hAnsi="宋体"/>
          <w:color w:val="auto"/>
          <w:szCs w:val="21"/>
          <w:highlight w:val="none"/>
        </w:rPr>
        <w:t>承包人应按合同约定指派项目经理，并在约定的期限内到职。承包人更换项目经理应事先征得发包人同意，并应在更换</w:t>
      </w:r>
      <w:r>
        <w:rPr>
          <w:rFonts w:ascii="宋体" w:hAnsi="宋体"/>
          <w:color w:val="auto"/>
          <w:szCs w:val="21"/>
          <w:highlight w:val="none"/>
        </w:rPr>
        <w:t xml:space="preserve">14 </w:t>
      </w:r>
      <w:r>
        <w:rPr>
          <w:rFonts w:hint="eastAsia" w:ascii="宋体" w:hAnsi="宋体"/>
          <w:color w:val="auto"/>
          <w:szCs w:val="21"/>
          <w:highlight w:val="none"/>
        </w:rPr>
        <w:t>天前通知发包人和监理人。承包人项目经理短期离开施工场地，应事先征得监理人同意，并委派代表代行其职责。</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承包人更换项目经理，须经发包人批准同意。</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承包人更换项目总工（技术负责人）, 须经发包人批准同意。</w:t>
      </w:r>
      <w:permEnd w:id="39"/>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 xml:space="preserve">4.4 </w:t>
      </w:r>
      <w:r>
        <w:rPr>
          <w:rFonts w:hint="eastAsia" w:ascii="宋体" w:hAnsi="宋体"/>
          <w:color w:val="auto"/>
          <w:szCs w:val="21"/>
          <w:highlight w:val="none"/>
        </w:rPr>
        <w:tab/>
      </w:r>
      <w:r>
        <w:rPr>
          <w:rFonts w:hint="eastAsia" w:ascii="宋体" w:hAnsi="宋体"/>
          <w:color w:val="auto"/>
          <w:szCs w:val="21"/>
          <w:highlight w:val="none"/>
        </w:rPr>
        <w:t>分包商</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4.4.1 取得施工总承包资质的承包商可以对所承接的施工总承包工程内各专业工程全部自行施工，也可以将专业工程依法进行分包。对设有资质的专业工程进行分包时，应分包给具有相应专业承包资质的承包商。施工总承包单位将劳务作业分包时，应分包给具有施工劳务资质的承包商。但是，除本合同中约定的分包外，必须经建设单位认可。承包人按照合同的约定对建设单位负责；分包单位按照分包合同的约定对承包人负责。承包人和分包单位就分包工程对建设单位承担连带责任。禁止承包人将工程分包给不具备相应资质条件的单位。</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施工总承包的基建项目，工程主体的施工必须由总承包单位自行完成。</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取得专业承包资质的承包商可以承接具有施工总承包资质的承包商依法分包的专业工程或建设单位依法发包的专业工程。取得专业承包资质的承包商应对所承接的专业工程全部自行组织施工，劳务作业可以分包，但应分包给具有施工劳务资质的承包商。</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取得施工劳务资质的承包商可以承接具有施工总承包资质或专业承包资质的承包商分包的劳务作业。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专业分包商必须在公司进行资信档案登记，并且在资信档案记录允许的范围内承接分包工程。</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承包人在选择材料供应商时，必须</w:t>
      </w:r>
      <w:r>
        <w:rPr>
          <w:rFonts w:ascii="宋体" w:hAnsi="宋体"/>
          <w:color w:val="auto"/>
          <w:szCs w:val="21"/>
          <w:highlight w:val="none"/>
        </w:rPr>
        <w:t>征得发包人及工程师同意。</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本合同中经工程师同意，可以分包内容为【</w:t>
      </w:r>
      <w:permStart w:id="40" w:edGrp="everyone"/>
      <w:r>
        <w:rPr>
          <w:rFonts w:hint="eastAsia" w:ascii="宋体" w:hAnsi="宋体"/>
          <w:color w:val="auto"/>
          <w:szCs w:val="21"/>
          <w:highlight w:val="none"/>
        </w:rPr>
        <w:t>可选择项</w:t>
      </w:r>
      <w:permEnd w:id="40"/>
      <w:r>
        <w:rPr>
          <w:rFonts w:hint="eastAsia" w:ascii="宋体" w:hAnsi="宋体"/>
          <w:color w:val="auto"/>
          <w:szCs w:val="21"/>
          <w:highlight w:val="none"/>
        </w:rPr>
        <w:t>】：</w:t>
      </w:r>
    </w:p>
    <w:p>
      <w:pPr>
        <w:pStyle w:val="17"/>
        <w:spacing w:after="0"/>
        <w:ind w:left="0" w:leftChars="0" w:firstLine="420" w:firstLineChars="200"/>
        <w:rPr>
          <w:rFonts w:ascii="宋体" w:hAnsi="宋体"/>
          <w:color w:val="auto"/>
          <w:szCs w:val="21"/>
          <w:highlight w:val="none"/>
        </w:rPr>
      </w:pPr>
      <w:permStart w:id="41" w:edGrp="everyone"/>
      <w:r>
        <w:rPr>
          <w:rFonts w:hint="eastAsia" w:ascii="宋体" w:hAnsi="宋体"/>
          <w:color w:val="auto"/>
          <w:szCs w:val="21"/>
          <w:highlight w:val="none"/>
        </w:rPr>
        <w:t>专业分包：</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电缆工程：</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变电工程：</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17"/>
        <w:spacing w:after="0"/>
        <w:ind w:left="0" w:leftChars="0" w:firstLine="420" w:firstLineChars="200"/>
        <w:rPr>
          <w:rFonts w:ascii="宋体" w:hAnsi="宋体"/>
          <w:color w:val="auto"/>
          <w:szCs w:val="21"/>
          <w:highlight w:val="none"/>
          <w:u w:val="single"/>
        </w:rPr>
      </w:pPr>
      <w:r>
        <w:rPr>
          <w:rFonts w:hint="eastAsia" w:ascii="宋体" w:hAnsi="宋体"/>
          <w:color w:val="auto"/>
          <w:szCs w:val="21"/>
          <w:highlight w:val="none"/>
        </w:rPr>
        <w:t>劳务分包：</w:t>
      </w:r>
      <w:r>
        <w:rPr>
          <w:rFonts w:hint="eastAsia" w:ascii="宋体" w:hAnsi="宋体"/>
          <w:color w:val="auto"/>
          <w:szCs w:val="21"/>
          <w:highlight w:val="none"/>
          <w:u w:val="single"/>
        </w:rPr>
        <w:t xml:space="preserve">                                                        ；</w:t>
      </w:r>
    </w:p>
    <w:permEnd w:id="41"/>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分包单位应具备 </w:t>
      </w:r>
      <w:permStart w:id="42" w:edGrp="everyone"/>
      <w:r>
        <w:rPr>
          <w:rFonts w:hint="eastAsia" w:ascii="宋体" w:hAnsi="宋体"/>
          <w:color w:val="auto"/>
          <w:szCs w:val="21"/>
          <w:highlight w:val="none"/>
          <w:u w:val="single"/>
        </w:rPr>
        <w:t xml:space="preserve">   （资质）  </w:t>
      </w:r>
      <w:permEnd w:id="42"/>
      <w:r>
        <w:rPr>
          <w:rFonts w:hint="eastAsia" w:ascii="宋体" w:hAnsi="宋体"/>
          <w:color w:val="auto"/>
          <w:szCs w:val="21"/>
          <w:highlight w:val="none"/>
        </w:rPr>
        <w:t>。安全管理体系必须健全，近三年内未发生重大人身伤亡事故，近一年内未发生负主要责任的人身死亡事故。质量管理体系健全，具有一定的质量过程控制能力，所分包的工程在近三年内未发生重大质量事故，施工质量管理规范。</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工程项目的分包严格执行审批手续，工程师负责审批施工承包人报送的工程项目分包计划，严格控制工程分包范围。负责审批施工承包人报送的分包申请，严格审查分包商资质和业绩。定期开展工程项目分包管理检查，核查承包人是否违法分包，督促承包人加强对分包商的安全管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如承包人违法分包（如：不依靠自身力量和管理完成任务而将全标段或其中一段以合同转包或发包等），发包人有权采取下述处置措施：</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（a）责成承包人限期废止分/转包合同，立即组织自身力量投入工程，由此造成的一切后果，由承包人自己承担；</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（b）中止与承包人签订的工程承发包合同，收回承包人的全部工程任务，并罚收其全部履约保证金。项目发包人所供物资，由原承包人向新的承包人办理移交手续。</w:t>
      </w:r>
    </w:p>
    <w:p>
      <w:pPr>
        <w:pStyle w:val="17"/>
        <w:spacing w:after="0"/>
        <w:ind w:left="0" w:leftChars="0" w:firstLine="420" w:firstLineChars="200"/>
        <w:rPr>
          <w:rFonts w:hint="eastAsia" w:ascii="宋体" w:hAnsi="宋体"/>
          <w:color w:val="auto"/>
          <w:szCs w:val="21"/>
          <w:highlight w:val="none"/>
        </w:rPr>
      </w:pPr>
      <w:bookmarkStart w:id="2150" w:name="_Hlk18742069"/>
      <w:r>
        <w:rPr>
          <w:rFonts w:hint="eastAsia" w:ascii="宋体" w:hAnsi="宋体"/>
          <w:color w:val="auto"/>
          <w:szCs w:val="21"/>
          <w:highlight w:val="none"/>
        </w:rPr>
        <w:t>4.4.2劳务分包商必须在承包商或专业分包商作业班组核心人员的组织、指挥、监护下开展具体作业。施工作业班组长、安全员、技术员、质检员等核心人员由承包商或专业分包商负责指派并报业主、监理备案。</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主体工程作业、以及劳务分包中风险等级高、质量要求严的作业内容，要求必须由承包商自有施工作业班组负责实施作业，或由承包商人员担任班长兼指挥、安全员、技术员兼质检员等核心人员的施工作业班组负责实施作业。</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 xml:space="preserve">4.4.3承包商对所承包工程项目的劳务人员工资支付负总责。分包商对所招用劳务人员的工资支付负直接责任，不得以工程款未到位等为由，克扣或拖欠劳务人员工资，不得将经营风险转嫁给劳务人员。 </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承包商将工程转包、违法分包致使出现劳务人员工资拖欠的，由总承包单位依法承担清偿责任；分包商由于自身拖欠劳务人员工资的，承包商应以分包单位未结清的工程款为限，先行垫付劳务人员工资。</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4.4.4承包商对本单位及分包商信访维稳工作负总责，因未落实相关举措导致拖欠工程款、欠薪引发集体上访、群体性事件，或受到政府部门处罚的，发包人将根据认定的事件性质处置相关责任单位及责任人：</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（a）集体上访事件：主要责任人市场禁入6个月至1年，非正常上访人员市场终身禁入。</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（b）一般性群体事件：主要责任人市场禁入1至3年，非正常上访人员市场终身禁入。</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（c）较大群体性事件：主要责任人市场禁入3至5年，非正常上访人员市场终身禁入。</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（d）重大及以上群体性事件：主要责任人市场禁入5年至永久，非正常上访人员市场终身禁入。</w:t>
      </w:r>
    </w:p>
    <w:bookmarkEnd w:id="2150"/>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5</w:t>
      </w:r>
      <w:r>
        <w:rPr>
          <w:rFonts w:hint="eastAsia" w:ascii="宋体" w:hAnsi="宋体"/>
          <w:color w:val="auto"/>
          <w:szCs w:val="21"/>
          <w:highlight w:val="none"/>
        </w:rPr>
        <w:t xml:space="preserve"> </w:t>
      </w:r>
      <w:r>
        <w:rPr>
          <w:rFonts w:hint="eastAsia" w:ascii="宋体" w:hAnsi="宋体"/>
          <w:color w:val="auto"/>
          <w:szCs w:val="21"/>
          <w:highlight w:val="none"/>
        </w:rPr>
        <w:tab/>
      </w:r>
      <w:r>
        <w:rPr>
          <w:rFonts w:hint="eastAsia" w:ascii="宋体" w:hAnsi="宋体"/>
          <w:color w:val="auto"/>
          <w:szCs w:val="21"/>
          <w:highlight w:val="none"/>
        </w:rPr>
        <w:t>放线</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承包人应负责</w:t>
      </w:r>
      <w:r>
        <w:rPr>
          <w:rFonts w:hint="eastAsia" w:ascii="宋体" w:hAnsi="宋体"/>
          <w:color w:val="auto"/>
          <w:szCs w:val="21"/>
          <w:highlight w:val="none"/>
        </w:rPr>
        <w:t>复测工作包括：</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（1）根据设计文件和设计部门给定的地面原始基准点复测线路，包括线路中心线、档距、塔位标高、局部地段的断面（如有必要）、塔位十字断面（如有必要）、重要交叉跨越等。</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（2）按上述，正确补设遗失的塔位中心桩。</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如果在施工过程中，任何线路段、任何塔位的位置及其它尺寸、方向有误。承包应以自己的费用纠正。承包人应仔细保护线路塔位中心桩和测量参考桩，随时补设遗失的测桩。</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6</w:t>
      </w:r>
      <w:r>
        <w:rPr>
          <w:rFonts w:hint="eastAsia" w:ascii="宋体" w:hAnsi="宋体"/>
          <w:color w:val="auto"/>
          <w:szCs w:val="21"/>
          <w:highlight w:val="none"/>
        </w:rPr>
        <w:t xml:space="preserve"> </w:t>
      </w:r>
      <w:r>
        <w:rPr>
          <w:rFonts w:hint="eastAsia" w:ascii="宋体" w:hAnsi="宋体"/>
          <w:color w:val="auto"/>
          <w:szCs w:val="21"/>
          <w:highlight w:val="none"/>
        </w:rPr>
        <w:tab/>
      </w:r>
      <w:r>
        <w:rPr>
          <w:rFonts w:hint="eastAsia" w:ascii="宋体" w:hAnsi="宋体"/>
          <w:color w:val="auto"/>
          <w:szCs w:val="21"/>
          <w:highlight w:val="none"/>
        </w:rPr>
        <w:t>安全措施</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承包人应在开工前编制施工安全措施计划报送监理工程师审批。</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自费采取有效的预防措施，以保证其职员与工人的安全，由承包人承担的工程及其负责管理的范围内，所发生的设备、人身伤亡事故，其责任和由此发生的一切费用均由承包人负责，与当地卫生部门协作按其要求，在整个合同期间自始自终在营地住房区和工地确保配有急需设备、备用品及适用的救护服务，并且采取适当的安排以预防传染病。并提供所有必要的福利及卫生条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承包人应保持其职员和工人的安全、健康。监理工程师可以随时指示承包人提供关于人员安全、健康的报告。</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承包人必须在每日作业任务开始前，以“站班会”的形式，落实相应的安全风险控制措施。</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承包人应在工地上指派专职的安全员专门处理安全及防止所有职工人身事故的发生。这一工作人员应胜任此项工作，并有权发布各种指示及采取防止事故发生的预防措施。</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工程的施工临建等设施设在围墙以内的部分，在竣工交接验收前，承包人应以最短的时间将其拆除清理完毕，不得留下任何临建的痕迹。若施工期间临时占用了将来的运行用房，只能用于工作，不能用于住宿。使用后应立即清理打扫完毕，若对房间原有的设施有所破坏应立即恢复。</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承包人应积极参与对参建单位的评价工作。</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承包人项目安全生产的达标目标及相应事项如下</w:t>
      </w:r>
      <w:r>
        <w:rPr>
          <w:rFonts w:ascii="宋体" w:hAnsi="宋体"/>
          <w:color w:val="auto"/>
          <w:szCs w:val="21"/>
          <w:highlight w:val="none"/>
        </w:rPr>
        <w:t>约定</w:t>
      </w:r>
      <w:r>
        <w:rPr>
          <w:rFonts w:hint="eastAsia" w:ascii="宋体" w:hAnsi="宋体"/>
          <w:color w:val="auto"/>
          <w:szCs w:val="21"/>
          <w:highlight w:val="none"/>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必须按南方电网公司</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广州市公共交通集团有限公司</w:t>
      </w:r>
      <w:r>
        <w:rPr>
          <w:rFonts w:hint="eastAsia" w:ascii="宋体" w:hAnsi="宋体"/>
          <w:color w:val="auto"/>
          <w:szCs w:val="21"/>
          <w:highlight w:val="none"/>
        </w:rPr>
        <w:t>各项制度的有关要求，开展安全风险评估，制定相应的控制措施，加强落实，降低安全风险。在施工过程中，严格执行“四步法”、“八步骤”、“7S”管理，规范PPE管理，形成施工现场安全管理文化。配合发包人日常检查扣分工作。</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承包人承诺</w:t>
      </w:r>
      <w:r>
        <w:rPr>
          <w:rFonts w:ascii="宋体" w:hAnsi="宋体"/>
          <w:color w:val="auto"/>
          <w:szCs w:val="21"/>
          <w:highlight w:val="none"/>
        </w:rPr>
        <w:t>按照下述</w:t>
      </w:r>
      <w:r>
        <w:rPr>
          <w:rFonts w:hint="eastAsia" w:ascii="宋体" w:hAnsi="宋体"/>
          <w:color w:val="auto"/>
          <w:szCs w:val="21"/>
          <w:highlight w:val="none"/>
        </w:rPr>
        <w:t>各项安全</w:t>
      </w:r>
      <w:r>
        <w:rPr>
          <w:rFonts w:ascii="宋体" w:hAnsi="宋体"/>
          <w:color w:val="auto"/>
          <w:szCs w:val="21"/>
          <w:highlight w:val="none"/>
        </w:rPr>
        <w:t>管理规定执行</w:t>
      </w:r>
      <w:r>
        <w:rPr>
          <w:rFonts w:hint="eastAsia" w:ascii="宋体" w:hAnsi="宋体"/>
          <w:color w:val="auto"/>
          <w:szCs w:val="21"/>
          <w:highlight w:val="none"/>
        </w:rPr>
        <w:t>：</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（1）承包人必须严格贯彻落实国家有关安全的法律法规和电力行业规程、规范，执行中国南方电网公司</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广州市公共交通集团有限公司</w:t>
      </w:r>
      <w:r>
        <w:rPr>
          <w:rFonts w:ascii="宋体" w:hAnsi="宋体"/>
          <w:color w:val="auto"/>
          <w:szCs w:val="21"/>
          <w:highlight w:val="none"/>
        </w:rPr>
        <w:t>基建安全管理有关规定，依法建立、健全基建安全生产管理体系及安全管理制度。</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（2）承包人在基建安全管理中须贯彻安全生产方针，制定安全生产责任制， “一级对一级”负责，将安全责任制落实到项目经理、安全员、现场负责人等具体岗位。</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（3）承包人需制定管理人员到位管理制度，在基建安全管理过程中严格贯彻落实，确保管理人员到岗、到位。并接受发包人及监理人监督检查。</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（4）承包人应严格遵守《电力建设安全工作规程》，落实风险控制措施，严禁未落实安全风险控制措施开工作业。</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（5）承包人必需针对项目实际情况编写、报审施工组织设计、施工方案、专项方案和作业指导书等技术文件，技术文件制定的安全技术措施需满足安全风险控制要求。</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承包商必须严格执行</w:t>
      </w:r>
      <w:r>
        <w:rPr>
          <w:rFonts w:hint="eastAsia" w:ascii="宋体" w:hAnsi="宋体" w:cs="宋体"/>
          <w:color w:val="auto"/>
          <w:kern w:val="0"/>
          <w:szCs w:val="21"/>
          <w:highlight w:val="none"/>
        </w:rPr>
        <w:t>基建工作“八不准”细则，不准出现非法转包、非法分包和挂靠行为。不准出现“阴阳合同”</w:t>
      </w:r>
      <w:r>
        <w:rPr>
          <w:rFonts w:ascii="宋体" w:hAnsi="宋体"/>
          <w:color w:val="auto"/>
          <w:szCs w:val="21"/>
          <w:highlight w:val="none"/>
        </w:rPr>
        <w:t>。</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（7）承包人必须在每个项目进程和作业活动落实基建安全“四步法”具体如下：</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作业指导书</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承包人现场作业需正确选用对应的施工作业指导书、并准确进行差异化分析，同时保证现场实施与作业指导书是否相符。</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风险评估与控制</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承包人需在项目开工前组织辨析项目安全基准风险分析，对项目风险进行辨识、定级和分级控制，并形成《</w:t>
      </w:r>
      <w:permStart w:id="43" w:edGrp="everyone"/>
      <w:r>
        <w:rPr>
          <w:rFonts w:ascii="宋体" w:hAnsi="宋体"/>
          <w:color w:val="auto"/>
          <w:szCs w:val="21"/>
          <w:highlight w:val="none"/>
        </w:rPr>
        <w:t>项目安全基准风分析表</w:t>
      </w:r>
      <w:permEnd w:id="43"/>
      <w:r>
        <w:rPr>
          <w:rFonts w:ascii="宋体" w:hAnsi="宋体"/>
          <w:color w:val="auto"/>
          <w:szCs w:val="21"/>
          <w:highlight w:val="none"/>
        </w:rPr>
        <w:t>》，作业过程如出现重大危险源，应及时进行动态更新并在现场严格落实相关风险管控措施。</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安全施工作业票</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施工班组（队）必须保证持票作业，选择与作业指导书相对应的安全施工作业票，根据作业内容及实际情况对作业票的内容进行筛选和差异化分析，要求记录完善、填写真实、签名齐全等，同时保证现场严格按照安全施工作业票执行；</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站班会</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施工现场需有效执行“站班会”，每次作业前需组结合“站班会”对参加作业人员进行“三交”（交任务、交技术、交安全）、“三查”（查衣着、查三宝、查精神面貌），确保落实安全风险控制措施后才可开工作业，要求站班会记录完整、填写真实、签名齐全、不得以任何形式代签等。</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（8）承包人必须建立健全班组（队）的安全管理，定期开展班组安全教育培训及总结工作，认真做好安全培训、活动记录等安全信息记录和生产、施工日志等作业记录。</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（9）承包人承诺</w:t>
      </w:r>
      <w:r>
        <w:rPr>
          <w:rFonts w:hint="eastAsia" w:ascii="宋体" w:hAnsi="宋体"/>
          <w:color w:val="auto"/>
          <w:szCs w:val="21"/>
          <w:highlight w:val="none"/>
        </w:rPr>
        <w:t>执行南方电网公司《关于调整公司基建承包商人员持证上岗工作方案的通知》（南网电网基建（2015）31号）及附件要求</w:t>
      </w:r>
      <w:r>
        <w:rPr>
          <w:rFonts w:ascii="宋体" w:hAnsi="宋体"/>
          <w:color w:val="auto"/>
          <w:szCs w:val="21"/>
          <w:highlight w:val="none"/>
        </w:rPr>
        <w:t>：</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1）特种作业人员：必须取得国家或行业认可资格证书并保证在有效期内，并提供体检健康合格证明。</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2）施工承包商管理人员：必须取得相应资格证并确保证书在有效期内，需取得体检健康证明文件</w:t>
      </w:r>
      <w:r>
        <w:rPr>
          <w:rFonts w:ascii="宋体" w:hAnsi="宋体"/>
          <w:color w:val="auto"/>
          <w:szCs w:val="21"/>
          <w:highlight w:val="none"/>
        </w:rPr>
        <w:t>。</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（10）承包人需</w:t>
      </w:r>
      <w:r>
        <w:rPr>
          <w:rFonts w:hint="eastAsia" w:ascii="宋体" w:hAnsi="宋体"/>
          <w:color w:val="auto"/>
          <w:szCs w:val="21"/>
          <w:highlight w:val="none"/>
          <w:lang w:val="en-US" w:eastAsia="zh-CN"/>
        </w:rPr>
        <w:t>参照</w:t>
      </w:r>
      <w:r>
        <w:rPr>
          <w:rFonts w:hint="eastAsia" w:ascii="宋体" w:hAnsi="宋体"/>
          <w:color w:val="auto"/>
          <w:szCs w:val="21"/>
          <w:highlight w:val="none"/>
        </w:rPr>
        <w:t>《中国南方电网公司施工机械（具）和设备管理业务指导书》，对施工机具开展“八步骤”管理，并重点加强如下工作：</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1）特种设备：严格按照管理业务指导书要求开展特种设备管理，同时保证特种设备操作人员持有特种设备操作人员证，及时对特种设备进行维修管理，配备完善的设备安全操作规程、运行记录和责任人。</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2）一般设备：严格按照管理业务指导书要求开展一般设备管理，落实好操作人员培训、交底工作，加强对常规设备维修、维护、保养工作，确保设备元件正常、操作系统运行良好。</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3）承包人对受力、转动、带电类等高风险设备必须重点落实维护保养措施和使用前专项检查，保证此类设备的关键零部件不得磨损超限和损伤，连接部位不得有松动、裂纹，安全保护装置齐全、有效、可靠，严禁使用出现漏电、漏油、漏水、漏气等现象的设备，同时需做好操作人员培训、交底工作。</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4）承包人必须保证现场实际使用的施工机具必须与报审工器具一致。如工器具需发生变更，需履行变更手续，经监理人审批才能进场使用</w:t>
      </w:r>
      <w:r>
        <w:rPr>
          <w:rFonts w:ascii="宋体" w:hAnsi="宋体"/>
          <w:color w:val="auto"/>
          <w:szCs w:val="21"/>
          <w:highlight w:val="none"/>
        </w:rPr>
        <w:t>。</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（11）承包人需承诺</w:t>
      </w:r>
      <w:r>
        <w:rPr>
          <w:rFonts w:hint="eastAsia" w:ascii="宋体" w:hAnsi="宋体"/>
          <w:color w:val="auto"/>
          <w:szCs w:val="21"/>
          <w:highlight w:val="none"/>
          <w:lang w:val="en-US" w:eastAsia="zh-CN"/>
        </w:rPr>
        <w:t>参照执行</w:t>
      </w:r>
      <w:r>
        <w:rPr>
          <w:rFonts w:ascii="宋体" w:hAnsi="宋体"/>
          <w:color w:val="auto"/>
          <w:szCs w:val="21"/>
          <w:highlight w:val="none"/>
        </w:rPr>
        <w:t>在《中国南方电网公司基建项目承包商管理业务指导书》的指导下正确执行承包</w:t>
      </w:r>
      <w:r>
        <w:rPr>
          <w:rFonts w:hint="eastAsia" w:ascii="宋体" w:hAnsi="宋体"/>
          <w:color w:val="auto"/>
          <w:szCs w:val="21"/>
          <w:highlight w:val="none"/>
        </w:rPr>
        <w:t>商</w:t>
      </w:r>
      <w:r>
        <w:rPr>
          <w:rFonts w:ascii="宋体" w:hAnsi="宋体"/>
          <w:color w:val="auto"/>
          <w:szCs w:val="21"/>
          <w:highlight w:val="none"/>
        </w:rPr>
        <w:t>行为。如出现违章情况，接受《</w:t>
      </w:r>
      <w:r>
        <w:rPr>
          <w:rFonts w:hint="eastAsia" w:ascii="宋体" w:hAnsi="宋体"/>
          <w:color w:val="auto"/>
          <w:szCs w:val="21"/>
          <w:highlight w:val="none"/>
          <w:lang w:val="en-US" w:eastAsia="zh-CN"/>
        </w:rPr>
        <w:t>广州市公共交通集团有限公司</w:t>
      </w:r>
      <w:r>
        <w:rPr>
          <w:rFonts w:ascii="宋体" w:hAnsi="宋体"/>
          <w:color w:val="auto"/>
          <w:szCs w:val="21"/>
          <w:highlight w:val="none"/>
        </w:rPr>
        <w:t xml:space="preserve">承包商违章处罚通知单》处罚。    </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 xml:space="preserve">（12）承包人需在基建项目现场推进“7S”管理，并接受发包人对现场执行所进行的指导和监督。 </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13）承包人必须按照相关规定设置安全管理机构，配置符合要求的安全管理人员，保证服从监理和业主管理，定期参与安全会议，协调解决工程建设中的安全管理问题，完成项目安委会交办的安全生产管理任务；</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（14）承包人必须</w:t>
      </w:r>
      <w:r>
        <w:rPr>
          <w:rFonts w:hint="eastAsia" w:ascii="宋体" w:hAnsi="宋体"/>
          <w:color w:val="auto"/>
          <w:szCs w:val="21"/>
          <w:highlight w:val="none"/>
          <w:lang w:val="en-US" w:eastAsia="zh-CN"/>
        </w:rPr>
        <w:t>参照</w:t>
      </w:r>
      <w:r>
        <w:rPr>
          <w:rFonts w:ascii="宋体" w:hAnsi="宋体"/>
          <w:color w:val="auto"/>
          <w:szCs w:val="21"/>
          <w:highlight w:val="none"/>
        </w:rPr>
        <w:t>《中国南方电网有限责任公司基建工程安全文明施工检查评价标准表式（2014版）》周期对施工过程落实安全风险控制措施情况开展检查评价。</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15）承包人需根据基建项目安全风险基准，对项目风险进行辨识、定级，制定风险管理计划，明确每项风险的应对措施，项目风险控制应该严格执行项目风险管理计划中预定的应对措施，项目风险分风险评估等级分为“特高、高、中、低、可接受”5个等级，实行分级管控，具体如下：</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1）特高风险由发包人负责决策，停止或放弃。</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2）高风险由发包人基建部门负责管控，安监部门负责监督，承包人负责具体实施。</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3）中风险由业主项目部负责管控，发包人基建部门负责监督，承包人负责具体实施。</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4）低风险由监理项目部负责管控，业主项目部负责监督，承包人负责具体实施。</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5）可接受风险由</w:t>
      </w:r>
      <w:r>
        <w:rPr>
          <w:rFonts w:hint="eastAsia" w:ascii="宋体" w:hAnsi="宋体"/>
          <w:color w:val="auto"/>
          <w:szCs w:val="21"/>
          <w:highlight w:val="none"/>
        </w:rPr>
        <w:t>承包人</w:t>
      </w:r>
      <w:r>
        <w:rPr>
          <w:rFonts w:ascii="宋体" w:hAnsi="宋体"/>
          <w:color w:val="auto"/>
          <w:szCs w:val="21"/>
          <w:highlight w:val="none"/>
        </w:rPr>
        <w:t>负责管控，监理项目部负责监督，承包人负责具体实施。</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（16）承包人对高和特高等级风险的施工作业必须制定专项风险控制措施，由发包人组织有关部门进行审查,并报主管领导批准后才能用于现场指导施工。</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（17）承包人需建立迅速高效的事故应急机制，制定应急预案并定期演练，并做好以下工作：</w:t>
      </w:r>
    </w:p>
    <w:p>
      <w:pPr>
        <w:pStyle w:val="17"/>
        <w:numPr>
          <w:ilvl w:val="0"/>
          <w:numId w:val="9"/>
        </w:numPr>
        <w:spacing w:after="0"/>
        <w:ind w:left="0" w:leftChars="0" w:firstLine="420" w:firstLineChars="200"/>
        <w:rPr>
          <w:rFonts w:ascii="宋体" w:hAnsi="宋体"/>
          <w:color w:val="auto"/>
          <w:szCs w:val="21"/>
          <w:highlight w:val="none"/>
        </w:rPr>
      </w:pPr>
      <w:r>
        <w:rPr>
          <w:rFonts w:ascii="宋体" w:hAnsi="宋体"/>
          <w:color w:val="auto"/>
          <w:szCs w:val="21"/>
          <w:highlight w:val="none"/>
        </w:rPr>
        <w:t>承包人必须设置应急机构，明确专人组织按照项目管理部门发布的工作要求开展应急响应工作。</w:t>
      </w:r>
    </w:p>
    <w:p>
      <w:pPr>
        <w:pStyle w:val="17"/>
        <w:numPr>
          <w:ilvl w:val="0"/>
          <w:numId w:val="9"/>
        </w:numPr>
        <w:spacing w:after="0"/>
        <w:ind w:left="0" w:leftChars="0" w:firstLine="420" w:firstLineChars="200"/>
        <w:rPr>
          <w:rFonts w:ascii="宋体" w:hAnsi="宋体"/>
          <w:color w:val="auto"/>
          <w:szCs w:val="21"/>
          <w:highlight w:val="none"/>
        </w:rPr>
      </w:pPr>
      <w:r>
        <w:rPr>
          <w:rFonts w:ascii="宋体" w:hAnsi="宋体"/>
          <w:color w:val="auto"/>
          <w:szCs w:val="21"/>
          <w:highlight w:val="none"/>
        </w:rPr>
        <w:t>承包人需定期举行应急演练及技能培训，使应急人员能熟悉掌握应急知识、操作规程和本岗位应对突发事件的应急处置程序，增强防范意识，提高应急处置和自救互救能力。</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（18）鼓励承包人采用成熟的先进技术措施、施工机具设备、材料、工艺提升基建项目技术管理，通过技术管理提升保障安全管理。</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（19）发生安全事故、事件后，承包人应</w:t>
      </w:r>
      <w:r>
        <w:rPr>
          <w:rFonts w:hint="eastAsia" w:ascii="宋体" w:hAnsi="宋体"/>
          <w:color w:val="auto"/>
          <w:szCs w:val="21"/>
          <w:highlight w:val="none"/>
          <w:lang w:val="en-US" w:eastAsia="zh-CN"/>
        </w:rPr>
        <w:t>参照</w:t>
      </w:r>
      <w:r>
        <w:rPr>
          <w:rFonts w:ascii="宋体" w:hAnsi="宋体"/>
          <w:color w:val="auto"/>
          <w:szCs w:val="21"/>
          <w:highlight w:val="none"/>
        </w:rPr>
        <w:t>《中国南方电网有限责任公司电力事故事件调查规程》</w:t>
      </w:r>
      <w:r>
        <w:rPr>
          <w:rFonts w:hint="eastAsia" w:ascii="宋体" w:hAnsi="宋体"/>
          <w:color w:val="auto"/>
          <w:szCs w:val="21"/>
          <w:highlight w:val="none"/>
          <w:lang w:val="en-US" w:eastAsia="zh-CN"/>
        </w:rPr>
        <w:t>和广州市公共交通集团有限公司的相关规定</w:t>
      </w:r>
      <w:r>
        <w:rPr>
          <w:rFonts w:ascii="宋体" w:hAnsi="宋体"/>
          <w:color w:val="auto"/>
          <w:szCs w:val="21"/>
          <w:highlight w:val="none"/>
        </w:rPr>
        <w:t>及时上报，组织抢救、保护现场、配合事故事件调查，根据处理意见并落实整改，严禁瞒报、虚报安全事件、事故。</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（20）若承包人违法或违反以上规定，发包人有权依据《南方电网公司基</w:t>
      </w:r>
      <w:r>
        <w:rPr>
          <w:rFonts w:hint="eastAsia" w:ascii="宋体" w:hAnsi="宋体"/>
          <w:color w:val="auto"/>
          <w:szCs w:val="21"/>
          <w:highlight w:val="none"/>
          <w:lang w:val="en-US" w:eastAsia="zh-CN"/>
        </w:rPr>
        <w:t>建、广州市公共交通集团有限公司</w:t>
      </w:r>
      <w:r>
        <w:rPr>
          <w:rFonts w:ascii="宋体" w:hAnsi="宋体"/>
          <w:color w:val="auto"/>
          <w:szCs w:val="21"/>
          <w:highlight w:val="none"/>
        </w:rPr>
        <w:t>承包商违章处罚条款》进行处罚，根据承包商“红绿灯”状态，对承包商采取通报批评、停止参与</w:t>
      </w:r>
      <w:r>
        <w:rPr>
          <w:rFonts w:hint="eastAsia" w:ascii="宋体" w:hAnsi="宋体"/>
          <w:color w:val="auto"/>
          <w:szCs w:val="21"/>
          <w:highlight w:val="none"/>
          <w:lang w:val="en-US" w:eastAsia="zh-CN"/>
        </w:rPr>
        <w:t>广州市公共交通集团有限公司</w:t>
      </w:r>
      <w:r>
        <w:rPr>
          <w:rFonts w:ascii="宋体" w:hAnsi="宋体"/>
          <w:color w:val="auto"/>
          <w:szCs w:val="21"/>
          <w:highlight w:val="none"/>
        </w:rPr>
        <w:t>工程投标及承接分包工程资格等处罚方式。如情节严重，责令承包人废除分包合同或终止本合同。</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w:t>
      </w:r>
      <w:r>
        <w:rPr>
          <w:rFonts w:hint="eastAsia" w:ascii="宋体" w:hAnsi="宋体"/>
          <w:color w:val="auto"/>
          <w:szCs w:val="21"/>
          <w:highlight w:val="none"/>
        </w:rPr>
        <w:t>承包人</w:t>
      </w:r>
      <w:r>
        <w:rPr>
          <w:rFonts w:ascii="宋体" w:hAnsi="宋体"/>
          <w:color w:val="auto"/>
          <w:szCs w:val="21"/>
          <w:highlight w:val="none"/>
        </w:rPr>
        <w:t>应按照</w:t>
      </w:r>
      <w:r>
        <w:rPr>
          <w:rFonts w:hint="eastAsia" w:ascii="宋体" w:hAnsi="宋体"/>
          <w:color w:val="auto"/>
          <w:szCs w:val="21"/>
          <w:highlight w:val="none"/>
        </w:rPr>
        <w:t>发改委</w:t>
      </w:r>
      <w:r>
        <w:rPr>
          <w:rFonts w:ascii="宋体" w:hAnsi="宋体"/>
          <w:color w:val="auto"/>
          <w:szCs w:val="21"/>
          <w:highlight w:val="none"/>
        </w:rPr>
        <w:t>第</w:t>
      </w:r>
      <w:r>
        <w:rPr>
          <w:rFonts w:hint="eastAsia" w:ascii="宋体" w:hAnsi="宋体"/>
          <w:color w:val="auto"/>
          <w:szCs w:val="21"/>
          <w:highlight w:val="none"/>
        </w:rPr>
        <w:t>28号</w:t>
      </w:r>
      <w:r>
        <w:rPr>
          <w:rFonts w:ascii="宋体" w:hAnsi="宋体"/>
          <w:color w:val="auto"/>
          <w:szCs w:val="21"/>
          <w:highlight w:val="none"/>
        </w:rPr>
        <w:t>令</w:t>
      </w:r>
      <w:r>
        <w:rPr>
          <w:rFonts w:hint="eastAsia" w:ascii="宋体" w:hAnsi="宋体"/>
          <w:color w:val="auto"/>
          <w:szCs w:val="21"/>
          <w:highlight w:val="none"/>
        </w:rPr>
        <w:t>《电力建设工程施工安全监督管理办法》执行</w:t>
      </w:r>
      <w:r>
        <w:rPr>
          <w:rFonts w:ascii="宋体" w:hAnsi="宋体"/>
          <w:color w:val="auto"/>
          <w:szCs w:val="21"/>
          <w:highlight w:val="none"/>
        </w:rPr>
        <w:t>如下要求：</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）承包人</w:t>
      </w:r>
      <w:r>
        <w:rPr>
          <w:rFonts w:ascii="宋体" w:hAnsi="宋体"/>
          <w:color w:val="auto"/>
          <w:szCs w:val="21"/>
          <w:highlight w:val="none"/>
        </w:rPr>
        <w:t>应当按照国家法律法规和标准规范组织施工，对其施工现场的安全生产负责。应当设立安全生产管理机构，按规定配备专（兼）职安全生产管理人员，制定安全管理制度和操作规程。</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）承包人</w:t>
      </w:r>
      <w:r>
        <w:rPr>
          <w:rFonts w:ascii="宋体" w:hAnsi="宋体"/>
          <w:color w:val="auto"/>
          <w:szCs w:val="21"/>
          <w:highlight w:val="none"/>
        </w:rPr>
        <w:t>应当按照国家有关规定计列和使用安全生产费用。应当编制安全生产费用使用计划，专款专用。</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电力建设工程实行施工总承包的，由</w:t>
      </w:r>
      <w:r>
        <w:rPr>
          <w:rFonts w:hint="eastAsia" w:ascii="宋体" w:hAnsi="宋体"/>
          <w:color w:val="auto"/>
          <w:szCs w:val="21"/>
          <w:highlight w:val="none"/>
        </w:rPr>
        <w:t>承包人</w:t>
      </w:r>
      <w:r>
        <w:rPr>
          <w:rFonts w:ascii="宋体" w:hAnsi="宋体"/>
          <w:color w:val="auto"/>
          <w:szCs w:val="21"/>
          <w:highlight w:val="none"/>
        </w:rPr>
        <w:t>对施工现场的安全生产负总责，具体包括：</w:t>
      </w:r>
    </w:p>
    <w:p>
      <w:pPr>
        <w:pStyle w:val="17"/>
        <w:spacing w:after="0"/>
        <w:ind w:left="0" w:leftChars="0" w:firstLine="420" w:firstLineChars="200"/>
        <w:rPr>
          <w:rFonts w:hint="eastAsia" w:ascii="宋体" w:hAnsi="宋体"/>
          <w:color w:val="auto"/>
          <w:szCs w:val="21"/>
          <w:highlight w:val="none"/>
        </w:rPr>
      </w:pPr>
      <w:r>
        <w:rPr>
          <w:rFonts w:ascii="宋体" w:hAnsi="宋体"/>
          <w:color w:val="auto"/>
          <w:szCs w:val="21"/>
          <w:highlight w:val="none"/>
        </w:rPr>
        <w:t>（一）</w:t>
      </w:r>
      <w:r>
        <w:rPr>
          <w:rFonts w:hint="eastAsia" w:ascii="宋体" w:hAnsi="宋体"/>
          <w:color w:val="auto"/>
          <w:szCs w:val="21"/>
          <w:highlight w:val="none"/>
        </w:rPr>
        <w:t>承包人</w:t>
      </w:r>
      <w:r>
        <w:rPr>
          <w:rFonts w:ascii="宋体" w:hAnsi="宋体"/>
          <w:color w:val="auto"/>
          <w:szCs w:val="21"/>
          <w:highlight w:val="none"/>
        </w:rPr>
        <w:t>位应当自行完成主体工程的施工，除可依法对劳务作业进行劳务分包外，不得对主体工程进行其它形式的施工分包；禁止任何形式的转包和违法分包</w:t>
      </w:r>
      <w:r>
        <w:rPr>
          <w:rFonts w:hint="eastAsia" w:ascii="宋体" w:hAnsi="宋体"/>
          <w:color w:val="auto"/>
          <w:szCs w:val="21"/>
          <w:highlight w:val="none"/>
        </w:rPr>
        <w:t>；</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（二）</w:t>
      </w:r>
      <w:r>
        <w:rPr>
          <w:rFonts w:hint="eastAsia" w:ascii="宋体" w:hAnsi="宋体"/>
          <w:color w:val="auto"/>
          <w:szCs w:val="21"/>
          <w:highlight w:val="none"/>
        </w:rPr>
        <w:t>承包人</w:t>
      </w:r>
      <w:r>
        <w:rPr>
          <w:rFonts w:ascii="宋体" w:hAnsi="宋体"/>
          <w:color w:val="auto"/>
          <w:szCs w:val="21"/>
          <w:highlight w:val="none"/>
        </w:rPr>
        <w:t>依法将主体工程以外项目进行专业分包的，分包单位必须具有相应资质和安全生产许可证，合同中应当明确双方在安全生产方面的权利和义务。</w:t>
      </w:r>
      <w:r>
        <w:rPr>
          <w:rFonts w:hint="eastAsia" w:ascii="宋体" w:hAnsi="宋体"/>
          <w:color w:val="auto"/>
          <w:szCs w:val="21"/>
          <w:highlight w:val="none"/>
        </w:rPr>
        <w:t>承包人</w:t>
      </w:r>
      <w:r>
        <w:rPr>
          <w:rFonts w:ascii="宋体" w:hAnsi="宋体"/>
          <w:color w:val="auto"/>
          <w:szCs w:val="21"/>
          <w:highlight w:val="none"/>
        </w:rPr>
        <w:t xml:space="preserve">履行电力建设工程安全生产监督管理职责，承担工程安全生产连带管理责任，分包单位对其承包的施工现场安全生产负责； </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（三）</w:t>
      </w:r>
      <w:r>
        <w:rPr>
          <w:rFonts w:hint="eastAsia" w:ascii="宋体" w:hAnsi="宋体"/>
          <w:color w:val="auto"/>
          <w:szCs w:val="21"/>
          <w:highlight w:val="none"/>
        </w:rPr>
        <w:t>承包人</w:t>
      </w:r>
      <w:r>
        <w:rPr>
          <w:rFonts w:ascii="宋体" w:hAnsi="宋体"/>
          <w:color w:val="auto"/>
          <w:szCs w:val="21"/>
          <w:highlight w:val="none"/>
        </w:rPr>
        <w:t>和专业承包单位实行劳务分包的，应当分包给具有相应资质的单位，并对施工现场的安全生产承担主体责任。</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4）承包人应当履行劳务分包安全管理责任，将劳务派遣人员、临时用工人员纳入其安全管理体系，落实安全措施，加强作业现场管理和控制。</w:t>
      </w:r>
    </w:p>
    <w:p>
      <w:pPr>
        <w:pStyle w:val="17"/>
        <w:spacing w:after="0"/>
        <w:ind w:left="0" w:leftChars="0" w:firstLine="420" w:firstLineChars="200"/>
        <w:rPr>
          <w:rFonts w:hint="eastAsia"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）电力建设工程开工前，承包人应当开展现场查勘，编制施工组织设计、施工方案和安全技术措施并按技术管理相关规定报建设单位、监理单位同意。</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分部分项工程施工前，承包人负责项目管理的技术人员应当向作业人员进行安全技术交底，如实告知作业场所和工作岗位可能存在的风险因素、防范措施以及现场应急处置方案，并由双方签字确认；对复杂自然条件、复杂结构、技术难度大及危险性较大的分部分项工程需编制专项施工方案并附安全验算结果，必要时召开专家会议论证确认。</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）承包人</w:t>
      </w:r>
      <w:r>
        <w:rPr>
          <w:rFonts w:ascii="宋体" w:hAnsi="宋体"/>
          <w:color w:val="auto"/>
          <w:szCs w:val="21"/>
          <w:highlight w:val="none"/>
        </w:rPr>
        <w:t>应当定期组织施工现场安全检查和隐患排查治理，严格落实施工现场安全措施，杜绝违章指挥、违章作业、违反劳动纪律行为发生</w:t>
      </w:r>
      <w:r>
        <w:rPr>
          <w:rFonts w:hint="eastAsia" w:ascii="宋体" w:hAnsi="宋体"/>
          <w:color w:val="auto"/>
          <w:szCs w:val="21"/>
          <w:highlight w:val="none"/>
        </w:rPr>
        <w:t>。</w:t>
      </w:r>
    </w:p>
    <w:p>
      <w:pPr>
        <w:pStyle w:val="17"/>
        <w:tabs>
          <w:tab w:val="left" w:pos="1590"/>
        </w:tabs>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7）承包人</w:t>
      </w:r>
      <w:r>
        <w:rPr>
          <w:rFonts w:ascii="宋体" w:hAnsi="宋体"/>
          <w:color w:val="auto"/>
          <w:szCs w:val="21"/>
          <w:highlight w:val="none"/>
        </w:rPr>
        <w:t>应当对因电力建设工程施工可能造成损害和影响的毗邻建筑物、构筑物、地下管线、架空线缆、设施及周边环境采取专项防护措施。对施工现场出入口、通道口、孔洞口、邻近带电区、易燃易爆及危险化学品存放处等危险区域和部位采取防护措施并设置明显的安全警示标志。</w:t>
      </w:r>
    </w:p>
    <w:p>
      <w:pPr>
        <w:pStyle w:val="17"/>
        <w:tabs>
          <w:tab w:val="left" w:pos="1590"/>
        </w:tabs>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8）承包人应当制定用火、用电、易燃易爆材料使用等消防安全管理制度，确定消防安全责任人，按规定设置消防通道、消防水源，配备消防设施和灭火器材。</w:t>
      </w:r>
    </w:p>
    <w:p>
      <w:pPr>
        <w:pStyle w:val="17"/>
        <w:tabs>
          <w:tab w:val="left" w:pos="1590"/>
        </w:tabs>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9）承包人应当按照国家有关规定采购、租赁、验收、检测、发放、使用、维护和管理施工机械、特种设备，建立施工设备安全管理制度、安全操作规程及相应的管理台帐和维保记录档案。</w:t>
      </w:r>
    </w:p>
    <w:p>
      <w:pPr>
        <w:pStyle w:val="17"/>
        <w:tabs>
          <w:tab w:val="left" w:pos="1590"/>
        </w:tabs>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10）承包人使用的特种设备应当是取得许可生产并经检验合格的特种设备。特种设备的登记标志、检测合格标志应当置于该特种设备的显著位置。安装、改造、修理特种设备的单位，应当具有国家规定的相应资质，在施工前按规定履行告知手续，施工过程按照相关规定接受监督检验。</w:t>
      </w:r>
    </w:p>
    <w:p>
      <w:pPr>
        <w:pStyle w:val="17"/>
        <w:tabs>
          <w:tab w:val="left" w:pos="1590"/>
        </w:tabs>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11）承包人</w:t>
      </w:r>
      <w:r>
        <w:rPr>
          <w:rFonts w:ascii="宋体" w:hAnsi="宋体"/>
          <w:color w:val="auto"/>
          <w:szCs w:val="21"/>
          <w:highlight w:val="none"/>
        </w:rPr>
        <w:t>应当按照相关规定组织开展安全生产教育培训工作。企业主要负责人、项目负责人、专职安全生产管理人员、特种作业人员需经培训合格后持证上岗，新入场人员应当按规定经过三级安全教育。</w:t>
      </w:r>
    </w:p>
    <w:p>
      <w:pPr>
        <w:pStyle w:val="17"/>
        <w:tabs>
          <w:tab w:val="left" w:pos="1590"/>
        </w:tabs>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12）承包人</w:t>
      </w:r>
      <w:r>
        <w:rPr>
          <w:rFonts w:ascii="宋体" w:hAnsi="宋体"/>
          <w:color w:val="auto"/>
          <w:szCs w:val="21"/>
          <w:highlight w:val="none"/>
        </w:rPr>
        <w:t>对电力建设工程进行调试、试运行前，应当按照法律法规和工程建设强制性标准，编制调试大纲、试验方案，对各项试验方案制定安全技术措施并严格实施。</w:t>
      </w:r>
    </w:p>
    <w:p>
      <w:pPr>
        <w:pStyle w:val="17"/>
        <w:tabs>
          <w:tab w:val="left" w:pos="1590"/>
        </w:tabs>
        <w:spacing w:after="0"/>
        <w:ind w:left="0" w:leftChars="0" w:firstLine="420" w:firstLineChars="200"/>
        <w:rPr>
          <w:rFonts w:hint="eastAsia" w:ascii="宋体" w:hAnsi="宋体"/>
          <w:color w:val="auto"/>
          <w:szCs w:val="21"/>
          <w:highlight w:val="none"/>
        </w:rPr>
      </w:pPr>
      <w:r>
        <w:rPr>
          <w:rFonts w:ascii="宋体" w:hAnsi="宋体"/>
          <w:color w:val="auto"/>
          <w:szCs w:val="21"/>
          <w:highlight w:val="none"/>
        </w:rPr>
        <w:t>13</w:t>
      </w:r>
      <w:r>
        <w:rPr>
          <w:rFonts w:hint="eastAsia" w:ascii="宋体" w:hAnsi="宋体"/>
          <w:color w:val="auto"/>
          <w:szCs w:val="21"/>
          <w:highlight w:val="none"/>
        </w:rPr>
        <w:t>）承包人</w:t>
      </w:r>
      <w:r>
        <w:rPr>
          <w:rFonts w:ascii="宋体" w:hAnsi="宋体"/>
          <w:color w:val="auto"/>
          <w:szCs w:val="21"/>
          <w:highlight w:val="none"/>
        </w:rPr>
        <w:t>应当根据电力建设工程施工特点、范围，制定应急救援预案、现场处置方案，对施工现场易发生事故的部位、环节进行监控。实行施工总承包的，由</w:t>
      </w:r>
      <w:r>
        <w:rPr>
          <w:rFonts w:hint="eastAsia" w:ascii="宋体" w:hAnsi="宋体"/>
          <w:color w:val="auto"/>
          <w:szCs w:val="21"/>
          <w:highlight w:val="none"/>
        </w:rPr>
        <w:t>承包人</w:t>
      </w:r>
      <w:r>
        <w:rPr>
          <w:rFonts w:ascii="宋体" w:hAnsi="宋体"/>
          <w:color w:val="auto"/>
          <w:szCs w:val="21"/>
          <w:highlight w:val="none"/>
        </w:rPr>
        <w:t>组织分包单位开展应急管理工作。</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7</w:t>
      </w:r>
      <w:r>
        <w:rPr>
          <w:rFonts w:hint="eastAsia" w:ascii="宋体" w:hAnsi="宋体"/>
          <w:color w:val="auto"/>
          <w:szCs w:val="21"/>
          <w:highlight w:val="none"/>
        </w:rPr>
        <w:t xml:space="preserve"> </w:t>
      </w:r>
      <w:r>
        <w:rPr>
          <w:rFonts w:hint="eastAsia" w:ascii="宋体" w:hAnsi="宋体"/>
          <w:color w:val="auto"/>
          <w:szCs w:val="21"/>
          <w:highlight w:val="none"/>
        </w:rPr>
        <w:tab/>
      </w:r>
      <w:r>
        <w:rPr>
          <w:rFonts w:hint="eastAsia" w:ascii="宋体" w:hAnsi="宋体"/>
          <w:color w:val="auto"/>
          <w:szCs w:val="21"/>
          <w:highlight w:val="none"/>
        </w:rPr>
        <w:t>质量保证</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线路工程：</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（1）现浇混凝土需掺合减水剂与添加剂时，必须经过试验，经监理工程师签证并向项目建设单位提交专题报告，得到书面认可后方可使用。</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变电工程：</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（1）对重要设备安装调试，需至少提前2天通知监理工程师，调试全过程监理工程师代表在场，并作详细记录。</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（2）变电站施工要求使用</w:t>
      </w:r>
      <w:permStart w:id="44" w:edGrp="everyone"/>
      <w:r>
        <w:rPr>
          <w:rFonts w:hint="eastAsia" w:ascii="宋体" w:hAnsi="宋体"/>
          <w:color w:val="auto"/>
          <w:szCs w:val="21"/>
          <w:highlight w:val="none"/>
          <w:u w:val="single"/>
        </w:rPr>
        <w:t>商品砼、灰砂砖</w:t>
      </w:r>
      <w:permEnd w:id="44"/>
      <w:r>
        <w:rPr>
          <w:rFonts w:hint="eastAsia" w:ascii="宋体" w:hAnsi="宋体"/>
          <w:color w:val="auto"/>
          <w:szCs w:val="21"/>
          <w:highlight w:val="none"/>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承包人应履行的质量管理规定包括：</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（1）承包人应遵循“基建项目规范达标、绿色可靠、文档齐全、零缺陷”为质量总体目标，按照国家、电力行业和中国南方电网公司</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广州市公共交通集团有限公司</w:t>
      </w:r>
      <w:r>
        <w:rPr>
          <w:rFonts w:ascii="宋体" w:hAnsi="宋体"/>
          <w:color w:val="auto"/>
          <w:szCs w:val="21"/>
          <w:highlight w:val="none"/>
        </w:rPr>
        <w:t>的有关质量标准和规定，建立、健全质量管理体系并有效运转。</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（2）承包人承诺建立工程质量责任终身制，并层层分解质量管理责任。</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（3）承包人必须</w:t>
      </w:r>
      <w:r>
        <w:rPr>
          <w:rFonts w:hint="eastAsia" w:ascii="宋体" w:hAnsi="宋体"/>
          <w:color w:val="auto"/>
          <w:szCs w:val="21"/>
          <w:highlight w:val="none"/>
          <w:lang w:val="en-US" w:eastAsia="zh-CN"/>
        </w:rPr>
        <w:t>参照</w:t>
      </w:r>
      <w:r>
        <w:rPr>
          <w:rFonts w:ascii="宋体" w:hAnsi="宋体"/>
          <w:color w:val="auto"/>
          <w:szCs w:val="21"/>
          <w:highlight w:val="none"/>
        </w:rPr>
        <w:t>《中国南方电网有限责任公司电网建设施工作业指导书》开展施工、安装、验收等工作，保证基建项目施工质量水平，具体要求如下：</w:t>
      </w:r>
    </w:p>
    <w:p>
      <w:pPr>
        <w:pStyle w:val="17"/>
        <w:numPr>
          <w:ilvl w:val="0"/>
          <w:numId w:val="10"/>
        </w:numPr>
        <w:spacing w:after="0"/>
        <w:ind w:left="0" w:leftChars="0" w:firstLine="420" w:firstLineChars="200"/>
        <w:rPr>
          <w:rFonts w:ascii="宋体" w:hAnsi="宋体"/>
          <w:color w:val="auto"/>
          <w:szCs w:val="21"/>
          <w:highlight w:val="none"/>
        </w:rPr>
      </w:pPr>
      <w:r>
        <w:rPr>
          <w:rFonts w:ascii="宋体" w:hAnsi="宋体"/>
          <w:color w:val="auto"/>
          <w:szCs w:val="21"/>
          <w:highlight w:val="none"/>
        </w:rPr>
        <w:t>工程开工前，承包人根据施工实际情况，筛选作业指导书，形成基建项目“《施工作业指导书》设置表”。</w:t>
      </w:r>
    </w:p>
    <w:p>
      <w:pPr>
        <w:pStyle w:val="17"/>
        <w:numPr>
          <w:ilvl w:val="0"/>
          <w:numId w:val="10"/>
        </w:numPr>
        <w:spacing w:after="0"/>
        <w:ind w:left="0" w:leftChars="0" w:firstLine="420" w:firstLineChars="200"/>
        <w:rPr>
          <w:rFonts w:ascii="宋体" w:hAnsi="宋体"/>
          <w:color w:val="auto"/>
          <w:szCs w:val="21"/>
          <w:highlight w:val="none"/>
        </w:rPr>
      </w:pPr>
      <w:r>
        <w:rPr>
          <w:rFonts w:ascii="宋体" w:hAnsi="宋体"/>
          <w:color w:val="auto"/>
          <w:szCs w:val="21"/>
          <w:highlight w:val="none"/>
        </w:rPr>
        <w:t>承包人必须对《施工作业指导书》准确进行差异化分析，对需要调整或增文以“*”进行标注，并将补充、完善的内容填写在相应指导书的分析表中。</w:t>
      </w:r>
    </w:p>
    <w:p>
      <w:pPr>
        <w:pStyle w:val="17"/>
        <w:numPr>
          <w:ilvl w:val="0"/>
          <w:numId w:val="10"/>
        </w:numPr>
        <w:spacing w:after="0"/>
        <w:ind w:left="0" w:leftChars="0" w:firstLine="420" w:firstLineChars="200"/>
        <w:rPr>
          <w:rFonts w:ascii="宋体" w:hAnsi="宋体"/>
          <w:color w:val="auto"/>
          <w:szCs w:val="21"/>
          <w:highlight w:val="none"/>
        </w:rPr>
      </w:pPr>
      <w:r>
        <w:rPr>
          <w:rFonts w:ascii="宋体" w:hAnsi="宋体"/>
          <w:color w:val="auto"/>
          <w:szCs w:val="21"/>
          <w:highlight w:val="none"/>
        </w:rPr>
        <w:t>承包人必须组织相关人员对《施工作业指导书》进行审批，才可应用于现场施工指导；</w:t>
      </w:r>
    </w:p>
    <w:p>
      <w:pPr>
        <w:pStyle w:val="17"/>
        <w:numPr>
          <w:ilvl w:val="0"/>
          <w:numId w:val="10"/>
        </w:numPr>
        <w:spacing w:after="0"/>
        <w:ind w:left="0" w:leftChars="0" w:firstLine="420" w:firstLineChars="200"/>
        <w:rPr>
          <w:rFonts w:ascii="宋体" w:hAnsi="宋体"/>
          <w:color w:val="auto"/>
          <w:szCs w:val="21"/>
          <w:highlight w:val="none"/>
        </w:rPr>
      </w:pPr>
      <w:r>
        <w:rPr>
          <w:rFonts w:ascii="宋体" w:hAnsi="宋体"/>
          <w:color w:val="auto"/>
          <w:szCs w:val="21"/>
          <w:highlight w:val="none"/>
        </w:rPr>
        <w:t>施工现场必须保证严格按照审批后的《施工作业指导书》开展现场施工，应采用看板提醒措施，在作业现场设置“作业指导书小看板”，标识作业主要工艺流程、关键工序技术标准及安全风险辨识等。</w:t>
      </w:r>
    </w:p>
    <w:p>
      <w:pPr>
        <w:pStyle w:val="17"/>
        <w:numPr>
          <w:ilvl w:val="0"/>
          <w:numId w:val="10"/>
        </w:numPr>
        <w:spacing w:after="0"/>
        <w:ind w:left="0" w:leftChars="0" w:firstLine="420" w:firstLineChars="200"/>
        <w:rPr>
          <w:rFonts w:ascii="宋体" w:hAnsi="宋体"/>
          <w:color w:val="auto"/>
          <w:szCs w:val="21"/>
          <w:highlight w:val="none"/>
        </w:rPr>
      </w:pPr>
      <w:r>
        <w:rPr>
          <w:rFonts w:ascii="宋体" w:hAnsi="宋体"/>
          <w:color w:val="auto"/>
          <w:szCs w:val="21"/>
          <w:highlight w:val="none"/>
        </w:rPr>
        <w:t>承包人是工程实体质量的责任主体，需严格</w:t>
      </w:r>
      <w:r>
        <w:rPr>
          <w:rFonts w:hint="eastAsia" w:ascii="宋体" w:hAnsi="宋体"/>
          <w:color w:val="auto"/>
          <w:szCs w:val="21"/>
          <w:highlight w:val="none"/>
          <w:lang w:val="en-US" w:eastAsia="zh-CN"/>
        </w:rPr>
        <w:t>参照</w:t>
      </w:r>
      <w:r>
        <w:rPr>
          <w:rFonts w:ascii="宋体" w:hAnsi="宋体"/>
          <w:color w:val="auto"/>
          <w:szCs w:val="21"/>
          <w:highlight w:val="none"/>
        </w:rPr>
        <w:t>执行《中国南方电网有限责任公司基建工程质量控制（WHS）及量化评价标准》，落实WHS质量控制工作，保证工程实体质量。重点落实如下部位的实体质量：</w:t>
      </w:r>
    </w:p>
    <w:p>
      <w:pPr>
        <w:pStyle w:val="17"/>
        <w:numPr>
          <w:ilvl w:val="0"/>
          <w:numId w:val="11"/>
        </w:numPr>
        <w:spacing w:after="0"/>
        <w:ind w:left="0" w:leftChars="0" w:firstLine="420" w:firstLineChars="200"/>
        <w:rPr>
          <w:rFonts w:ascii="宋体" w:hAnsi="宋体"/>
          <w:color w:val="auto"/>
          <w:szCs w:val="21"/>
          <w:highlight w:val="none"/>
        </w:rPr>
      </w:pPr>
      <w:r>
        <w:rPr>
          <w:rFonts w:ascii="宋体" w:hAnsi="宋体"/>
          <w:color w:val="auto"/>
          <w:szCs w:val="21"/>
          <w:highlight w:val="none"/>
        </w:rPr>
        <w:t>对工程性能、寿命、安全、可靠性和精度等有严重影响的关键部位和关键工序。</w:t>
      </w:r>
    </w:p>
    <w:p>
      <w:pPr>
        <w:pStyle w:val="17"/>
        <w:numPr>
          <w:ilvl w:val="0"/>
          <w:numId w:val="11"/>
        </w:numPr>
        <w:spacing w:after="0"/>
        <w:ind w:left="0" w:leftChars="0" w:firstLine="420" w:firstLineChars="200"/>
        <w:rPr>
          <w:rFonts w:ascii="宋体" w:hAnsi="宋体"/>
          <w:color w:val="auto"/>
          <w:szCs w:val="21"/>
          <w:highlight w:val="none"/>
        </w:rPr>
      </w:pPr>
      <w:r>
        <w:rPr>
          <w:rFonts w:ascii="宋体" w:hAnsi="宋体"/>
          <w:color w:val="auto"/>
          <w:szCs w:val="21"/>
          <w:highlight w:val="none"/>
        </w:rPr>
        <w:t>对工艺有严格要求、对下道工序的工作有严重影响的关键部位或工序。</w:t>
      </w:r>
    </w:p>
    <w:p>
      <w:pPr>
        <w:pStyle w:val="17"/>
        <w:numPr>
          <w:ilvl w:val="0"/>
          <w:numId w:val="11"/>
        </w:numPr>
        <w:spacing w:after="0"/>
        <w:ind w:left="0" w:leftChars="0" w:firstLine="420" w:firstLineChars="200"/>
        <w:rPr>
          <w:rFonts w:ascii="宋体" w:hAnsi="宋体"/>
          <w:color w:val="auto"/>
          <w:szCs w:val="21"/>
          <w:highlight w:val="none"/>
        </w:rPr>
      </w:pPr>
      <w:r>
        <w:rPr>
          <w:rFonts w:ascii="宋体" w:hAnsi="宋体"/>
          <w:color w:val="auto"/>
          <w:szCs w:val="21"/>
          <w:highlight w:val="none"/>
        </w:rPr>
        <w:t>工程建设标准强制性条文中规定的必须检查的项目。</w:t>
      </w:r>
    </w:p>
    <w:p>
      <w:pPr>
        <w:pStyle w:val="17"/>
        <w:numPr>
          <w:ilvl w:val="0"/>
          <w:numId w:val="11"/>
        </w:numPr>
        <w:spacing w:after="0"/>
        <w:ind w:left="0" w:leftChars="0" w:firstLine="420" w:firstLineChars="200"/>
        <w:rPr>
          <w:rFonts w:ascii="宋体" w:hAnsi="宋体"/>
          <w:color w:val="auto"/>
          <w:szCs w:val="21"/>
          <w:highlight w:val="none"/>
        </w:rPr>
      </w:pPr>
      <w:r>
        <w:rPr>
          <w:rFonts w:ascii="宋体" w:hAnsi="宋体"/>
          <w:color w:val="auto"/>
          <w:szCs w:val="21"/>
          <w:highlight w:val="none"/>
        </w:rPr>
        <w:t>隐蔽工程。</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（4）承包人在基建施工过程中保证严格</w:t>
      </w:r>
      <w:r>
        <w:rPr>
          <w:rFonts w:hint="eastAsia" w:ascii="宋体" w:hAnsi="宋体"/>
          <w:color w:val="auto"/>
          <w:szCs w:val="21"/>
          <w:highlight w:val="none"/>
          <w:lang w:val="en-US" w:eastAsia="zh-CN"/>
        </w:rPr>
        <w:t>参照</w:t>
      </w:r>
      <w:r>
        <w:rPr>
          <w:rFonts w:ascii="宋体" w:hAnsi="宋体"/>
          <w:color w:val="auto"/>
          <w:szCs w:val="21"/>
          <w:highlight w:val="none"/>
        </w:rPr>
        <w:t>执行《中国南方电网有限责任公司输变电及配电工程质量验收与评定标准》进行质量验收。配合各级主管部门或独立第三方对项目的现场监察（包含工程竣工前质量评价、竣工后质量监督）。</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（5）承包人必须以“零缺陷”移交为目标。落实缺陷管理，实现缺陷的可记录、可跟踪和闭环处理。对检查和验收中出现的质量缺陷按“谁产生、谁处理”的原则即时消除，保证工程实体质量。</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（6）承包人应针对项目实施的实际情况编制完整质量技术文件，包括与项目相关的工艺文件、强制性条文实施方案等，技术文件应准确、完整、协调、一致，同时保证现场按已审批的技术文件及方案指导施工；</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7）承包人必须严格按照相关设计文件、说明文件和国家标准、电力行业标准、公司标准等工程施工及验收标准进行施工，并接受发包人及监理单位的监督，发包人委托监理单位对工程质量进行督查，检查检验隐蔽工程、办理中间交工工程验收签证手续，督查承包人按规定做好试件、材料试验和各项技术资料及报表整理。</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（8）承包人对所承建项目的施工质量负责，应结合工程施工实际情况开展三级检验工作，即：班组级、项目部级和公司级。</w:t>
      </w:r>
    </w:p>
    <w:p>
      <w:pPr>
        <w:pStyle w:val="17"/>
        <w:numPr>
          <w:ilvl w:val="0"/>
          <w:numId w:val="12"/>
        </w:numPr>
        <w:spacing w:after="0"/>
        <w:ind w:left="0" w:leftChars="0" w:firstLine="420" w:firstLineChars="200"/>
        <w:rPr>
          <w:rFonts w:ascii="宋体" w:hAnsi="宋体"/>
          <w:color w:val="auto"/>
          <w:szCs w:val="21"/>
          <w:highlight w:val="none"/>
        </w:rPr>
      </w:pPr>
      <w:r>
        <w:rPr>
          <w:rFonts w:ascii="宋体" w:hAnsi="宋体"/>
          <w:color w:val="auto"/>
          <w:szCs w:val="21"/>
          <w:highlight w:val="none"/>
        </w:rPr>
        <w:t>班组级由施工实施的班组或施工队开展质量检查和验收（自检），其过程质量控制责任人应是班组长或施工队的施工员；</w:t>
      </w:r>
    </w:p>
    <w:p>
      <w:pPr>
        <w:pStyle w:val="17"/>
        <w:numPr>
          <w:ilvl w:val="0"/>
          <w:numId w:val="12"/>
        </w:numPr>
        <w:spacing w:after="0"/>
        <w:ind w:left="0" w:leftChars="0" w:firstLine="420" w:firstLineChars="200"/>
        <w:rPr>
          <w:rFonts w:ascii="宋体" w:hAnsi="宋体"/>
          <w:color w:val="auto"/>
          <w:szCs w:val="21"/>
          <w:highlight w:val="none"/>
        </w:rPr>
      </w:pPr>
      <w:r>
        <w:rPr>
          <w:rFonts w:ascii="宋体" w:hAnsi="宋体"/>
          <w:color w:val="auto"/>
          <w:szCs w:val="21"/>
          <w:highlight w:val="none"/>
        </w:rPr>
        <w:t>项目级由施工项目部负责组织质量检查和验收（复检），其过程质量控制责任人应是施工项目部的专业质检员；</w:t>
      </w:r>
    </w:p>
    <w:p>
      <w:pPr>
        <w:pStyle w:val="17"/>
        <w:numPr>
          <w:ilvl w:val="0"/>
          <w:numId w:val="12"/>
        </w:numPr>
        <w:spacing w:after="0"/>
        <w:ind w:left="0" w:leftChars="0" w:firstLine="420" w:firstLineChars="200"/>
        <w:rPr>
          <w:rFonts w:ascii="宋体" w:hAnsi="宋体"/>
          <w:color w:val="auto"/>
          <w:szCs w:val="21"/>
          <w:highlight w:val="none"/>
        </w:rPr>
      </w:pPr>
      <w:r>
        <w:rPr>
          <w:rFonts w:ascii="宋体" w:hAnsi="宋体"/>
          <w:color w:val="auto"/>
          <w:szCs w:val="21"/>
          <w:highlight w:val="none"/>
        </w:rPr>
        <w:t>公司级由承包人质量管理部开展质量检查和验收（专检），其质量控制责任人应是承包人质量管理部及公司分管领导。</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（9）承包人根据质量总体目标，结合项目实际制定质量管控计划，并结合项目进度计划，进行细化明确。</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10）承包人所提供的主要原材料、设备、构配件、半成品必须按有关规定提供质量合格证或进行检测合格后才用于本项目建设，由发包人提供的材料、设备、构配件、半成品必须有质量合格证才能用于项目建设，对材料改变或者代用必须书面经设计等单位同意，必要时进行签证，才能用于项目建设。</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（11）承包人承诺在施工现场积极推进QC小组活动，并推进新型工器具得现场应用。</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（12）若承包人违法或违反以上规定，发包人有权依据《</w:t>
      </w:r>
      <w:r>
        <w:rPr>
          <w:rFonts w:hint="eastAsia" w:ascii="宋体" w:hAnsi="宋体"/>
          <w:color w:val="auto"/>
          <w:szCs w:val="21"/>
          <w:highlight w:val="none"/>
          <w:lang w:val="en-US" w:eastAsia="zh-CN"/>
        </w:rPr>
        <w:t>广州市公共交通集团有限公司</w:t>
      </w:r>
      <w:r>
        <w:rPr>
          <w:rFonts w:ascii="宋体" w:hAnsi="宋体"/>
          <w:color w:val="auto"/>
          <w:szCs w:val="21"/>
          <w:highlight w:val="none"/>
        </w:rPr>
        <w:t>承包商违章处罚条款》进行处罚，根据承包商“红绿灯”状态，对承包商采取通报批评、停止参与</w:t>
      </w:r>
      <w:r>
        <w:rPr>
          <w:rFonts w:hint="eastAsia" w:ascii="宋体" w:hAnsi="宋体"/>
          <w:color w:val="auto"/>
          <w:szCs w:val="21"/>
          <w:highlight w:val="none"/>
          <w:lang w:val="en-US" w:eastAsia="zh-CN"/>
        </w:rPr>
        <w:t>广州市公共交通集团有限公司</w:t>
      </w:r>
      <w:r>
        <w:rPr>
          <w:rFonts w:ascii="宋体" w:hAnsi="宋体"/>
          <w:color w:val="auto"/>
          <w:szCs w:val="21"/>
          <w:highlight w:val="none"/>
        </w:rPr>
        <w:t>工程投标及承接分包工程资格等处罚方式。如情节严重，责令承包人废除分包合同或终止本合同。</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特殊质量标准和要求：</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必须严格</w:t>
      </w:r>
      <w:r>
        <w:rPr>
          <w:rFonts w:hint="eastAsia" w:ascii="宋体" w:hAnsi="宋体"/>
          <w:color w:val="auto"/>
          <w:szCs w:val="21"/>
          <w:highlight w:val="none"/>
          <w:lang w:val="en-US" w:eastAsia="zh-CN"/>
        </w:rPr>
        <w:t>参照</w:t>
      </w:r>
      <w:r>
        <w:rPr>
          <w:rFonts w:hint="eastAsia" w:ascii="宋体" w:hAnsi="宋体"/>
          <w:color w:val="auto"/>
          <w:szCs w:val="21"/>
          <w:highlight w:val="none"/>
        </w:rPr>
        <w:t>执行南方电网公司基建工程质量管理相关规定、南方电网施工作业指导书和质量验收与评定标准、南方电网标准设计和典型造价及G4层等作业标准，推行作业精细化管理，严格执行施工三级质量检验制度。</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承包人应根据工程内容和工程特点，编制WHS设置表。深化WHS、施工作业指导书和验评标准的现场应用。根据质量控制点设置表落实质量控制工作，形成质量控制记录，保证工序质量。</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履行承包人的责任和义务。完善基建项目缺陷管理制度、表单，所有项目均严格实行缺陷填报。建立各管理环节质量关键点的文档记录，作为质量追溯的依据。</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4.1</w:t>
      </w:r>
      <w:r>
        <w:rPr>
          <w:rFonts w:hint="eastAsia" w:ascii="宋体" w:hAnsi="宋体"/>
          <w:color w:val="auto"/>
          <w:szCs w:val="21"/>
          <w:highlight w:val="none"/>
          <w:lang w:val="en-US" w:eastAsia="zh-CN"/>
        </w:rPr>
        <w:t>.1</w:t>
      </w:r>
      <w:r>
        <w:rPr>
          <w:rFonts w:hint="eastAsia" w:ascii="宋体" w:hAnsi="宋体"/>
          <w:color w:val="auto"/>
          <w:szCs w:val="21"/>
          <w:highlight w:val="none"/>
        </w:rPr>
        <w:tab/>
      </w:r>
      <w:r>
        <w:rPr>
          <w:rFonts w:hint="eastAsia" w:ascii="宋体" w:hAnsi="宋体"/>
          <w:color w:val="auto"/>
          <w:szCs w:val="21"/>
          <w:highlight w:val="none"/>
        </w:rPr>
        <w:t>货物的运输</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通用</w:t>
      </w:r>
      <w:r>
        <w:rPr>
          <w:rFonts w:ascii="宋体" w:hAnsi="宋体"/>
          <w:color w:val="auto"/>
          <w:szCs w:val="21"/>
          <w:highlight w:val="none"/>
        </w:rPr>
        <w:t>条件中</w:t>
      </w:r>
      <w:r>
        <w:rPr>
          <w:rFonts w:hint="eastAsia" w:ascii="宋体" w:hAnsi="宋体"/>
          <w:color w:val="auto"/>
          <w:szCs w:val="21"/>
          <w:highlight w:val="none"/>
        </w:rPr>
        <w:t>本条款对应</w:t>
      </w:r>
      <w:r>
        <w:rPr>
          <w:rFonts w:ascii="宋体" w:hAnsi="宋体"/>
          <w:color w:val="auto"/>
          <w:szCs w:val="21"/>
          <w:highlight w:val="none"/>
        </w:rPr>
        <w:t>的</w:t>
      </w:r>
      <w:r>
        <w:rPr>
          <w:rFonts w:hint="eastAsia" w:ascii="宋体" w:hAnsi="宋体"/>
          <w:color w:val="auto"/>
          <w:szCs w:val="21"/>
          <w:highlight w:val="none"/>
        </w:rPr>
        <w:t>货物是指</w:t>
      </w:r>
      <w:r>
        <w:rPr>
          <w:rFonts w:ascii="宋体" w:hAnsi="宋体"/>
          <w:color w:val="auto"/>
          <w:szCs w:val="21"/>
          <w:highlight w:val="none"/>
        </w:rPr>
        <w:t>承包</w:t>
      </w:r>
      <w:r>
        <w:rPr>
          <w:rFonts w:hint="eastAsia" w:ascii="宋体" w:hAnsi="宋体"/>
          <w:color w:val="auto"/>
          <w:szCs w:val="21"/>
          <w:highlight w:val="none"/>
        </w:rPr>
        <w:t>人</w:t>
      </w:r>
      <w:r>
        <w:rPr>
          <w:rFonts w:ascii="宋体" w:hAnsi="宋体"/>
          <w:color w:val="auto"/>
          <w:szCs w:val="21"/>
          <w:highlight w:val="none"/>
        </w:rPr>
        <w:t>的供货范围。</w:t>
      </w: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rPr>
        <w:t>5.</w:t>
      </w:r>
      <w:r>
        <w:rPr>
          <w:rFonts w:hint="eastAsia" w:ascii="宋体"/>
          <w:color w:val="auto"/>
          <w:highlight w:val="none"/>
        </w:rPr>
        <w:tab/>
      </w:r>
      <w:r>
        <w:rPr>
          <w:rFonts w:hint="eastAsia" w:ascii="宋体"/>
          <w:color w:val="auto"/>
          <w:highlight w:val="none"/>
        </w:rPr>
        <w:t>指定分包商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通用条件本款不适用于本合同。</w:t>
      </w: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lang w:val="en-US" w:eastAsia="zh-CN"/>
        </w:rPr>
        <w:t>6</w:t>
      </w:r>
      <w:r>
        <w:rPr>
          <w:rFonts w:hint="eastAsia" w:ascii="宋体"/>
          <w:color w:val="auto"/>
          <w:highlight w:val="none"/>
        </w:rPr>
        <w:t>.</w:t>
      </w:r>
      <w:r>
        <w:rPr>
          <w:rFonts w:hint="eastAsia" w:ascii="宋体"/>
          <w:color w:val="auto"/>
          <w:highlight w:val="none"/>
        </w:rPr>
        <w:tab/>
      </w:r>
      <w:r>
        <w:rPr>
          <w:rFonts w:hint="eastAsia" w:ascii="宋体"/>
          <w:color w:val="auto"/>
          <w:highlight w:val="none"/>
        </w:rPr>
        <w:t>永久设备、材料和工艺</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ascii="宋体" w:hAnsi="宋体"/>
          <w:color w:val="auto"/>
          <w:szCs w:val="21"/>
          <w:highlight w:val="none"/>
        </w:rPr>
        <w:t xml:space="preserve"> </w:t>
      </w:r>
      <w:r>
        <w:rPr>
          <w:rFonts w:hint="eastAsia" w:ascii="宋体" w:hAnsi="宋体"/>
          <w:color w:val="auto"/>
          <w:szCs w:val="21"/>
          <w:highlight w:val="none"/>
        </w:rPr>
        <w:t>发包人供应材料与工程设备</w:t>
      </w:r>
    </w:p>
    <w:p>
      <w:pPr>
        <w:pStyle w:val="17"/>
        <w:spacing w:after="0"/>
        <w:ind w:left="0" w:leftChars="0" w:firstLine="420" w:firstLineChars="200"/>
        <w:rPr>
          <w:rFonts w:ascii="宋体" w:hAnsi="宋体"/>
          <w:strike w:val="0"/>
          <w:dstrike w:val="0"/>
          <w:color w:val="auto"/>
          <w:szCs w:val="21"/>
          <w:highlight w:val="none"/>
        </w:rPr>
      </w:pPr>
      <w:r>
        <w:rPr>
          <w:rFonts w:hint="eastAsia" w:ascii="宋体" w:hAnsi="宋体"/>
          <w:strike w:val="0"/>
          <w:dstrike w:val="0"/>
          <w:color w:val="auto"/>
          <w:szCs w:val="21"/>
          <w:highlight w:val="none"/>
        </w:rPr>
        <w:t>发包人提供的材料和工程设备包括</w:t>
      </w:r>
      <w:r>
        <w:rPr>
          <w:rFonts w:ascii="宋体" w:hAnsi="宋体"/>
          <w:strike w:val="0"/>
          <w:dstrike w:val="0"/>
          <w:color w:val="auto"/>
          <w:szCs w:val="21"/>
          <w:highlight w:val="none"/>
        </w:rPr>
        <w:t>：</w:t>
      </w:r>
    </w:p>
    <w:p>
      <w:pPr>
        <w:pStyle w:val="17"/>
        <w:spacing w:after="0"/>
        <w:ind w:left="0" w:leftChars="0" w:firstLine="420" w:firstLineChars="200"/>
        <w:rPr>
          <w:rFonts w:hint="default" w:ascii="宋体" w:hAnsi="宋体"/>
          <w:iCs/>
          <w:strike w:val="0"/>
          <w:dstrike w:val="0"/>
          <w:color w:val="auto"/>
          <w:szCs w:val="21"/>
          <w:highlight w:val="none"/>
          <w:u w:val="single"/>
          <w:lang w:val="en-US"/>
        </w:rPr>
      </w:pPr>
      <w:permStart w:id="45" w:edGrp="everyone"/>
      <w:r>
        <w:rPr>
          <w:rFonts w:hint="eastAsia" w:ascii="宋体" w:hAnsi="宋体"/>
          <w:iCs/>
          <w:strike w:val="0"/>
          <w:dstrike w:val="0"/>
          <w:color w:val="auto"/>
          <w:szCs w:val="21"/>
          <w:highlight w:val="none"/>
          <w:u w:val="single"/>
          <w:lang w:val="en-US" w:eastAsia="zh-CN"/>
        </w:rPr>
        <w:t xml:space="preserve">   /   </w:t>
      </w:r>
    </w:p>
    <w:permEnd w:id="45"/>
    <w:p>
      <w:pPr>
        <w:pStyle w:val="17"/>
        <w:spacing w:after="0"/>
        <w:ind w:left="0" w:leftChars="0" w:firstLine="420" w:firstLineChars="200"/>
        <w:rPr>
          <w:rFonts w:ascii="宋体" w:hAnsi="宋体"/>
          <w:strike w:val="0"/>
          <w:dstrike w:val="0"/>
          <w:color w:val="auto"/>
          <w:szCs w:val="21"/>
          <w:highlight w:val="none"/>
        </w:rPr>
      </w:pPr>
      <w:r>
        <w:rPr>
          <w:rFonts w:hint="eastAsia" w:ascii="宋体" w:hAnsi="宋体"/>
          <w:strike w:val="0"/>
          <w:dstrike w:val="0"/>
          <w:color w:val="auto"/>
          <w:szCs w:val="21"/>
          <w:highlight w:val="none"/>
        </w:rPr>
        <w:t>材料和工程设备的规格、数量、价格、交货方式、交货地点和计划交货日期：</w:t>
      </w:r>
    </w:p>
    <w:p>
      <w:pPr>
        <w:pStyle w:val="17"/>
        <w:spacing w:after="0"/>
        <w:ind w:left="0" w:leftChars="0" w:firstLine="420" w:firstLineChars="200"/>
        <w:rPr>
          <w:rFonts w:ascii="宋体" w:hAnsi="宋体"/>
          <w:strike w:val="0"/>
          <w:dstrike w:val="0"/>
          <w:color w:val="auto"/>
          <w:szCs w:val="21"/>
          <w:highlight w:val="none"/>
          <w:u w:val="single"/>
        </w:rPr>
      </w:pPr>
      <w:permStart w:id="46" w:edGrp="everyone"/>
      <w:r>
        <w:rPr>
          <w:rFonts w:hint="eastAsia" w:ascii="宋体" w:hAnsi="宋体"/>
          <w:strike w:val="0"/>
          <w:dstrike w:val="0"/>
          <w:color w:val="auto"/>
          <w:szCs w:val="21"/>
          <w:highlight w:val="none"/>
          <w:u w:val="single"/>
        </w:rPr>
        <w:t xml:space="preserve"> </w:t>
      </w:r>
      <w:r>
        <w:rPr>
          <w:rFonts w:ascii="宋体" w:hAnsi="宋体"/>
          <w:strike w:val="0"/>
          <w:dstrike w:val="0"/>
          <w:color w:val="auto"/>
          <w:szCs w:val="21"/>
          <w:highlight w:val="none"/>
          <w:u w:val="single"/>
        </w:rPr>
        <w:t xml:space="preserve">                                                                      </w:t>
      </w:r>
    </w:p>
    <w:p>
      <w:pPr>
        <w:pStyle w:val="17"/>
        <w:spacing w:after="0"/>
        <w:ind w:left="0" w:leftChars="0" w:firstLine="420" w:firstLineChars="200"/>
        <w:rPr>
          <w:rFonts w:ascii="宋体" w:hAnsi="宋体"/>
          <w:strike w:val="0"/>
          <w:dstrike w:val="0"/>
          <w:color w:val="auto"/>
          <w:szCs w:val="21"/>
          <w:highlight w:val="none"/>
          <w:u w:val="single"/>
        </w:rPr>
      </w:pPr>
      <w:r>
        <w:rPr>
          <w:rFonts w:hint="eastAsia" w:ascii="宋体" w:hAnsi="宋体"/>
          <w:strike w:val="0"/>
          <w:dstrike w:val="0"/>
          <w:color w:val="auto"/>
          <w:szCs w:val="21"/>
          <w:highlight w:val="none"/>
          <w:u w:val="single"/>
        </w:rPr>
        <w:t>由项目发包人提供的设备、材料的交货地点在临时仓库。承包人必须设置相应的临时仓库，所设的临时仓库应具备汽车送达、吊车作业的条件。承包人负责进行卸车、到货验收（到货验收包括清点数量、验品种、型号、规格等常规验收以及配合质量验收）。临时仓库的设置和管理需满足中国南方电网有限责任公司相关规定和要求。</w:t>
      </w:r>
    </w:p>
    <w:permEnd w:id="46"/>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除发包人提供的材料和工程设备外，其余均由承包人提供。</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工程师未通知承包人清点的，承包人不负责材料和工程设备的保管，由此导致丢失毁损的由发包人负责。</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发包人供应的材料和工程设备使用前，由承包人负责检验，检验费用由发包人承担，不合格的不得使用。</w:t>
      </w: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lang w:val="en-US" w:eastAsia="zh-CN"/>
        </w:rPr>
        <w:t>7</w:t>
      </w:r>
      <w:r>
        <w:rPr>
          <w:rFonts w:hint="eastAsia" w:ascii="宋体"/>
          <w:color w:val="auto"/>
          <w:highlight w:val="none"/>
        </w:rPr>
        <w:t>.</w:t>
      </w:r>
      <w:r>
        <w:rPr>
          <w:rFonts w:hint="eastAsia" w:ascii="宋体"/>
          <w:color w:val="auto"/>
          <w:highlight w:val="none"/>
        </w:rPr>
        <w:tab/>
      </w:r>
      <w:r>
        <w:rPr>
          <w:rFonts w:hint="eastAsia" w:ascii="宋体"/>
          <w:color w:val="auto"/>
          <w:highlight w:val="none"/>
        </w:rPr>
        <w:t>开工、延误和暂停</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 xml:space="preserve">.1 </w:t>
      </w:r>
      <w:r>
        <w:rPr>
          <w:rFonts w:hint="eastAsia" w:ascii="宋体" w:hAnsi="宋体"/>
          <w:color w:val="auto"/>
          <w:szCs w:val="21"/>
          <w:highlight w:val="none"/>
        </w:rPr>
        <w:tab/>
      </w:r>
      <w:r>
        <w:rPr>
          <w:rFonts w:hint="eastAsia" w:ascii="宋体" w:hAnsi="宋体"/>
          <w:color w:val="auto"/>
          <w:szCs w:val="21"/>
          <w:highlight w:val="none"/>
        </w:rPr>
        <w:t>工程的开工</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工程开工的先决条件：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（1）工程建设已经核准；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（2）施工组织设计已通过项目发包人组织的审查，并提交给监理工程师和项目发包人；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（3）工程各项管理制度已经制订，并可以落实到工程实施中；</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（4）基础施工图已经过会审；</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（5）基础及接地施工的技术资料已经完备，并在施工人员中进行了技术交底；（仅线路工程）</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（6）基础材料沙、石、水泥、砼配合比、钢筋等，已经过检查和必要的试验并且合格；</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（7）基础材料和加工预制件已经落实，具备连续施工的条件；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（8）工程组织机构、劳动力配备和特殊工种的培训能满足施工需要；</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（9）基础、运输施工机具已到达施工现场，状况良好；（仅线路工程）</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（10）施工场地具备开工条件；</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（11）施工驻地、材料站已布置妥善，生活、通讯设施基本配套；</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（12）承包人在工程所在地的  施工注册  已经完毕；</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w:t>
      </w:r>
      <w:r>
        <w:rPr>
          <w:rFonts w:hint="eastAsia" w:ascii="宋体" w:hAnsi="宋体"/>
          <w:color w:val="auto"/>
          <w:szCs w:val="21"/>
          <w:highlight w:val="none"/>
        </w:rPr>
        <w:t>）施工许可证、建设工程规划许可证等手续的办理完毕。</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承包人施工准备完备后，应提交开工报告，由监理工程师审核合格后报发包人批准。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开工</w:t>
      </w:r>
      <w:r>
        <w:rPr>
          <w:rFonts w:ascii="宋体" w:hAnsi="宋体"/>
          <w:color w:val="auto"/>
          <w:szCs w:val="21"/>
          <w:highlight w:val="none"/>
        </w:rPr>
        <w:t>日期按照合同协议书约定的时间开工。</w:t>
      </w:r>
      <w:r>
        <w:rPr>
          <w:rFonts w:hint="eastAsia" w:ascii="宋体" w:hAnsi="宋体"/>
          <w:color w:val="auto"/>
          <w:szCs w:val="21"/>
          <w:highlight w:val="none"/>
        </w:rPr>
        <w:t>如有延后</w:t>
      </w:r>
      <w:r>
        <w:rPr>
          <w:rFonts w:ascii="宋体" w:hAnsi="宋体"/>
          <w:color w:val="auto"/>
          <w:szCs w:val="21"/>
          <w:highlight w:val="none"/>
        </w:rPr>
        <w:t>，</w:t>
      </w:r>
      <w:r>
        <w:rPr>
          <w:rFonts w:hint="eastAsia" w:ascii="宋体" w:hAnsi="宋体"/>
          <w:color w:val="auto"/>
          <w:szCs w:val="21"/>
          <w:highlight w:val="none"/>
        </w:rPr>
        <w:t>监理工程师应该至少提前7天通知承包人开工日期。承包人应在开工日期后合理可行的情况下尽快开始实施工程，随后应迅速且毫不拖延地进行施工。</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w:t>
      </w:r>
      <w:r>
        <w:rPr>
          <w:rFonts w:hint="eastAsia" w:ascii="宋体" w:hAnsi="宋体"/>
          <w:color w:val="auto"/>
          <w:szCs w:val="21"/>
          <w:highlight w:val="none"/>
        </w:rPr>
        <w:tab/>
      </w:r>
      <w:r>
        <w:rPr>
          <w:rFonts w:hint="eastAsia" w:ascii="宋体" w:hAnsi="宋体"/>
          <w:color w:val="auto"/>
          <w:szCs w:val="21"/>
          <w:highlight w:val="none"/>
        </w:rPr>
        <w:t>进度计划</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承包人应按合同约定，编制详细的三级施工进度计划和施工方案说明报送监理人。监理人应在7天</w:t>
      </w:r>
      <w:r>
        <w:rPr>
          <w:rFonts w:ascii="宋体" w:hAnsi="宋体"/>
          <w:color w:val="auto"/>
          <w:szCs w:val="21"/>
          <w:highlight w:val="none"/>
        </w:rPr>
        <w:t>内</w:t>
      </w:r>
      <w:r>
        <w:rPr>
          <w:rFonts w:hint="eastAsia" w:ascii="宋体" w:hAnsi="宋体"/>
          <w:color w:val="auto"/>
          <w:szCs w:val="21"/>
          <w:highlight w:val="none"/>
        </w:rPr>
        <w:t>批复或提出修改意见，否则该进度计划视为已得到批准。经监理人批准的三级施工进度计划称合同三级进度计划，是控制合同工程进度的依据。承包人还应根据合同进度计划，编制更为详细的分阶段或分项进度计划，报监理人审批。</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不论何种原因造成工程的实际进度与合同三级进度计划不符时，承包人可以内向监理人提交修订合同进度计划的申请报告，并附有关措施和相关资料，报监理人审批；监理人也可以直接向承包人作出修订合同进度计划的指示，承包人应按该指示修订合同进度计划，报监理人审批。监理人应在（约定期限）内批复。工程师在批复前应获得发包人同意。</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w:t>
      </w:r>
      <w:r>
        <w:rPr>
          <w:rFonts w:hint="eastAsia" w:ascii="宋体" w:hAnsi="宋体"/>
          <w:color w:val="auto"/>
          <w:szCs w:val="21"/>
          <w:highlight w:val="none"/>
        </w:rPr>
        <w:tab/>
      </w:r>
      <w:r>
        <w:rPr>
          <w:rFonts w:hint="eastAsia" w:ascii="宋体" w:hAnsi="宋体"/>
          <w:color w:val="auto"/>
          <w:szCs w:val="21"/>
          <w:highlight w:val="none"/>
        </w:rPr>
        <w:t xml:space="preserve">误期损害赔偿费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如果承包人未能遵守第8.2款【</w:t>
      </w:r>
      <w:permStart w:id="47" w:edGrp="everyone"/>
      <w:r>
        <w:rPr>
          <w:rFonts w:hint="eastAsia" w:ascii="宋体" w:hAnsi="宋体"/>
          <w:color w:val="auto"/>
          <w:szCs w:val="21"/>
          <w:highlight w:val="none"/>
        </w:rPr>
        <w:t>竣工时间</w:t>
      </w:r>
      <w:permEnd w:id="47"/>
      <w:r>
        <w:rPr>
          <w:rFonts w:hint="eastAsia" w:ascii="宋体" w:hAnsi="宋体"/>
          <w:color w:val="auto"/>
          <w:szCs w:val="21"/>
          <w:highlight w:val="none"/>
        </w:rPr>
        <w:t>】，承包人应依据第2.5款【</w:t>
      </w:r>
      <w:permStart w:id="48" w:edGrp="everyone"/>
      <w:r>
        <w:rPr>
          <w:rFonts w:hint="eastAsia" w:ascii="宋体" w:hAnsi="宋体"/>
          <w:color w:val="auto"/>
          <w:szCs w:val="21"/>
          <w:highlight w:val="none"/>
        </w:rPr>
        <w:t>发包人的索赔</w:t>
      </w:r>
      <w:permEnd w:id="48"/>
      <w:r>
        <w:rPr>
          <w:rFonts w:hint="eastAsia" w:ascii="宋体" w:hAnsi="宋体"/>
          <w:color w:val="auto"/>
          <w:szCs w:val="21"/>
          <w:highlight w:val="none"/>
        </w:rPr>
        <w:t>】为此违约向发包人支付误期损害赔偿费。竣工工期</w:t>
      </w:r>
      <w:r>
        <w:rPr>
          <w:rFonts w:ascii="宋体" w:hAnsi="宋体"/>
          <w:color w:val="auto"/>
          <w:szCs w:val="21"/>
          <w:highlight w:val="none"/>
        </w:rPr>
        <w:t>每延后一天，</w:t>
      </w:r>
      <w:r>
        <w:rPr>
          <w:rFonts w:hint="eastAsia" w:ascii="宋体" w:hAnsi="宋体"/>
          <w:color w:val="auto"/>
          <w:szCs w:val="21"/>
          <w:highlight w:val="none"/>
        </w:rPr>
        <w:t>承包人</w:t>
      </w:r>
      <w:r>
        <w:rPr>
          <w:rFonts w:ascii="宋体" w:hAnsi="宋体"/>
          <w:color w:val="auto"/>
          <w:szCs w:val="21"/>
          <w:highlight w:val="none"/>
        </w:rPr>
        <w:t>向发包人</w:t>
      </w:r>
      <w:r>
        <w:rPr>
          <w:rFonts w:hint="eastAsia" w:ascii="宋体" w:hAnsi="宋体"/>
          <w:color w:val="auto"/>
          <w:szCs w:val="21"/>
          <w:highlight w:val="none"/>
        </w:rPr>
        <w:t>支付</w:t>
      </w:r>
      <w:permStart w:id="49"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0.1</w:t>
      </w:r>
      <w:r>
        <w:rPr>
          <w:rFonts w:hint="eastAsia" w:ascii="宋体" w:hAnsi="宋体"/>
          <w:color w:val="auto"/>
          <w:szCs w:val="21"/>
          <w:highlight w:val="none"/>
          <w:u w:val="single"/>
        </w:rPr>
        <w:t xml:space="preserve"> 万</w:t>
      </w:r>
      <w:permEnd w:id="49"/>
      <w:r>
        <w:rPr>
          <w:rFonts w:hint="eastAsia" w:ascii="宋体" w:hAnsi="宋体"/>
          <w:color w:val="auto"/>
          <w:szCs w:val="21"/>
          <w:highlight w:val="none"/>
        </w:rPr>
        <w:t>元</w:t>
      </w:r>
      <w:r>
        <w:rPr>
          <w:rFonts w:ascii="宋体" w:hAnsi="宋体"/>
          <w:color w:val="auto"/>
          <w:szCs w:val="21"/>
          <w:highlight w:val="none"/>
        </w:rPr>
        <w:t>，以此计算，累计总额</w:t>
      </w:r>
      <w:r>
        <w:rPr>
          <w:rFonts w:hint="eastAsia" w:ascii="宋体" w:hAnsi="宋体"/>
          <w:color w:val="auto"/>
          <w:szCs w:val="21"/>
          <w:highlight w:val="none"/>
        </w:rPr>
        <w:t>不应超过</w:t>
      </w:r>
      <w:permStart w:id="50"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18</w:t>
      </w:r>
      <w:r>
        <w:rPr>
          <w:rFonts w:hint="eastAsia" w:ascii="宋体" w:hAnsi="宋体"/>
          <w:color w:val="auto"/>
          <w:szCs w:val="21"/>
          <w:highlight w:val="none"/>
          <w:u w:val="single"/>
        </w:rPr>
        <w:t xml:space="preserve">  </w:t>
      </w:r>
      <w:r>
        <w:rPr>
          <w:rFonts w:hint="eastAsia" w:ascii="宋体" w:hAnsi="宋体"/>
          <w:color w:val="auto"/>
          <w:szCs w:val="21"/>
          <w:highlight w:val="none"/>
        </w:rPr>
        <w:t>万</w:t>
      </w:r>
      <w:permEnd w:id="50"/>
      <w:r>
        <w:rPr>
          <w:rFonts w:hint="eastAsia" w:ascii="宋体" w:hAnsi="宋体"/>
          <w:color w:val="auto"/>
          <w:szCs w:val="21"/>
          <w:highlight w:val="none"/>
        </w:rPr>
        <w:t>元</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工程延期按工程建设基本程序由相关单位审核确认</w:t>
      </w:r>
      <w:r>
        <w:rPr>
          <w:rFonts w:hint="eastAsia" w:ascii="宋体" w:hAnsi="宋体"/>
          <w:color w:val="auto"/>
          <w:szCs w:val="21"/>
          <w:highlight w:val="none"/>
        </w:rPr>
        <w:t>。</w:t>
      </w: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lang w:val="en-US" w:eastAsia="zh-CN"/>
        </w:rPr>
        <w:t>8</w:t>
      </w:r>
      <w:r>
        <w:rPr>
          <w:rFonts w:hint="eastAsia" w:ascii="宋体"/>
          <w:color w:val="auto"/>
          <w:highlight w:val="none"/>
        </w:rPr>
        <w:t>.</w:t>
      </w:r>
      <w:r>
        <w:rPr>
          <w:rFonts w:hint="eastAsia" w:ascii="宋体"/>
          <w:color w:val="auto"/>
          <w:highlight w:val="none"/>
        </w:rPr>
        <w:tab/>
      </w:r>
      <w:r>
        <w:rPr>
          <w:rFonts w:hint="eastAsia" w:ascii="宋体"/>
          <w:color w:val="auto"/>
          <w:highlight w:val="none"/>
        </w:rPr>
        <w:t>竣工检验</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 xml:space="preserve">.1 </w:t>
      </w:r>
      <w:r>
        <w:rPr>
          <w:rFonts w:hint="eastAsia" w:ascii="宋体" w:hAnsi="宋体"/>
          <w:color w:val="auto"/>
          <w:szCs w:val="21"/>
          <w:highlight w:val="none"/>
        </w:rPr>
        <w:tab/>
      </w:r>
      <w:r>
        <w:rPr>
          <w:rFonts w:hint="eastAsia" w:ascii="宋体" w:hAnsi="宋体"/>
          <w:color w:val="auto"/>
          <w:szCs w:val="21"/>
          <w:highlight w:val="none"/>
        </w:rPr>
        <w:t>承包人的义务</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承包人按照法律规定和合同约定编制竣工资料，提交的竣工资料按照如下具体要求移交给发包人。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工程竣工后30天内，应将下列资料移交发包人：</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（a）修改后的竣工图二套；</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（b）设计变更通知书及设计变更通知一览表（包括施工图会审纪要）；</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（c）承包人购买的原材料（半成品）及设备、器材出厂质量合格证明或试验记录、材料代用清单、材料使用清册、材料来源依据等；</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（d）工程试验报告或记录、</w:t>
      </w:r>
      <w:r>
        <w:rPr>
          <w:rFonts w:ascii="宋体" w:hAnsi="宋体"/>
          <w:color w:val="auto"/>
          <w:szCs w:val="21"/>
          <w:highlight w:val="none"/>
        </w:rPr>
        <w:t>单位工程质量验收与评定</w:t>
      </w:r>
      <w:r>
        <w:rPr>
          <w:rFonts w:hint="eastAsia" w:ascii="宋体" w:hAnsi="宋体"/>
          <w:color w:val="auto"/>
          <w:szCs w:val="21"/>
          <w:highlight w:val="none"/>
        </w:rPr>
        <w:t>记录；</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（e）未按设计施工的各项明细表及附图；</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（f）施工缺陷处理明细表及附图；</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（g）工程开工、竣工报告；</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（h）中间验收、竣工验收签证书、移交生产交接书。</w:t>
      </w:r>
    </w:p>
    <w:p>
      <w:pPr>
        <w:pStyle w:val="17"/>
        <w:spacing w:after="0"/>
        <w:ind w:left="0" w:leftChars="0"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g</w:t>
      </w:r>
      <w:r>
        <w:rPr>
          <w:rFonts w:hint="eastAsia" w:ascii="宋体" w:hAnsi="宋体"/>
          <w:color w:val="auto"/>
          <w:szCs w:val="21"/>
          <w:highlight w:val="none"/>
          <w:lang w:eastAsia="zh-CN"/>
        </w:rPr>
        <w:t>）变电站土建工程完工后，由</w:t>
      </w:r>
      <w:r>
        <w:rPr>
          <w:rFonts w:hint="eastAsia" w:ascii="宋体" w:hAnsi="宋体"/>
          <w:color w:val="auto"/>
          <w:szCs w:val="21"/>
          <w:highlight w:val="none"/>
          <w:lang w:val="en-US" w:eastAsia="zh-CN"/>
        </w:rPr>
        <w:t>广州供电局与</w:t>
      </w:r>
      <w:r>
        <w:rPr>
          <w:rFonts w:hint="eastAsia" w:ascii="宋体" w:hAnsi="宋体"/>
          <w:color w:val="auto"/>
          <w:szCs w:val="21"/>
          <w:highlight w:val="none"/>
          <w:lang w:eastAsia="zh-CN"/>
        </w:rPr>
        <w:t>甲方成立土建工程交安验组，根据设计图纸和国家、省、市及行业的相关规定、技术规范和标准，对变电站土建工程开展竣工验收工作。对于</w:t>
      </w:r>
      <w:r>
        <w:rPr>
          <w:rFonts w:hint="eastAsia" w:ascii="宋体" w:hAnsi="宋体"/>
          <w:color w:val="auto"/>
          <w:szCs w:val="21"/>
          <w:highlight w:val="none"/>
          <w:lang w:val="en-US" w:eastAsia="zh-CN"/>
        </w:rPr>
        <w:t>广州供电局与</w:t>
      </w:r>
      <w:r>
        <w:rPr>
          <w:rFonts w:hint="eastAsia" w:ascii="宋体" w:hAnsi="宋体"/>
          <w:color w:val="auto"/>
          <w:szCs w:val="21"/>
          <w:highlight w:val="none"/>
          <w:lang w:eastAsia="zh-CN"/>
        </w:rPr>
        <w:t>甲方安验组提出的变电站土建工程整改清单，乙方在收到</w:t>
      </w:r>
      <w:r>
        <w:rPr>
          <w:rFonts w:hint="eastAsia" w:ascii="宋体" w:hAnsi="宋体"/>
          <w:color w:val="auto"/>
          <w:szCs w:val="21"/>
          <w:highlight w:val="none"/>
          <w:lang w:val="en-US" w:eastAsia="zh-CN"/>
        </w:rPr>
        <w:t>广州供电局或</w:t>
      </w:r>
      <w:r>
        <w:rPr>
          <w:rFonts w:hint="eastAsia" w:ascii="宋体" w:hAnsi="宋体"/>
          <w:color w:val="auto"/>
          <w:szCs w:val="21"/>
          <w:highlight w:val="none"/>
          <w:lang w:eastAsia="zh-CN"/>
        </w:rPr>
        <w:t>甲方发出的整改清单</w:t>
      </w:r>
      <w:r>
        <w:rPr>
          <w:rFonts w:hint="eastAsia" w:ascii="宋体" w:hAnsi="宋体"/>
          <w:color w:val="auto"/>
          <w:szCs w:val="21"/>
          <w:highlight w:val="none"/>
          <w:u w:val="single"/>
          <w:lang w:eastAsia="zh-CN"/>
        </w:rPr>
        <w:t>60</w:t>
      </w:r>
      <w:r>
        <w:rPr>
          <w:rFonts w:hint="eastAsia" w:ascii="宋体" w:hAnsi="宋体"/>
          <w:color w:val="auto"/>
          <w:szCs w:val="21"/>
          <w:highlight w:val="none"/>
          <w:lang w:eastAsia="zh-CN"/>
        </w:rPr>
        <w:t>天内应完成整改工作。如乙方拒绝整改或整改不符合要求的，则由</w:t>
      </w:r>
      <w:r>
        <w:rPr>
          <w:rFonts w:hint="eastAsia" w:ascii="宋体" w:hAnsi="宋体"/>
          <w:color w:val="auto"/>
          <w:szCs w:val="21"/>
          <w:highlight w:val="none"/>
          <w:lang w:val="en-US" w:eastAsia="zh-CN"/>
        </w:rPr>
        <w:t>广州供电局或</w:t>
      </w:r>
      <w:r>
        <w:rPr>
          <w:rFonts w:hint="eastAsia" w:ascii="宋体" w:hAnsi="宋体"/>
          <w:color w:val="auto"/>
          <w:szCs w:val="21"/>
          <w:highlight w:val="none"/>
          <w:lang w:eastAsia="zh-CN"/>
        </w:rPr>
        <w:t>甲方自行组织整改，相应整改费用由乙方承担。如为有偿移交的，</w:t>
      </w:r>
      <w:r>
        <w:rPr>
          <w:rFonts w:hint="eastAsia" w:ascii="宋体" w:hAnsi="宋体"/>
          <w:color w:val="auto"/>
          <w:szCs w:val="21"/>
          <w:highlight w:val="none"/>
          <w:lang w:val="en-US" w:eastAsia="zh-CN"/>
        </w:rPr>
        <w:t>广州供电局</w:t>
      </w:r>
      <w:r>
        <w:rPr>
          <w:rFonts w:hint="eastAsia" w:ascii="宋体" w:hAnsi="宋体"/>
          <w:color w:val="auto"/>
          <w:szCs w:val="21"/>
          <w:highlight w:val="none"/>
          <w:lang w:eastAsia="zh-CN"/>
        </w:rPr>
        <w:t>有权直接在移交价款中扣减该整改费用。</w:t>
      </w:r>
    </w:p>
    <w:p>
      <w:pPr>
        <w:pStyle w:val="17"/>
        <w:spacing w:after="0"/>
        <w:ind w:left="0" w:leftChars="0" w:firstLine="420" w:firstLineChars="200"/>
        <w:rPr>
          <w:rFonts w:ascii="宋体" w:hAnsi="宋体"/>
          <w:strike w:val="0"/>
          <w:dstrike w:val="0"/>
          <w:color w:val="auto"/>
          <w:szCs w:val="21"/>
          <w:highlight w:val="none"/>
        </w:rPr>
      </w:pPr>
      <w:r>
        <w:rPr>
          <w:rFonts w:hint="eastAsia" w:ascii="宋体" w:hAnsi="宋体"/>
          <w:strike w:val="0"/>
          <w:dstrike w:val="0"/>
          <w:color w:val="auto"/>
          <w:szCs w:val="21"/>
          <w:highlight w:val="none"/>
        </w:rPr>
        <w:t>（2）工程竣工后30天内，应将下列施工（或安装、调试）记录（或报告）移交发包人：</w:t>
      </w:r>
    </w:p>
    <w:p>
      <w:pPr>
        <w:pStyle w:val="17"/>
        <w:spacing w:after="0"/>
        <w:ind w:left="0" w:leftChars="0" w:firstLine="422" w:firstLineChars="200"/>
        <w:rPr>
          <w:rFonts w:ascii="宋体" w:hAnsi="宋体"/>
          <w:b/>
          <w:color w:val="auto"/>
          <w:szCs w:val="21"/>
          <w:highlight w:val="none"/>
          <w:u w:val="single"/>
        </w:rPr>
      </w:pPr>
      <w:r>
        <w:rPr>
          <w:rFonts w:hint="eastAsia" w:ascii="宋体" w:hAnsi="宋体"/>
          <w:b/>
          <w:color w:val="auto"/>
          <w:szCs w:val="21"/>
          <w:highlight w:val="none"/>
          <w:u w:val="single"/>
        </w:rPr>
        <w:t>变电部分：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建筑、</w:t>
      </w:r>
      <w:r>
        <w:rPr>
          <w:rFonts w:hint="eastAsia" w:ascii="宋体" w:hAnsi="宋体"/>
          <w:color w:val="auto"/>
          <w:szCs w:val="21"/>
          <w:highlight w:val="none"/>
        </w:rPr>
        <w:t>安装工程施工检查记录表；</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（b）其他有关的记录表等。</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（3）移交给项目发包人的各种资料和记录必须齐全，装订整齐，一式三份；</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（4）各种施工记录必须按原始记录填写，经驻现场监理工程师中间检查合格并签署意见；</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（5）完整的竣工结算资料包括：工程结算书、重大设计变更批复文件、设计变更单、签证单、开竣工报告及其他记录等，一式四份（含电子版一份）；</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（6）以上所有资料均应按电子化移交的相关规定提交电子化文件。</w:t>
      </w: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lang w:val="en-US" w:eastAsia="zh-CN"/>
        </w:rPr>
        <w:t>9</w:t>
      </w:r>
      <w:r>
        <w:rPr>
          <w:rFonts w:hint="eastAsia" w:ascii="宋体"/>
          <w:color w:val="auto"/>
          <w:highlight w:val="none"/>
        </w:rPr>
        <w:t>.</w:t>
      </w:r>
      <w:r>
        <w:rPr>
          <w:rFonts w:hint="eastAsia" w:ascii="宋体"/>
          <w:color w:val="auto"/>
          <w:highlight w:val="none"/>
        </w:rPr>
        <w:tab/>
      </w:r>
      <w:r>
        <w:rPr>
          <w:rFonts w:hint="eastAsia" w:ascii="宋体"/>
          <w:color w:val="auto"/>
          <w:highlight w:val="none"/>
        </w:rPr>
        <w:t>缺陷责任</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 xml:space="preserve">.1 </w:t>
      </w:r>
      <w:r>
        <w:rPr>
          <w:rFonts w:hint="eastAsia" w:ascii="宋体" w:hAnsi="宋体"/>
          <w:color w:val="auto"/>
          <w:szCs w:val="21"/>
          <w:highlight w:val="none"/>
        </w:rPr>
        <w:tab/>
      </w:r>
      <w:r>
        <w:rPr>
          <w:rFonts w:hint="eastAsia" w:ascii="宋体" w:hAnsi="宋体"/>
          <w:color w:val="auto"/>
          <w:szCs w:val="21"/>
          <w:highlight w:val="none"/>
        </w:rPr>
        <w:t>完成扫尾工作和修补缺陷</w:t>
      </w:r>
    </w:p>
    <w:p>
      <w:pPr>
        <w:pStyle w:val="17"/>
        <w:spacing w:after="0"/>
        <w:ind w:left="0" w:leftChars="0" w:firstLine="440" w:firstLineChars="200"/>
        <w:rPr>
          <w:rFonts w:hint="eastAsia" w:ascii="宋体" w:hAnsi="宋体" w:eastAsia="宋体" w:cs="宋体"/>
          <w:color w:val="auto"/>
          <w:kern w:val="0"/>
          <w:sz w:val="22"/>
          <w:szCs w:val="22"/>
          <w:highlight w:val="none"/>
          <w:u w:val="single"/>
          <w:lang w:eastAsia="zh-CN" w:bidi="ar"/>
        </w:rPr>
      </w:pPr>
      <w:r>
        <w:rPr>
          <w:rFonts w:hint="eastAsia" w:ascii="宋体" w:hAnsi="宋体" w:cs="宋体"/>
          <w:color w:val="auto"/>
          <w:kern w:val="0"/>
          <w:sz w:val="22"/>
          <w:szCs w:val="22"/>
          <w:highlight w:val="none"/>
          <w:lang w:bidi="ar"/>
        </w:rPr>
        <w:t>缺陷责任期的具体期限：</w:t>
      </w:r>
      <w:permStart w:id="51" w:edGrp="everyone"/>
      <w:r>
        <w:rPr>
          <w:rFonts w:hint="eastAsia" w:ascii="宋体" w:hAnsi="宋体" w:cs="宋体"/>
          <w:color w:val="auto"/>
          <w:kern w:val="0"/>
          <w:sz w:val="22"/>
          <w:szCs w:val="22"/>
          <w:highlight w:val="none"/>
          <w:u w:val="single"/>
          <w:lang w:bidi="ar"/>
        </w:rPr>
        <w:t xml:space="preserve"> </w:t>
      </w:r>
      <w:r>
        <w:rPr>
          <w:rFonts w:hint="eastAsia" w:ascii="宋体" w:hAnsi="宋体" w:cs="宋体"/>
          <w:color w:val="auto"/>
          <w:kern w:val="0"/>
          <w:sz w:val="22"/>
          <w:szCs w:val="22"/>
          <w:highlight w:val="none"/>
          <w:u w:val="single"/>
          <w:lang w:val="en-US" w:eastAsia="zh-CN" w:bidi="ar"/>
        </w:rPr>
        <w:t>24个月</w:t>
      </w:r>
      <w:r>
        <w:rPr>
          <w:rFonts w:hint="eastAsia" w:ascii="宋体" w:hAnsi="宋体" w:cs="宋体"/>
          <w:color w:val="auto"/>
          <w:kern w:val="0"/>
          <w:sz w:val="22"/>
          <w:szCs w:val="22"/>
          <w:highlight w:val="none"/>
          <w:u w:val="single"/>
          <w:lang w:bidi="ar"/>
        </w:rPr>
        <w:t xml:space="preserve">         。</w:t>
      </w:r>
    </w:p>
    <w:permEnd w:id="51"/>
    <w:p>
      <w:pPr>
        <w:pStyle w:val="17"/>
        <w:spacing w:after="0"/>
        <w:ind w:left="0" w:leftChars="0" w:firstLine="440" w:firstLineChars="200"/>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bidi="ar"/>
        </w:rPr>
        <w:t xml:space="preserve">   工程质量保修范围、期限和责任：</w:t>
      </w:r>
    </w:p>
    <w:p>
      <w:pPr>
        <w:pStyle w:val="17"/>
        <w:spacing w:after="0"/>
        <w:ind w:left="0" w:leftChars="0" w:firstLine="440" w:firstLineChars="200"/>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bidi="ar"/>
        </w:rPr>
        <w:t xml:space="preserve">   工程具备验收条件，承包人提交验收申请报告后，发包人及时组织验收。由于承包人原因无法按规定期限进行竣工验收的，缺陷责任期从实际通过竣工验收之日起计；由于发包人原因导致工程无法按规定期限进行竣工验收的，在承包人提交竣工验收报告90天后，工程自动进入缺陷责任期。</w:t>
      </w:r>
    </w:p>
    <w:p>
      <w:pPr>
        <w:pStyle w:val="17"/>
        <w:spacing w:after="0"/>
        <w:ind w:left="0" w:leftChars="0" w:firstLine="440" w:firstLineChars="200"/>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bidi="ar"/>
        </w:rPr>
        <w:t xml:space="preserve">    在暂时停工的情况下，缺陷责任期或保修期的持续不得超过在工程设备本应交付（但由于此暂定而未交付）之日以后的730天（线路工程）、365天（变电工程）。</w:t>
      </w:r>
    </w:p>
    <w:p>
      <w:pPr>
        <w:pStyle w:val="17"/>
        <w:spacing w:after="0"/>
        <w:ind w:left="0" w:leftChars="0" w:firstLine="440" w:firstLineChars="200"/>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bidi="ar"/>
        </w:rPr>
        <w:t xml:space="preserve">    若工程竣工验收取得竣工验收证明后，由于客观原因不能立即投运，承包人负责免费保管，时间为半年。在此约定时间以外的承包人的保管，项目发包人另行付费，价格由双方协商确定。</w:t>
      </w:r>
    </w:p>
    <w:p>
      <w:pPr>
        <w:pStyle w:val="17"/>
        <w:spacing w:after="0"/>
        <w:ind w:left="0" w:leftChars="0" w:firstLine="440" w:firstLineChars="200"/>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bidi="ar"/>
        </w:rPr>
        <w:t xml:space="preserve">    基建工程实行质量保修、工程质量总结、回访制度。承包人在提交工程竣工验收报告时，应当出具质量保修书，质量保修书中应当明确工程的保修范围、保修期限和保修责任等。</w:t>
      </w:r>
    </w:p>
    <w:p>
      <w:pPr>
        <w:pStyle w:val="17"/>
        <w:spacing w:after="0"/>
        <w:ind w:left="0" w:leftChars="0" w:firstLine="440" w:firstLineChars="200"/>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bidi="ar"/>
        </w:rPr>
        <w:t xml:space="preserve">    工程投产时对验收遗留问题进行分类，对属于投产后必须处理的，列入缺陷清单，缺陷必须在工程缺陷责任期的一半时间内完成处理。</w:t>
      </w:r>
    </w:p>
    <w:p>
      <w:pPr>
        <w:pStyle w:val="17"/>
        <w:spacing w:after="0"/>
        <w:ind w:left="0" w:leftChars="0" w:firstLine="440" w:firstLineChars="200"/>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bidi="ar"/>
        </w:rPr>
        <w:t xml:space="preserve">    在保修范围和保修期限内发生质量缺陷的，承包人应当履行保修义务。情况严重的，发包人应责令责任单位对该项工程无偿进行局部或全面返工。</w:t>
      </w:r>
    </w:p>
    <w:p>
      <w:pPr>
        <w:pStyle w:val="17"/>
        <w:spacing w:after="0"/>
        <w:ind w:left="0" w:leftChars="0" w:firstLine="440" w:firstLineChars="200"/>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 xml:space="preserve">    承包人的缺陷消除时间须按发包人要求完成，受停电或其他客观因素影响 ，由承包人书面提出，并经运行管理单位审批后可适当延长缺陷处理时间。</w:t>
      </w:r>
    </w:p>
    <w:p>
      <w:pPr>
        <w:pStyle w:val="17"/>
        <w:spacing w:after="0"/>
        <w:ind w:left="0" w:leftChars="0" w:firstLine="440" w:firstLineChars="200"/>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bidi="ar"/>
        </w:rPr>
        <w:t>工程缺陷责任期过半时，业主项目部向运行管理单位、档案管理部门发出《工程项目缺陷责任期通知》，确认缺陷处理情况和档案移交情况。</w:t>
      </w:r>
    </w:p>
    <w:p>
      <w:pPr>
        <w:pStyle w:val="17"/>
        <w:spacing w:after="0"/>
        <w:ind w:left="0" w:leftChars="0" w:firstLine="440" w:firstLineChars="200"/>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bidi="ar"/>
        </w:rPr>
        <w:t xml:space="preserve">    工程缺陷责任期过半时，若承包人提出不处理或处理不积极，且经发包人书面催促后仍未按要求时间处理，且没有申请延长缺陷处理时间，发包人可自行委托其他单位处理对应缺陷，同时启动工程质量保证金扣除或保函兑现流程，用于支付缺陷处理费用。</w:t>
      </w:r>
    </w:p>
    <w:p>
      <w:pPr>
        <w:pStyle w:val="17"/>
        <w:spacing w:after="0"/>
        <w:ind w:left="0" w:leftChars="0" w:firstLine="440" w:firstLineChars="200"/>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bidi="ar"/>
        </w:rPr>
        <w:t xml:space="preserve">   若缺陷处理费用超过工程质量保证金额度，承包人应按第2.5款【发包人的索赔】的规定向发包人支付该笔缺陷处理费用。</w:t>
      </w:r>
    </w:p>
    <w:p>
      <w:pPr>
        <w:pStyle w:val="17"/>
        <w:spacing w:after="0"/>
        <w:ind w:left="0" w:leftChars="0" w:firstLine="440" w:firstLineChars="200"/>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bidi="ar"/>
        </w:rPr>
        <w:t xml:space="preserve">   工程缺陷受停电或其他非承包人责任因素影响，在工程缺陷责任期届满仍无法完成缺陷处理的，承包人出具《工程项目遗留缺陷处理承诺书》，工程缺陷责任期结束。</w:t>
      </w:r>
    </w:p>
    <w:p>
      <w:pPr>
        <w:pStyle w:val="17"/>
        <w:spacing w:after="0"/>
        <w:ind w:left="0" w:leftChars="0" w:firstLine="440" w:firstLineChars="200"/>
        <w:rPr>
          <w:rFonts w:ascii="宋体" w:hAnsi="宋体"/>
          <w:color w:val="auto"/>
          <w:szCs w:val="21"/>
          <w:highlight w:val="none"/>
        </w:rPr>
      </w:pPr>
      <w:r>
        <w:rPr>
          <w:rFonts w:hint="eastAsia" w:ascii="宋体" w:hAnsi="宋体" w:cs="宋体"/>
          <w:color w:val="auto"/>
          <w:kern w:val="0"/>
          <w:sz w:val="22"/>
          <w:szCs w:val="22"/>
          <w:highlight w:val="none"/>
          <w:lang w:bidi="ar"/>
        </w:rPr>
        <w:t xml:space="preserve">   工程缺陷责任期到期时，运行管理单位与承包人对缺陷处理情况存在争议，双方协商解决。</w:t>
      </w: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rPr>
        <w:t>1</w:t>
      </w:r>
      <w:r>
        <w:rPr>
          <w:rFonts w:hint="eastAsia" w:ascii="宋体"/>
          <w:color w:val="auto"/>
          <w:highlight w:val="none"/>
          <w:lang w:val="en-US" w:eastAsia="zh-CN"/>
        </w:rPr>
        <w:t>0</w:t>
      </w:r>
      <w:r>
        <w:rPr>
          <w:rFonts w:hint="eastAsia" w:ascii="宋体"/>
          <w:color w:val="auto"/>
          <w:highlight w:val="none"/>
        </w:rPr>
        <w:t>.</w:t>
      </w:r>
      <w:r>
        <w:rPr>
          <w:rFonts w:hint="eastAsia" w:ascii="宋体"/>
          <w:color w:val="auto"/>
          <w:highlight w:val="none"/>
        </w:rPr>
        <w:tab/>
      </w:r>
      <w:r>
        <w:rPr>
          <w:rFonts w:hint="eastAsia" w:ascii="宋体"/>
          <w:color w:val="auto"/>
          <w:highlight w:val="none"/>
        </w:rPr>
        <w:t>测量和估价</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 xml:space="preserve">.1 </w:t>
      </w:r>
      <w:r>
        <w:rPr>
          <w:rFonts w:hint="eastAsia" w:ascii="宋体" w:hAnsi="宋体"/>
          <w:color w:val="auto"/>
          <w:szCs w:val="21"/>
          <w:highlight w:val="none"/>
        </w:rPr>
        <w:tab/>
      </w:r>
      <w:r>
        <w:rPr>
          <w:rFonts w:hint="eastAsia" w:ascii="宋体" w:hAnsi="宋体"/>
          <w:color w:val="auto"/>
          <w:szCs w:val="21"/>
          <w:highlight w:val="none"/>
        </w:rPr>
        <w:t xml:space="preserve">需测量的工程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承包人负责在甲供物资（发包人</w:t>
      </w:r>
      <w:r>
        <w:rPr>
          <w:rFonts w:ascii="宋体" w:hAnsi="宋体"/>
          <w:color w:val="auto"/>
          <w:szCs w:val="21"/>
          <w:highlight w:val="none"/>
        </w:rPr>
        <w:t>提供的物资</w:t>
      </w:r>
      <w:r>
        <w:rPr>
          <w:rFonts w:hint="eastAsia" w:ascii="宋体" w:hAnsi="宋体"/>
          <w:color w:val="auto"/>
          <w:szCs w:val="21"/>
          <w:highlight w:val="none"/>
        </w:rPr>
        <w:t>）到货后3个工作日内，做好甲供物资到货量登记；在甲供物资使用后3个工作日内，做好甲供物资使用量登记；在工程投产后一个月内办理物资退料。</w:t>
      </w: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lang w:val="en-US" w:eastAsia="zh-CN"/>
        </w:rPr>
        <w:t>11</w:t>
      </w:r>
      <w:r>
        <w:rPr>
          <w:rFonts w:hint="eastAsia" w:ascii="宋体"/>
          <w:color w:val="auto"/>
          <w:highlight w:val="none"/>
        </w:rPr>
        <w:t>.</w:t>
      </w:r>
      <w:r>
        <w:rPr>
          <w:rFonts w:hint="eastAsia" w:ascii="宋体"/>
          <w:color w:val="auto"/>
          <w:highlight w:val="none"/>
        </w:rPr>
        <w:tab/>
      </w:r>
      <w:r>
        <w:rPr>
          <w:rFonts w:hint="eastAsia" w:ascii="宋体"/>
          <w:color w:val="auto"/>
          <w:highlight w:val="none"/>
        </w:rPr>
        <w:t>变更和调整</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 xml:space="preserve">.1 </w:t>
      </w:r>
      <w:r>
        <w:rPr>
          <w:rFonts w:hint="eastAsia" w:ascii="宋体" w:hAnsi="宋体"/>
          <w:color w:val="auto"/>
          <w:szCs w:val="21"/>
          <w:highlight w:val="none"/>
        </w:rPr>
        <w:tab/>
      </w:r>
      <w:r>
        <w:rPr>
          <w:rFonts w:hint="eastAsia" w:ascii="宋体" w:hAnsi="宋体"/>
          <w:color w:val="auto"/>
          <w:szCs w:val="21"/>
          <w:highlight w:val="none"/>
        </w:rPr>
        <w:t xml:space="preserve">有权变更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变更权限</w:t>
      </w:r>
      <w:r>
        <w:rPr>
          <w:rFonts w:hint="eastAsia" w:ascii="宋体" w:hAnsi="宋体"/>
          <w:color w:val="auto"/>
          <w:szCs w:val="21"/>
          <w:highlight w:val="none"/>
          <w:lang w:val="en-US" w:eastAsia="zh-CN"/>
        </w:rPr>
        <w:t>参照</w:t>
      </w:r>
      <w:r>
        <w:rPr>
          <w:rFonts w:hint="eastAsia" w:ascii="宋体" w:hAnsi="宋体"/>
          <w:color w:val="auto"/>
          <w:szCs w:val="21"/>
          <w:highlight w:val="none"/>
        </w:rPr>
        <w:t>南网《基建项目设计管理业务指导书》的</w:t>
      </w:r>
      <w:r>
        <w:rPr>
          <w:rFonts w:ascii="宋体" w:hAnsi="宋体"/>
          <w:color w:val="auto"/>
          <w:szCs w:val="21"/>
          <w:highlight w:val="none"/>
        </w:rPr>
        <w:t>要求执行</w:t>
      </w:r>
      <w:r>
        <w:rPr>
          <w:rFonts w:hint="eastAsia" w:ascii="宋体" w:hAnsi="宋体"/>
          <w:color w:val="auto"/>
          <w:szCs w:val="21"/>
          <w:highlight w:val="none"/>
        </w:rPr>
        <w:t>，按先审批后执行的原则进行管理，按权限进行审批</w:t>
      </w:r>
      <w:r>
        <w:rPr>
          <w:rFonts w:ascii="宋体" w:hAnsi="宋体"/>
          <w:color w:val="auto"/>
          <w:szCs w:val="21"/>
          <w:highlight w:val="none"/>
        </w:rPr>
        <w:t>。</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 xml:space="preserve">.2 </w:t>
      </w:r>
      <w:r>
        <w:rPr>
          <w:rFonts w:hint="eastAsia" w:ascii="宋体" w:hAnsi="宋体"/>
          <w:color w:val="auto"/>
          <w:szCs w:val="21"/>
          <w:highlight w:val="none"/>
        </w:rPr>
        <w:tab/>
      </w:r>
      <w:r>
        <w:rPr>
          <w:rFonts w:hint="eastAsia" w:ascii="宋体" w:hAnsi="宋体"/>
          <w:color w:val="auto"/>
          <w:szCs w:val="21"/>
          <w:highlight w:val="none"/>
        </w:rPr>
        <w:t>价值工程</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通用条件本款不适用于本合同。</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 xml:space="preserve">.3 </w:t>
      </w:r>
      <w:r>
        <w:rPr>
          <w:rFonts w:hint="eastAsia" w:ascii="宋体" w:hAnsi="宋体"/>
          <w:color w:val="auto"/>
          <w:szCs w:val="21"/>
          <w:highlight w:val="none"/>
        </w:rPr>
        <w:tab/>
      </w:r>
      <w:r>
        <w:rPr>
          <w:rFonts w:hint="eastAsia" w:ascii="宋体" w:hAnsi="宋体"/>
          <w:color w:val="auto"/>
          <w:szCs w:val="21"/>
          <w:highlight w:val="none"/>
        </w:rPr>
        <w:t xml:space="preserve">变更程序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变更程序</w:t>
      </w:r>
      <w:r>
        <w:rPr>
          <w:rFonts w:hint="eastAsia" w:ascii="宋体" w:hAnsi="宋体"/>
          <w:color w:val="auto"/>
          <w:szCs w:val="21"/>
          <w:highlight w:val="none"/>
          <w:lang w:val="en-US" w:eastAsia="zh-CN"/>
        </w:rPr>
        <w:t>参照</w:t>
      </w:r>
      <w:r>
        <w:rPr>
          <w:rFonts w:hint="eastAsia" w:ascii="宋体" w:hAnsi="宋体"/>
          <w:color w:val="auto"/>
          <w:szCs w:val="21"/>
          <w:highlight w:val="none"/>
        </w:rPr>
        <w:t>南网《基建项目设计管理业务指导书》的</w:t>
      </w:r>
      <w:r>
        <w:rPr>
          <w:rFonts w:ascii="宋体" w:hAnsi="宋体"/>
          <w:color w:val="auto"/>
          <w:szCs w:val="21"/>
          <w:highlight w:val="none"/>
        </w:rPr>
        <w:t>要求执行</w:t>
      </w:r>
      <w:r>
        <w:rPr>
          <w:rFonts w:hint="eastAsia" w:ascii="宋体" w:hAnsi="宋体"/>
          <w:color w:val="auto"/>
          <w:szCs w:val="21"/>
          <w:highlight w:val="none"/>
        </w:rPr>
        <w:t>，按先审批后执行的原则进行管理，按权限进行审批</w:t>
      </w:r>
      <w:r>
        <w:rPr>
          <w:rFonts w:ascii="宋体" w:hAnsi="宋体"/>
          <w:color w:val="auto"/>
          <w:szCs w:val="21"/>
          <w:highlight w:val="none"/>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ascii="宋体" w:hAnsi="宋体"/>
          <w:color w:val="auto"/>
          <w:szCs w:val="21"/>
          <w:highlight w:val="none"/>
        </w:rPr>
        <w:t>3.1</w:t>
      </w:r>
      <w:r>
        <w:rPr>
          <w:rFonts w:hint="eastAsia" w:ascii="宋体" w:hAnsi="宋体"/>
          <w:color w:val="auto"/>
          <w:szCs w:val="21"/>
          <w:highlight w:val="none"/>
        </w:rPr>
        <w:t xml:space="preserve"> </w:t>
      </w:r>
      <w:r>
        <w:rPr>
          <w:rFonts w:hint="eastAsia" w:ascii="宋体" w:hAnsi="宋体"/>
          <w:color w:val="auto"/>
          <w:szCs w:val="21"/>
          <w:highlight w:val="none"/>
        </w:rPr>
        <w:tab/>
      </w:r>
      <w:r>
        <w:rPr>
          <w:rFonts w:hint="eastAsia" w:ascii="宋体" w:hAnsi="宋体"/>
          <w:color w:val="auto"/>
          <w:szCs w:val="21"/>
          <w:highlight w:val="none"/>
        </w:rPr>
        <w:t>变更估价</w:t>
      </w:r>
      <w:r>
        <w:rPr>
          <w:rFonts w:ascii="宋体" w:hAnsi="宋体"/>
          <w:color w:val="auto"/>
          <w:szCs w:val="21"/>
          <w:highlight w:val="none"/>
        </w:rPr>
        <w:t>的原则</w:t>
      </w:r>
      <w:r>
        <w:rPr>
          <w:rFonts w:hint="eastAsia" w:ascii="宋体" w:hAnsi="宋体"/>
          <w:color w:val="auto"/>
          <w:szCs w:val="21"/>
          <w:highlight w:val="none"/>
        </w:rPr>
        <w:t xml:space="preserve"> </w:t>
      </w:r>
    </w:p>
    <w:p>
      <w:pPr>
        <w:pStyle w:val="17"/>
        <w:spacing w:after="0"/>
        <w:ind w:left="0" w:leftChars="0" w:firstLine="422" w:firstLineChars="200"/>
        <w:rPr>
          <w:rFonts w:ascii="宋体" w:hAnsi="宋体"/>
          <w:b/>
          <w:color w:val="auto"/>
          <w:szCs w:val="21"/>
          <w:highlight w:val="none"/>
        </w:rPr>
      </w:pPr>
      <w:r>
        <w:rPr>
          <w:rFonts w:hint="eastAsia" w:ascii="宋体" w:hAnsi="宋体"/>
          <w:b/>
          <w:color w:val="auto"/>
          <w:szCs w:val="21"/>
          <w:highlight w:val="none"/>
        </w:rPr>
        <w:t>（一</w:t>
      </w:r>
      <w:r>
        <w:rPr>
          <w:rFonts w:ascii="宋体" w:hAnsi="宋体"/>
          <w:b/>
          <w:color w:val="auto"/>
          <w:szCs w:val="21"/>
          <w:highlight w:val="none"/>
        </w:rPr>
        <w:t>）</w:t>
      </w:r>
      <w:r>
        <w:rPr>
          <w:rFonts w:hint="eastAsia" w:ascii="宋体" w:hAnsi="宋体"/>
          <w:b/>
          <w:color w:val="auto"/>
          <w:szCs w:val="21"/>
          <w:highlight w:val="none"/>
        </w:rPr>
        <w:t>清单计价模式：</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（1）一般规定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以下事项（但不限于）发生，发承包双方应当按合同约定调整合同价款：</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（a） 法律法规变化。</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（b）工程变更。</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（c）项目特征描述不符。</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（d）工程量清单缺项。</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（e）工程量偏差。</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（f）发承包双方约定的其他调整事项。</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（2）如发包人与承包人对合同价款调整的不同意见不能达成一致的，只要不实质影响发承包双方履约的，双方应继续履行合同义务，直到其按照合同约定的争议解决方式得到处理。</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）经发承包双方确认调整的合同价款，作为追加（减)合同价款，与工程进度款或结算款同期支付。</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）本次</w:t>
      </w:r>
      <w:r>
        <w:rPr>
          <w:rFonts w:hint="eastAsia" w:ascii="宋体" w:hAnsi="宋体"/>
          <w:color w:val="auto"/>
          <w:szCs w:val="21"/>
          <w:highlight w:val="none"/>
        </w:rPr>
        <w:t>中标</w:t>
      </w:r>
      <w:r>
        <w:rPr>
          <w:rFonts w:ascii="宋体" w:hAnsi="宋体"/>
          <w:color w:val="auto"/>
          <w:szCs w:val="21"/>
          <w:highlight w:val="none"/>
        </w:rPr>
        <w:t>合同</w:t>
      </w:r>
      <w:r>
        <w:rPr>
          <w:rFonts w:hint="eastAsia" w:ascii="宋体" w:hAnsi="宋体"/>
          <w:color w:val="auto"/>
          <w:szCs w:val="21"/>
          <w:highlight w:val="none"/>
        </w:rPr>
        <w:t>价款中总价包干部分</w:t>
      </w:r>
      <w:r>
        <w:rPr>
          <w:rFonts w:ascii="宋体" w:hAnsi="宋体"/>
          <w:color w:val="auto"/>
          <w:szCs w:val="21"/>
          <w:highlight w:val="none"/>
        </w:rPr>
        <w:t>，一般不予调整</w:t>
      </w:r>
      <w:r>
        <w:rPr>
          <w:rFonts w:hint="eastAsia" w:ascii="宋体" w:hAnsi="宋体"/>
          <w:color w:val="auto"/>
          <w:szCs w:val="21"/>
          <w:highlight w:val="none"/>
        </w:rPr>
        <w:t>；中标</w:t>
      </w:r>
      <w:r>
        <w:rPr>
          <w:rFonts w:ascii="宋体" w:hAnsi="宋体"/>
          <w:color w:val="auto"/>
          <w:szCs w:val="21"/>
          <w:highlight w:val="none"/>
        </w:rPr>
        <w:t>合同</w:t>
      </w:r>
      <w:r>
        <w:rPr>
          <w:rFonts w:hint="eastAsia" w:ascii="宋体" w:hAnsi="宋体"/>
          <w:color w:val="auto"/>
          <w:szCs w:val="21"/>
          <w:highlight w:val="none"/>
        </w:rPr>
        <w:t>价款中的错项（含漏项、多项）结算时视为已包括在其他工程子项的报价中，不予调整。</w:t>
      </w:r>
    </w:p>
    <w:p>
      <w:pPr>
        <w:pStyle w:val="17"/>
        <w:spacing w:after="0"/>
        <w:ind w:left="0" w:leftChars="0" w:firstLine="422" w:firstLineChars="200"/>
        <w:rPr>
          <w:rFonts w:ascii="宋体" w:hAnsi="宋体"/>
          <w:b/>
          <w:color w:val="auto"/>
          <w:szCs w:val="21"/>
          <w:highlight w:val="none"/>
        </w:rPr>
      </w:pPr>
      <w:r>
        <w:rPr>
          <w:rFonts w:hint="eastAsia" w:ascii="宋体" w:hAnsi="宋体"/>
          <w:b/>
          <w:color w:val="auto"/>
          <w:szCs w:val="21"/>
          <w:highlight w:val="none"/>
        </w:rPr>
        <w:t>（二</w:t>
      </w:r>
      <w:r>
        <w:rPr>
          <w:rFonts w:ascii="宋体" w:hAnsi="宋体"/>
          <w:b/>
          <w:color w:val="auto"/>
          <w:szCs w:val="21"/>
          <w:highlight w:val="none"/>
        </w:rPr>
        <w:t>）</w:t>
      </w:r>
      <w:r>
        <w:rPr>
          <w:rFonts w:hint="eastAsia" w:ascii="宋体" w:hAnsi="宋体"/>
          <w:b/>
          <w:color w:val="auto"/>
          <w:szCs w:val="21"/>
          <w:highlight w:val="none"/>
        </w:rPr>
        <w:t>定额计价模式：</w:t>
      </w:r>
    </w:p>
    <w:p>
      <w:pPr>
        <w:pStyle w:val="17"/>
        <w:spacing w:after="0"/>
        <w:ind w:left="0" w:leftChars="0" w:firstLine="420" w:firstLineChars="200"/>
        <w:rPr>
          <w:rFonts w:hint="eastAsia" w:ascii="宋体" w:hAnsi="宋体"/>
          <w:color w:val="auto"/>
          <w:szCs w:val="21"/>
          <w:highlight w:val="none"/>
          <w:u w:val="single"/>
        </w:rPr>
      </w:pPr>
      <w:r>
        <w:rPr>
          <w:rFonts w:hint="eastAsia" w:ascii="宋体" w:hAnsi="宋体"/>
          <w:color w:val="auto"/>
          <w:szCs w:val="21"/>
          <w:highlight w:val="none"/>
        </w:rPr>
        <w:t>中标合同（含投标文件）已有的价格如出现明显不合理（指合同价格偏离市场价格及现行定额水平±20％以上）的单价和费率，项目发包人有权按照现行相关规定的单价和标准执行。</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 xml:space="preserve">4 </w:t>
      </w:r>
      <w:r>
        <w:rPr>
          <w:rFonts w:hint="eastAsia" w:ascii="宋体" w:hAnsi="宋体"/>
          <w:color w:val="auto"/>
          <w:szCs w:val="21"/>
          <w:highlight w:val="none"/>
        </w:rPr>
        <w:tab/>
      </w:r>
      <w:r>
        <w:rPr>
          <w:rFonts w:hint="eastAsia" w:ascii="宋体" w:hAnsi="宋体"/>
          <w:color w:val="auto"/>
          <w:szCs w:val="21"/>
          <w:highlight w:val="none"/>
        </w:rPr>
        <w:t xml:space="preserve">法规变化引起的调整 </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(1) 招标工程以投标截止日前28天，非招标工程以合同签订前28天为基准日，其后国家的法律、法规、规章和政策发生变化引起工程造价增减变化的，发承包双方应当按照各级政府部门、行业建设主管部门或电力工程造价管理机构据此发布的规定调整合同价款。</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(2) 因承包人原因导致工期延误，在合同工程原定竣工时间之后，合同价款调增的不予调整，合同价款调减的予以调整。</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 xml:space="preserve"> </w:t>
      </w:r>
      <w:r>
        <w:rPr>
          <w:rFonts w:hint="eastAsia" w:ascii="宋体" w:hAnsi="宋体"/>
          <w:color w:val="auto"/>
          <w:szCs w:val="21"/>
          <w:highlight w:val="none"/>
        </w:rPr>
        <w:tab/>
      </w:r>
      <w:r>
        <w:rPr>
          <w:rFonts w:hint="eastAsia" w:ascii="宋体" w:hAnsi="宋体"/>
          <w:color w:val="auto"/>
          <w:szCs w:val="21"/>
          <w:highlight w:val="none"/>
        </w:rPr>
        <w:t xml:space="preserve">费用变化引起的调整 </w:t>
      </w:r>
    </w:p>
    <w:p>
      <w:pPr>
        <w:pStyle w:val="17"/>
        <w:spacing w:after="0"/>
        <w:ind w:left="0" w:leftChars="0" w:firstLine="422" w:firstLineChars="200"/>
        <w:rPr>
          <w:rFonts w:hint="eastAsia" w:ascii="宋体" w:hAnsi="宋体"/>
          <w:b/>
          <w:color w:val="auto"/>
          <w:szCs w:val="21"/>
          <w:highlight w:val="none"/>
        </w:rPr>
      </w:pPr>
      <w:r>
        <w:rPr>
          <w:rFonts w:hint="eastAsia" w:ascii="宋体" w:hAnsi="宋体"/>
          <w:b/>
          <w:color w:val="auto"/>
          <w:szCs w:val="21"/>
          <w:highlight w:val="none"/>
        </w:rPr>
        <w:t>（一</w:t>
      </w:r>
      <w:r>
        <w:rPr>
          <w:rFonts w:ascii="宋体" w:hAnsi="宋体"/>
          <w:b/>
          <w:color w:val="auto"/>
          <w:szCs w:val="21"/>
          <w:highlight w:val="none"/>
        </w:rPr>
        <w:t>）</w:t>
      </w:r>
      <w:r>
        <w:rPr>
          <w:rFonts w:hint="eastAsia" w:ascii="宋体" w:hAnsi="宋体"/>
          <w:b/>
          <w:color w:val="auto"/>
          <w:szCs w:val="21"/>
          <w:highlight w:val="none"/>
        </w:rPr>
        <w:t>清单计价模式的约定：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本合同中，因建设需要取消的单项工程，按中标合同价款中的相应费用减少合同价款；因建设需要，发包人委托承包人开展属于本工程的相关建设内容但在本次承包报价范围以外的建设费用，</w:t>
      </w:r>
      <w:r>
        <w:rPr>
          <w:rFonts w:ascii="宋体" w:hAnsi="宋体"/>
          <w:color w:val="auto"/>
          <w:szCs w:val="21"/>
          <w:highlight w:val="none"/>
        </w:rPr>
        <w:t>依据</w:t>
      </w:r>
      <w:r>
        <w:rPr>
          <w:rFonts w:hint="eastAsia" w:ascii="宋体" w:hAnsi="宋体"/>
          <w:color w:val="auto"/>
          <w:szCs w:val="21"/>
          <w:highlight w:val="none"/>
        </w:rPr>
        <w:t>以下</w:t>
      </w:r>
      <w:r>
        <w:rPr>
          <w:rFonts w:ascii="宋体" w:hAnsi="宋体"/>
          <w:color w:val="auto"/>
          <w:szCs w:val="21"/>
          <w:highlight w:val="none"/>
        </w:rPr>
        <w:t>估价原则</w:t>
      </w:r>
      <w:r>
        <w:rPr>
          <w:rFonts w:hint="eastAsia" w:ascii="宋体" w:hAnsi="宋体"/>
          <w:color w:val="auto"/>
          <w:szCs w:val="21"/>
          <w:highlight w:val="none"/>
        </w:rPr>
        <w:t xml:space="preserve">增加合同价款：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（1）已标价工程量清单或预算书有相同项目的，按照相同项目单价认定；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（2）已标价工程量清单或预算书中无相同项目，但有类似项目的，参照类似项目的单价认定；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w:t>
      </w:r>
      <w:r>
        <w:rPr>
          <w:rFonts w:ascii="宋体" w:hAnsi="宋体"/>
          <w:color w:val="auto"/>
          <w:szCs w:val="21"/>
          <w:highlight w:val="none"/>
        </w:rPr>
        <w:t>3.5</w:t>
      </w:r>
      <w:r>
        <w:rPr>
          <w:rFonts w:hint="eastAsia" w:ascii="宋体" w:hAnsi="宋体"/>
          <w:color w:val="auto"/>
          <w:szCs w:val="21"/>
          <w:highlight w:val="none"/>
        </w:rPr>
        <w:t>款〔决定〕确定变更工作的单价。</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.1工程变更</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工程变更引起招标工程量清单项目或其工程量发生变化，应按照下列规定调整</w:t>
      </w:r>
      <w:r>
        <w:rPr>
          <w:rFonts w:ascii="宋体" w:hAnsi="宋体"/>
          <w:color w:val="auto"/>
          <w:szCs w:val="21"/>
          <w:highlight w:val="none"/>
        </w:rPr>
        <w:t>:</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 xml:space="preserve">（a） </w:t>
      </w:r>
      <w:r>
        <w:rPr>
          <w:rFonts w:hint="eastAsia" w:ascii="宋体" w:hAnsi="宋体"/>
          <w:color w:val="auto"/>
          <w:szCs w:val="21"/>
          <w:highlight w:val="none"/>
        </w:rPr>
        <w:t>招标工程量清单中有适用于变更工程项目的，采用该项目的综合单价</w:t>
      </w:r>
      <w:r>
        <w:rPr>
          <w:rFonts w:ascii="宋体" w:hAnsi="宋体"/>
          <w:color w:val="auto"/>
          <w:szCs w:val="21"/>
          <w:highlight w:val="none"/>
        </w:rPr>
        <w:t>;</w:t>
      </w:r>
      <w:r>
        <w:rPr>
          <w:rFonts w:hint="eastAsia" w:ascii="宋体" w:hAnsi="宋体"/>
          <w:color w:val="auto"/>
          <w:szCs w:val="21"/>
          <w:highlight w:val="none"/>
        </w:rPr>
        <w:t>但当工程变更导致该清单项目的工程量发生变化，且工程偏差超过</w:t>
      </w:r>
      <w:r>
        <w:rPr>
          <w:rFonts w:ascii="宋体" w:hAnsi="宋体"/>
          <w:color w:val="auto"/>
          <w:szCs w:val="21"/>
          <w:highlight w:val="none"/>
        </w:rPr>
        <w:t>15%</w:t>
      </w:r>
      <w:r>
        <w:rPr>
          <w:rFonts w:hint="eastAsia" w:ascii="宋体" w:hAnsi="宋体"/>
          <w:color w:val="auto"/>
          <w:szCs w:val="21"/>
          <w:highlight w:val="none"/>
        </w:rPr>
        <w:t>，此时，该项目综合单价应按照13.8.4条的规定调整。</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b</w:t>
      </w:r>
      <w:r>
        <w:rPr>
          <w:rFonts w:ascii="宋体" w:hAnsi="宋体"/>
          <w:color w:val="auto"/>
          <w:szCs w:val="21"/>
          <w:highlight w:val="none"/>
        </w:rPr>
        <w:t xml:space="preserve">） </w:t>
      </w:r>
      <w:r>
        <w:rPr>
          <w:rFonts w:hint="eastAsia" w:ascii="宋体" w:hAnsi="宋体"/>
          <w:color w:val="auto"/>
          <w:szCs w:val="21"/>
          <w:highlight w:val="none"/>
        </w:rPr>
        <w:t>招标工程量清单中没有适用、但有类似于变更工程项目的，可在合理范围内参照类似项目的综合单价。</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c</w:t>
      </w:r>
      <w:r>
        <w:rPr>
          <w:rFonts w:ascii="宋体" w:hAnsi="宋体"/>
          <w:color w:val="auto"/>
          <w:szCs w:val="21"/>
          <w:highlight w:val="none"/>
        </w:rPr>
        <w:t>）</w:t>
      </w:r>
      <w:r>
        <w:rPr>
          <w:rFonts w:hint="eastAsia" w:ascii="宋体" w:hAnsi="宋体"/>
          <w:color w:val="auto"/>
          <w:szCs w:val="21"/>
          <w:highlight w:val="none"/>
        </w:rPr>
        <w:t>招标工程量清单中没有适用也没有类似于变更工程项目的，由承包人根据变更工程资料、计量规则和计价办法、工程造价管理机构发布的信息价格和承包人报价浮动率提出变更工程项目的综合单价，报发包人确认后调整。承包人报价浮动率可按下列公式计算。</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招标工程：承包人报价浮动率</w:t>
      </w:r>
      <w:r>
        <w:rPr>
          <w:rFonts w:ascii="宋体" w:hAnsi="宋体"/>
          <w:color w:val="auto"/>
          <w:szCs w:val="21"/>
          <w:highlight w:val="none"/>
        </w:rPr>
        <w:t>L=</w:t>
      </w: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中标价</w:t>
      </w:r>
      <w:r>
        <w:rPr>
          <w:rFonts w:ascii="宋体" w:hAnsi="宋体"/>
          <w:color w:val="auto"/>
          <w:szCs w:val="21"/>
          <w:highlight w:val="none"/>
        </w:rPr>
        <w:t>/</w:t>
      </w:r>
      <w:r>
        <w:rPr>
          <w:rFonts w:hint="eastAsia" w:ascii="宋体" w:hAnsi="宋体"/>
          <w:color w:val="auto"/>
          <w:szCs w:val="21"/>
          <w:highlight w:val="none"/>
        </w:rPr>
        <w:t>招标控制价</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100%;</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非招标工程：承包人报价浮动率</w:t>
      </w:r>
      <w:r>
        <w:rPr>
          <w:rFonts w:ascii="宋体" w:hAnsi="宋体"/>
          <w:color w:val="auto"/>
          <w:szCs w:val="21"/>
          <w:highlight w:val="none"/>
        </w:rPr>
        <w:t>L=</w:t>
      </w: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报价值</w:t>
      </w:r>
      <w:r>
        <w:rPr>
          <w:rFonts w:ascii="宋体" w:hAnsi="宋体"/>
          <w:color w:val="auto"/>
          <w:szCs w:val="21"/>
          <w:highlight w:val="none"/>
        </w:rPr>
        <w:t>/</w:t>
      </w:r>
      <w:r>
        <w:rPr>
          <w:rFonts w:hint="eastAsia" w:ascii="宋体" w:hAnsi="宋体"/>
          <w:color w:val="auto"/>
          <w:szCs w:val="21"/>
          <w:highlight w:val="none"/>
        </w:rPr>
        <w:t>施工图预算</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100%;</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d</w:t>
      </w:r>
      <w:r>
        <w:rPr>
          <w:rFonts w:ascii="宋体" w:hAnsi="宋体"/>
          <w:color w:val="auto"/>
          <w:szCs w:val="21"/>
          <w:highlight w:val="none"/>
        </w:rPr>
        <w:t xml:space="preserve">） </w:t>
      </w:r>
      <w:r>
        <w:rPr>
          <w:rFonts w:hint="eastAsia" w:ascii="宋体" w:hAnsi="宋体"/>
          <w:color w:val="auto"/>
          <w:szCs w:val="21"/>
          <w:highlight w:val="none"/>
        </w:rPr>
        <w:t>招标工程量清单中没有适用也没有类似于变更工程项目，且工程造价管理机构发布的信息价格缺价的，由承包人根据变更工程资料、计量规则、计价办法和通过市场调整等取得有合法依据的市场价格提出变更工程项目的综合单价，报发包人确认后调整。</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工程变更引起施工方案改变，并使措施项目发生变化的，承包人提出调整措施项目费的，应事先将拟实施的方案提交发包人确认，并详细说明与原方案措施项目相比的变化情况。</w:t>
      </w:r>
      <w:r>
        <w:rPr>
          <w:rFonts w:ascii="宋体" w:hAnsi="宋体"/>
          <w:color w:val="auto"/>
          <w:szCs w:val="21"/>
          <w:highlight w:val="none"/>
        </w:rPr>
        <w:t xml:space="preserve"> </w:t>
      </w:r>
      <w:r>
        <w:rPr>
          <w:rFonts w:hint="eastAsia" w:ascii="宋体" w:hAnsi="宋体"/>
          <w:color w:val="auto"/>
          <w:szCs w:val="21"/>
          <w:highlight w:val="none"/>
        </w:rPr>
        <w:t>拟实施的方案经发承包双方确认后执行。并应按照下列规定调整措施项目费：</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 xml:space="preserve">（a） </w:t>
      </w:r>
      <w:r>
        <w:rPr>
          <w:rFonts w:hint="eastAsia" w:ascii="宋体" w:hAnsi="宋体"/>
          <w:color w:val="auto"/>
          <w:szCs w:val="21"/>
          <w:highlight w:val="none"/>
        </w:rPr>
        <w:t>安全文明施工费按照实际发生变化的措施项目依据电力行业费用计算标准的规定计算。</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b</w:t>
      </w:r>
      <w:r>
        <w:rPr>
          <w:rFonts w:ascii="宋体" w:hAnsi="宋体"/>
          <w:color w:val="auto"/>
          <w:szCs w:val="21"/>
          <w:highlight w:val="none"/>
        </w:rPr>
        <w:t xml:space="preserve">） </w:t>
      </w:r>
      <w:r>
        <w:rPr>
          <w:rFonts w:hint="eastAsia" w:ascii="宋体" w:hAnsi="宋体"/>
          <w:color w:val="auto"/>
          <w:szCs w:val="21"/>
          <w:highlight w:val="none"/>
        </w:rPr>
        <w:t>采用综合单价计算的措施项目费，按照实际发生变化的措施项目按</w:t>
      </w:r>
      <w:r>
        <w:rPr>
          <w:rFonts w:ascii="宋体" w:hAnsi="宋体"/>
          <w:color w:val="auto"/>
          <w:szCs w:val="21"/>
          <w:highlight w:val="none"/>
        </w:rPr>
        <w:t>2.1</w:t>
      </w:r>
      <w:r>
        <w:rPr>
          <w:rFonts w:hint="eastAsia" w:ascii="宋体" w:hAnsi="宋体"/>
          <w:color w:val="auto"/>
          <w:szCs w:val="21"/>
          <w:highlight w:val="none"/>
        </w:rPr>
        <w:t>条的规定确定综合单价。</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c</w:t>
      </w:r>
      <w:r>
        <w:rPr>
          <w:rFonts w:ascii="宋体" w:hAnsi="宋体"/>
          <w:color w:val="auto"/>
          <w:szCs w:val="21"/>
          <w:highlight w:val="none"/>
        </w:rPr>
        <w:t xml:space="preserve">） </w:t>
      </w:r>
      <w:r>
        <w:rPr>
          <w:rFonts w:hint="eastAsia" w:ascii="宋体" w:hAnsi="宋体"/>
          <w:color w:val="auto"/>
          <w:szCs w:val="21"/>
          <w:highlight w:val="none"/>
        </w:rPr>
        <w:t>按总价（或系数）计算的措施项目费，按照实际发生变化的措施项目调整，但应考虑承包人报价浮动因素，即调整金额按照实际调整金额乘以</w:t>
      </w:r>
      <w:r>
        <w:rPr>
          <w:rFonts w:ascii="宋体" w:hAnsi="宋体"/>
          <w:color w:val="auto"/>
          <w:szCs w:val="21"/>
          <w:highlight w:val="none"/>
        </w:rPr>
        <w:t>2.1</w:t>
      </w:r>
      <w:r>
        <w:rPr>
          <w:rFonts w:hint="eastAsia" w:ascii="宋体" w:hAnsi="宋体"/>
          <w:color w:val="auto"/>
          <w:szCs w:val="21"/>
          <w:highlight w:val="none"/>
        </w:rPr>
        <w:t>条规定的承包人报价浮动率计算。</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如果承包人未事先将拟实施的方案提交给发包人确认，则视为工程变更不引起措施项目费的调整或承包人放弃调整措施项目费的权利。</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当发包人提出的工程变更因非承包人原因删减了合同中的某项原定工作或工程，致使承包人发生的费用或（和）得到的收益不能被包括在其他已支付或应支付的项目中，也未被包括含在任何替代的工作或工程中，承包人有权提出并得到合理的利润补偿。</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（4）因承包人原因造成工程质量达不到规范要求出现报废或返工增加的费用，不予调整合同价款。</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ascii="宋体" w:hAnsi="宋体"/>
          <w:color w:val="auto"/>
          <w:szCs w:val="21"/>
          <w:highlight w:val="none"/>
        </w:rPr>
        <w:t xml:space="preserve">2 </w:t>
      </w:r>
      <w:r>
        <w:rPr>
          <w:rFonts w:hint="eastAsia" w:ascii="宋体" w:hAnsi="宋体"/>
          <w:color w:val="auto"/>
          <w:szCs w:val="21"/>
          <w:highlight w:val="none"/>
        </w:rPr>
        <w:t>特征描述不符</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发包人在招标工程量清单中对项目特征的描述，应被认为是准确的和全面的，并且与实际施工要求相符合。承包人应按照发包人提供的招标工程量清单，根据其项目特征描述的内容及有关要求实施合同工程，直到项目被改变为止。</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承包人应按照发包人提供的设计图纸实施合同工程，若在合同履行期间，出现设计图纸（含设计变更）与招标工程量清单任一项目的特征描述不符，且该变化引起该项目的工程造价增减变化的，按照实际施工的项目特征按工程变更相关条款的规定重新确定相应工程量清单项目的综合单价，调整合同价款。</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工程量清单缺项</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（1）合同履行期间，由于招标工程量清单中缺项，新增分部分项工程量清单项目的，应按照第</w:t>
      </w:r>
      <w:r>
        <w:rPr>
          <w:rFonts w:ascii="宋体" w:hAnsi="宋体"/>
          <w:color w:val="auto"/>
          <w:szCs w:val="21"/>
          <w:highlight w:val="none"/>
        </w:rPr>
        <w:t xml:space="preserve">2.1 </w:t>
      </w:r>
      <w:r>
        <w:rPr>
          <w:rFonts w:hint="eastAsia" w:ascii="宋体" w:hAnsi="宋体"/>
          <w:color w:val="auto"/>
          <w:szCs w:val="21"/>
          <w:highlight w:val="none"/>
        </w:rPr>
        <w:t>条的规定确定综合单价，调整合同价款。</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）新增分部分项工程量清单后，引起措施项目发生变化的，应按照第</w:t>
      </w:r>
      <w:r>
        <w:rPr>
          <w:rFonts w:ascii="宋体" w:hAnsi="宋体"/>
          <w:color w:val="auto"/>
          <w:szCs w:val="21"/>
          <w:highlight w:val="none"/>
        </w:rPr>
        <w:t xml:space="preserve">2.2 </w:t>
      </w:r>
      <w:r>
        <w:rPr>
          <w:rFonts w:hint="eastAsia" w:ascii="宋体" w:hAnsi="宋体"/>
          <w:color w:val="auto"/>
          <w:szCs w:val="21"/>
          <w:highlight w:val="none"/>
        </w:rPr>
        <w:t>条的规定，在承包人提交的实施方案被发包人批准后，计算调整合同价款。</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）由于招标工程量清单中措施项目缺项，承包人应将新增措施项目实施方案提交发包人批准后，按照</w:t>
      </w:r>
      <w:r>
        <w:rPr>
          <w:rFonts w:ascii="宋体" w:hAnsi="宋体"/>
          <w:color w:val="auto"/>
          <w:szCs w:val="21"/>
          <w:highlight w:val="none"/>
        </w:rPr>
        <w:t xml:space="preserve">2.1 </w:t>
      </w:r>
      <w:r>
        <w:rPr>
          <w:rFonts w:hint="eastAsia" w:ascii="宋体" w:hAnsi="宋体"/>
          <w:color w:val="auto"/>
          <w:szCs w:val="21"/>
          <w:highlight w:val="none"/>
        </w:rPr>
        <w:t>、</w:t>
      </w:r>
      <w:r>
        <w:rPr>
          <w:rFonts w:ascii="宋体" w:hAnsi="宋体"/>
          <w:color w:val="auto"/>
          <w:szCs w:val="21"/>
          <w:highlight w:val="none"/>
        </w:rPr>
        <w:t xml:space="preserve">2.2 </w:t>
      </w:r>
      <w:r>
        <w:rPr>
          <w:rFonts w:hint="eastAsia" w:ascii="宋体" w:hAnsi="宋体"/>
          <w:color w:val="auto"/>
          <w:szCs w:val="21"/>
          <w:highlight w:val="none"/>
        </w:rPr>
        <w:t>条的规定计算调整合同价款。</w:t>
      </w:r>
    </w:p>
    <w:p>
      <w:pPr>
        <w:pStyle w:val="17"/>
        <w:spacing w:after="0"/>
        <w:ind w:left="0" w:leftChars="0" w:firstLine="422" w:firstLineChars="200"/>
        <w:rPr>
          <w:rFonts w:hint="eastAsia" w:ascii="宋体" w:hAnsi="宋体"/>
          <w:b/>
          <w:color w:val="auto"/>
          <w:szCs w:val="21"/>
          <w:highlight w:val="none"/>
        </w:rPr>
      </w:pPr>
      <w:r>
        <w:rPr>
          <w:rFonts w:hint="eastAsia" w:ascii="宋体" w:hAnsi="宋体"/>
          <w:b/>
          <w:color w:val="auto"/>
          <w:szCs w:val="21"/>
          <w:highlight w:val="none"/>
        </w:rPr>
        <w:t>（二</w:t>
      </w:r>
      <w:r>
        <w:rPr>
          <w:rFonts w:ascii="宋体" w:hAnsi="宋体"/>
          <w:b/>
          <w:color w:val="auto"/>
          <w:szCs w:val="21"/>
          <w:highlight w:val="none"/>
        </w:rPr>
        <w:t>）</w:t>
      </w:r>
      <w:r>
        <w:rPr>
          <w:rFonts w:hint="eastAsia" w:ascii="宋体" w:hAnsi="宋体"/>
          <w:b/>
          <w:color w:val="auto"/>
          <w:szCs w:val="21"/>
          <w:highlight w:val="none"/>
        </w:rPr>
        <w:t>定额计价模式的约定：</w:t>
      </w:r>
    </w:p>
    <w:p>
      <w:pPr>
        <w:pStyle w:val="17"/>
        <w:spacing w:after="0"/>
        <w:ind w:left="0" w:leftChars="0" w:firstLine="420" w:firstLineChars="200"/>
        <w:rPr>
          <w:rFonts w:hint="eastAsia" w:ascii="宋体" w:hAnsi="宋体"/>
          <w:color w:val="auto"/>
          <w:szCs w:val="21"/>
          <w:highlight w:val="none"/>
        </w:rPr>
      </w:pPr>
      <w:r>
        <w:rPr>
          <w:rFonts w:ascii="宋体" w:hAnsi="宋体"/>
          <w:color w:val="auto"/>
          <w:szCs w:val="21"/>
          <w:highlight w:val="none"/>
        </w:rPr>
        <w:t>本次</w:t>
      </w:r>
      <w:r>
        <w:rPr>
          <w:rFonts w:hint="eastAsia" w:ascii="宋体" w:hAnsi="宋体"/>
          <w:color w:val="auto"/>
          <w:szCs w:val="21"/>
          <w:highlight w:val="none"/>
        </w:rPr>
        <w:t>中标</w:t>
      </w:r>
      <w:r>
        <w:rPr>
          <w:rFonts w:ascii="宋体" w:hAnsi="宋体"/>
          <w:color w:val="auto"/>
          <w:szCs w:val="21"/>
          <w:highlight w:val="none"/>
        </w:rPr>
        <w:t>合同</w:t>
      </w:r>
      <w:r>
        <w:rPr>
          <w:rFonts w:hint="eastAsia" w:ascii="宋体" w:hAnsi="宋体"/>
          <w:color w:val="auto"/>
          <w:szCs w:val="21"/>
          <w:highlight w:val="none"/>
        </w:rPr>
        <w:t>价款中为</w:t>
      </w:r>
      <w:r>
        <w:rPr>
          <w:rFonts w:ascii="宋体" w:hAnsi="宋体"/>
          <w:color w:val="auto"/>
          <w:szCs w:val="21"/>
          <w:highlight w:val="none"/>
        </w:rPr>
        <w:t>包</w:t>
      </w:r>
      <w:r>
        <w:rPr>
          <w:rFonts w:hint="eastAsia" w:ascii="宋体" w:hAnsi="宋体"/>
          <w:color w:val="auto"/>
          <w:szCs w:val="21"/>
          <w:highlight w:val="none"/>
        </w:rPr>
        <w:t>干价的</w:t>
      </w:r>
      <w:r>
        <w:rPr>
          <w:rFonts w:ascii="宋体" w:hAnsi="宋体"/>
          <w:color w:val="auto"/>
          <w:szCs w:val="21"/>
          <w:highlight w:val="none"/>
        </w:rPr>
        <w:t>，一般不予调整</w:t>
      </w:r>
      <w:r>
        <w:rPr>
          <w:rFonts w:hint="eastAsia" w:ascii="宋体" w:hAnsi="宋体"/>
          <w:color w:val="auto"/>
          <w:szCs w:val="21"/>
          <w:highlight w:val="none"/>
        </w:rPr>
        <w:t>；中标</w:t>
      </w:r>
      <w:r>
        <w:rPr>
          <w:rFonts w:ascii="宋体" w:hAnsi="宋体"/>
          <w:color w:val="auto"/>
          <w:szCs w:val="21"/>
          <w:highlight w:val="none"/>
        </w:rPr>
        <w:t>合同</w:t>
      </w:r>
      <w:r>
        <w:rPr>
          <w:rFonts w:hint="eastAsia" w:ascii="宋体" w:hAnsi="宋体"/>
          <w:color w:val="auto"/>
          <w:szCs w:val="21"/>
          <w:highlight w:val="none"/>
        </w:rPr>
        <w:t>价款中的错项（含漏项、多项）结算时不予调整；因承包人原因造成工程质量达不到规范要求出现报废或返工增加的费用，不予调整。除非是以下情况：</w:t>
      </w:r>
    </w:p>
    <w:p>
      <w:pPr>
        <w:pStyle w:val="17"/>
        <w:numPr>
          <w:ilvl w:val="0"/>
          <w:numId w:val="13"/>
        </w:numPr>
        <w:spacing w:after="0"/>
        <w:ind w:left="0" w:leftChars="0" w:firstLine="420" w:firstLineChars="200"/>
        <w:rPr>
          <w:rFonts w:ascii="宋体" w:hAnsi="宋体"/>
          <w:color w:val="auto"/>
          <w:szCs w:val="21"/>
          <w:highlight w:val="none"/>
        </w:rPr>
      </w:pPr>
      <w:r>
        <w:rPr>
          <w:rFonts w:ascii="宋体" w:hAnsi="宋体"/>
          <w:color w:val="auto"/>
          <w:szCs w:val="21"/>
          <w:highlight w:val="none"/>
        </w:rPr>
        <w:t>经项目发包人</w:t>
      </w:r>
      <w:r>
        <w:rPr>
          <w:rFonts w:hint="eastAsia" w:ascii="宋体" w:hAnsi="宋体"/>
          <w:color w:val="auto"/>
          <w:szCs w:val="21"/>
          <w:highlight w:val="none"/>
        </w:rPr>
        <w:t>和</w:t>
      </w:r>
      <w:r>
        <w:rPr>
          <w:rFonts w:ascii="宋体" w:hAnsi="宋体"/>
          <w:color w:val="auto"/>
          <w:szCs w:val="21"/>
          <w:highlight w:val="none"/>
        </w:rPr>
        <w:t>监理工程师确认的</w:t>
      </w:r>
      <w:r>
        <w:rPr>
          <w:rFonts w:hint="eastAsia" w:ascii="宋体" w:hAnsi="宋体"/>
          <w:color w:val="auto"/>
          <w:szCs w:val="21"/>
          <w:highlight w:val="none"/>
        </w:rPr>
        <w:t>现场签证或</w:t>
      </w:r>
      <w:r>
        <w:rPr>
          <w:rFonts w:ascii="宋体" w:hAnsi="宋体"/>
          <w:color w:val="auto"/>
          <w:szCs w:val="21"/>
          <w:highlight w:val="none"/>
        </w:rPr>
        <w:t>一项工程</w:t>
      </w:r>
      <w:r>
        <w:rPr>
          <w:rFonts w:hint="eastAsia" w:ascii="宋体" w:hAnsi="宋体"/>
          <w:color w:val="auto"/>
          <w:szCs w:val="21"/>
          <w:highlight w:val="none"/>
        </w:rPr>
        <w:t>【</w:t>
      </w:r>
      <w:r>
        <w:rPr>
          <w:rFonts w:ascii="宋体" w:hAnsi="宋体"/>
          <w:color w:val="auto"/>
          <w:szCs w:val="21"/>
          <w:highlight w:val="none"/>
        </w:rPr>
        <w:t>（</w:t>
      </w:r>
      <w:permStart w:id="52" w:edGrp="everyone"/>
      <w:r>
        <w:rPr>
          <w:rFonts w:ascii="宋体" w:hAnsi="宋体"/>
          <w:color w:val="auto"/>
          <w:szCs w:val="21"/>
          <w:highlight w:val="none"/>
        </w:rPr>
        <w:t>指</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电网工程建设预算编制与计算规定（2018年版）</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中的附录A</w:t>
      </w:r>
      <w:r>
        <w:rPr>
          <w:rFonts w:ascii="宋体" w:hAnsi="宋体"/>
          <w:color w:val="auto"/>
          <w:szCs w:val="21"/>
          <w:highlight w:val="none"/>
        </w:rPr>
        <w:t>的最末一级）</w:t>
      </w:r>
      <w:permEnd w:id="52"/>
      <w:r>
        <w:rPr>
          <w:rFonts w:hint="eastAsia" w:ascii="宋体" w:hAnsi="宋体"/>
          <w:color w:val="auto"/>
          <w:szCs w:val="21"/>
          <w:highlight w:val="none"/>
        </w:rPr>
        <w:t>】</w:t>
      </w:r>
      <w:r>
        <w:rPr>
          <w:rFonts w:ascii="宋体" w:hAnsi="宋体"/>
          <w:color w:val="auto"/>
          <w:szCs w:val="21"/>
          <w:highlight w:val="none"/>
        </w:rPr>
        <w:t>的工程量发生变更，依据第</w:t>
      </w:r>
      <w:r>
        <w:rPr>
          <w:rFonts w:hint="eastAsia" w:ascii="宋体" w:hAnsi="宋体"/>
          <w:color w:val="auto"/>
          <w:szCs w:val="21"/>
          <w:highlight w:val="none"/>
        </w:rPr>
        <w:t>1</w:t>
      </w:r>
      <w:r>
        <w:rPr>
          <w:rFonts w:ascii="宋体" w:hAnsi="宋体"/>
          <w:color w:val="auto"/>
          <w:szCs w:val="21"/>
          <w:highlight w:val="none"/>
        </w:rPr>
        <w:t>3.3款的原则估价后，经济数额超过</w:t>
      </w:r>
      <w:r>
        <w:rPr>
          <w:rFonts w:hint="eastAsia" w:ascii="宋体" w:hAnsi="宋体"/>
          <w:color w:val="auto"/>
          <w:szCs w:val="21"/>
          <w:highlight w:val="none"/>
        </w:rPr>
        <w:t>H</w:t>
      </w:r>
      <w:r>
        <w:rPr>
          <w:rFonts w:ascii="宋体" w:hAnsi="宋体"/>
          <w:color w:val="auto"/>
          <w:szCs w:val="21"/>
          <w:highlight w:val="none"/>
        </w:rPr>
        <w:t>万元及以上时，此时调整原则为双向互调，但只针对该项工程超出</w:t>
      </w:r>
      <w:r>
        <w:rPr>
          <w:rFonts w:hint="eastAsia" w:ascii="宋体" w:hAnsi="宋体"/>
          <w:color w:val="auto"/>
          <w:szCs w:val="21"/>
          <w:highlight w:val="none"/>
        </w:rPr>
        <w:t>H</w:t>
      </w:r>
      <w:r>
        <w:rPr>
          <w:rFonts w:ascii="宋体" w:hAnsi="宋体"/>
          <w:color w:val="auto"/>
          <w:szCs w:val="21"/>
          <w:highlight w:val="none"/>
        </w:rPr>
        <w:t>万元部分进行增减调整，与其他项工程无关。否则不予调整。</w:t>
      </w:r>
    </w:p>
    <w:p>
      <w:pPr>
        <w:pStyle w:val="17"/>
        <w:spacing w:after="0"/>
        <w:ind w:left="0" w:leftChars="0" w:firstLine="420" w:firstLineChars="200"/>
        <w:rPr>
          <w:rFonts w:hint="eastAsia" w:ascii="宋体" w:hAnsi="宋体"/>
          <w:color w:val="auto"/>
          <w:szCs w:val="21"/>
          <w:highlight w:val="none"/>
        </w:rPr>
      </w:pPr>
      <w:r>
        <w:rPr>
          <w:rFonts w:ascii="宋体" w:hAnsi="宋体"/>
          <w:color w:val="auto"/>
          <w:szCs w:val="21"/>
          <w:highlight w:val="none"/>
        </w:rPr>
        <w:t>上述</w:t>
      </w:r>
      <w:r>
        <w:rPr>
          <w:rFonts w:hint="eastAsia" w:ascii="宋体" w:hAnsi="宋体"/>
          <w:color w:val="auto"/>
          <w:szCs w:val="21"/>
          <w:highlight w:val="none"/>
        </w:rPr>
        <w:t>H</w:t>
      </w:r>
      <w:r>
        <w:rPr>
          <w:rFonts w:ascii="宋体" w:hAnsi="宋体"/>
          <w:color w:val="auto"/>
          <w:szCs w:val="21"/>
          <w:highlight w:val="none"/>
        </w:rPr>
        <w:t xml:space="preserve">值可下表查得 </w:t>
      </w:r>
      <w:r>
        <w:rPr>
          <w:rFonts w:hint="eastAsia" w:ascii="宋体" w:hAnsi="宋体"/>
          <w:color w:val="auto"/>
          <w:szCs w:val="21"/>
          <w:highlight w:val="none"/>
        </w:rPr>
        <w:t>[H值按下表第【</w:t>
      </w:r>
      <w:permStart w:id="53"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 xml:space="preserve">  </w:t>
      </w:r>
      <w:permEnd w:id="53"/>
      <w:r>
        <w:rPr>
          <w:rFonts w:hint="eastAsia" w:ascii="宋体" w:hAnsi="宋体"/>
          <w:color w:val="auto"/>
          <w:szCs w:val="21"/>
          <w:highlight w:val="none"/>
        </w:rPr>
        <w:t>】确定]</w:t>
      </w:r>
    </w:p>
    <w:tbl>
      <w:tblPr>
        <w:tblStyle w:val="43"/>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278"/>
        <w:gridCol w:w="1559"/>
        <w:gridCol w:w="1417"/>
        <w:gridCol w:w="1560"/>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81" w:type="dxa"/>
            <w:gridSpan w:val="2"/>
            <w:vAlign w:val="center"/>
          </w:tcPr>
          <w:p>
            <w:pPr>
              <w:pStyle w:val="22"/>
              <w:keepNext w:val="0"/>
              <w:keepLines w:val="0"/>
              <w:suppressLineNumbers w:val="0"/>
              <w:spacing w:before="0" w:beforeAutospacing="0" w:after="0" w:afterAutospacing="0"/>
              <w:ind w:left="0" w:right="0"/>
              <w:rPr>
                <w:rFonts w:hint="eastAsia" w:hAnsi="宋体" w:cs="Times New Roman"/>
                <w:color w:val="auto"/>
                <w:szCs w:val="21"/>
                <w:highlight w:val="none"/>
              </w:rPr>
            </w:pPr>
            <w:r>
              <w:rPr>
                <w:rFonts w:hint="default" w:hAnsi="宋体" w:cs="Times New Roman"/>
                <w:color w:val="auto"/>
                <w:szCs w:val="21"/>
                <w:highlight w:val="none"/>
              </w:rPr>
              <w:t>合同一项工程中标价B</w:t>
            </w:r>
            <w:r>
              <w:rPr>
                <w:rFonts w:hint="eastAsia" w:hAnsi="宋体" w:cs="Times New Roman"/>
                <w:color w:val="auto"/>
                <w:szCs w:val="21"/>
                <w:highlight w:val="none"/>
              </w:rPr>
              <w:t>（万元）</w:t>
            </w:r>
          </w:p>
        </w:tc>
        <w:tc>
          <w:tcPr>
            <w:tcW w:w="1559" w:type="dxa"/>
            <w:vAlign w:val="center"/>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r>
              <w:rPr>
                <w:rFonts w:hint="eastAsia" w:hAnsi="宋体" w:cs="Times New Roman"/>
                <w:color w:val="auto"/>
                <w:szCs w:val="21"/>
                <w:highlight w:val="none"/>
              </w:rPr>
              <w:t>0</w:t>
            </w:r>
            <w:r>
              <w:rPr>
                <w:rFonts w:hint="default" w:hAnsi="宋体" w:cs="Times New Roman"/>
                <w:color w:val="auto"/>
                <w:szCs w:val="21"/>
                <w:highlight w:val="none"/>
              </w:rPr>
              <w:t>&lt;B&lt;10</w:t>
            </w:r>
          </w:p>
        </w:tc>
        <w:tc>
          <w:tcPr>
            <w:tcW w:w="1417" w:type="dxa"/>
            <w:vAlign w:val="center"/>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r>
              <w:rPr>
                <w:rFonts w:hint="default" w:hAnsi="宋体" w:cs="Times New Roman"/>
                <w:color w:val="auto"/>
                <w:szCs w:val="21"/>
                <w:highlight w:val="none"/>
              </w:rPr>
              <w:t>10≦B&lt;50</w:t>
            </w:r>
          </w:p>
        </w:tc>
        <w:tc>
          <w:tcPr>
            <w:tcW w:w="1560" w:type="dxa"/>
            <w:vAlign w:val="center"/>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r>
              <w:rPr>
                <w:rFonts w:hint="default" w:hAnsi="宋体" w:cs="Times New Roman"/>
                <w:color w:val="auto"/>
                <w:szCs w:val="21"/>
                <w:highlight w:val="none"/>
              </w:rPr>
              <w:t>50≦B&lt;100</w:t>
            </w:r>
          </w:p>
        </w:tc>
        <w:tc>
          <w:tcPr>
            <w:tcW w:w="1092" w:type="dxa"/>
            <w:vAlign w:val="center"/>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r>
              <w:rPr>
                <w:rFonts w:hint="default" w:hAnsi="宋体" w:cs="Times New Roman"/>
                <w:color w:val="auto"/>
                <w:szCs w:val="21"/>
                <w:highlight w:val="none"/>
              </w:rPr>
              <w:t>B≧100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3" w:type="dxa"/>
            <w:vAlign w:val="center"/>
          </w:tcPr>
          <w:p>
            <w:pPr>
              <w:pStyle w:val="22"/>
              <w:keepNext w:val="0"/>
              <w:keepLines w:val="0"/>
              <w:suppressLineNumbers w:val="0"/>
              <w:spacing w:before="0" w:beforeAutospacing="0" w:after="0" w:afterAutospacing="0"/>
              <w:ind w:left="0" w:right="0"/>
              <w:rPr>
                <w:rFonts w:hint="default" w:hAnsi="宋体" w:cs="Times New Roman"/>
                <w:color w:val="auto"/>
                <w:szCs w:val="21"/>
                <w:highlight w:val="none"/>
              </w:rPr>
            </w:pPr>
            <w:r>
              <w:rPr>
                <w:rFonts w:hint="eastAsia" w:hAnsi="宋体" w:cs="Times New Roman"/>
                <w:color w:val="auto"/>
                <w:szCs w:val="21"/>
                <w:highlight w:val="none"/>
              </w:rPr>
              <w:t>（1）</w:t>
            </w:r>
          </w:p>
        </w:tc>
        <w:tc>
          <w:tcPr>
            <w:tcW w:w="2278" w:type="dxa"/>
            <w:vAlign w:val="center"/>
          </w:tcPr>
          <w:p>
            <w:pPr>
              <w:pStyle w:val="22"/>
              <w:keepNext w:val="0"/>
              <w:keepLines w:val="0"/>
              <w:suppressLineNumbers w:val="0"/>
              <w:spacing w:before="0" w:beforeAutospacing="0" w:after="0" w:afterAutospacing="0"/>
              <w:ind w:left="0" w:right="0"/>
              <w:jc w:val="center"/>
              <w:rPr>
                <w:rFonts w:hint="eastAsia" w:hAnsi="宋体" w:cs="Times New Roman"/>
                <w:color w:val="auto"/>
                <w:szCs w:val="21"/>
                <w:highlight w:val="none"/>
              </w:rPr>
            </w:pPr>
            <w:r>
              <w:rPr>
                <w:rFonts w:hint="eastAsia" w:hAnsi="宋体" w:cs="Times New Roman"/>
                <w:color w:val="auto"/>
                <w:szCs w:val="21"/>
                <w:highlight w:val="none"/>
              </w:rPr>
              <w:t>H（万元）</w:t>
            </w:r>
          </w:p>
        </w:tc>
        <w:tc>
          <w:tcPr>
            <w:tcW w:w="1559" w:type="dxa"/>
            <w:vAlign w:val="center"/>
          </w:tcPr>
          <w:p>
            <w:pPr>
              <w:pStyle w:val="22"/>
              <w:keepNext w:val="0"/>
              <w:keepLines w:val="0"/>
              <w:suppressLineNumbers w:val="0"/>
              <w:spacing w:before="0" w:beforeAutospacing="0" w:after="0" w:afterAutospacing="0"/>
              <w:ind w:left="0" w:right="0"/>
              <w:jc w:val="center"/>
              <w:rPr>
                <w:rFonts w:hint="eastAsia" w:hAnsi="宋体" w:cs="Times New Roman"/>
                <w:color w:val="auto"/>
                <w:szCs w:val="21"/>
                <w:highlight w:val="none"/>
              </w:rPr>
            </w:pPr>
            <w:r>
              <w:rPr>
                <w:rFonts w:hint="eastAsia" w:hAnsi="宋体" w:cs="Times New Roman"/>
                <w:color w:val="auto"/>
                <w:szCs w:val="21"/>
                <w:highlight w:val="none"/>
              </w:rPr>
              <w:t>1</w:t>
            </w:r>
          </w:p>
        </w:tc>
        <w:tc>
          <w:tcPr>
            <w:tcW w:w="1417" w:type="dxa"/>
            <w:vAlign w:val="center"/>
          </w:tcPr>
          <w:p>
            <w:pPr>
              <w:pStyle w:val="22"/>
              <w:keepNext w:val="0"/>
              <w:keepLines w:val="0"/>
              <w:suppressLineNumbers w:val="0"/>
              <w:spacing w:before="0" w:beforeAutospacing="0" w:after="0" w:afterAutospacing="0"/>
              <w:ind w:left="0" w:right="0"/>
              <w:jc w:val="center"/>
              <w:rPr>
                <w:rFonts w:hint="eastAsia" w:hAnsi="宋体" w:cs="Times New Roman"/>
                <w:color w:val="auto"/>
                <w:szCs w:val="21"/>
                <w:highlight w:val="none"/>
              </w:rPr>
            </w:pPr>
            <w:r>
              <w:rPr>
                <w:rFonts w:hint="eastAsia" w:hAnsi="宋体" w:cs="Times New Roman"/>
                <w:color w:val="auto"/>
                <w:szCs w:val="21"/>
                <w:highlight w:val="none"/>
              </w:rPr>
              <w:t>2</w:t>
            </w:r>
          </w:p>
        </w:tc>
        <w:tc>
          <w:tcPr>
            <w:tcW w:w="1560" w:type="dxa"/>
            <w:vAlign w:val="center"/>
          </w:tcPr>
          <w:p>
            <w:pPr>
              <w:pStyle w:val="22"/>
              <w:keepNext w:val="0"/>
              <w:keepLines w:val="0"/>
              <w:suppressLineNumbers w:val="0"/>
              <w:spacing w:before="0" w:beforeAutospacing="0" w:after="0" w:afterAutospacing="0"/>
              <w:ind w:left="0" w:right="0"/>
              <w:jc w:val="center"/>
              <w:rPr>
                <w:rFonts w:hint="eastAsia" w:hAnsi="宋体" w:cs="Times New Roman"/>
                <w:color w:val="auto"/>
                <w:szCs w:val="21"/>
                <w:highlight w:val="none"/>
              </w:rPr>
            </w:pPr>
            <w:r>
              <w:rPr>
                <w:rFonts w:hint="eastAsia" w:hAnsi="宋体" w:cs="Times New Roman"/>
                <w:color w:val="auto"/>
                <w:szCs w:val="21"/>
                <w:highlight w:val="none"/>
              </w:rPr>
              <w:t>3</w:t>
            </w:r>
          </w:p>
        </w:tc>
        <w:tc>
          <w:tcPr>
            <w:tcW w:w="1092" w:type="dxa"/>
            <w:vAlign w:val="center"/>
          </w:tcPr>
          <w:p>
            <w:pPr>
              <w:pStyle w:val="22"/>
              <w:keepNext w:val="0"/>
              <w:keepLines w:val="0"/>
              <w:suppressLineNumbers w:val="0"/>
              <w:spacing w:before="0" w:beforeAutospacing="0" w:after="0" w:afterAutospacing="0"/>
              <w:ind w:left="0" w:right="0"/>
              <w:jc w:val="center"/>
              <w:rPr>
                <w:rFonts w:hint="eastAsia" w:hAnsi="宋体" w:cs="Times New Roman"/>
                <w:color w:val="auto"/>
                <w:szCs w:val="21"/>
                <w:highlight w:val="none"/>
              </w:rPr>
            </w:pPr>
            <w:r>
              <w:rPr>
                <w:rFonts w:hint="eastAsia" w:hAnsi="宋体" w:cs="Times New Roman"/>
                <w:color w:val="auto"/>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3" w:type="dxa"/>
            <w:vAlign w:val="center"/>
          </w:tcPr>
          <w:p>
            <w:pPr>
              <w:pStyle w:val="22"/>
              <w:keepNext w:val="0"/>
              <w:keepLines w:val="0"/>
              <w:suppressLineNumbers w:val="0"/>
              <w:spacing w:before="0" w:beforeAutospacing="0" w:after="0" w:afterAutospacing="0"/>
              <w:ind w:left="0" w:right="0"/>
              <w:rPr>
                <w:rFonts w:hint="eastAsia" w:hAnsi="宋体" w:cs="Times New Roman"/>
                <w:color w:val="auto"/>
                <w:szCs w:val="21"/>
                <w:highlight w:val="none"/>
              </w:rPr>
            </w:pPr>
            <w:r>
              <w:rPr>
                <w:rFonts w:hint="eastAsia" w:hAnsi="宋体" w:cs="Times New Roman"/>
                <w:color w:val="auto"/>
                <w:szCs w:val="21"/>
                <w:highlight w:val="none"/>
              </w:rPr>
              <w:t>（2）</w:t>
            </w:r>
          </w:p>
        </w:tc>
        <w:tc>
          <w:tcPr>
            <w:tcW w:w="2278" w:type="dxa"/>
            <w:vAlign w:val="center"/>
          </w:tcPr>
          <w:p>
            <w:pPr>
              <w:pStyle w:val="22"/>
              <w:keepNext w:val="0"/>
              <w:keepLines w:val="0"/>
              <w:suppressLineNumbers w:val="0"/>
              <w:spacing w:before="0" w:beforeAutospacing="0" w:after="0" w:afterAutospacing="0"/>
              <w:ind w:left="0" w:right="0"/>
              <w:jc w:val="center"/>
              <w:rPr>
                <w:rFonts w:hint="eastAsia" w:hAnsi="宋体" w:cs="Times New Roman"/>
                <w:color w:val="auto"/>
                <w:szCs w:val="21"/>
                <w:highlight w:val="none"/>
              </w:rPr>
            </w:pPr>
            <w:r>
              <w:rPr>
                <w:rFonts w:hint="eastAsia" w:hAnsi="宋体" w:cs="Times New Roman"/>
                <w:color w:val="auto"/>
                <w:szCs w:val="21"/>
                <w:highlight w:val="none"/>
              </w:rPr>
              <w:t>H为B的（%）</w:t>
            </w:r>
          </w:p>
        </w:tc>
        <w:tc>
          <w:tcPr>
            <w:tcW w:w="1559" w:type="dxa"/>
            <w:vAlign w:val="center"/>
          </w:tcPr>
          <w:p>
            <w:pPr>
              <w:pStyle w:val="22"/>
              <w:keepNext w:val="0"/>
              <w:keepLines w:val="0"/>
              <w:suppressLineNumbers w:val="0"/>
              <w:spacing w:before="0" w:beforeAutospacing="0" w:after="0" w:afterAutospacing="0"/>
              <w:ind w:left="0" w:right="0"/>
              <w:jc w:val="center"/>
              <w:rPr>
                <w:rFonts w:hint="eastAsia" w:hAnsi="宋体" w:cs="Times New Roman"/>
                <w:color w:val="auto"/>
                <w:szCs w:val="21"/>
                <w:highlight w:val="none"/>
              </w:rPr>
            </w:pPr>
            <w:r>
              <w:rPr>
                <w:rFonts w:hint="eastAsia" w:hAnsi="宋体" w:cs="Times New Roman"/>
                <w:color w:val="auto"/>
                <w:szCs w:val="21"/>
                <w:highlight w:val="none"/>
              </w:rPr>
              <w:t>5～10</w:t>
            </w:r>
          </w:p>
        </w:tc>
        <w:tc>
          <w:tcPr>
            <w:tcW w:w="1417" w:type="dxa"/>
            <w:vAlign w:val="center"/>
          </w:tcPr>
          <w:p>
            <w:pPr>
              <w:pStyle w:val="22"/>
              <w:keepNext w:val="0"/>
              <w:keepLines w:val="0"/>
              <w:suppressLineNumbers w:val="0"/>
              <w:spacing w:before="0" w:beforeAutospacing="0" w:after="0" w:afterAutospacing="0"/>
              <w:ind w:left="0" w:right="0"/>
              <w:jc w:val="center"/>
              <w:rPr>
                <w:rFonts w:hint="eastAsia" w:hAnsi="宋体" w:cs="Times New Roman"/>
                <w:color w:val="auto"/>
                <w:szCs w:val="21"/>
                <w:highlight w:val="none"/>
              </w:rPr>
            </w:pPr>
            <w:r>
              <w:rPr>
                <w:rFonts w:hint="eastAsia" w:hAnsi="宋体" w:cs="Times New Roman"/>
                <w:color w:val="auto"/>
                <w:szCs w:val="21"/>
                <w:highlight w:val="none"/>
              </w:rPr>
              <w:t>5～10</w:t>
            </w:r>
          </w:p>
        </w:tc>
        <w:tc>
          <w:tcPr>
            <w:tcW w:w="1560" w:type="dxa"/>
            <w:vAlign w:val="center"/>
          </w:tcPr>
          <w:p>
            <w:pPr>
              <w:pStyle w:val="22"/>
              <w:keepNext w:val="0"/>
              <w:keepLines w:val="0"/>
              <w:suppressLineNumbers w:val="0"/>
              <w:spacing w:before="0" w:beforeAutospacing="0" w:after="0" w:afterAutospacing="0"/>
              <w:ind w:left="0" w:right="0"/>
              <w:jc w:val="center"/>
              <w:rPr>
                <w:rFonts w:hint="eastAsia" w:hAnsi="宋体" w:cs="Times New Roman"/>
                <w:color w:val="auto"/>
                <w:szCs w:val="21"/>
                <w:highlight w:val="none"/>
              </w:rPr>
            </w:pPr>
            <w:r>
              <w:rPr>
                <w:rFonts w:hint="eastAsia" w:hAnsi="宋体" w:cs="Times New Roman"/>
                <w:color w:val="auto"/>
                <w:szCs w:val="21"/>
                <w:highlight w:val="none"/>
              </w:rPr>
              <w:t>5～10</w:t>
            </w:r>
          </w:p>
        </w:tc>
        <w:tc>
          <w:tcPr>
            <w:tcW w:w="1092" w:type="dxa"/>
            <w:vAlign w:val="center"/>
          </w:tcPr>
          <w:p>
            <w:pPr>
              <w:pStyle w:val="22"/>
              <w:keepNext w:val="0"/>
              <w:keepLines w:val="0"/>
              <w:suppressLineNumbers w:val="0"/>
              <w:spacing w:before="0" w:beforeAutospacing="0" w:after="0" w:afterAutospacing="0"/>
              <w:ind w:left="0" w:right="0"/>
              <w:jc w:val="center"/>
              <w:rPr>
                <w:rFonts w:hint="eastAsia" w:hAnsi="宋体" w:cs="Times New Roman"/>
                <w:color w:val="auto"/>
                <w:szCs w:val="21"/>
                <w:highlight w:val="none"/>
              </w:rPr>
            </w:pPr>
            <w:r>
              <w:rPr>
                <w:rFonts w:hint="eastAsia" w:hAnsi="宋体" w:cs="Times New Roman"/>
                <w:color w:val="auto"/>
                <w:szCs w:val="21"/>
                <w:highlight w:val="none"/>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3" w:type="dxa"/>
            <w:vAlign w:val="center"/>
          </w:tcPr>
          <w:p>
            <w:pPr>
              <w:pStyle w:val="22"/>
              <w:keepNext w:val="0"/>
              <w:keepLines w:val="0"/>
              <w:suppressLineNumbers w:val="0"/>
              <w:spacing w:before="0" w:beforeAutospacing="0" w:after="0" w:afterAutospacing="0"/>
              <w:ind w:left="0" w:right="0"/>
              <w:rPr>
                <w:rFonts w:hint="eastAsia" w:hAnsi="宋体" w:cs="Times New Roman"/>
                <w:color w:val="auto"/>
                <w:szCs w:val="21"/>
                <w:highlight w:val="none"/>
              </w:rPr>
            </w:pPr>
            <w:r>
              <w:rPr>
                <w:rFonts w:hint="eastAsia" w:hAnsi="宋体" w:cs="Times New Roman"/>
                <w:color w:val="auto"/>
                <w:szCs w:val="21"/>
                <w:highlight w:val="none"/>
              </w:rPr>
              <w:t>（3）</w:t>
            </w:r>
          </w:p>
        </w:tc>
        <w:tc>
          <w:tcPr>
            <w:tcW w:w="2278" w:type="dxa"/>
            <w:vAlign w:val="center"/>
          </w:tcPr>
          <w:p>
            <w:pPr>
              <w:pStyle w:val="22"/>
              <w:keepNext w:val="0"/>
              <w:keepLines w:val="0"/>
              <w:suppressLineNumbers w:val="0"/>
              <w:spacing w:before="0" w:beforeAutospacing="0" w:after="0" w:afterAutospacing="0"/>
              <w:ind w:left="0" w:right="0"/>
              <w:jc w:val="center"/>
              <w:rPr>
                <w:rFonts w:hint="eastAsia" w:hAnsi="宋体" w:cs="Times New Roman"/>
                <w:color w:val="auto"/>
                <w:szCs w:val="21"/>
                <w:highlight w:val="none"/>
              </w:rPr>
            </w:pPr>
            <w:r>
              <w:rPr>
                <w:rFonts w:hint="eastAsia" w:hAnsi="宋体" w:cs="Times New Roman"/>
                <w:color w:val="auto"/>
                <w:szCs w:val="21"/>
                <w:highlight w:val="none"/>
              </w:rPr>
              <w:t>H</w:t>
            </w:r>
          </w:p>
        </w:tc>
        <w:tc>
          <w:tcPr>
            <w:tcW w:w="1559" w:type="dxa"/>
            <w:vAlign w:val="center"/>
          </w:tcPr>
          <w:p>
            <w:pPr>
              <w:pStyle w:val="22"/>
              <w:keepNext w:val="0"/>
              <w:keepLines w:val="0"/>
              <w:suppressLineNumbers w:val="0"/>
              <w:spacing w:before="0" w:beforeAutospacing="0" w:after="0" w:afterAutospacing="0"/>
              <w:ind w:left="0" w:right="0"/>
              <w:jc w:val="center"/>
              <w:rPr>
                <w:rFonts w:hint="eastAsia" w:hAnsi="宋体" w:cs="Times New Roman"/>
                <w:color w:val="auto"/>
                <w:szCs w:val="21"/>
                <w:highlight w:val="none"/>
              </w:rPr>
            </w:pPr>
            <w:r>
              <w:rPr>
                <w:rFonts w:hint="eastAsia" w:hAnsi="宋体" w:cs="Times New Roman"/>
                <w:color w:val="auto"/>
                <w:szCs w:val="21"/>
                <w:highlight w:val="none"/>
              </w:rPr>
              <w:t>0</w:t>
            </w:r>
          </w:p>
        </w:tc>
        <w:tc>
          <w:tcPr>
            <w:tcW w:w="1417" w:type="dxa"/>
            <w:vAlign w:val="center"/>
          </w:tcPr>
          <w:p>
            <w:pPr>
              <w:pStyle w:val="22"/>
              <w:keepNext w:val="0"/>
              <w:keepLines w:val="0"/>
              <w:suppressLineNumbers w:val="0"/>
              <w:spacing w:before="0" w:beforeAutospacing="0" w:after="0" w:afterAutospacing="0"/>
              <w:ind w:left="0" w:right="0"/>
              <w:jc w:val="center"/>
              <w:rPr>
                <w:rFonts w:hint="eastAsia" w:hAnsi="宋体" w:cs="Times New Roman"/>
                <w:color w:val="auto"/>
                <w:szCs w:val="21"/>
                <w:highlight w:val="none"/>
              </w:rPr>
            </w:pPr>
            <w:r>
              <w:rPr>
                <w:rFonts w:hint="eastAsia" w:hAnsi="宋体" w:cs="Times New Roman"/>
                <w:color w:val="auto"/>
                <w:szCs w:val="21"/>
                <w:highlight w:val="none"/>
              </w:rPr>
              <w:t>0</w:t>
            </w:r>
          </w:p>
        </w:tc>
        <w:tc>
          <w:tcPr>
            <w:tcW w:w="1560" w:type="dxa"/>
            <w:vAlign w:val="center"/>
          </w:tcPr>
          <w:p>
            <w:pPr>
              <w:pStyle w:val="22"/>
              <w:keepNext w:val="0"/>
              <w:keepLines w:val="0"/>
              <w:suppressLineNumbers w:val="0"/>
              <w:spacing w:before="0" w:beforeAutospacing="0" w:after="0" w:afterAutospacing="0"/>
              <w:ind w:left="0" w:right="0"/>
              <w:jc w:val="center"/>
              <w:rPr>
                <w:rFonts w:hint="eastAsia" w:hAnsi="宋体" w:cs="Times New Roman"/>
                <w:color w:val="auto"/>
                <w:szCs w:val="21"/>
                <w:highlight w:val="none"/>
              </w:rPr>
            </w:pPr>
            <w:r>
              <w:rPr>
                <w:rFonts w:hint="eastAsia" w:hAnsi="宋体" w:cs="Times New Roman"/>
                <w:color w:val="auto"/>
                <w:szCs w:val="21"/>
                <w:highlight w:val="none"/>
              </w:rPr>
              <w:t>0</w:t>
            </w:r>
          </w:p>
        </w:tc>
        <w:tc>
          <w:tcPr>
            <w:tcW w:w="1092" w:type="dxa"/>
            <w:vAlign w:val="center"/>
          </w:tcPr>
          <w:p>
            <w:pPr>
              <w:pStyle w:val="22"/>
              <w:keepNext w:val="0"/>
              <w:keepLines w:val="0"/>
              <w:suppressLineNumbers w:val="0"/>
              <w:spacing w:before="0" w:beforeAutospacing="0" w:after="0" w:afterAutospacing="0"/>
              <w:ind w:left="0" w:right="0"/>
              <w:jc w:val="center"/>
              <w:rPr>
                <w:rFonts w:hint="eastAsia" w:hAnsi="宋体" w:cs="Times New Roman"/>
                <w:color w:val="auto"/>
                <w:szCs w:val="21"/>
                <w:highlight w:val="none"/>
              </w:rPr>
            </w:pPr>
            <w:r>
              <w:rPr>
                <w:rFonts w:hint="eastAsia" w:hAnsi="宋体" w:cs="Times New Roman"/>
                <w:color w:val="auto"/>
                <w:szCs w:val="21"/>
                <w:highlight w:val="none"/>
              </w:rPr>
              <w:t>0</w:t>
            </w:r>
          </w:p>
        </w:tc>
      </w:tr>
    </w:tbl>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注：多个单项工程时，按每单项单独计算。对于单项工程的取消，该单项价款即行核减。</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（b）【</w:t>
      </w:r>
      <w:permStart w:id="54"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permEnd w:id="54"/>
      <w:r>
        <w:rPr>
          <w:rFonts w:hint="eastAsia" w:ascii="宋体" w:hAnsi="宋体"/>
          <w:color w:val="auto"/>
          <w:szCs w:val="21"/>
          <w:highlight w:val="none"/>
        </w:rPr>
        <w:t>】按实际完成的工程量，以投标报价的原则结算。</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（c）</w:t>
      </w:r>
      <w:r>
        <w:rPr>
          <w:rFonts w:ascii="宋体" w:hAnsi="宋体"/>
          <w:color w:val="auto"/>
          <w:szCs w:val="21"/>
          <w:highlight w:val="none"/>
        </w:rPr>
        <w:t>设计变更管理执行</w:t>
      </w:r>
      <w:r>
        <w:rPr>
          <w:rFonts w:hint="eastAsia" w:ascii="宋体" w:hAnsi="宋体"/>
          <w:color w:val="auto"/>
          <w:szCs w:val="21"/>
          <w:highlight w:val="none"/>
        </w:rPr>
        <w:t>中国南方电网有限责任公司基建工程设计管理规定</w:t>
      </w:r>
      <w:r>
        <w:rPr>
          <w:rFonts w:ascii="宋体" w:hAnsi="宋体"/>
          <w:color w:val="auto"/>
          <w:szCs w:val="21"/>
          <w:highlight w:val="none"/>
        </w:rPr>
        <w:t>。</w:t>
      </w:r>
    </w:p>
    <w:p>
      <w:pPr>
        <w:pStyle w:val="17"/>
        <w:spacing w:after="0"/>
        <w:ind w:left="0" w:leftChars="0" w:firstLine="420" w:firstLineChars="200"/>
        <w:rPr>
          <w:rFonts w:ascii="宋体" w:hAnsi="宋体"/>
          <w:color w:val="auto"/>
          <w:szCs w:val="21"/>
          <w:highlight w:val="none"/>
        </w:rPr>
      </w:pPr>
      <w:r>
        <w:rPr>
          <w:rFonts w:ascii="宋体" w:hAnsi="宋体"/>
          <w:color w:val="auto"/>
          <w:szCs w:val="21"/>
          <w:highlight w:val="none"/>
        </w:rPr>
        <w:t>一项工程变更工程量变化金额在</w:t>
      </w:r>
      <w:r>
        <w:rPr>
          <w:rFonts w:hint="eastAsia" w:ascii="宋体" w:hAnsi="宋体"/>
          <w:color w:val="auto"/>
          <w:szCs w:val="21"/>
          <w:highlight w:val="none"/>
        </w:rPr>
        <w:t>H</w:t>
      </w:r>
      <w:r>
        <w:rPr>
          <w:rFonts w:ascii="宋体" w:hAnsi="宋体"/>
          <w:color w:val="auto"/>
          <w:szCs w:val="21"/>
          <w:highlight w:val="none"/>
        </w:rPr>
        <w:t>万元以下</w:t>
      </w:r>
      <w:r>
        <w:rPr>
          <w:rFonts w:hint="eastAsia" w:ascii="宋体" w:hAnsi="宋体"/>
          <w:color w:val="auto"/>
          <w:szCs w:val="21"/>
          <w:highlight w:val="none"/>
        </w:rPr>
        <w:t>的</w:t>
      </w:r>
      <w:r>
        <w:rPr>
          <w:rFonts w:ascii="宋体" w:hAnsi="宋体"/>
          <w:color w:val="auto"/>
          <w:szCs w:val="21"/>
          <w:highlight w:val="none"/>
        </w:rPr>
        <w:t>，在工程竣工结算时，而作的成本记录计算仅作为考核设计质量之用，不调整合同价款。</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（d）本合同中，因建设需要取消的单项工程，按中标合同价款中的相应费用减少合同价款。</w:t>
      </w:r>
    </w:p>
    <w:p>
      <w:pPr>
        <w:pStyle w:val="17"/>
        <w:spacing w:after="0"/>
        <w:ind w:left="0" w:leftChars="0" w:firstLine="420" w:firstLineChars="200"/>
        <w:rPr>
          <w:rFonts w:hint="eastAsia" w:ascii="宋体" w:hAnsi="宋体"/>
          <w:color w:val="auto"/>
          <w:szCs w:val="21"/>
          <w:highlight w:val="none"/>
          <w:u w:val="single"/>
        </w:rPr>
      </w:pPr>
      <w:r>
        <w:rPr>
          <w:rFonts w:hint="eastAsia" w:ascii="宋体" w:hAnsi="宋体"/>
          <w:color w:val="auto"/>
          <w:szCs w:val="21"/>
          <w:highlight w:val="none"/>
        </w:rPr>
        <w:t>（e）其他：</w:t>
      </w:r>
      <w:permStart w:id="55" w:edGrp="everyone"/>
      <w:r>
        <w:rPr>
          <w:rFonts w:hint="eastAsia" w:ascii="宋体" w:hAnsi="宋体"/>
          <w:color w:val="auto"/>
          <w:szCs w:val="21"/>
          <w:highlight w:val="none"/>
          <w:u w:val="single"/>
        </w:rPr>
        <w:t xml:space="preserve">         。</w:t>
      </w:r>
      <w:permEnd w:id="55"/>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s="TimesNewRomanPSMT"/>
          <w:color w:val="auto"/>
          <w:kern w:val="0"/>
          <w:szCs w:val="21"/>
          <w:highlight w:val="none"/>
        </w:rPr>
        <w:t>物价波动引起的价格调整</w:t>
      </w:r>
    </w:p>
    <w:p>
      <w:pPr>
        <w:pStyle w:val="131"/>
        <w:spacing w:after="0" w:line="240" w:lineRule="auto"/>
        <w:ind w:left="0" w:leftChars="0" w:firstLine="422" w:firstLineChars="200"/>
        <w:rPr>
          <w:rFonts w:hint="eastAsia" w:ascii="宋体"/>
          <w:color w:val="auto"/>
          <w:highlight w:val="none"/>
        </w:rPr>
      </w:pPr>
      <w:r>
        <w:rPr>
          <w:rFonts w:hint="eastAsia" w:ascii="宋体"/>
          <w:color w:val="auto"/>
          <w:highlight w:val="none"/>
        </w:rPr>
        <w:t>由于承包人原因造成延期的项目单价均不予调整。</w:t>
      </w:r>
    </w:p>
    <w:p>
      <w:pPr>
        <w:pStyle w:val="131"/>
        <w:spacing w:after="0" w:line="240" w:lineRule="auto"/>
        <w:ind w:left="0" w:leftChars="0" w:firstLine="420" w:firstLineChars="200"/>
        <w:rPr>
          <w:rFonts w:hint="eastAsia" w:ascii="宋体"/>
          <w:b w:val="0"/>
          <w:bCs/>
          <w:color w:val="auto"/>
          <w:highlight w:val="none"/>
        </w:rPr>
      </w:pPr>
      <w:r>
        <w:rPr>
          <w:rFonts w:hint="eastAsia" w:ascii="宋体" w:cs="TimesNewRomanPSMT"/>
          <w:b w:val="0"/>
          <w:bCs/>
          <w:color w:val="auto"/>
          <w:kern w:val="0"/>
          <w:highlight w:val="none"/>
        </w:rPr>
        <w:t>物价波动引起的价格调整，增加以下选项，具体调整内容各单位自行确定：</w:t>
      </w:r>
    </w:p>
    <w:p>
      <w:pPr>
        <w:pStyle w:val="131"/>
        <w:spacing w:after="0" w:line="240" w:lineRule="auto"/>
        <w:ind w:left="0" w:leftChars="0" w:firstLine="420" w:firstLineChars="200"/>
        <w:rPr>
          <w:rFonts w:hint="eastAsia" w:ascii="宋体"/>
          <w:b w:val="0"/>
          <w:color w:val="auto"/>
          <w:highlight w:val="none"/>
        </w:rPr>
      </w:pPr>
      <w:permStart w:id="56" w:edGrp="everyone"/>
      <w:r>
        <w:rPr>
          <w:rFonts w:hint="eastAsia" w:ascii="宋体"/>
          <w:b w:val="0"/>
          <w:color w:val="auto"/>
          <w:highlight w:val="none"/>
        </w:rPr>
        <w:t>1</w:t>
      </w:r>
      <w:r>
        <w:rPr>
          <w:rFonts w:hint="eastAsia" w:ascii="宋体"/>
          <w:b w:val="0"/>
          <w:color w:val="auto"/>
          <w:highlight w:val="none"/>
          <w:lang w:val="en-US" w:eastAsia="zh-CN"/>
        </w:rPr>
        <w:t>1</w:t>
      </w:r>
      <w:r>
        <w:rPr>
          <w:rFonts w:hint="eastAsia" w:ascii="宋体"/>
          <w:b w:val="0"/>
          <w:color w:val="auto"/>
          <w:highlight w:val="none"/>
        </w:rPr>
        <w:t>.</w:t>
      </w:r>
      <w:r>
        <w:rPr>
          <w:rFonts w:hint="eastAsia" w:ascii="宋体"/>
          <w:b w:val="0"/>
          <w:color w:val="auto"/>
          <w:highlight w:val="none"/>
          <w:lang w:val="en-US" w:eastAsia="zh-CN"/>
        </w:rPr>
        <w:t>6</w:t>
      </w:r>
      <w:r>
        <w:rPr>
          <w:rFonts w:hint="eastAsia" w:ascii="宋体"/>
          <w:b w:val="0"/>
          <w:color w:val="auto"/>
          <w:highlight w:val="none"/>
        </w:rPr>
        <w:t>.1人工单价可调整的情况：</w:t>
      </w:r>
      <w:r>
        <w:rPr>
          <w:rFonts w:hint="eastAsia" w:ascii="宋体"/>
          <w:bCs/>
          <w:color w:val="auto"/>
          <w:highlight w:val="none"/>
          <w:u w:val="single"/>
        </w:rPr>
        <w:t xml:space="preserve">                                          </w:t>
      </w:r>
      <w:r>
        <w:rPr>
          <w:rFonts w:hint="eastAsia" w:ascii="宋体"/>
          <w:b w:val="0"/>
          <w:color w:val="auto"/>
          <w:highlight w:val="none"/>
          <w:u w:val="single"/>
        </w:rPr>
        <w:t xml:space="preserve">  。</w:t>
      </w:r>
    </w:p>
    <w:p>
      <w:pPr>
        <w:pStyle w:val="131"/>
        <w:spacing w:after="0" w:line="240" w:lineRule="auto"/>
        <w:ind w:left="0" w:leftChars="0" w:firstLine="420" w:firstLineChars="200"/>
        <w:rPr>
          <w:rFonts w:hint="eastAsia" w:ascii="宋体"/>
          <w:b w:val="0"/>
          <w:bCs/>
          <w:color w:val="auto"/>
          <w:highlight w:val="none"/>
          <w:u w:val="single"/>
        </w:rPr>
      </w:pPr>
      <w:r>
        <w:rPr>
          <w:rFonts w:hint="eastAsia" w:ascii="宋体"/>
          <w:b w:val="0"/>
          <w:bCs/>
          <w:color w:val="auto"/>
          <w:highlight w:val="none"/>
        </w:rPr>
        <w:t>1</w:t>
      </w:r>
      <w:r>
        <w:rPr>
          <w:rFonts w:hint="eastAsia" w:ascii="宋体"/>
          <w:b w:val="0"/>
          <w:bCs/>
          <w:color w:val="auto"/>
          <w:highlight w:val="none"/>
          <w:lang w:val="en-US" w:eastAsia="zh-CN"/>
        </w:rPr>
        <w:t>1</w:t>
      </w:r>
      <w:r>
        <w:rPr>
          <w:rFonts w:hint="eastAsia" w:ascii="宋体"/>
          <w:b w:val="0"/>
          <w:bCs/>
          <w:color w:val="auto"/>
          <w:highlight w:val="none"/>
        </w:rPr>
        <w:t>.</w:t>
      </w:r>
      <w:r>
        <w:rPr>
          <w:rFonts w:hint="eastAsia" w:ascii="宋体"/>
          <w:b w:val="0"/>
          <w:bCs/>
          <w:color w:val="auto"/>
          <w:highlight w:val="none"/>
          <w:lang w:val="en-US" w:eastAsia="zh-CN"/>
        </w:rPr>
        <w:t>6</w:t>
      </w:r>
      <w:r>
        <w:rPr>
          <w:rFonts w:hint="eastAsia" w:ascii="宋体"/>
          <w:b w:val="0"/>
          <w:bCs/>
          <w:color w:val="auto"/>
          <w:highlight w:val="none"/>
        </w:rPr>
        <w:t xml:space="preserve">.2 材料波动引起价格调整： </w:t>
      </w:r>
      <w:r>
        <w:rPr>
          <w:rFonts w:hint="eastAsia" w:ascii="宋体"/>
          <w:b w:val="0"/>
          <w:bCs/>
          <w:color w:val="auto"/>
          <w:highlight w:val="none"/>
          <w:u w:val="single"/>
        </w:rPr>
        <w:t xml:space="preserve">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6.3</w:t>
      </w:r>
      <w:r>
        <w:rPr>
          <w:rFonts w:ascii="宋体" w:hAnsi="宋体"/>
          <w:color w:val="auto"/>
          <w:szCs w:val="21"/>
          <w:highlight w:val="none"/>
        </w:rPr>
        <w:t xml:space="preserve"> </w:t>
      </w:r>
      <w:r>
        <w:rPr>
          <w:rFonts w:hint="eastAsia" w:ascii="宋体" w:hAnsi="宋体" w:cs="TimesNewRomanPSMT"/>
          <w:color w:val="auto"/>
          <w:kern w:val="0"/>
          <w:szCs w:val="21"/>
          <w:highlight w:val="none"/>
        </w:rPr>
        <w:t>其他因素引起的价格调整</w:t>
      </w:r>
      <w:r>
        <w:rPr>
          <w:rFonts w:hint="eastAsia" w:ascii="宋体"/>
          <w:bCs/>
          <w:color w:val="auto"/>
          <w:highlight w:val="none"/>
        </w:rPr>
        <w:t xml:space="preserve">： </w:t>
      </w:r>
      <w:r>
        <w:rPr>
          <w:rFonts w:hint="eastAsia" w:ascii="宋体"/>
          <w:bCs/>
          <w:color w:val="auto"/>
          <w:highlight w:val="none"/>
          <w:u w:val="single"/>
        </w:rPr>
        <w:t xml:space="preserve">                                            。</w:t>
      </w:r>
    </w:p>
    <w:permEnd w:id="56"/>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rPr>
        <w:t>1</w:t>
      </w:r>
      <w:r>
        <w:rPr>
          <w:rFonts w:hint="eastAsia" w:ascii="宋体"/>
          <w:color w:val="auto"/>
          <w:highlight w:val="none"/>
          <w:lang w:val="en-US" w:eastAsia="zh-CN"/>
        </w:rPr>
        <w:t>2</w:t>
      </w:r>
      <w:r>
        <w:rPr>
          <w:rFonts w:hint="eastAsia" w:ascii="宋体"/>
          <w:color w:val="auto"/>
          <w:highlight w:val="none"/>
        </w:rPr>
        <w:t>.</w:t>
      </w:r>
      <w:r>
        <w:rPr>
          <w:rFonts w:hint="eastAsia" w:ascii="宋体"/>
          <w:color w:val="auto"/>
          <w:highlight w:val="none"/>
        </w:rPr>
        <w:tab/>
      </w:r>
      <w:r>
        <w:rPr>
          <w:rFonts w:hint="eastAsia" w:ascii="宋体"/>
          <w:color w:val="auto"/>
          <w:highlight w:val="none"/>
        </w:rPr>
        <w:t>合同价格和支付</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.1 </w:t>
      </w:r>
      <w:r>
        <w:rPr>
          <w:rFonts w:hint="eastAsia" w:ascii="宋体" w:hAnsi="宋体"/>
          <w:color w:val="auto"/>
          <w:szCs w:val="21"/>
          <w:highlight w:val="none"/>
        </w:rPr>
        <w:tab/>
      </w:r>
      <w:r>
        <w:rPr>
          <w:rFonts w:hint="eastAsia" w:ascii="宋体" w:hAnsi="宋体"/>
          <w:color w:val="auto"/>
          <w:szCs w:val="21"/>
          <w:highlight w:val="none"/>
        </w:rPr>
        <w:t>合同价格</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合同协议书中，发包人和承包人</w:t>
      </w:r>
      <w:r>
        <w:rPr>
          <w:rFonts w:hint="eastAsia" w:ascii="宋体" w:hAnsi="宋体"/>
          <w:color w:val="auto"/>
          <w:szCs w:val="21"/>
          <w:highlight w:val="none"/>
          <w:lang w:val="en-US" w:eastAsia="zh-CN"/>
        </w:rPr>
        <w:t>采用</w:t>
      </w:r>
      <w:permStart w:id="57" w:edGrp="everyone"/>
      <w:r>
        <w:rPr>
          <w:rFonts w:hint="eastAsia" w:ascii="宋体" w:hAnsi="宋体"/>
          <w:color w:val="auto"/>
          <w:szCs w:val="21"/>
          <w:highlight w:val="none"/>
          <w:u w:val="single"/>
        </w:rPr>
        <w:t>_</w:t>
      </w:r>
      <w:r>
        <w:rPr>
          <w:rFonts w:hint="eastAsia" w:ascii="宋体" w:hAnsi="宋体"/>
          <w:color w:val="auto"/>
          <w:szCs w:val="21"/>
          <w:highlight w:val="none"/>
          <w:u w:val="single"/>
          <w:lang w:val="en-US" w:eastAsia="zh-CN"/>
        </w:rPr>
        <w:t>总价</w:t>
      </w:r>
      <w:r>
        <w:rPr>
          <w:rFonts w:ascii="宋体" w:hAnsi="宋体"/>
          <w:color w:val="auto"/>
          <w:szCs w:val="21"/>
          <w:highlight w:val="none"/>
          <w:u w:val="single"/>
        </w:rPr>
        <w:t>）</w:t>
      </w:r>
      <w:permEnd w:id="57"/>
      <w:r>
        <w:rPr>
          <w:rFonts w:hint="eastAsia" w:ascii="宋体" w:hAnsi="宋体"/>
          <w:color w:val="auto"/>
          <w:szCs w:val="21"/>
          <w:highlight w:val="none"/>
        </w:rPr>
        <w:t>合同</w:t>
      </w:r>
      <w:r>
        <w:rPr>
          <w:rFonts w:ascii="宋体" w:hAnsi="宋体"/>
          <w:color w:val="auto"/>
          <w:szCs w:val="21"/>
          <w:highlight w:val="none"/>
        </w:rPr>
        <w:t>。</w:t>
      </w:r>
      <w:r>
        <w:rPr>
          <w:rFonts w:hint="eastAsia" w:ascii="宋体" w:hAnsi="宋体"/>
          <w:color w:val="auto"/>
          <w:szCs w:val="21"/>
          <w:highlight w:val="none"/>
        </w:rPr>
        <w:t xml:space="preserve"> </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 xml:space="preserve"> </w:t>
      </w:r>
      <w:r>
        <w:rPr>
          <w:rFonts w:hint="eastAsia" w:ascii="宋体" w:hAnsi="宋体"/>
          <w:color w:val="auto"/>
          <w:szCs w:val="21"/>
          <w:highlight w:val="none"/>
        </w:rPr>
        <w:tab/>
      </w:r>
      <w:r>
        <w:rPr>
          <w:rFonts w:hint="eastAsia" w:ascii="宋体" w:hAnsi="宋体"/>
          <w:color w:val="auto"/>
          <w:szCs w:val="21"/>
          <w:highlight w:val="none"/>
        </w:rPr>
        <w:t>预付款</w:t>
      </w:r>
    </w:p>
    <w:p>
      <w:pPr>
        <w:pStyle w:val="17"/>
        <w:spacing w:after="0"/>
        <w:ind w:left="0" w:leftChars="0" w:firstLine="420" w:firstLineChars="200"/>
        <w:rPr>
          <w:rFonts w:ascii="宋体" w:hAnsi="宋体"/>
          <w:color w:val="auto"/>
          <w:szCs w:val="21"/>
          <w:highlight w:val="none"/>
        </w:rPr>
      </w:pP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1</w:t>
      </w:r>
      <w:r>
        <w:rPr>
          <w:rFonts w:hint="eastAsia" w:ascii="宋体" w:hAnsi="宋体" w:cs="宋体"/>
          <w:b w:val="0"/>
          <w:bCs w:val="0"/>
          <w:i w:val="0"/>
          <w:iCs w:val="0"/>
          <w:caps w:val="0"/>
          <w:color w:val="auto"/>
          <w:spacing w:val="0"/>
          <w:sz w:val="21"/>
          <w:szCs w:val="21"/>
          <w:highlight w:val="none"/>
          <w:shd w:val="clear" w:color="auto" w:fill="FFFFFF"/>
          <w:lang w:val="en-US" w:eastAsia="zh-CN"/>
        </w:rPr>
        <w:t>2</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.2.1</w:t>
      </w:r>
      <w:r>
        <w:rPr>
          <w:rFonts w:hint="eastAsia" w:ascii="宋体" w:hAnsi="宋体" w:eastAsia="宋体" w:cs="宋体"/>
          <w:b/>
          <w:bCs/>
          <w:i w:val="0"/>
          <w:iCs w:val="0"/>
          <w:caps w:val="0"/>
          <w:color w:val="auto"/>
          <w:spacing w:val="0"/>
          <w:sz w:val="21"/>
          <w:szCs w:val="21"/>
          <w:highlight w:val="none"/>
          <w:shd w:val="clear" w:color="auto" w:fill="FFFFFF"/>
          <w:lang w:val="en-US" w:eastAsia="zh-CN"/>
        </w:rPr>
        <w:t>第一期：</w:t>
      </w:r>
      <w:r>
        <w:rPr>
          <w:rFonts w:hint="eastAsia" w:ascii="宋体" w:hAnsi="宋体" w:eastAsia="宋体" w:cs="宋体"/>
          <w:color w:val="auto"/>
          <w:sz w:val="21"/>
          <w:szCs w:val="21"/>
          <w:highlight w:val="none"/>
          <w:u w:val="single"/>
        </w:rPr>
        <w:t>预付款的金额</w:t>
      </w:r>
      <w:r>
        <w:rPr>
          <w:rFonts w:hint="eastAsia" w:ascii="宋体" w:hAnsi="宋体" w:eastAsia="宋体" w:cs="宋体"/>
          <w:color w:val="auto"/>
          <w:sz w:val="21"/>
          <w:szCs w:val="21"/>
          <w:highlight w:val="none"/>
          <w:u w:val="single"/>
          <w:lang w:val="en-US" w:eastAsia="zh-CN"/>
        </w:rPr>
        <w:t>以</w:t>
      </w:r>
      <w:r>
        <w:rPr>
          <w:rFonts w:hint="eastAsia" w:ascii="宋体" w:hAnsi="宋体" w:eastAsia="宋体" w:cs="宋体"/>
          <w:color w:val="auto"/>
          <w:sz w:val="21"/>
          <w:szCs w:val="21"/>
          <w:highlight w:val="none"/>
          <w:u w:val="single"/>
        </w:rPr>
        <w:t>合同</w:t>
      </w:r>
      <w:r>
        <w:rPr>
          <w:rFonts w:hint="eastAsia" w:ascii="宋体" w:hAnsi="宋体" w:eastAsia="宋体" w:cs="宋体"/>
          <w:color w:val="auto"/>
          <w:sz w:val="21"/>
          <w:szCs w:val="21"/>
          <w:highlight w:val="none"/>
          <w:u w:val="single"/>
          <w:lang w:val="en-US" w:eastAsia="zh-CN"/>
        </w:rPr>
        <w:t>暂定</w:t>
      </w:r>
      <w:r>
        <w:rPr>
          <w:rFonts w:hint="eastAsia" w:ascii="宋体" w:hAnsi="宋体" w:eastAsia="宋体" w:cs="宋体"/>
          <w:color w:val="auto"/>
          <w:sz w:val="21"/>
          <w:szCs w:val="21"/>
          <w:highlight w:val="none"/>
          <w:u w:val="single"/>
        </w:rPr>
        <w:t>价（扣除绿色施工安全防护费及暂列金）的</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支付款项</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在本</w:t>
      </w:r>
      <w:r>
        <w:rPr>
          <w:rFonts w:hint="eastAsia" w:ascii="宋体" w:hAnsi="宋体" w:eastAsia="宋体" w:cs="宋体"/>
          <w:i w:val="0"/>
          <w:iCs w:val="0"/>
          <w:caps w:val="0"/>
          <w:color w:val="auto"/>
          <w:spacing w:val="0"/>
          <w:sz w:val="21"/>
          <w:szCs w:val="21"/>
          <w:highlight w:val="none"/>
          <w:u w:val="single"/>
          <w:shd w:val="clear" w:color="auto" w:fill="FFFFFF"/>
          <w:lang w:val="en-US" w:eastAsia="zh-CN"/>
        </w:rPr>
        <w:t>合同签定后并收到</w:t>
      </w:r>
      <w:r>
        <w:rPr>
          <w:rFonts w:hint="eastAsia" w:ascii="宋体" w:hAnsi="宋体" w:eastAsia="宋体" w:cs="宋体"/>
          <w:color w:val="auto"/>
          <w:szCs w:val="21"/>
          <w:highlight w:val="none"/>
          <w:u w:val="single"/>
        </w:rPr>
        <w:t>监理工程师向项目发包人发出预付款支付证书</w:t>
      </w:r>
      <w:r>
        <w:rPr>
          <w:rFonts w:hint="eastAsia" w:ascii="宋体" w:hAnsi="宋体" w:eastAsia="宋体" w:cs="宋体"/>
          <w:color w:val="auto"/>
          <w:szCs w:val="21"/>
          <w:highlight w:val="none"/>
          <w:u w:val="single"/>
          <w:lang w:val="en-US" w:eastAsia="zh-CN"/>
        </w:rPr>
        <w:t>的</w:t>
      </w:r>
      <w:r>
        <w:rPr>
          <w:rFonts w:hint="eastAsia" w:ascii="宋体" w:hAnsi="宋体" w:eastAsia="宋体" w:cs="宋体"/>
          <w:i w:val="0"/>
          <w:iCs w:val="0"/>
          <w:caps w:val="0"/>
          <w:color w:val="auto"/>
          <w:spacing w:val="0"/>
          <w:sz w:val="21"/>
          <w:szCs w:val="21"/>
          <w:highlight w:val="none"/>
          <w:u w:val="single"/>
          <w:shd w:val="clear" w:color="auto" w:fill="FFFFFF"/>
          <w:lang w:val="en-US" w:eastAsia="zh-CN"/>
        </w:rPr>
        <w:t>15日内支付。</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lang w:val="en-US" w:eastAsia="zh-CN"/>
        </w:rPr>
        <w:t>12.2.2</w:t>
      </w:r>
      <w:r>
        <w:rPr>
          <w:rFonts w:hint="eastAsia" w:ascii="宋体" w:hAnsi="宋体"/>
          <w:color w:val="auto"/>
          <w:szCs w:val="21"/>
          <w:highlight w:val="none"/>
        </w:rPr>
        <w:t>预付款支付期限：在承包人完成以下工作14天内监理工程师向项目发包人发出预付款支付证书（一份复印件送承包人）：</w:t>
      </w:r>
    </w:p>
    <w:p>
      <w:pPr>
        <w:pStyle w:val="17"/>
        <w:spacing w:after="0"/>
        <w:ind w:left="0" w:leftChars="0" w:firstLine="420" w:firstLineChars="200"/>
        <w:rPr>
          <w:rFonts w:hAnsi="宋体"/>
          <w:color w:val="auto"/>
          <w:szCs w:val="22"/>
          <w:highlight w:val="none"/>
        </w:rPr>
      </w:pPr>
      <w:r>
        <w:rPr>
          <w:rFonts w:hint="eastAsia" w:ascii="宋体" w:hAnsi="宋体"/>
          <w:color w:val="auto"/>
          <w:szCs w:val="21"/>
          <w:highlight w:val="none"/>
        </w:rPr>
        <w:t>1、</w:t>
      </w:r>
      <w:r>
        <w:rPr>
          <w:rFonts w:hint="eastAsia" w:ascii="宋体" w:hAnsi="宋体"/>
          <w:color w:val="auto"/>
          <w:szCs w:val="21"/>
          <w:highlight w:val="none"/>
        </w:rPr>
        <w:tab/>
      </w:r>
      <w:r>
        <w:rPr>
          <w:rFonts w:hint="eastAsia" w:ascii="宋体" w:hAnsi="宋体"/>
          <w:color w:val="auto"/>
          <w:szCs w:val="21"/>
          <w:highlight w:val="none"/>
        </w:rPr>
        <w:t>合同和履约保函已生效；</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rPr>
        <w:tab/>
      </w:r>
      <w:r>
        <w:rPr>
          <w:rFonts w:hint="eastAsia" w:ascii="宋体" w:hAnsi="宋体"/>
          <w:color w:val="auto"/>
          <w:szCs w:val="21"/>
          <w:highlight w:val="none"/>
        </w:rPr>
        <w:t>开工准备工作已开始。</w:t>
      </w:r>
    </w:p>
    <w:p>
      <w:pPr>
        <w:pStyle w:val="17"/>
        <w:spacing w:after="0"/>
        <w:ind w:left="0" w:leftChars="0" w:firstLine="420" w:firstLineChars="200"/>
        <w:rPr>
          <w:rFonts w:hint="eastAsia" w:ascii="宋体" w:hAnsi="宋体" w:eastAsia="宋体" w:cs="宋体"/>
          <w:color w:val="auto"/>
          <w:sz w:val="21"/>
          <w:szCs w:val="21"/>
          <w:highlight w:val="none"/>
        </w:rPr>
      </w:pPr>
      <w:r>
        <w:rPr>
          <w:rFonts w:hint="eastAsia" w:ascii="宋体" w:hAnsi="宋体"/>
          <w:color w:val="auto"/>
          <w:szCs w:val="21"/>
          <w:highlight w:val="none"/>
          <w:lang w:val="en-US" w:eastAsia="zh-CN"/>
        </w:rPr>
        <w:t>12.2.3</w:t>
      </w:r>
      <w:r>
        <w:rPr>
          <w:rFonts w:hint="eastAsia" w:ascii="宋体" w:hAnsi="宋体"/>
          <w:color w:val="auto"/>
          <w:szCs w:val="21"/>
          <w:highlight w:val="none"/>
        </w:rPr>
        <w:t>预付款扣回的方式：</w:t>
      </w:r>
      <w:r>
        <w:rPr>
          <w:rFonts w:hint="eastAsia" w:ascii="宋体" w:hAnsi="宋体" w:eastAsia="宋体" w:cs="宋体"/>
          <w:i w:val="0"/>
          <w:iCs w:val="0"/>
          <w:caps w:val="0"/>
          <w:color w:val="auto"/>
          <w:spacing w:val="0"/>
          <w:sz w:val="21"/>
          <w:szCs w:val="21"/>
          <w:highlight w:val="none"/>
          <w:shd w:val="clear" w:color="auto" w:fill="FFFFFF"/>
          <w:lang w:val="en-US" w:eastAsia="zh-CN"/>
        </w:rPr>
        <w:t>发包人将从支付第二期给承包人工程进度款时开始扣回预付款，每次扣回预付款额的50%，分2期扣完。如当期进度款不足以抵扣50%扣回预付款的，则在下期进度款中补足。</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.3 </w:t>
      </w:r>
      <w:r>
        <w:rPr>
          <w:rFonts w:hint="eastAsia" w:ascii="宋体" w:hAnsi="宋体"/>
          <w:color w:val="auto"/>
          <w:szCs w:val="21"/>
          <w:highlight w:val="none"/>
        </w:rPr>
        <w:tab/>
      </w:r>
      <w:r>
        <w:rPr>
          <w:rFonts w:hint="eastAsia" w:ascii="宋体" w:hAnsi="宋体"/>
          <w:color w:val="auto"/>
          <w:szCs w:val="21"/>
          <w:highlight w:val="none"/>
        </w:rPr>
        <w:t>期中支付证书的申请</w:t>
      </w:r>
    </w:p>
    <w:p>
      <w:pPr>
        <w:ind w:firstLine="420" w:firstLineChars="200"/>
        <w:rPr>
          <w:rFonts w:ascii="宋体" w:hAnsi="宋体"/>
          <w:color w:val="auto"/>
          <w:szCs w:val="21"/>
          <w:highlight w:val="none"/>
        </w:rPr>
      </w:pPr>
      <w:r>
        <w:rPr>
          <w:rFonts w:hint="eastAsia" w:ascii="宋体" w:hAnsi="宋体"/>
          <w:color w:val="auto"/>
          <w:szCs w:val="21"/>
          <w:highlight w:val="none"/>
        </w:rPr>
        <w:t>工程进度款按以下第</w:t>
      </w:r>
      <w:permStart w:id="58" w:edGrp="everyone"/>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 xml:space="preserve">  </w:t>
      </w:r>
      <w:r>
        <w:rPr>
          <w:rFonts w:hint="eastAsia" w:ascii="宋体" w:hAnsi="宋体"/>
          <w:color w:val="auto"/>
          <w:szCs w:val="21"/>
          <w:highlight w:val="none"/>
        </w:rPr>
        <w:t>】</w:t>
      </w:r>
      <w:permEnd w:id="58"/>
      <w:r>
        <w:rPr>
          <w:rFonts w:hint="eastAsia" w:ascii="宋体" w:hAnsi="宋体"/>
          <w:color w:val="auto"/>
          <w:szCs w:val="21"/>
          <w:highlight w:val="none"/>
        </w:rPr>
        <w:t>种方式支付，若进度款与预付款累计已付至合同价的</w:t>
      </w:r>
      <w:permStart w:id="59" w:edGrp="everyone"/>
      <w:r>
        <w:rPr>
          <w:rFonts w:hint="eastAsia" w:ascii="宋体" w:hAnsi="宋体"/>
          <w:color w:val="auto"/>
          <w:szCs w:val="21"/>
          <w:highlight w:val="none"/>
          <w:u w:val="single"/>
        </w:rPr>
        <w:t xml:space="preserve"> 90％</w:t>
      </w:r>
      <w:permEnd w:id="59"/>
      <w:r>
        <w:rPr>
          <w:rFonts w:hint="eastAsia" w:ascii="宋体" w:hAnsi="宋体"/>
          <w:color w:val="auto"/>
          <w:szCs w:val="21"/>
          <w:highlight w:val="none"/>
        </w:rPr>
        <w:t>时停止</w:t>
      </w:r>
      <w:r>
        <w:rPr>
          <w:rFonts w:hint="eastAsia" w:ascii="宋体" w:hAnsi="宋体" w:eastAsia="宋体" w:cs="Times New Roman"/>
          <w:color w:val="auto"/>
          <w:szCs w:val="21"/>
          <w:highlight w:val="none"/>
          <w:lang w:val="en-US" w:eastAsia="zh-CN"/>
        </w:rPr>
        <w:t>支付,付款方式包括电汇、转账、汇票、票据、支票和双方认可的其他支付方式。如需使用商业汇票进行支付的，由款项支付方承担资金成本（买方付息贴现）。如需使用商业汇票进行支付的，由款项支付方承担资金成本（买方付息贴现）。</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1、季度结算，承包人应在每月</w:t>
      </w:r>
      <w:permStart w:id="60" w:edGrp="everyone"/>
      <w:r>
        <w:rPr>
          <w:rFonts w:hint="eastAsia" w:ascii="宋体" w:hAnsi="宋体"/>
          <w:color w:val="auto"/>
          <w:szCs w:val="21"/>
          <w:highlight w:val="none"/>
        </w:rPr>
        <w:t xml:space="preserve">[可选项] </w:t>
      </w:r>
      <w:r>
        <w:rPr>
          <w:rFonts w:hint="eastAsia" w:ascii="宋体" w:hAnsi="宋体"/>
          <w:color w:val="auto"/>
          <w:szCs w:val="21"/>
          <w:highlight w:val="none"/>
          <w:u w:val="single"/>
        </w:rPr>
        <w:t xml:space="preserve"> 1 </w:t>
      </w:r>
      <w:r>
        <w:rPr>
          <w:rFonts w:hint="eastAsia" w:ascii="宋体" w:hAnsi="宋体"/>
          <w:color w:val="auto"/>
          <w:szCs w:val="21"/>
          <w:highlight w:val="none"/>
        </w:rPr>
        <w:t>日</w:t>
      </w:r>
      <w:permEnd w:id="60"/>
      <w:r>
        <w:rPr>
          <w:rFonts w:hint="eastAsia" w:ascii="宋体" w:hAnsi="宋体"/>
          <w:color w:val="auto"/>
          <w:szCs w:val="21"/>
          <w:highlight w:val="none"/>
        </w:rPr>
        <w:t xml:space="preserve">提交上一月度已完工程量及相应的支持性证明文件，报监理工程师核查。承包人应在每季度首月 </w:t>
      </w:r>
      <w:permStart w:id="61" w:edGrp="everyone"/>
      <w:r>
        <w:rPr>
          <w:rFonts w:hint="eastAsia" w:ascii="宋体" w:hAnsi="宋体"/>
          <w:color w:val="auto"/>
          <w:szCs w:val="21"/>
          <w:highlight w:val="none"/>
        </w:rPr>
        <w:t>[可选项]</w:t>
      </w:r>
      <w:r>
        <w:rPr>
          <w:rFonts w:hint="eastAsia" w:ascii="宋体" w:hAnsi="宋体"/>
          <w:color w:val="auto"/>
          <w:szCs w:val="21"/>
          <w:highlight w:val="none"/>
          <w:u w:val="single"/>
        </w:rPr>
        <w:t xml:space="preserve"> 15  </w:t>
      </w:r>
      <w:r>
        <w:rPr>
          <w:rFonts w:hint="eastAsia" w:ascii="宋体" w:hAnsi="宋体"/>
          <w:color w:val="auto"/>
          <w:szCs w:val="21"/>
          <w:highlight w:val="none"/>
        </w:rPr>
        <w:t>日</w:t>
      </w:r>
      <w:permEnd w:id="61"/>
      <w:r>
        <w:rPr>
          <w:rFonts w:hint="eastAsia" w:ascii="宋体" w:hAnsi="宋体"/>
          <w:color w:val="auto"/>
          <w:szCs w:val="21"/>
          <w:highlight w:val="none"/>
        </w:rPr>
        <w:t>提交上一季度已完工程量的结算付款申请及相应的支持性证明文件，经监理工程师核查后出具经发包人签认的进度付款证书。发包人在签发进度付款证书并收到等额增值税专用发票后</w:t>
      </w:r>
      <w:permStart w:id="62" w:edGrp="everyone"/>
      <w:r>
        <w:rPr>
          <w:rFonts w:hint="eastAsia" w:ascii="宋体" w:hAnsi="宋体"/>
          <w:color w:val="auto"/>
          <w:szCs w:val="21"/>
          <w:highlight w:val="none"/>
        </w:rPr>
        <w:t xml:space="preserve"> [可选项]</w:t>
      </w:r>
      <w:r>
        <w:rPr>
          <w:rFonts w:hint="eastAsia" w:ascii="宋体" w:hAnsi="宋体"/>
          <w:color w:val="auto"/>
          <w:szCs w:val="21"/>
          <w:highlight w:val="none"/>
          <w:u w:val="single"/>
        </w:rPr>
        <w:t>45</w:t>
      </w:r>
      <w:r>
        <w:rPr>
          <w:rFonts w:hint="eastAsia" w:ascii="宋体" w:hAnsi="宋体"/>
          <w:color w:val="auto"/>
          <w:szCs w:val="21"/>
          <w:highlight w:val="none"/>
        </w:rPr>
        <w:t xml:space="preserve"> 日</w:t>
      </w:r>
      <w:permEnd w:id="62"/>
      <w:r>
        <w:rPr>
          <w:rFonts w:hint="eastAsia" w:ascii="宋体" w:hAnsi="宋体"/>
          <w:color w:val="auto"/>
          <w:szCs w:val="21"/>
          <w:highlight w:val="none"/>
        </w:rPr>
        <w:t>内将进度款支付给承包人。</w:t>
      </w:r>
    </w:p>
    <w:p>
      <w:pPr>
        <w:pStyle w:val="17"/>
        <w:spacing w:after="0"/>
        <w:ind w:left="0" w:leftChars="0" w:firstLine="420" w:firstLineChars="200"/>
        <w:rPr>
          <w:rFonts w:hint="eastAsia" w:ascii="宋体" w:hAnsi="宋体" w:eastAsia="宋体" w:cs="宋体"/>
          <w:b w:val="0"/>
          <w:bCs w:val="0"/>
          <w:color w:val="auto"/>
          <w:sz w:val="21"/>
          <w:szCs w:val="21"/>
          <w:highlight w:val="none"/>
        </w:rPr>
      </w:pPr>
      <w:r>
        <w:rPr>
          <w:rFonts w:ascii="宋体" w:hAnsi="宋体"/>
          <w:color w:val="auto"/>
          <w:szCs w:val="21"/>
          <w:highlight w:val="none"/>
        </w:rPr>
        <w:t>2</w:t>
      </w:r>
      <w:r>
        <w:rPr>
          <w:rFonts w:hint="eastAsia" w:ascii="宋体" w:hAnsi="宋体"/>
          <w:color w:val="auto"/>
          <w:szCs w:val="21"/>
          <w:highlight w:val="none"/>
        </w:rPr>
        <w:t>、工程量形象进度（里程碑）</w:t>
      </w:r>
      <w:r>
        <w:rPr>
          <w:rFonts w:hint="eastAsia" w:ascii="宋体" w:hAnsi="宋体" w:eastAsia="宋体" w:cs="宋体"/>
          <w:b w:val="0"/>
          <w:bCs w:val="0"/>
          <w:color w:val="auto"/>
          <w:sz w:val="21"/>
          <w:szCs w:val="21"/>
          <w:highlight w:val="none"/>
        </w:rPr>
        <w:t>付款方式</w:t>
      </w:r>
    </w:p>
    <w:p>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i w:val="0"/>
          <w:iCs w:val="0"/>
          <w:caps w:val="0"/>
          <w:color w:val="auto"/>
          <w:spacing w:val="0"/>
          <w:sz w:val="21"/>
          <w:szCs w:val="21"/>
          <w:highlight w:val="none"/>
          <w:shd w:val="clear" w:color="auto" w:fill="FFFFFF"/>
          <w:lang w:val="en-US" w:eastAsia="zh-CN"/>
        </w:rPr>
        <w:t>进度款的确定：以形象工程为依据，每期工程款项由监理人与造价咨询人审核后报发包人审核后支付，具体如下：</w:t>
      </w:r>
    </w:p>
    <w:p>
      <w:pPr>
        <w:pStyle w:val="17"/>
        <w:spacing w:after="0"/>
        <w:ind w:left="0" w:leftChars="0" w:firstLine="420" w:firstLineChars="200"/>
        <w:rPr>
          <w:rFonts w:hint="eastAsia" w:ascii="宋体" w:hAnsi="宋体" w:eastAsia="宋体" w:cs="宋体"/>
          <w:color w:val="auto"/>
          <w:szCs w:val="21"/>
          <w:highlight w:val="none"/>
          <w:u w:val="single"/>
        </w:rPr>
      </w:pPr>
      <w:r>
        <w:rPr>
          <w:rFonts w:hint="eastAsia" w:ascii="宋体" w:hAnsi="宋体"/>
          <w:color w:val="auto"/>
          <w:szCs w:val="21"/>
          <w:highlight w:val="none"/>
          <w:lang w:val="en-US" w:eastAsia="zh-CN"/>
        </w:rPr>
        <w:t>2.1、</w:t>
      </w:r>
      <w:r>
        <w:rPr>
          <w:rFonts w:hint="eastAsia" w:ascii="宋体" w:hAnsi="宋体"/>
          <w:b/>
          <w:bCs/>
          <w:color w:val="auto"/>
          <w:szCs w:val="21"/>
          <w:highlight w:val="none"/>
          <w:lang w:val="en-US" w:eastAsia="zh-CN"/>
        </w:rPr>
        <w:t>第二期：</w:t>
      </w:r>
      <w:r>
        <w:rPr>
          <w:rFonts w:hint="eastAsia" w:ascii="宋体" w:hAnsi="宋体" w:eastAsia="宋体" w:cs="宋体"/>
          <w:color w:val="auto"/>
          <w:szCs w:val="21"/>
          <w:highlight w:val="none"/>
          <w:u w:val="single"/>
        </w:rPr>
        <w:t>承包人在</w:t>
      </w:r>
      <w:r>
        <w:rPr>
          <w:rFonts w:hint="eastAsia" w:ascii="宋体" w:hAnsi="宋体" w:eastAsia="宋体" w:cs="宋体"/>
          <w:color w:val="auto"/>
          <w:szCs w:val="21"/>
          <w:highlight w:val="none"/>
          <w:u w:val="single"/>
          <w:lang w:val="en-US" w:eastAsia="zh-CN"/>
        </w:rPr>
        <w:t>主体建筑</w:t>
      </w:r>
      <w:r>
        <w:rPr>
          <w:rFonts w:hint="eastAsia" w:ascii="宋体" w:hAnsi="宋体" w:eastAsia="宋体" w:cs="宋体"/>
          <w:i w:val="0"/>
          <w:iCs w:val="0"/>
          <w:caps w:val="0"/>
          <w:color w:val="auto"/>
          <w:spacing w:val="0"/>
          <w:sz w:val="21"/>
          <w:szCs w:val="21"/>
          <w:highlight w:val="none"/>
          <w:u w:val="single"/>
          <w:shd w:val="clear" w:color="auto" w:fill="FFFFFF"/>
          <w:lang w:val="en-US" w:eastAsia="zh-CN"/>
        </w:rPr>
        <w:t>地下工程完成至±0.00（含变电站地下室）可按合同价支付50%的工程款（</w:t>
      </w:r>
      <w:r>
        <w:rPr>
          <w:rFonts w:hint="eastAsia" w:ascii="宋体" w:hAnsi="宋体" w:eastAsia="宋体" w:cs="宋体"/>
          <w:color w:val="auto"/>
          <w:sz w:val="21"/>
          <w:szCs w:val="21"/>
          <w:highlight w:val="none"/>
          <w:u w:val="single"/>
        </w:rPr>
        <w:t>扣除绿色施工安全防护费</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暂列金</w:t>
      </w:r>
      <w:r>
        <w:rPr>
          <w:rFonts w:hint="eastAsia" w:ascii="宋体" w:hAnsi="宋体" w:eastAsia="宋体" w:cs="宋体"/>
          <w:i w:val="0"/>
          <w:iCs w:val="0"/>
          <w:caps w:val="0"/>
          <w:color w:val="auto"/>
          <w:spacing w:val="0"/>
          <w:sz w:val="21"/>
          <w:szCs w:val="21"/>
          <w:highlight w:val="none"/>
          <w:u w:val="single"/>
          <w:shd w:val="clear" w:color="auto" w:fill="FFFFFF"/>
          <w:lang w:val="en-US" w:eastAsia="zh-CN"/>
        </w:rPr>
        <w:t>、扣回预付款的5%），累计支付至合同价的45%；并需</w:t>
      </w:r>
      <w:r>
        <w:rPr>
          <w:rFonts w:hint="eastAsia" w:ascii="宋体" w:hAnsi="宋体" w:eastAsia="宋体" w:cs="宋体"/>
          <w:color w:val="auto"/>
          <w:szCs w:val="21"/>
          <w:highlight w:val="none"/>
          <w:u w:val="single"/>
        </w:rPr>
        <w:t>提交付款申请及相应的支持性证明文件，经监理工程师核查后出具经发包人签认的进度付款证书。发包人在签发进度付款证书并收到等额增值税专用发票后</w:t>
      </w:r>
      <w:permStart w:id="63" w:edGrp="everyone"/>
      <w:r>
        <w:rPr>
          <w:rFonts w:hint="eastAsia" w:ascii="宋体" w:hAnsi="宋体" w:eastAsia="宋体" w:cs="宋体"/>
          <w:color w:val="auto"/>
          <w:szCs w:val="21"/>
          <w:highlight w:val="none"/>
          <w:u w:val="single"/>
        </w:rPr>
        <w:t xml:space="preserve"> [可选项] 45 日</w:t>
      </w:r>
      <w:permEnd w:id="63"/>
      <w:r>
        <w:rPr>
          <w:rFonts w:hint="eastAsia" w:ascii="宋体" w:hAnsi="宋体" w:eastAsia="宋体" w:cs="宋体"/>
          <w:color w:val="auto"/>
          <w:szCs w:val="21"/>
          <w:highlight w:val="none"/>
          <w:u w:val="single"/>
        </w:rPr>
        <w:t>内将进度款支付给承包人。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color w:val="auto"/>
          <w:szCs w:val="21"/>
          <w:highlight w:val="none"/>
          <w:lang w:val="en-US" w:eastAsia="zh-CN"/>
        </w:rPr>
        <w:t>2.2、</w:t>
      </w:r>
      <w:r>
        <w:rPr>
          <w:rFonts w:hint="eastAsia" w:ascii="宋体" w:hAnsi="宋体"/>
          <w:b/>
          <w:bCs/>
          <w:color w:val="auto"/>
          <w:szCs w:val="21"/>
          <w:highlight w:val="none"/>
          <w:lang w:val="en-US" w:eastAsia="zh-CN"/>
        </w:rPr>
        <w:t>第三期：</w:t>
      </w:r>
      <w:r>
        <w:rPr>
          <w:rFonts w:hint="eastAsia" w:ascii="宋体" w:hAnsi="宋体" w:eastAsia="宋体" w:cs="宋体"/>
          <w:color w:val="auto"/>
          <w:szCs w:val="21"/>
          <w:highlight w:val="none"/>
          <w:u w:val="single"/>
        </w:rPr>
        <w:t>承包人</w:t>
      </w:r>
      <w:r>
        <w:rPr>
          <w:rFonts w:hint="eastAsia" w:ascii="宋体" w:hAnsi="宋体" w:eastAsia="宋体" w:cs="宋体"/>
          <w:color w:val="auto"/>
          <w:szCs w:val="21"/>
          <w:highlight w:val="none"/>
          <w:u w:val="single"/>
          <w:lang w:val="en-US" w:eastAsia="zh-CN"/>
        </w:rPr>
        <w:t>完成</w:t>
      </w:r>
      <w:r>
        <w:rPr>
          <w:rFonts w:hint="eastAsia" w:ascii="宋体" w:hAnsi="宋体" w:eastAsia="宋体" w:cs="宋体"/>
          <w:i w:val="0"/>
          <w:iCs w:val="0"/>
          <w:caps w:val="0"/>
          <w:color w:val="auto"/>
          <w:spacing w:val="0"/>
          <w:sz w:val="21"/>
          <w:szCs w:val="21"/>
          <w:highlight w:val="none"/>
          <w:u w:val="single"/>
          <w:shd w:val="clear" w:color="auto" w:fill="FFFFFF"/>
          <w:lang w:val="en-US" w:eastAsia="zh-CN"/>
        </w:rPr>
        <w:t>主体工程（完成</w:t>
      </w:r>
      <w:r>
        <w:rPr>
          <w:rFonts w:hint="eastAsia" w:ascii="宋体" w:hAnsi="宋体" w:eastAsia="宋体" w:cs="宋体"/>
          <w:color w:val="auto"/>
          <w:szCs w:val="21"/>
          <w:highlight w:val="none"/>
          <w:u w:val="single"/>
          <w:lang w:val="en-US" w:eastAsia="zh-CN"/>
        </w:rPr>
        <w:t>所有</w:t>
      </w:r>
      <w:r>
        <w:rPr>
          <w:rFonts w:hint="eastAsia" w:ascii="宋体" w:hAnsi="宋体" w:eastAsia="宋体" w:cs="宋体"/>
          <w:color w:val="auto"/>
          <w:szCs w:val="21"/>
          <w:highlight w:val="none"/>
          <w:u w:val="single"/>
        </w:rPr>
        <w:t>工程量</w:t>
      </w:r>
      <w:r>
        <w:rPr>
          <w:rFonts w:hint="eastAsia" w:ascii="宋体" w:hAnsi="宋体" w:eastAsia="宋体" w:cs="宋体"/>
          <w:color w:val="auto"/>
          <w:szCs w:val="21"/>
          <w:highlight w:val="none"/>
          <w:u w:val="single"/>
          <w:lang w:val="en-US" w:eastAsia="zh-CN"/>
        </w:rPr>
        <w:t>时</w:t>
      </w:r>
      <w:r>
        <w:rPr>
          <w:rFonts w:hint="eastAsia" w:ascii="宋体" w:hAnsi="宋体" w:eastAsia="宋体" w:cs="宋体"/>
          <w:i w:val="0"/>
          <w:iCs w:val="0"/>
          <w:caps w:val="0"/>
          <w:color w:val="auto"/>
          <w:spacing w:val="0"/>
          <w:sz w:val="21"/>
          <w:szCs w:val="21"/>
          <w:highlight w:val="none"/>
          <w:u w:val="single"/>
          <w:shd w:val="clear" w:color="auto" w:fill="FFFFFF"/>
          <w:lang w:val="en-US" w:eastAsia="zh-CN"/>
        </w:rPr>
        <w:t>）可按合同价支付45%的工程款（</w:t>
      </w:r>
      <w:r>
        <w:rPr>
          <w:rFonts w:hint="eastAsia" w:ascii="宋体" w:hAnsi="宋体" w:eastAsia="宋体" w:cs="宋体"/>
          <w:color w:val="auto"/>
          <w:sz w:val="21"/>
          <w:szCs w:val="21"/>
          <w:highlight w:val="none"/>
          <w:u w:val="single"/>
        </w:rPr>
        <w:t>扣除绿色施工安全防护费</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暂列金</w:t>
      </w:r>
      <w:r>
        <w:rPr>
          <w:rFonts w:hint="eastAsia" w:ascii="宋体" w:hAnsi="宋体" w:eastAsia="宋体" w:cs="宋体"/>
          <w:color w:val="auto"/>
          <w:sz w:val="21"/>
          <w:szCs w:val="21"/>
          <w:highlight w:val="none"/>
          <w:u w:val="single"/>
          <w:lang w:eastAsia="zh-CN"/>
        </w:rPr>
        <w:t>、</w:t>
      </w:r>
      <w:r>
        <w:rPr>
          <w:rFonts w:hint="eastAsia" w:ascii="宋体" w:hAnsi="宋体" w:eastAsia="宋体" w:cs="宋体"/>
          <w:i w:val="0"/>
          <w:iCs w:val="0"/>
          <w:caps w:val="0"/>
          <w:color w:val="auto"/>
          <w:spacing w:val="0"/>
          <w:sz w:val="21"/>
          <w:szCs w:val="21"/>
          <w:highlight w:val="none"/>
          <w:u w:val="single"/>
          <w:shd w:val="clear" w:color="auto" w:fill="FFFFFF"/>
          <w:lang w:val="en-US" w:eastAsia="zh-CN"/>
        </w:rPr>
        <w:t>扣回预付款的5%），累计支付至合同价的85%；并需</w:t>
      </w:r>
      <w:r>
        <w:rPr>
          <w:rFonts w:hint="eastAsia" w:ascii="宋体" w:hAnsi="宋体" w:eastAsia="宋体" w:cs="宋体"/>
          <w:color w:val="auto"/>
          <w:szCs w:val="21"/>
          <w:highlight w:val="none"/>
          <w:u w:val="single"/>
        </w:rPr>
        <w:t>提交付款申请及相应的支持性证明文件，经监理工程师核查后出具经发包人签认的进度付款证书。发包人在签发进度付款证书并收到等额增值税专用发票后</w:t>
      </w:r>
      <w:permStart w:id="64" w:edGrp="everyone"/>
      <w:r>
        <w:rPr>
          <w:rFonts w:hint="eastAsia" w:ascii="宋体" w:hAnsi="宋体" w:eastAsia="宋体" w:cs="宋体"/>
          <w:color w:val="auto"/>
          <w:szCs w:val="21"/>
          <w:highlight w:val="none"/>
          <w:u w:val="single"/>
        </w:rPr>
        <w:t xml:space="preserve"> [可选项] 45 日</w:t>
      </w:r>
      <w:permEnd w:id="64"/>
      <w:r>
        <w:rPr>
          <w:rFonts w:hint="eastAsia" w:ascii="宋体" w:hAnsi="宋体" w:eastAsia="宋体" w:cs="宋体"/>
          <w:color w:val="auto"/>
          <w:szCs w:val="21"/>
          <w:highlight w:val="none"/>
          <w:u w:val="single"/>
        </w:rPr>
        <w:t>内将进度款支付给承包</w:t>
      </w:r>
      <w:r>
        <w:rPr>
          <w:rFonts w:hint="eastAsia" w:ascii="宋体" w:hAnsi="宋体" w:eastAsia="宋体" w:cs="宋体"/>
          <w:color w:val="auto"/>
          <w:szCs w:val="21"/>
          <w:highlight w:val="none"/>
          <w:u w:val="single"/>
          <w:lang w:eastAsia="zh-CN"/>
        </w:rPr>
        <w:t>。</w:t>
      </w:r>
    </w:p>
    <w:p>
      <w:pPr>
        <w:pStyle w:val="17"/>
        <w:spacing w:after="0"/>
        <w:ind w:left="0" w:leftChars="0" w:firstLine="420" w:firstLineChars="200"/>
        <w:rPr>
          <w:rFonts w:hint="eastAsia" w:ascii="宋体" w:hAnsi="宋体" w:eastAsia="宋体" w:cs="宋体"/>
          <w:color w:val="auto"/>
          <w:szCs w:val="21"/>
          <w:highlight w:val="none"/>
          <w:u w:val="single"/>
        </w:rPr>
      </w:pPr>
      <w:r>
        <w:rPr>
          <w:rFonts w:hint="eastAsia" w:ascii="宋体" w:hAnsi="宋体"/>
          <w:color w:val="auto"/>
          <w:szCs w:val="21"/>
          <w:highlight w:val="none"/>
          <w:lang w:val="en-US" w:eastAsia="zh-CN"/>
        </w:rPr>
        <w:t>2.3、</w:t>
      </w:r>
      <w:r>
        <w:rPr>
          <w:rFonts w:hint="eastAsia" w:ascii="宋体" w:hAnsi="宋体"/>
          <w:b/>
          <w:bCs/>
          <w:color w:val="auto"/>
          <w:szCs w:val="21"/>
          <w:highlight w:val="none"/>
          <w:lang w:val="en-US" w:eastAsia="zh-CN"/>
        </w:rPr>
        <w:t>第四期：</w:t>
      </w:r>
      <w:r>
        <w:rPr>
          <w:rFonts w:hint="eastAsia" w:ascii="宋体" w:hAnsi="宋体" w:eastAsia="宋体" w:cs="宋体"/>
          <w:color w:val="auto"/>
          <w:szCs w:val="21"/>
          <w:highlight w:val="none"/>
          <w:u w:val="single"/>
          <w:lang w:val="en-US" w:eastAsia="zh-CN"/>
        </w:rPr>
        <w:t>工程完成竣工验收后，</w:t>
      </w:r>
      <w:r>
        <w:rPr>
          <w:rFonts w:hint="eastAsia" w:ascii="宋体" w:hAnsi="宋体" w:eastAsia="宋体" w:cs="宋体"/>
          <w:color w:val="auto"/>
          <w:szCs w:val="21"/>
          <w:highlight w:val="none"/>
          <w:u w:val="single"/>
        </w:rPr>
        <w:t>承包人</w:t>
      </w:r>
      <w:r>
        <w:rPr>
          <w:rFonts w:hint="eastAsia" w:ascii="宋体" w:hAnsi="宋体" w:eastAsia="宋体" w:cs="宋体"/>
          <w:color w:val="auto"/>
          <w:szCs w:val="21"/>
          <w:highlight w:val="none"/>
          <w:u w:val="single"/>
          <w:lang w:val="en-US" w:eastAsia="zh-CN"/>
        </w:rPr>
        <w:t>可按</w:t>
      </w:r>
      <w:r>
        <w:rPr>
          <w:rFonts w:hint="eastAsia" w:ascii="宋体" w:hAnsi="宋体" w:eastAsia="宋体" w:cs="宋体"/>
          <w:color w:val="auto"/>
          <w:szCs w:val="21"/>
          <w:highlight w:val="none"/>
          <w:u w:val="single"/>
        </w:rPr>
        <w:t>合同</w:t>
      </w:r>
      <w:r>
        <w:rPr>
          <w:rFonts w:hint="eastAsia" w:ascii="宋体" w:hAnsi="宋体" w:eastAsia="宋体" w:cs="宋体"/>
          <w:color w:val="auto"/>
          <w:szCs w:val="21"/>
          <w:highlight w:val="none"/>
          <w:u w:val="single"/>
          <w:lang w:val="en-US" w:eastAsia="zh-CN"/>
        </w:rPr>
        <w:t>价支付</w:t>
      </w:r>
      <w:r>
        <w:rPr>
          <w:rFonts w:hint="eastAsia" w:ascii="宋体" w:hAnsi="宋体" w:eastAsia="宋体" w:cs="宋体"/>
          <w:i w:val="0"/>
          <w:iCs w:val="0"/>
          <w:caps w:val="0"/>
          <w:color w:val="auto"/>
          <w:spacing w:val="0"/>
          <w:sz w:val="21"/>
          <w:szCs w:val="21"/>
          <w:highlight w:val="none"/>
          <w:u w:val="single"/>
          <w:shd w:val="clear" w:color="auto" w:fill="FFFFFF"/>
          <w:lang w:val="en-US" w:eastAsia="zh-CN"/>
        </w:rPr>
        <w:t>5%的工程款（</w:t>
      </w:r>
      <w:r>
        <w:rPr>
          <w:rFonts w:hint="eastAsia" w:ascii="宋体" w:hAnsi="宋体" w:eastAsia="宋体" w:cs="宋体"/>
          <w:color w:val="auto"/>
          <w:sz w:val="21"/>
          <w:szCs w:val="21"/>
          <w:highlight w:val="none"/>
          <w:u w:val="single"/>
        </w:rPr>
        <w:t>扣除绿色施工安全防护费</w:t>
      </w:r>
      <w:r>
        <w:rPr>
          <w:rFonts w:hint="eastAsia" w:ascii="宋体" w:hAnsi="宋体" w:eastAsia="宋体" w:cs="宋体"/>
          <w:color w:val="auto"/>
          <w:sz w:val="21"/>
          <w:szCs w:val="21"/>
          <w:highlight w:val="none"/>
          <w:u w:val="single"/>
          <w:lang w:val="en-US" w:eastAsia="zh-CN"/>
        </w:rPr>
        <w:t>和</w:t>
      </w:r>
      <w:r>
        <w:rPr>
          <w:rFonts w:hint="eastAsia" w:ascii="宋体" w:hAnsi="宋体" w:eastAsia="宋体" w:cs="宋体"/>
          <w:color w:val="auto"/>
          <w:sz w:val="21"/>
          <w:szCs w:val="21"/>
          <w:highlight w:val="none"/>
          <w:u w:val="single"/>
        </w:rPr>
        <w:t>暂列金</w:t>
      </w:r>
      <w:r>
        <w:rPr>
          <w:rFonts w:hint="eastAsia" w:ascii="宋体" w:hAnsi="宋体" w:eastAsia="宋体" w:cs="宋体"/>
          <w:color w:val="auto"/>
          <w:sz w:val="21"/>
          <w:szCs w:val="21"/>
          <w:highlight w:val="none"/>
          <w:u w:val="single"/>
          <w:lang w:eastAsia="zh-CN"/>
        </w:rPr>
        <w:t>）</w:t>
      </w:r>
      <w:r>
        <w:rPr>
          <w:rFonts w:hint="eastAsia" w:ascii="宋体" w:hAnsi="宋体" w:eastAsia="宋体" w:cs="宋体"/>
          <w:i w:val="0"/>
          <w:iCs w:val="0"/>
          <w:caps w:val="0"/>
          <w:color w:val="auto"/>
          <w:spacing w:val="0"/>
          <w:sz w:val="21"/>
          <w:szCs w:val="21"/>
          <w:highlight w:val="none"/>
          <w:u w:val="single"/>
          <w:shd w:val="clear" w:color="auto" w:fill="FFFFFF"/>
          <w:lang w:val="en-US" w:eastAsia="zh-CN"/>
        </w:rPr>
        <w:t>，累计支付至合同价90%；并需</w:t>
      </w:r>
      <w:r>
        <w:rPr>
          <w:rFonts w:hint="eastAsia" w:ascii="宋体" w:hAnsi="宋体" w:eastAsia="宋体" w:cs="宋体"/>
          <w:color w:val="auto"/>
          <w:szCs w:val="21"/>
          <w:highlight w:val="none"/>
          <w:u w:val="single"/>
        </w:rPr>
        <w:t>提交付款申请及相应的支持性证明文件，经监理工程师核查后出具经发包人签认的进度付款证书。发包人在签发进度付款证书并收到等额增值税专用发票后</w:t>
      </w:r>
      <w:permStart w:id="65" w:edGrp="everyone"/>
      <w:r>
        <w:rPr>
          <w:rFonts w:hint="eastAsia" w:ascii="宋体" w:hAnsi="宋体" w:eastAsia="宋体" w:cs="宋体"/>
          <w:color w:val="auto"/>
          <w:szCs w:val="21"/>
          <w:highlight w:val="none"/>
          <w:u w:val="single"/>
        </w:rPr>
        <w:t xml:space="preserve"> [可选项] 45 日</w:t>
      </w:r>
      <w:permEnd w:id="65"/>
      <w:r>
        <w:rPr>
          <w:rFonts w:hint="eastAsia" w:ascii="宋体" w:hAnsi="宋体" w:eastAsia="宋体" w:cs="宋体"/>
          <w:color w:val="auto"/>
          <w:szCs w:val="21"/>
          <w:highlight w:val="none"/>
          <w:u w:val="single"/>
        </w:rPr>
        <w:t>内将进度款支付给承包。</w:t>
      </w:r>
    </w:p>
    <w:p>
      <w:pPr>
        <w:pStyle w:val="17"/>
        <w:spacing w:after="0"/>
        <w:ind w:left="0" w:leftChars="0" w:firstLine="420" w:firstLineChars="200"/>
        <w:rPr>
          <w:rFonts w:hint="eastAsia" w:ascii="宋体" w:hAnsi="宋体" w:eastAsia="宋体" w:cs="宋体"/>
          <w:color w:val="auto"/>
          <w:szCs w:val="21"/>
          <w:highlight w:val="none"/>
          <w:u w:val="single"/>
        </w:rPr>
      </w:pPr>
      <w:r>
        <w:rPr>
          <w:rFonts w:hint="eastAsia" w:ascii="宋体" w:hAnsi="宋体"/>
          <w:color w:val="auto"/>
          <w:szCs w:val="21"/>
          <w:highlight w:val="none"/>
          <w:lang w:val="en-US" w:eastAsia="zh-CN"/>
        </w:rPr>
        <w:t>2.4、</w:t>
      </w:r>
      <w:r>
        <w:rPr>
          <w:rFonts w:hint="eastAsia" w:ascii="宋体" w:hAnsi="宋体"/>
          <w:b/>
          <w:bCs/>
          <w:color w:val="auto"/>
          <w:szCs w:val="21"/>
          <w:highlight w:val="none"/>
          <w:lang w:val="en-US" w:eastAsia="zh-CN"/>
        </w:rPr>
        <w:t>第五期：</w:t>
      </w:r>
      <w:r>
        <w:rPr>
          <w:rFonts w:hint="eastAsia" w:ascii="宋体" w:hAnsi="宋体" w:eastAsia="宋体" w:cs="宋体"/>
          <w:i w:val="0"/>
          <w:iCs w:val="0"/>
          <w:caps w:val="0"/>
          <w:color w:val="auto"/>
          <w:spacing w:val="0"/>
          <w:sz w:val="21"/>
          <w:szCs w:val="21"/>
          <w:highlight w:val="none"/>
          <w:u w:val="single"/>
          <w:shd w:val="clear" w:color="auto" w:fill="FFFFFF"/>
          <w:lang w:val="en-US" w:eastAsia="zh-CN"/>
        </w:rPr>
        <w:t>工程完成结算后支付7%的工程款（累计支付至合同结算价的97%）。并需</w:t>
      </w:r>
      <w:r>
        <w:rPr>
          <w:rFonts w:hint="eastAsia" w:ascii="宋体" w:hAnsi="宋体" w:eastAsia="宋体" w:cs="宋体"/>
          <w:color w:val="auto"/>
          <w:szCs w:val="21"/>
          <w:highlight w:val="none"/>
          <w:u w:val="single"/>
        </w:rPr>
        <w:t>提交付款申请及相应的支持性证明文件，经监理工程师</w:t>
      </w:r>
      <w:r>
        <w:rPr>
          <w:rFonts w:hint="eastAsia" w:ascii="宋体" w:hAnsi="宋体" w:eastAsia="宋体" w:cs="宋体"/>
          <w:color w:val="auto"/>
          <w:szCs w:val="21"/>
          <w:highlight w:val="none"/>
          <w:u w:val="single"/>
          <w:lang w:eastAsia="zh-CN"/>
        </w:rPr>
        <w:t>、</w:t>
      </w:r>
      <w:r>
        <w:rPr>
          <w:rFonts w:hint="eastAsia" w:ascii="宋体" w:hAnsi="宋体" w:eastAsia="宋体" w:cs="宋体"/>
          <w:i w:val="0"/>
          <w:iCs w:val="0"/>
          <w:caps w:val="0"/>
          <w:color w:val="auto"/>
          <w:spacing w:val="0"/>
          <w:sz w:val="21"/>
          <w:szCs w:val="21"/>
          <w:highlight w:val="none"/>
          <w:u w:val="single"/>
          <w:shd w:val="clear" w:color="auto" w:fill="FFFFFF"/>
          <w:lang w:val="en-US" w:eastAsia="zh-CN"/>
        </w:rPr>
        <w:t>造价咨询工程师</w:t>
      </w:r>
      <w:r>
        <w:rPr>
          <w:rFonts w:hint="eastAsia" w:ascii="宋体" w:hAnsi="宋体" w:eastAsia="宋体" w:cs="宋体"/>
          <w:color w:val="auto"/>
          <w:szCs w:val="21"/>
          <w:highlight w:val="none"/>
          <w:u w:val="single"/>
        </w:rPr>
        <w:t>核查后出具经发包人签认的</w:t>
      </w:r>
      <w:r>
        <w:rPr>
          <w:rFonts w:hint="eastAsia" w:ascii="宋体" w:hAnsi="宋体" w:eastAsia="宋体" w:cs="宋体"/>
          <w:color w:val="auto"/>
          <w:szCs w:val="21"/>
          <w:highlight w:val="none"/>
          <w:u w:val="single"/>
          <w:lang w:val="en-US" w:eastAsia="zh-CN"/>
        </w:rPr>
        <w:t>结算</w:t>
      </w:r>
      <w:r>
        <w:rPr>
          <w:rFonts w:hint="eastAsia" w:ascii="宋体" w:hAnsi="宋体" w:eastAsia="宋体" w:cs="宋体"/>
          <w:color w:val="auto"/>
          <w:szCs w:val="21"/>
          <w:highlight w:val="none"/>
          <w:u w:val="single"/>
        </w:rPr>
        <w:t>付款证书。发包人在签发</w:t>
      </w:r>
      <w:r>
        <w:rPr>
          <w:rFonts w:hint="eastAsia" w:ascii="宋体" w:hAnsi="宋体" w:eastAsia="宋体" w:cs="宋体"/>
          <w:color w:val="auto"/>
          <w:szCs w:val="21"/>
          <w:highlight w:val="none"/>
          <w:u w:val="single"/>
          <w:lang w:val="en-US" w:eastAsia="zh-CN"/>
        </w:rPr>
        <w:t>结算</w:t>
      </w:r>
      <w:r>
        <w:rPr>
          <w:rFonts w:hint="eastAsia" w:ascii="宋体" w:hAnsi="宋体" w:eastAsia="宋体" w:cs="宋体"/>
          <w:color w:val="auto"/>
          <w:szCs w:val="21"/>
          <w:highlight w:val="none"/>
          <w:u w:val="single"/>
        </w:rPr>
        <w:t>付款证书并收到等额增值税专用发票后</w:t>
      </w:r>
      <w:permStart w:id="66" w:edGrp="everyone"/>
      <w:r>
        <w:rPr>
          <w:rFonts w:hint="eastAsia" w:ascii="宋体" w:hAnsi="宋体" w:eastAsia="宋体" w:cs="宋体"/>
          <w:color w:val="auto"/>
          <w:szCs w:val="21"/>
          <w:highlight w:val="none"/>
          <w:u w:val="single"/>
        </w:rPr>
        <w:t xml:space="preserve"> [可选项] 45 日</w:t>
      </w:r>
      <w:permEnd w:id="66"/>
      <w:r>
        <w:rPr>
          <w:rFonts w:hint="eastAsia" w:ascii="宋体" w:hAnsi="宋体" w:eastAsia="宋体" w:cs="宋体"/>
          <w:color w:val="auto"/>
          <w:szCs w:val="21"/>
          <w:highlight w:val="none"/>
          <w:u w:val="single"/>
        </w:rPr>
        <w:t>内将进度款支付给承包。</w:t>
      </w:r>
    </w:p>
    <w:p>
      <w:pPr>
        <w:pStyle w:val="17"/>
        <w:spacing w:after="0"/>
        <w:ind w:left="0" w:leftChars="0" w:firstLine="420" w:firstLineChars="200"/>
        <w:rPr>
          <w:rFonts w:hint="eastAsia"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i w:val="0"/>
          <w:iCs w:val="0"/>
          <w:caps w:val="0"/>
          <w:color w:val="auto"/>
          <w:spacing w:val="0"/>
          <w:sz w:val="21"/>
          <w:szCs w:val="21"/>
          <w:highlight w:val="none"/>
          <w:shd w:val="clear" w:color="auto" w:fill="FFFFFF"/>
          <w:lang w:val="en-US" w:eastAsia="zh-CN"/>
        </w:rPr>
        <w:t>2.5、</w:t>
      </w:r>
      <w:r>
        <w:rPr>
          <w:rFonts w:hint="eastAsia" w:ascii="宋体" w:hAnsi="宋体" w:eastAsia="宋体" w:cs="宋体"/>
          <w:b/>
          <w:bCs/>
          <w:i w:val="0"/>
          <w:iCs w:val="0"/>
          <w:caps w:val="0"/>
          <w:color w:val="auto"/>
          <w:spacing w:val="0"/>
          <w:sz w:val="21"/>
          <w:szCs w:val="21"/>
          <w:highlight w:val="none"/>
          <w:shd w:val="clear" w:color="auto" w:fill="FFFFFF"/>
          <w:lang w:val="en-US" w:eastAsia="zh-CN"/>
        </w:rPr>
        <w:t>第六期</w:t>
      </w:r>
      <w:r>
        <w:rPr>
          <w:rFonts w:hint="eastAsia" w:ascii="宋体" w:hAnsi="宋体" w:eastAsia="宋体" w:cs="宋体"/>
          <w:i w:val="0"/>
          <w:iCs w:val="0"/>
          <w:caps w:val="0"/>
          <w:color w:val="auto"/>
          <w:spacing w:val="0"/>
          <w:sz w:val="21"/>
          <w:szCs w:val="21"/>
          <w:highlight w:val="none"/>
          <w:shd w:val="clear" w:color="auto" w:fill="FFFFFF"/>
          <w:lang w:val="en-US" w:eastAsia="zh-CN"/>
        </w:rPr>
        <w:t>：</w:t>
      </w:r>
      <w:r>
        <w:rPr>
          <w:rFonts w:hint="eastAsia" w:ascii="宋体" w:hAnsi="宋体" w:eastAsia="宋体" w:cs="宋体"/>
          <w:i w:val="0"/>
          <w:iCs w:val="0"/>
          <w:caps w:val="0"/>
          <w:color w:val="auto"/>
          <w:spacing w:val="0"/>
          <w:sz w:val="21"/>
          <w:szCs w:val="21"/>
          <w:highlight w:val="none"/>
          <w:u w:val="single"/>
          <w:shd w:val="clear" w:color="auto" w:fill="FFFFFF"/>
          <w:lang w:val="en-US" w:eastAsia="zh-CN"/>
        </w:rPr>
        <w:t>工程项目质保金（质保期届满后）支付3%的工程款（累计支付至合同结算价的100%）</w:t>
      </w:r>
      <w:r>
        <w:rPr>
          <w:rFonts w:hint="eastAsia" w:ascii="宋体" w:hAnsi="宋体" w:cs="宋体"/>
          <w:i w:val="0"/>
          <w:iCs w:val="0"/>
          <w:caps w:val="0"/>
          <w:color w:val="auto"/>
          <w:spacing w:val="0"/>
          <w:sz w:val="21"/>
          <w:szCs w:val="21"/>
          <w:highlight w:val="none"/>
          <w:u w:val="single"/>
          <w:shd w:val="clear" w:color="auto" w:fill="FFFFFF"/>
          <w:lang w:val="en-US" w:eastAsia="zh-CN"/>
        </w:rPr>
        <w:t>，</w:t>
      </w:r>
      <w:r>
        <w:rPr>
          <w:rFonts w:hint="eastAsia" w:ascii="宋体" w:hAnsi="宋体" w:eastAsia="宋体" w:cs="宋体"/>
          <w:i w:val="0"/>
          <w:iCs w:val="0"/>
          <w:caps w:val="0"/>
          <w:color w:val="auto"/>
          <w:spacing w:val="0"/>
          <w:sz w:val="21"/>
          <w:szCs w:val="21"/>
          <w:highlight w:val="none"/>
          <w:u w:val="single"/>
          <w:shd w:val="clear" w:color="auto" w:fill="FFFFFF"/>
          <w:lang w:val="en-US" w:eastAsia="zh-CN"/>
        </w:rPr>
        <w:t>并需</w:t>
      </w:r>
      <w:r>
        <w:rPr>
          <w:rFonts w:hint="eastAsia" w:ascii="宋体" w:hAnsi="宋体" w:eastAsia="宋体" w:cs="宋体"/>
          <w:color w:val="auto"/>
          <w:szCs w:val="21"/>
          <w:highlight w:val="none"/>
          <w:u w:val="single"/>
        </w:rPr>
        <w:t>提交付款申请及相应的支持性证明文件</w:t>
      </w:r>
      <w:r>
        <w:rPr>
          <w:rFonts w:hint="eastAsia" w:ascii="宋体" w:hAnsi="宋体" w:cs="宋体"/>
          <w:color w:val="auto"/>
          <w:szCs w:val="21"/>
          <w:highlight w:val="none"/>
          <w:u w:val="single"/>
          <w:lang w:eastAsia="zh-CN"/>
        </w:rPr>
        <w:t>。</w:t>
      </w:r>
    </w:p>
    <w:p>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lang w:val="en-US" w:eastAsia="zh-CN"/>
        </w:rPr>
      </w:pP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lang w:val="en-US" w:eastAsia="zh-CN"/>
        </w:rPr>
        <w:t>工程</w:t>
      </w:r>
      <w:r>
        <w:rPr>
          <w:rFonts w:hint="eastAsia" w:ascii="宋体" w:hAnsi="宋体" w:eastAsia="宋体" w:cs="宋体"/>
          <w:i w:val="0"/>
          <w:iCs w:val="0"/>
          <w:caps w:val="0"/>
          <w:color w:val="auto"/>
          <w:spacing w:val="0"/>
          <w:sz w:val="21"/>
          <w:szCs w:val="21"/>
          <w:highlight w:val="none"/>
          <w:shd w:val="clear" w:color="auto" w:fill="FFFFFF"/>
          <w:lang w:val="en-US" w:eastAsia="zh-CN"/>
        </w:rPr>
        <w:t>绿色施工安全防护费支付：</w:t>
      </w:r>
    </w:p>
    <w:p>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color w:val="auto"/>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FFFFFF"/>
          <w:lang w:val="en-US" w:eastAsia="zh-CN"/>
        </w:rPr>
        <w:t>绿色施工安全防护费的确定：每期</w:t>
      </w:r>
      <w:r>
        <w:rPr>
          <w:rFonts w:hint="eastAsia" w:ascii="宋体" w:hAnsi="宋体" w:cs="宋体"/>
          <w:i w:val="0"/>
          <w:iCs w:val="0"/>
          <w:caps w:val="0"/>
          <w:color w:val="auto"/>
          <w:spacing w:val="0"/>
          <w:sz w:val="21"/>
          <w:szCs w:val="21"/>
          <w:highlight w:val="none"/>
          <w:shd w:val="clear" w:color="auto" w:fill="FFFFFF"/>
          <w:lang w:val="en-US" w:eastAsia="zh-CN"/>
        </w:rPr>
        <w:t>工程</w:t>
      </w:r>
      <w:r>
        <w:rPr>
          <w:rFonts w:hint="eastAsia" w:ascii="宋体" w:hAnsi="宋体" w:eastAsia="宋体" w:cs="宋体"/>
          <w:i w:val="0"/>
          <w:iCs w:val="0"/>
          <w:caps w:val="0"/>
          <w:color w:val="auto"/>
          <w:spacing w:val="0"/>
          <w:sz w:val="21"/>
          <w:szCs w:val="21"/>
          <w:highlight w:val="none"/>
          <w:shd w:val="clear" w:color="auto" w:fill="FFFFFF"/>
          <w:lang w:val="en-US" w:eastAsia="zh-CN"/>
        </w:rPr>
        <w:t>款项由监理人与造价咨询人审核后报发包人审核后支付，具体如下：</w:t>
      </w:r>
    </w:p>
    <w:p>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i w:val="0"/>
          <w:iCs w:val="0"/>
          <w:caps w:val="0"/>
          <w:color w:val="auto"/>
          <w:spacing w:val="0"/>
          <w:sz w:val="21"/>
          <w:szCs w:val="21"/>
          <w:highlight w:val="none"/>
          <w:u w:val="single"/>
          <w:shd w:val="clear" w:color="auto" w:fill="FFFFFF"/>
          <w:lang w:val="en-US" w:eastAsia="zh-CN"/>
        </w:rPr>
      </w:pPr>
      <w:r>
        <w:rPr>
          <w:rFonts w:hint="eastAsia" w:ascii="宋体" w:hAnsi="宋体" w:eastAsia="宋体" w:cs="宋体"/>
          <w:i w:val="0"/>
          <w:iCs w:val="0"/>
          <w:caps w:val="0"/>
          <w:color w:val="auto"/>
          <w:spacing w:val="0"/>
          <w:sz w:val="21"/>
          <w:szCs w:val="21"/>
          <w:highlight w:val="none"/>
          <w:shd w:val="clear" w:color="auto" w:fill="FFFFFF"/>
          <w:lang w:val="en-US" w:eastAsia="zh-CN"/>
        </w:rPr>
        <w:t>（1）</w:t>
      </w:r>
      <w:r>
        <w:rPr>
          <w:rFonts w:hint="eastAsia" w:ascii="宋体" w:hAnsi="宋体" w:eastAsia="宋体" w:cs="宋体"/>
          <w:b/>
          <w:bCs/>
          <w:i w:val="0"/>
          <w:iCs w:val="0"/>
          <w:caps w:val="0"/>
          <w:color w:val="auto"/>
          <w:spacing w:val="0"/>
          <w:sz w:val="21"/>
          <w:szCs w:val="21"/>
          <w:highlight w:val="none"/>
          <w:shd w:val="clear" w:color="auto" w:fill="FFFFFF"/>
          <w:lang w:val="en-US" w:eastAsia="zh-CN"/>
        </w:rPr>
        <w:t>第一期绿色施工安全防护费支付：</w:t>
      </w:r>
      <w:r>
        <w:rPr>
          <w:rFonts w:hint="eastAsia" w:ascii="宋体" w:hAnsi="宋体" w:eastAsia="宋体" w:cs="宋体"/>
          <w:i w:val="0"/>
          <w:iCs w:val="0"/>
          <w:caps w:val="0"/>
          <w:color w:val="auto"/>
          <w:spacing w:val="0"/>
          <w:sz w:val="21"/>
          <w:szCs w:val="21"/>
          <w:highlight w:val="none"/>
          <w:u w:val="single"/>
          <w:shd w:val="clear" w:color="auto" w:fill="FFFFFF"/>
          <w:lang w:val="en-US" w:eastAsia="zh-CN"/>
        </w:rPr>
        <w:t>发包人应在监理工程师、造价工程师签发支付证书后的7天内向承包人支付绿色施工安全防护费，并保证在工程开工后的15天内支付绿色施工安全防护费金额的50%。</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bCs/>
          <w:color w:val="auto"/>
          <w:sz w:val="21"/>
          <w:szCs w:val="21"/>
          <w:highlight w:val="none"/>
        </w:rPr>
        <w:t>第二期绿色施工安全防护费支付：</w:t>
      </w:r>
      <w:r>
        <w:rPr>
          <w:rFonts w:hint="eastAsia" w:ascii="宋体" w:hAnsi="宋体" w:eastAsia="宋体" w:cs="宋体"/>
          <w:color w:val="auto"/>
          <w:sz w:val="21"/>
          <w:szCs w:val="21"/>
          <w:highlight w:val="none"/>
          <w:u w:val="single"/>
        </w:rPr>
        <w:t>在承包人完成形象进度达到40%时，发包人应在造价工程师签发支付证书后的7天内向承包人支付绿色施工安全防护费的40%。</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w:t>
      </w:r>
      <w:r>
        <w:rPr>
          <w:rFonts w:hint="eastAsia" w:ascii="宋体" w:hAnsi="宋体" w:eastAsia="宋体" w:cs="宋体"/>
          <w:b/>
          <w:bCs/>
          <w:color w:val="auto"/>
          <w:sz w:val="21"/>
          <w:szCs w:val="21"/>
          <w:highlight w:val="none"/>
        </w:rPr>
        <w:t>第三期绿色施工安全防护费支付：</w:t>
      </w:r>
      <w:r>
        <w:rPr>
          <w:rFonts w:hint="eastAsia" w:ascii="宋体" w:hAnsi="宋体" w:eastAsia="宋体" w:cs="宋体"/>
          <w:color w:val="auto"/>
          <w:sz w:val="21"/>
          <w:szCs w:val="21"/>
          <w:highlight w:val="none"/>
          <w:u w:val="single"/>
        </w:rPr>
        <w:t>完成形象进度达到100%时，发包人应在造价工程师签发支付证书后的7天内向承包人支付绿色施工安全防护费的10%。</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、月度结算，承包人应在</w:t>
      </w:r>
      <w:permStart w:id="67" w:edGrp="everyone"/>
      <w:r>
        <w:rPr>
          <w:rFonts w:hint="eastAsia" w:ascii="宋体" w:hAnsi="宋体"/>
          <w:color w:val="auto"/>
          <w:szCs w:val="21"/>
          <w:highlight w:val="none"/>
        </w:rPr>
        <w:t>每月[可选项]</w:t>
      </w:r>
      <w:r>
        <w:rPr>
          <w:rFonts w:hint="eastAsia" w:ascii="宋体" w:hAnsi="宋体"/>
          <w:color w:val="auto"/>
          <w:szCs w:val="21"/>
          <w:highlight w:val="none"/>
          <w:u w:val="single"/>
        </w:rPr>
        <w:t xml:space="preserve">    </w:t>
      </w:r>
      <w:r>
        <w:rPr>
          <w:rFonts w:hint="eastAsia" w:ascii="宋体" w:hAnsi="宋体"/>
          <w:color w:val="auto"/>
          <w:szCs w:val="21"/>
          <w:highlight w:val="none"/>
        </w:rPr>
        <w:t>日</w:t>
      </w:r>
      <w:permEnd w:id="67"/>
      <w:r>
        <w:rPr>
          <w:rFonts w:hint="eastAsia" w:ascii="宋体" w:hAnsi="宋体"/>
          <w:color w:val="auto"/>
          <w:szCs w:val="21"/>
          <w:highlight w:val="none"/>
        </w:rPr>
        <w:t>前提交上一月度已完工程量及相应的支持性证明文件及结算付款申请，经监理工程师核查后出具经发包人签认的进度付款证书。发包人在签发进度付款证书，并收到等额增值税专用发票后</w:t>
      </w:r>
      <w:permStart w:id="68" w:edGrp="everyone"/>
      <w:r>
        <w:rPr>
          <w:rFonts w:hint="eastAsia" w:ascii="宋体" w:hAnsi="宋体"/>
          <w:color w:val="auto"/>
          <w:szCs w:val="21"/>
          <w:highlight w:val="none"/>
          <w:u w:val="single"/>
        </w:rPr>
        <w:t>45</w:t>
      </w:r>
      <w:r>
        <w:rPr>
          <w:rFonts w:hint="eastAsia" w:ascii="宋体" w:hAnsi="宋体"/>
          <w:color w:val="auto"/>
          <w:szCs w:val="21"/>
          <w:highlight w:val="none"/>
        </w:rPr>
        <w:t>日</w:t>
      </w:r>
      <w:permEnd w:id="68"/>
      <w:r>
        <w:rPr>
          <w:rFonts w:hint="eastAsia" w:ascii="宋体" w:hAnsi="宋体"/>
          <w:color w:val="auto"/>
          <w:szCs w:val="21"/>
          <w:highlight w:val="none"/>
        </w:rPr>
        <w:t>内将进度款支付给承包人。</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 </w:t>
      </w:r>
      <w:r>
        <w:rPr>
          <w:rFonts w:hint="eastAsia" w:ascii="宋体" w:hAnsi="宋体"/>
          <w:color w:val="auto"/>
          <w:szCs w:val="21"/>
          <w:highlight w:val="none"/>
        </w:rPr>
        <w:tab/>
      </w:r>
      <w:r>
        <w:rPr>
          <w:rFonts w:hint="eastAsia" w:ascii="宋体" w:hAnsi="宋体"/>
          <w:color w:val="auto"/>
          <w:szCs w:val="21"/>
          <w:highlight w:val="none"/>
        </w:rPr>
        <w:t>质量保证金的支付</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.1 质量保证金预留</w:t>
      </w:r>
    </w:p>
    <w:p>
      <w:pPr>
        <w:outlineLvl w:val="2"/>
        <w:rPr>
          <w:rFonts w:hint="eastAsia" w:ascii="宋体" w:hAnsi="宋体"/>
          <w:color w:val="auto"/>
          <w:szCs w:val="21"/>
          <w:highlight w:val="none"/>
        </w:rPr>
      </w:pPr>
      <w:r>
        <w:rPr>
          <w:rFonts w:hint="eastAsia" w:ascii="宋体" w:hAnsi="宋体"/>
          <w:color w:val="auto"/>
          <w:szCs w:val="21"/>
          <w:highlight w:val="none"/>
        </w:rPr>
        <w:t>承包人在办理工程结算款支付申请的同时，提交金额为结算价3%的质量保证金担保（担保的形式包括银行提供的保函、央企财务公司提供的保函、保险公司提供的国家认可的具有法律效力的保险等，格式自定），保函应确保在工程缺陷责任期内有效，发包人审核无误后全额支付结算尾款。</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若承包人无法提交质量保证金保函，需在办理结算款支付申请的同时提交书面说明，发包人一次性扣留结算价</w:t>
      </w:r>
      <w:permStart w:id="69" w:edGrp="everyone"/>
      <w:r>
        <w:rPr>
          <w:rFonts w:hint="eastAsia" w:ascii="宋体" w:hAnsi="宋体"/>
          <w:color w:val="auto"/>
          <w:szCs w:val="21"/>
          <w:highlight w:val="none"/>
        </w:rPr>
        <w:t>3%</w:t>
      </w:r>
      <w:permEnd w:id="69"/>
      <w:r>
        <w:rPr>
          <w:rFonts w:hint="eastAsia" w:ascii="宋体" w:hAnsi="宋体"/>
          <w:color w:val="auto"/>
          <w:szCs w:val="21"/>
          <w:highlight w:val="none"/>
        </w:rPr>
        <w:t>的工程质量保证金，价款支付到结算价的</w:t>
      </w:r>
      <w:permStart w:id="70" w:edGrp="everyone"/>
      <w:r>
        <w:rPr>
          <w:rFonts w:hint="eastAsia" w:ascii="宋体" w:hAnsi="宋体"/>
          <w:color w:val="auto"/>
          <w:szCs w:val="21"/>
          <w:highlight w:val="none"/>
        </w:rPr>
        <w:t>97%。</w:t>
      </w:r>
      <w:permEnd w:id="70"/>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.2质量保证金退还</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（1）质量保证金保函预留方式：</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在缺陷责任期到期前，运行管理单位、档案管理部门未提出“不得退还工程质量保证”的书面文件，承包人按与保函开具方的约定办理相关保函核销手续。</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（2）质量保证金费用预留方式：</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发包人在缺陷责任期到期前1个月向承包人发出质量保证金退回通知；</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承包人在缺陷责任期到期时向发包人提交项目质量保证金支付申请，并附运行单位出具的质保期内无质量问题的证明（须运行单位盖章签字）；</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发包人接到承包人递交的质量保证金支付申请14天内完成核实，确认承包人已履行保修责任后，在核实后14天内将保证金返还承包人。</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发包人在接到承包人质量保证金支付申请后14天内不予答复，经承包人催告后14天内仍不予答复，视同认可承包人的质量保证金支付申请。</w:t>
      </w:r>
    </w:p>
    <w:p>
      <w:pPr>
        <w:pStyle w:val="17"/>
        <w:spacing w:after="0"/>
        <w:ind w:left="0" w:leftChars="0" w:firstLine="420" w:firstLineChars="200"/>
        <w:outlineLvl w:val="3"/>
        <w:rPr>
          <w:rFonts w:hint="eastAsia" w:ascii="宋体" w:hAnsi="宋体"/>
          <w:strike w:val="0"/>
          <w:dstrike w:val="0"/>
          <w:color w:val="auto"/>
          <w:szCs w:val="21"/>
          <w:highlight w:val="none"/>
        </w:rPr>
      </w:pPr>
      <w:r>
        <w:rPr>
          <w:rFonts w:hint="eastAsia" w:ascii="宋体" w:hAnsi="宋体"/>
          <w:strike w:val="0"/>
          <w:dstrike w:val="0"/>
          <w:color w:val="auto"/>
          <w:szCs w:val="21"/>
          <w:highlight w:val="none"/>
        </w:rPr>
        <w:t>1</w:t>
      </w:r>
      <w:r>
        <w:rPr>
          <w:rFonts w:hint="eastAsia" w:ascii="宋体" w:hAnsi="宋体"/>
          <w:strike w:val="0"/>
          <w:dstrike w:val="0"/>
          <w:color w:val="auto"/>
          <w:szCs w:val="21"/>
          <w:highlight w:val="none"/>
          <w:lang w:val="en-US" w:eastAsia="zh-CN"/>
        </w:rPr>
        <w:t>2</w:t>
      </w:r>
      <w:r>
        <w:rPr>
          <w:rFonts w:hint="eastAsia" w:ascii="宋体" w:hAnsi="宋体"/>
          <w:strike w:val="0"/>
          <w:dstrike w:val="0"/>
          <w:color w:val="auto"/>
          <w:szCs w:val="21"/>
          <w:highlight w:val="none"/>
        </w:rPr>
        <w:t>.</w:t>
      </w:r>
      <w:r>
        <w:rPr>
          <w:rFonts w:hint="eastAsia" w:ascii="宋体" w:hAnsi="宋体"/>
          <w:strike w:val="0"/>
          <w:dstrike w:val="0"/>
          <w:color w:val="auto"/>
          <w:szCs w:val="21"/>
          <w:highlight w:val="none"/>
          <w:lang w:val="en-US" w:eastAsia="zh-CN"/>
        </w:rPr>
        <w:t xml:space="preserve">5 </w:t>
      </w:r>
      <w:r>
        <w:rPr>
          <w:rFonts w:hint="eastAsia" w:ascii="宋体" w:hAnsi="宋体"/>
          <w:strike w:val="0"/>
          <w:dstrike w:val="0"/>
          <w:color w:val="auto"/>
          <w:szCs w:val="21"/>
          <w:highlight w:val="none"/>
        </w:rPr>
        <w:t>招标代理费：</w:t>
      </w:r>
      <w:permStart w:id="71" w:edGrp="everyone"/>
      <w:r>
        <w:rPr>
          <w:rFonts w:hint="eastAsia" w:hAnsi="宋体"/>
          <w:bCs/>
          <w:strike w:val="0"/>
          <w:dstrike w:val="0"/>
          <w:color w:val="auto"/>
          <w:highlight w:val="none"/>
          <w:u w:val="single"/>
        </w:rPr>
        <w:t>结算时以实际发生费用为准，按实结算。</w:t>
      </w:r>
      <w:permEnd w:id="71"/>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lang w:val="en-US" w:eastAsia="zh-CN"/>
        </w:rPr>
        <w:t>12</w:t>
      </w:r>
      <w:r>
        <w:rPr>
          <w:rFonts w:hint="eastAsia" w:ascii="宋体" w:hAnsi="宋体"/>
          <w:color w:val="auto"/>
          <w:szCs w:val="21"/>
          <w:highlight w:val="none"/>
        </w:rPr>
        <w:t>.</w:t>
      </w:r>
      <w:r>
        <w:rPr>
          <w:rFonts w:hint="eastAsia" w:ascii="宋体" w:hAnsi="宋体"/>
          <w:color w:val="auto"/>
          <w:szCs w:val="21"/>
          <w:highlight w:val="none"/>
          <w:lang w:val="en-US" w:eastAsia="zh-CN"/>
        </w:rPr>
        <w:t xml:space="preserve">6 </w:t>
      </w:r>
      <w:r>
        <w:rPr>
          <w:rFonts w:hint="eastAsia" w:ascii="宋体" w:hAnsi="宋体"/>
          <w:color w:val="auto"/>
          <w:szCs w:val="21"/>
          <w:highlight w:val="none"/>
        </w:rPr>
        <w:t>申请最终</w:t>
      </w:r>
      <w:r>
        <w:rPr>
          <w:rFonts w:ascii="宋体" w:hAnsi="宋体"/>
          <w:color w:val="auto"/>
          <w:szCs w:val="21"/>
          <w:highlight w:val="none"/>
        </w:rPr>
        <w:t>支付证书</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工程启动投产后</w:t>
      </w:r>
      <w:permStart w:id="72" w:edGrp="everyone"/>
      <w:r>
        <w:rPr>
          <w:rFonts w:hint="eastAsia" w:ascii="宋体" w:hAnsi="宋体"/>
          <w:color w:val="auto"/>
          <w:szCs w:val="21"/>
          <w:highlight w:val="none"/>
          <w:u w:val="single"/>
        </w:rPr>
        <w:t xml:space="preserve">  </w:t>
      </w:r>
      <w:permEnd w:id="72"/>
      <w:r>
        <w:rPr>
          <w:rFonts w:hint="eastAsia" w:ascii="宋体" w:hAnsi="宋体"/>
          <w:color w:val="auto"/>
          <w:szCs w:val="21"/>
          <w:highlight w:val="none"/>
        </w:rPr>
        <w:t>日内，承包人须提交工程结算书及完整相关结算依据资料报监理公司、发包人审核。</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发包人自收到工程结算书及完整相关结算依据资料后</w:t>
      </w:r>
      <w:permStart w:id="73" w:edGrp="everyone"/>
      <w:r>
        <w:rPr>
          <w:rFonts w:hint="eastAsia" w:ascii="宋体" w:hAnsi="宋体"/>
          <w:color w:val="auto"/>
          <w:szCs w:val="21"/>
          <w:highlight w:val="none"/>
          <w:u w:val="single"/>
        </w:rPr>
        <w:t>28日</w:t>
      </w:r>
      <w:permEnd w:id="73"/>
      <w:r>
        <w:rPr>
          <w:rFonts w:hint="eastAsia" w:ascii="宋体" w:hAnsi="宋体"/>
          <w:color w:val="auto"/>
          <w:szCs w:val="21"/>
          <w:highlight w:val="none"/>
        </w:rPr>
        <w:t>内进行核实，给予确认或提出修改意见。</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发包人在收到承包人的竣工付款申请单和适用税率的增值税专用发票后签发竣工付款证书。</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1、承包人超过规定时间未报送竣工结算资料的，发包人有权根据下述原则办理结算：</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（1）按中标价办理结算；</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（2）有核减依据时，按中标价扣减相应核减费用办理结算。</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（3）</w:t>
      </w:r>
      <w:permStart w:id="74" w:edGrp="everyone"/>
      <w:r>
        <w:rPr>
          <w:rFonts w:hint="eastAsia" w:ascii="宋体" w:hAnsi="宋体"/>
          <w:color w:val="auto"/>
          <w:szCs w:val="21"/>
          <w:highlight w:val="none"/>
          <w:u w:val="single"/>
        </w:rPr>
        <w:t>承包人由于自身</w:t>
      </w:r>
      <w:r>
        <w:rPr>
          <w:rFonts w:ascii="宋体" w:hAnsi="宋体"/>
          <w:color w:val="auto"/>
          <w:szCs w:val="21"/>
          <w:highlight w:val="none"/>
          <w:u w:val="single"/>
        </w:rPr>
        <w:t>的原因</w:t>
      </w:r>
      <w:r>
        <w:rPr>
          <w:rFonts w:hint="eastAsia" w:ascii="宋体" w:hAnsi="宋体"/>
          <w:color w:val="auto"/>
          <w:szCs w:val="21"/>
          <w:highlight w:val="none"/>
          <w:u w:val="single"/>
        </w:rPr>
        <w:t>超过约定的时间未报送竣工结算资料的，从逾期次日起，每日扣罚违约金1000元（承包人提供结算资料的同时需提供发包人工程管理部门签字盖章确认并注明签收日期的工程结算资料签收记录作为计算违约金的依据）。</w:t>
      </w:r>
      <w:permEnd w:id="74"/>
    </w:p>
    <w:p>
      <w:pPr>
        <w:pStyle w:val="17"/>
        <w:spacing w:after="0"/>
        <w:ind w:left="0" w:leftChars="0" w:firstLine="420" w:firstLineChars="200"/>
        <w:rPr>
          <w:rFonts w:hint="eastAsia" w:ascii="宋体" w:hAnsi="宋体"/>
          <w:color w:val="auto"/>
          <w:szCs w:val="21"/>
          <w:highlight w:val="none"/>
          <w:u w:val="single"/>
        </w:rPr>
      </w:pPr>
      <w:r>
        <w:rPr>
          <w:rFonts w:hint="eastAsia" w:ascii="宋体" w:hAnsi="宋体"/>
          <w:color w:val="auto"/>
          <w:szCs w:val="21"/>
          <w:highlight w:val="none"/>
        </w:rPr>
        <w:t>2、</w:t>
      </w:r>
      <w:r>
        <w:rPr>
          <w:rFonts w:hint="eastAsia" w:ascii="宋体" w:hAnsi="宋体"/>
          <w:color w:val="auto"/>
          <w:highlight w:val="none"/>
        </w:rPr>
        <w:t>承包人未提出增加费用，经审定需调增结算费用，此时产生的结算审核费用由承包人承担。</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、承包人由于自身</w:t>
      </w:r>
      <w:r>
        <w:rPr>
          <w:rFonts w:ascii="宋体" w:hAnsi="宋体"/>
          <w:color w:val="auto"/>
          <w:szCs w:val="21"/>
          <w:highlight w:val="none"/>
        </w:rPr>
        <w:t>的原因</w:t>
      </w:r>
      <w:r>
        <w:rPr>
          <w:rFonts w:hint="eastAsia" w:ascii="宋体" w:hAnsi="宋体"/>
          <w:color w:val="auto"/>
          <w:szCs w:val="21"/>
          <w:highlight w:val="none"/>
        </w:rPr>
        <w:t>未能及时、准确、完整地在工程管理系统中录入数据并经书面警告的，工程竣工结算时，最高扣减结算价款10万元。</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、在内外部审计过程中，承包人应积极配合，当审计中发现并经发包人确认结算中存在错算款项，发包人有权扣回，承包人应在收到财务决算审计审核报告复核通知书后按发包人要求将错算款项交回发包人。</w:t>
      </w: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rPr>
        <w:t>1</w:t>
      </w:r>
      <w:r>
        <w:rPr>
          <w:rFonts w:hint="eastAsia" w:ascii="宋体"/>
          <w:color w:val="auto"/>
          <w:highlight w:val="none"/>
          <w:lang w:val="en-US" w:eastAsia="zh-CN"/>
        </w:rPr>
        <w:t>3</w:t>
      </w:r>
      <w:r>
        <w:rPr>
          <w:rFonts w:hint="eastAsia" w:ascii="宋体"/>
          <w:color w:val="auto"/>
          <w:highlight w:val="none"/>
        </w:rPr>
        <w:t>.</w:t>
      </w:r>
      <w:r>
        <w:rPr>
          <w:rFonts w:hint="eastAsia" w:ascii="宋体"/>
          <w:color w:val="auto"/>
          <w:highlight w:val="none"/>
        </w:rPr>
        <w:tab/>
      </w:r>
      <w:r>
        <w:rPr>
          <w:rFonts w:hint="eastAsia" w:ascii="宋体"/>
          <w:color w:val="auto"/>
          <w:highlight w:val="none"/>
        </w:rPr>
        <w:t>保险</w:t>
      </w:r>
    </w:p>
    <w:p>
      <w:pPr>
        <w:pStyle w:val="17"/>
        <w:spacing w:after="0"/>
        <w:ind w:left="0" w:leftChars="0" w:firstLine="420" w:firstLineChars="200"/>
        <w:outlineLvl w:val="3"/>
        <w:rPr>
          <w:rFonts w:ascii="宋体" w:hAnsi="宋体"/>
          <w:color w:val="auto"/>
          <w:szCs w:val="21"/>
          <w:highlight w:val="none"/>
        </w:rPr>
      </w:pPr>
      <w:bookmarkStart w:id="2151" w:name="_Toc292429301"/>
      <w:bookmarkStart w:id="2152" w:name="_Toc252143588"/>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.1  有关保险的一般要求</w:t>
      </w:r>
      <w:bookmarkEnd w:id="2151"/>
      <w:bookmarkEnd w:id="2152"/>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承包人应以发包人和承包人的共同名义向双方同意的保险人投保建筑工程一切险、安装工程一切险的投保内容、保险金额、保险费率、保险期限的约定：</w:t>
      </w:r>
      <w:permStart w:id="75"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permEnd w:id="75"/>
      <w:r>
        <w:rPr>
          <w:rFonts w:hint="eastAsia" w:ascii="宋体" w:hAnsi="宋体"/>
          <w:color w:val="auto"/>
          <w:szCs w:val="21"/>
          <w:highlight w:val="none"/>
        </w:rPr>
        <w:t>费用由发包人承担 。</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第三者责任险，其保险费率、保险金额的约定：</w:t>
      </w:r>
      <w:permStart w:id="76"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permEnd w:id="76"/>
      <w:r>
        <w:rPr>
          <w:rFonts w:hint="eastAsia" w:ascii="宋体" w:hAnsi="宋体"/>
          <w:color w:val="auto"/>
          <w:szCs w:val="21"/>
          <w:highlight w:val="none"/>
        </w:rPr>
        <w:t>。</w:t>
      </w:r>
    </w:p>
    <w:p>
      <w:pPr>
        <w:pStyle w:val="17"/>
        <w:spacing w:after="0"/>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执行《关于铁路、公路、水运、水利、能源、机场工程建设项目参加工伤保险工作的通知》（人社部发〔2018〕3号），工伤保险，其保险费率、保险金额的约定：</w:t>
      </w:r>
      <w:permStart w:id="77"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permEnd w:id="77"/>
      <w:r>
        <w:rPr>
          <w:rFonts w:hint="eastAsia" w:ascii="宋体" w:hAnsi="宋体"/>
          <w:color w:val="auto"/>
          <w:szCs w:val="21"/>
          <w:highlight w:val="none"/>
        </w:rPr>
        <w:t>。</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承包人应在</w:t>
      </w:r>
      <w:permStart w:id="78"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permEnd w:id="78"/>
      <w:r>
        <w:rPr>
          <w:rFonts w:hint="eastAsia" w:ascii="宋体" w:hAnsi="宋体"/>
          <w:color w:val="auto"/>
          <w:szCs w:val="21"/>
          <w:highlight w:val="none"/>
        </w:rPr>
        <w:t>的期限内向发包人提交各项保险生效的证据和保险单副本，保险单必须本条款约定的条件保持一致。</w:t>
      </w:r>
    </w:p>
    <w:p>
      <w:pPr>
        <w:pStyle w:val="131"/>
        <w:spacing w:after="0" w:line="240" w:lineRule="auto"/>
        <w:ind w:left="0" w:leftChars="0" w:firstLine="422" w:firstLineChars="200"/>
        <w:outlineLvl w:val="2"/>
        <w:rPr>
          <w:rFonts w:ascii="宋体"/>
          <w:color w:val="auto"/>
          <w:highlight w:val="none"/>
        </w:rPr>
      </w:pPr>
      <w:r>
        <w:rPr>
          <w:rFonts w:hint="eastAsia" w:ascii="宋体"/>
          <w:color w:val="auto"/>
          <w:highlight w:val="none"/>
          <w:lang w:val="en-US" w:eastAsia="zh-CN"/>
        </w:rPr>
        <w:t>14</w:t>
      </w:r>
      <w:r>
        <w:rPr>
          <w:rFonts w:hint="eastAsia" w:ascii="宋体"/>
          <w:color w:val="auto"/>
          <w:highlight w:val="none"/>
        </w:rPr>
        <w:t>.</w:t>
      </w:r>
      <w:r>
        <w:rPr>
          <w:rFonts w:hint="eastAsia" w:ascii="宋体"/>
          <w:color w:val="auto"/>
          <w:highlight w:val="none"/>
        </w:rPr>
        <w:tab/>
      </w:r>
      <w:r>
        <w:rPr>
          <w:rFonts w:hint="eastAsia" w:ascii="宋体"/>
          <w:color w:val="auto"/>
          <w:highlight w:val="none"/>
        </w:rPr>
        <w:t>索赔、争端和仲裁</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lang w:val="en-US" w:eastAsia="zh-CN"/>
        </w:rPr>
        <w:t>14</w:t>
      </w: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 xml:space="preserve">  争端裁决委员会的任命    </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通用条件本款不适用于本合同。</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lang w:val="en-US" w:eastAsia="zh-CN"/>
        </w:rPr>
        <w:t>14</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对争端裁决委员会未能取得一致</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通用条件本款不适用于本合同。</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lang w:val="en-US" w:eastAsia="zh-CN"/>
        </w:rPr>
        <w:t>14</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取得争端裁决委员会的决定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通用条件本款不适用于本合同。</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lang w:val="en-US" w:eastAsia="zh-CN"/>
        </w:rPr>
        <w:t>14</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  友好解决</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对于任何承包商根据合同书面表达的不满以及合同履行过程中出现的任何争议，双方均应以友好协商的方式来努力解决。如承包人表达不满的通知发出后的56天内，发包人未曾做过友好解决的努力；或双方已无法友好解决争议事件，则应按第20.6条[仲裁]执行。</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lang w:val="en-US" w:eastAsia="zh-CN"/>
        </w:rPr>
        <w:t>14</w:t>
      </w: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 xml:space="preserve">  仲裁</w:t>
      </w:r>
    </w:p>
    <w:p>
      <w:pPr>
        <w:adjustRightInd w:val="0"/>
        <w:snapToGrid w:val="0"/>
        <w:spacing w:line="360" w:lineRule="auto"/>
        <w:ind w:firstLine="420" w:firstLineChars="200"/>
        <w:textAlignment w:val="baseline"/>
        <w:outlineLvl w:val="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本合同在履行过程中发生争议的，应友好</w:t>
      </w:r>
      <w:r>
        <w:rPr>
          <w:rFonts w:hint="eastAsia" w:ascii="宋体" w:hAnsi="宋体" w:eastAsia="宋体" w:cs="Times New Roman"/>
          <w:color w:val="auto"/>
          <w:kern w:val="2"/>
          <w:sz w:val="21"/>
          <w:szCs w:val="21"/>
          <w:highlight w:val="none"/>
          <w:lang w:val="zh-CN" w:eastAsia="zh-CN" w:bidi="ar-SA"/>
        </w:rPr>
        <w:t>协商解决；不能协商解决的，向工程所在地人民法院起诉。</w:t>
      </w:r>
    </w:p>
    <w:p>
      <w:pPr>
        <w:adjustRightInd w:val="0"/>
        <w:snapToGrid w:val="0"/>
        <w:spacing w:line="360" w:lineRule="auto"/>
        <w:ind w:firstLine="420" w:firstLineChars="200"/>
        <w:textAlignment w:val="baseline"/>
        <w:outlineLvl w:val="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在诉讼期间，本合同不涉及争议部分的条款仍须履行。</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lang w:val="en-US" w:eastAsia="zh-CN"/>
        </w:rPr>
        <w:t>14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 xml:space="preserve">  未能遵守争端裁决委员会的决定</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通用条件本款不适用于本合同。</w:t>
      </w:r>
    </w:p>
    <w:p>
      <w:pPr>
        <w:pStyle w:val="17"/>
        <w:spacing w:after="0"/>
        <w:ind w:left="0" w:leftChars="0" w:firstLine="420" w:firstLineChars="200"/>
        <w:outlineLvl w:val="3"/>
        <w:rPr>
          <w:rFonts w:ascii="宋体" w:hAnsi="宋体"/>
          <w:color w:val="auto"/>
          <w:szCs w:val="21"/>
          <w:highlight w:val="none"/>
        </w:rPr>
      </w:pPr>
      <w:r>
        <w:rPr>
          <w:rFonts w:hint="eastAsia" w:ascii="宋体" w:hAnsi="宋体"/>
          <w:color w:val="auto"/>
          <w:szCs w:val="21"/>
          <w:highlight w:val="none"/>
          <w:lang w:val="en-US" w:eastAsia="zh-CN"/>
        </w:rPr>
        <w:t>14</w:t>
      </w: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 xml:space="preserve">  争端裁决委员会任命期满</w:t>
      </w:r>
    </w:p>
    <w:p>
      <w:pPr>
        <w:pStyle w:val="17"/>
        <w:spacing w:after="0"/>
        <w:ind w:left="0" w:leftChars="0" w:firstLine="420" w:firstLineChars="200"/>
        <w:rPr>
          <w:rFonts w:ascii="宋体" w:hAnsi="宋体"/>
          <w:color w:val="auto"/>
          <w:szCs w:val="21"/>
          <w:highlight w:val="none"/>
        </w:rPr>
      </w:pPr>
      <w:r>
        <w:rPr>
          <w:rFonts w:hint="eastAsia" w:ascii="宋体" w:hAnsi="宋体"/>
          <w:color w:val="auto"/>
          <w:szCs w:val="21"/>
          <w:highlight w:val="none"/>
        </w:rPr>
        <w:t>通用条件本款不适用于本合同。</w:t>
      </w:r>
    </w:p>
    <w:p>
      <w:pPr>
        <w:pStyle w:val="131"/>
        <w:spacing w:after="0" w:line="240" w:lineRule="auto"/>
        <w:ind w:left="0" w:leftChars="0" w:firstLine="422" w:firstLineChars="200"/>
        <w:outlineLvl w:val="2"/>
        <w:rPr>
          <w:rFonts w:hint="eastAsia" w:ascii="宋体"/>
          <w:color w:val="auto"/>
          <w:highlight w:val="none"/>
        </w:rPr>
      </w:pPr>
      <w:r>
        <w:rPr>
          <w:rFonts w:hint="eastAsia" w:ascii="宋体"/>
          <w:color w:val="auto"/>
          <w:highlight w:val="none"/>
          <w:lang w:val="en-US" w:eastAsia="zh-CN"/>
        </w:rPr>
        <w:t>15</w:t>
      </w:r>
      <w:r>
        <w:rPr>
          <w:rFonts w:hint="eastAsia" w:ascii="宋体"/>
          <w:color w:val="auto"/>
          <w:highlight w:val="none"/>
        </w:rPr>
        <w:t>.</w:t>
      </w:r>
      <w:r>
        <w:rPr>
          <w:rFonts w:hint="eastAsia" w:ascii="宋体"/>
          <w:color w:val="auto"/>
          <w:highlight w:val="none"/>
        </w:rPr>
        <w:tab/>
      </w:r>
      <w:r>
        <w:rPr>
          <w:rFonts w:hint="eastAsia" w:ascii="宋体"/>
          <w:color w:val="auto"/>
          <w:highlight w:val="none"/>
        </w:rPr>
        <w:t>其他</w:t>
      </w:r>
    </w:p>
    <w:p>
      <w:pPr>
        <w:pStyle w:val="17"/>
        <w:spacing w:after="0"/>
        <w:ind w:left="0" w:leftChars="0" w:firstLine="420" w:firstLineChars="200"/>
        <w:outlineLvl w:val="3"/>
        <w:rPr>
          <w:rFonts w:hint="eastAsia" w:ascii="宋体" w:hAnsi="宋体"/>
          <w:color w:val="auto"/>
          <w:szCs w:val="21"/>
          <w:highlight w:val="none"/>
        </w:rPr>
      </w:pPr>
      <w:permStart w:id="79"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permEnd w:id="79"/>
    </w:p>
    <w:p>
      <w:pPr>
        <w:autoSpaceDE w:val="0"/>
        <w:autoSpaceDN w:val="0"/>
        <w:adjustRightInd w:val="0"/>
        <w:jc w:val="left"/>
        <w:rPr>
          <w:rFonts w:hint="eastAsia" w:ascii="宋体" w:hAnsi="宋体"/>
          <w:color w:val="auto"/>
          <w:highlight w:val="none"/>
        </w:rPr>
      </w:pPr>
    </w:p>
    <w:p>
      <w:pPr>
        <w:pStyle w:val="2"/>
        <w:pageBreakBefore/>
        <w:widowControl/>
        <w:spacing w:before="0" w:after="0" w:line="240" w:lineRule="auto"/>
        <w:jc w:val="center"/>
        <w:rPr>
          <w:rFonts w:ascii="宋体" w:hAnsi="宋体" w:eastAsia="宋体"/>
          <w:color w:val="auto"/>
          <w:sz w:val="24"/>
          <w:szCs w:val="24"/>
          <w:highlight w:val="none"/>
        </w:rPr>
      </w:pPr>
      <w:bookmarkStart w:id="2153" w:name="_Toc156796853"/>
      <w:bookmarkStart w:id="2154" w:name="_Toc296719074"/>
      <w:bookmarkStart w:id="2155" w:name="_Toc203886151"/>
      <w:bookmarkStart w:id="2156" w:name="_Toc20644923"/>
      <w:permStart w:id="80" w:edGrp="everyone"/>
      <w:r>
        <w:rPr>
          <w:rFonts w:hint="eastAsia" w:ascii="宋体" w:hAnsi="宋体" w:eastAsia="宋体"/>
          <w:color w:val="auto"/>
          <w:sz w:val="24"/>
          <w:szCs w:val="24"/>
          <w:highlight w:val="none"/>
        </w:rPr>
        <w:t>第四节 合同附件格式</w:t>
      </w:r>
      <w:bookmarkEnd w:id="2153"/>
      <w:bookmarkEnd w:id="2154"/>
      <w:bookmarkEnd w:id="2155"/>
      <w:bookmarkEnd w:id="2156"/>
      <w:bookmarkStart w:id="2157" w:name="_Toc296719075"/>
    </w:p>
    <w:p>
      <w:pPr>
        <w:rPr>
          <w:rFonts w:ascii="宋体" w:hAnsi="宋体"/>
          <w:color w:val="auto"/>
          <w:highlight w:val="none"/>
        </w:rPr>
      </w:pPr>
    </w:p>
    <w:p>
      <w:pPr>
        <w:outlineLvl w:val="2"/>
        <w:rPr>
          <w:rFonts w:hint="eastAsia" w:ascii="宋体" w:hAnsi="宋体"/>
          <w:color w:val="auto"/>
          <w:szCs w:val="21"/>
          <w:highlight w:val="none"/>
        </w:rPr>
      </w:pPr>
      <w:bookmarkStart w:id="2158" w:name="_Toc341772039"/>
      <w:bookmarkStart w:id="2159" w:name="_Toc247339743"/>
      <w:bookmarkStart w:id="2160" w:name="_Toc223334880"/>
      <w:r>
        <w:rPr>
          <w:rFonts w:hint="eastAsia" w:ascii="宋体" w:hAnsi="宋体"/>
          <w:color w:val="auto"/>
          <w:szCs w:val="21"/>
          <w:highlight w:val="none"/>
        </w:rPr>
        <w:t>附件一 履约保函</w:t>
      </w:r>
      <w:bookmarkEnd w:id="2158"/>
      <w:bookmarkEnd w:id="2159"/>
      <w:r>
        <w:rPr>
          <w:rFonts w:hint="eastAsia" w:ascii="宋体" w:hAnsi="宋体"/>
          <w:color w:val="auto"/>
          <w:szCs w:val="21"/>
          <w:highlight w:val="none"/>
        </w:rPr>
        <w:t>（担保的形式包括银行提供的保函、央企财务公司提供的保函、保险公司提供的国家认可的具有法律效力的保险等，格式自定）</w:t>
      </w:r>
    </w:p>
    <w:p>
      <w:pPr>
        <w:jc w:val="center"/>
        <w:rPr>
          <w:rFonts w:hint="eastAsia" w:ascii="宋体" w:hAnsi="宋体"/>
          <w:b/>
          <w:color w:val="auto"/>
          <w:szCs w:val="21"/>
          <w:highlight w:val="none"/>
        </w:rPr>
      </w:pPr>
    </w:p>
    <w:p>
      <w:pPr>
        <w:jc w:val="center"/>
        <w:rPr>
          <w:rFonts w:hint="eastAsia" w:ascii="宋体" w:hAnsi="宋体"/>
          <w:b/>
          <w:color w:val="auto"/>
          <w:szCs w:val="21"/>
          <w:highlight w:val="none"/>
        </w:rPr>
      </w:pPr>
      <w:r>
        <w:rPr>
          <w:rFonts w:hint="eastAsia" w:ascii="宋体" w:hAnsi="宋体"/>
          <w:b/>
          <w:color w:val="auto"/>
          <w:szCs w:val="21"/>
          <w:highlight w:val="none"/>
        </w:rPr>
        <w:t>履 约</w:t>
      </w:r>
      <w:r>
        <w:rPr>
          <w:rFonts w:ascii="宋体" w:hAnsi="宋体"/>
          <w:b/>
          <w:color w:val="auto"/>
          <w:szCs w:val="21"/>
          <w:highlight w:val="none"/>
        </w:rPr>
        <w:t xml:space="preserve"> </w:t>
      </w:r>
      <w:r>
        <w:rPr>
          <w:rFonts w:hint="eastAsia" w:ascii="宋体" w:hAnsi="宋体"/>
          <w:b/>
          <w:color w:val="auto"/>
          <w:szCs w:val="21"/>
          <w:highlight w:val="none"/>
        </w:rPr>
        <w:t>保</w:t>
      </w:r>
      <w:r>
        <w:rPr>
          <w:rFonts w:ascii="宋体" w:hAnsi="宋体"/>
          <w:b/>
          <w:color w:val="auto"/>
          <w:szCs w:val="21"/>
          <w:highlight w:val="none"/>
        </w:rPr>
        <w:t xml:space="preserve"> </w:t>
      </w:r>
      <w:r>
        <w:rPr>
          <w:rFonts w:hint="eastAsia" w:ascii="宋体" w:hAnsi="宋体"/>
          <w:b/>
          <w:color w:val="auto"/>
          <w:szCs w:val="21"/>
          <w:highlight w:val="none"/>
        </w:rPr>
        <w:t>函</w:t>
      </w:r>
    </w:p>
    <w:p>
      <w:pPr>
        <w:jc w:val="center"/>
        <w:rPr>
          <w:rFonts w:hint="eastAsia" w:ascii="宋体" w:hAnsi="宋体"/>
          <w:color w:val="auto"/>
          <w:szCs w:val="21"/>
          <w:highlight w:val="none"/>
        </w:rPr>
      </w:pPr>
      <w:r>
        <w:rPr>
          <w:rFonts w:hint="eastAsia" w:ascii="宋体" w:hAnsi="宋体"/>
          <w:color w:val="auto"/>
          <w:szCs w:val="21"/>
          <w:highlight w:val="none"/>
        </w:rPr>
        <w:t xml:space="preserve">                                                     编号：</w:t>
      </w:r>
    </w:p>
    <w:p>
      <w:pPr>
        <w:rPr>
          <w:rFonts w:ascii="宋体" w:hAnsi="宋体"/>
          <w:color w:val="auto"/>
          <w:szCs w:val="21"/>
          <w:highlight w:val="none"/>
        </w:rPr>
      </w:pPr>
      <w:r>
        <w:rPr>
          <w:rFonts w:hint="eastAsia" w:ascii="宋体" w:hAnsi="宋体"/>
          <w:color w:val="auto"/>
          <w:szCs w:val="21"/>
          <w:highlight w:val="none"/>
        </w:rPr>
        <w:t>致受益人（招标方）</w:t>
      </w:r>
      <w:r>
        <w:rPr>
          <w:rFonts w:ascii="宋体" w:hAnsi="宋体"/>
          <w:color w:val="auto"/>
          <w:szCs w:val="21"/>
          <w:highlight w:val="none"/>
          <w:u w:val="single"/>
        </w:rPr>
        <w:t xml:space="preserve">            </w:t>
      </w:r>
      <w:r>
        <w:rPr>
          <w:rFonts w:hint="eastAsia" w:ascii="宋体" w:hAnsi="宋体"/>
          <w:color w:val="auto"/>
          <w:szCs w:val="21"/>
          <w:highlight w:val="none"/>
        </w:rPr>
        <w:t>：</w:t>
      </w:r>
    </w:p>
    <w:p>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因保函申请人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与你方签订</w:t>
      </w:r>
      <w:r>
        <w:rPr>
          <w:rFonts w:hint="eastAsia" w:ascii="宋体" w:hAnsi="宋体"/>
          <w:color w:val="auto"/>
          <w:szCs w:val="21"/>
          <w:highlight w:val="none"/>
          <w:u w:val="single"/>
        </w:rPr>
        <w:t xml:space="preserve">             </w:t>
      </w:r>
      <w:r>
        <w:rPr>
          <w:rFonts w:hint="eastAsia" w:ascii="宋体" w:hAnsi="宋体"/>
          <w:color w:val="auto"/>
          <w:szCs w:val="21"/>
          <w:highlight w:val="none"/>
        </w:rPr>
        <w:t>（合同或协议）编号</w:t>
      </w:r>
      <w:r>
        <w:rPr>
          <w:rFonts w:hint="eastAsia" w:ascii="宋体" w:hAnsi="宋体"/>
          <w:color w:val="auto"/>
          <w:szCs w:val="21"/>
          <w:highlight w:val="none"/>
          <w:u w:val="single"/>
        </w:rPr>
        <w:t xml:space="preserve">         </w:t>
      </w:r>
      <w:r>
        <w:rPr>
          <w:rFonts w:hint="eastAsia" w:ascii="宋体" w:hAnsi="宋体"/>
          <w:color w:val="auto"/>
          <w:szCs w:val="21"/>
          <w:highlight w:val="none"/>
        </w:rPr>
        <w:t>，我行已接受保函申请人的请求，愿就保函申请人履行上述合同（或协议）约定的义务向你方提供如下保证：</w:t>
      </w:r>
    </w:p>
    <w:p>
      <w:pPr>
        <w:ind w:firstLine="420" w:firstLineChars="200"/>
        <w:rPr>
          <w:rFonts w:ascii="宋体" w:hAnsi="宋体"/>
          <w:color w:val="auto"/>
          <w:szCs w:val="21"/>
          <w:highlight w:val="none"/>
        </w:rPr>
      </w:pPr>
      <w:r>
        <w:rPr>
          <w:rFonts w:hint="eastAsia" w:ascii="宋体" w:hAnsi="宋体"/>
          <w:color w:val="auto"/>
          <w:szCs w:val="21"/>
          <w:highlight w:val="none"/>
        </w:rPr>
        <w:t>一、本保函担保的金额最高不超过</w:t>
      </w:r>
      <w:r>
        <w:rPr>
          <w:rFonts w:ascii="宋体" w:hAnsi="宋体"/>
          <w:color w:val="auto"/>
          <w:szCs w:val="21"/>
          <w:highlight w:val="none"/>
        </w:rPr>
        <w:t>(</w:t>
      </w:r>
      <w:r>
        <w:rPr>
          <w:rFonts w:hint="eastAsia" w:ascii="宋体" w:hAnsi="宋体"/>
          <w:color w:val="auto"/>
          <w:szCs w:val="21"/>
          <w:highlight w:val="none"/>
        </w:rPr>
        <w:t>币种、金额大写</w:t>
      </w:r>
      <w:r>
        <w:rPr>
          <w:rFonts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 xml:space="preserve">    </w:t>
      </w:r>
    </w:p>
    <w:p>
      <w:pPr>
        <w:ind w:firstLine="420" w:firstLineChars="200"/>
        <w:rPr>
          <w:rFonts w:ascii="宋体" w:hAnsi="宋体"/>
          <w:color w:val="auto"/>
          <w:szCs w:val="21"/>
          <w:highlight w:val="none"/>
        </w:rPr>
      </w:pPr>
      <w:r>
        <w:rPr>
          <w:rFonts w:hint="eastAsia" w:ascii="宋体" w:hAnsi="宋体"/>
          <w:color w:val="auto"/>
          <w:szCs w:val="21"/>
          <w:highlight w:val="none"/>
        </w:rPr>
        <w:t>二、本保函担保的方式为连带责任保证。</w:t>
      </w:r>
    </w:p>
    <w:p>
      <w:pPr>
        <w:ind w:firstLine="420" w:firstLineChars="200"/>
        <w:jc w:val="left"/>
        <w:rPr>
          <w:rFonts w:hint="eastAsia" w:ascii="宋体" w:hAnsi="宋体"/>
          <w:color w:val="auto"/>
          <w:szCs w:val="21"/>
          <w:highlight w:val="none"/>
        </w:rPr>
      </w:pPr>
      <w:r>
        <w:rPr>
          <w:rFonts w:hint="eastAsia" w:ascii="宋体" w:hAnsi="宋体"/>
          <w:color w:val="auto"/>
          <w:szCs w:val="21"/>
          <w:highlight w:val="none"/>
        </w:rPr>
        <w:t>三、本保函的保证期间自</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日至</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ind w:firstLine="420" w:firstLineChars="200"/>
        <w:jc w:val="left"/>
        <w:rPr>
          <w:rFonts w:ascii="宋体" w:hAnsi="宋体"/>
          <w:color w:val="auto"/>
          <w:szCs w:val="21"/>
          <w:highlight w:val="none"/>
        </w:rPr>
      </w:pPr>
      <w:r>
        <w:rPr>
          <w:rFonts w:hint="eastAsia" w:ascii="宋体" w:hAnsi="宋体"/>
          <w:color w:val="auto"/>
          <w:szCs w:val="21"/>
          <w:highlight w:val="none"/>
        </w:rPr>
        <w:t>四、在本保函的有效期内，如保函申请人违反上述合同或协议约定的义务，我行将在收到你方符合下列条件的索赔通知后</w:t>
      </w:r>
      <w:r>
        <w:rPr>
          <w:rFonts w:hint="eastAsia" w:ascii="宋体" w:hAnsi="宋体"/>
          <w:color w:val="auto"/>
          <w:szCs w:val="21"/>
          <w:highlight w:val="none"/>
          <w:u w:val="single"/>
        </w:rPr>
        <w:t xml:space="preserve">   </w:t>
      </w:r>
      <w:r>
        <w:rPr>
          <w:rFonts w:hint="eastAsia" w:ascii="宋体" w:hAnsi="宋体"/>
          <w:color w:val="auto"/>
          <w:szCs w:val="21"/>
          <w:highlight w:val="none"/>
        </w:rPr>
        <w:t>个银行工作日内，凭本保函向你方支付本保函担保范围内你方索赔的金额：</w:t>
      </w:r>
    </w:p>
    <w:p>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（一）你方的索赔通知必须以书面形式提出，索赔通知应由你方法定代表人（负责人）或授权代理人签字并加盖单位公章；</w:t>
      </w:r>
    </w:p>
    <w:p>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（二）你方的索赔通知必须在本保函有效期内送达我行；</w:t>
      </w:r>
    </w:p>
    <w:p>
      <w:pPr>
        <w:ind w:firstLine="420"/>
        <w:rPr>
          <w:rFonts w:hint="eastAsia" w:ascii="宋体" w:hAnsi="宋体"/>
          <w:color w:val="auto"/>
          <w:szCs w:val="21"/>
          <w:highlight w:val="none"/>
        </w:rPr>
      </w:pPr>
      <w:r>
        <w:rPr>
          <w:rFonts w:hint="eastAsia" w:ascii="宋体" w:hAnsi="宋体"/>
          <w:color w:val="auto"/>
          <w:szCs w:val="21"/>
          <w:highlight w:val="none"/>
        </w:rPr>
        <w:t>（三）你方的索赔通知必须同时附有：</w:t>
      </w:r>
    </w:p>
    <w:p>
      <w:pPr>
        <w:ind w:firstLine="420"/>
        <w:rPr>
          <w:rFonts w:ascii="宋体" w:hAnsi="宋体"/>
          <w:color w:val="auto"/>
          <w:szCs w:val="21"/>
          <w:highlight w:val="none"/>
        </w:rPr>
      </w:pPr>
      <w:r>
        <w:rPr>
          <w:rFonts w:hint="eastAsia" w:ascii="宋体" w:hAnsi="宋体"/>
          <w:color w:val="auto"/>
          <w:szCs w:val="21"/>
          <w:highlight w:val="none"/>
        </w:rPr>
        <w:t>1.声明你方索赔的款额并未由保函申请人或其代理人以其他方式直接或间接地支付给你方；</w:t>
      </w:r>
    </w:p>
    <w:p>
      <w:pPr>
        <w:ind w:firstLine="420" w:firstLineChars="200"/>
        <w:rPr>
          <w:rFonts w:hint="eastAsia" w:ascii="宋体" w:hAnsi="宋体"/>
          <w:color w:val="auto"/>
          <w:szCs w:val="21"/>
          <w:highlight w:val="none"/>
        </w:rPr>
      </w:pPr>
      <w:r>
        <w:rPr>
          <w:rFonts w:hint="eastAsia" w:ascii="宋体" w:hAnsi="宋体"/>
          <w:color w:val="auto"/>
          <w:szCs w:val="21"/>
          <w:highlight w:val="none"/>
        </w:rPr>
        <w:t>五、本保函所附声明条款系本保函的不可撤销、不可变更的组成部分。</w:t>
      </w:r>
    </w:p>
    <w:p>
      <w:pPr>
        <w:ind w:firstLine="420" w:firstLineChars="200"/>
        <w:rPr>
          <w:rFonts w:ascii="宋体" w:hAnsi="宋体"/>
          <w:color w:val="auto"/>
          <w:szCs w:val="21"/>
          <w:highlight w:val="none"/>
        </w:rPr>
      </w:pPr>
      <w:r>
        <w:rPr>
          <w:rFonts w:hint="eastAsia" w:ascii="宋体" w:hAnsi="宋体"/>
          <w:color w:val="auto"/>
          <w:szCs w:val="21"/>
          <w:highlight w:val="none"/>
        </w:rPr>
        <w:t>六、本保函自本行负责人或授权代理人签字并加盖公章之日起生效。</w:t>
      </w:r>
    </w:p>
    <w:p>
      <w:pPr>
        <w:rPr>
          <w:rFonts w:hint="eastAsia" w:ascii="宋体" w:hAnsi="宋体"/>
          <w:color w:val="auto"/>
          <w:szCs w:val="21"/>
          <w:highlight w:val="none"/>
        </w:rPr>
      </w:pPr>
    </w:p>
    <w:p>
      <w:pPr>
        <w:rPr>
          <w:rFonts w:hint="eastAsia" w:ascii="宋体" w:hAnsi="宋体"/>
          <w:color w:val="auto"/>
          <w:szCs w:val="21"/>
          <w:highlight w:val="none"/>
        </w:rPr>
      </w:pPr>
      <w:r>
        <w:rPr>
          <w:rFonts w:hint="eastAsia" w:ascii="宋体" w:hAnsi="宋体"/>
          <w:color w:val="auto"/>
          <w:szCs w:val="21"/>
          <w:highlight w:val="none"/>
        </w:rPr>
        <w:t xml:space="preserve">                                  保证人（盖章）：</w:t>
      </w:r>
    </w:p>
    <w:p>
      <w:pPr>
        <w:rPr>
          <w:rFonts w:ascii="宋体" w:hAnsi="宋体"/>
          <w:color w:val="auto"/>
          <w:szCs w:val="21"/>
          <w:highlight w:val="none"/>
        </w:rPr>
      </w:pPr>
      <w:r>
        <w:rPr>
          <w:rFonts w:hint="eastAsia" w:ascii="宋体" w:hAnsi="宋体"/>
          <w:color w:val="auto"/>
          <w:szCs w:val="21"/>
          <w:highlight w:val="none"/>
        </w:rPr>
        <w:t xml:space="preserve">                                  负责人或授权代理人（签字）：</w:t>
      </w:r>
    </w:p>
    <w:p>
      <w:pPr>
        <w:autoSpaceDE w:val="0"/>
        <w:autoSpaceDN w:val="0"/>
        <w:ind w:firstLine="3465" w:firstLineChars="1650"/>
        <w:rPr>
          <w:rFonts w:hint="eastAsia" w:ascii="宋体" w:hAnsi="宋体"/>
          <w:color w:val="auto"/>
          <w:szCs w:val="21"/>
          <w:highlight w:val="none"/>
        </w:rPr>
      </w:pPr>
      <w:r>
        <w:rPr>
          <w:rFonts w:hint="eastAsia" w:ascii="宋体" w:hAnsi="宋体"/>
          <w:color w:val="auto"/>
          <w:szCs w:val="21"/>
          <w:highlight w:val="none"/>
        </w:rPr>
        <w:t xml:space="preserve"> 签发日期</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pPr>
        <w:autoSpaceDE w:val="0"/>
        <w:autoSpaceDN w:val="0"/>
        <w:ind w:firstLine="3465" w:firstLineChars="1650"/>
        <w:rPr>
          <w:rFonts w:hint="eastAsia" w:ascii="宋体" w:hAnsi="宋体"/>
          <w:color w:val="auto"/>
          <w:szCs w:val="21"/>
          <w:highlight w:val="none"/>
        </w:rPr>
      </w:pPr>
    </w:p>
    <w:p>
      <w:pPr>
        <w:outlineLvl w:val="2"/>
        <w:rPr>
          <w:rFonts w:hint="eastAsia" w:hAnsi="宋体"/>
          <w:color w:val="auto"/>
          <w:szCs w:val="21"/>
          <w:highlight w:val="none"/>
        </w:rPr>
      </w:pPr>
      <w:bookmarkStart w:id="2161" w:name="_Toc341772040"/>
      <w:r>
        <w:rPr>
          <w:rFonts w:hint="eastAsia" w:hAnsi="宋体"/>
          <w:color w:val="auto"/>
          <w:szCs w:val="21"/>
          <w:highlight w:val="none"/>
        </w:rPr>
        <w:br w:type="page"/>
      </w:r>
      <w:r>
        <w:rPr>
          <w:rFonts w:hint="eastAsia" w:ascii="宋体" w:hAnsi="宋体"/>
          <w:color w:val="auto"/>
          <w:szCs w:val="21"/>
          <w:highlight w:val="none"/>
        </w:rPr>
        <w:t>附件二 质量保证金保函（担保的形式包括银行提供的保函、央企财务公司提供的保函、保险公司提供的国家认可的具有法律效力的保险等，格式自定）</w:t>
      </w:r>
    </w:p>
    <w:p>
      <w:pPr>
        <w:jc w:val="left"/>
        <w:rPr>
          <w:rFonts w:hint="eastAsia" w:ascii="宋体" w:hAnsi="宋体"/>
          <w:color w:val="auto"/>
          <w:szCs w:val="21"/>
          <w:highlight w:val="none"/>
        </w:rPr>
      </w:pPr>
    </w:p>
    <w:p>
      <w:pPr>
        <w:jc w:val="center"/>
        <w:rPr>
          <w:rFonts w:hint="eastAsia" w:ascii="宋体" w:hAnsi="宋体"/>
          <w:b/>
          <w:color w:val="auto"/>
          <w:szCs w:val="21"/>
          <w:highlight w:val="none"/>
        </w:rPr>
      </w:pPr>
      <w:r>
        <w:rPr>
          <w:rFonts w:hint="eastAsia" w:ascii="宋体" w:hAnsi="宋体"/>
          <w:b/>
          <w:color w:val="auto"/>
          <w:szCs w:val="21"/>
          <w:highlight w:val="none"/>
        </w:rPr>
        <w:t>质量保证金保函</w:t>
      </w:r>
    </w:p>
    <w:p>
      <w:pPr>
        <w:autoSpaceDE w:val="0"/>
        <w:autoSpaceDN w:val="0"/>
        <w:rPr>
          <w:rFonts w:hint="eastAsia" w:ascii="宋体" w:hAnsi="宋体" w:cs="仿宋_GB2312"/>
          <w:color w:val="auto"/>
          <w:szCs w:val="21"/>
          <w:highlight w:val="none"/>
          <w:u w:val="single"/>
        </w:rPr>
      </w:pPr>
      <w:r>
        <w:rPr>
          <w:rFonts w:hint="eastAsia" w:ascii="宋体" w:hAnsi="宋体" w:cs="仿宋_GB2312"/>
          <w:color w:val="auto"/>
          <w:szCs w:val="21"/>
          <w:highlight w:val="none"/>
        </w:rPr>
        <w:t>（发包人名称）：</w:t>
      </w:r>
      <w:r>
        <w:rPr>
          <w:rFonts w:hint="eastAsia" w:ascii="宋体" w:hAnsi="宋体" w:cs="仿宋_GB2312"/>
          <w:color w:val="auto"/>
          <w:szCs w:val="21"/>
          <w:highlight w:val="none"/>
          <w:u w:val="single"/>
        </w:rPr>
        <w:t xml:space="preserve">               </w:t>
      </w:r>
    </w:p>
    <w:p>
      <w:pPr>
        <w:autoSpaceDE w:val="0"/>
        <w:autoSpaceDN w:val="0"/>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根据</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（承包人名称）（以下称</w:t>
      </w:r>
      <w:r>
        <w:rPr>
          <w:rFonts w:ascii="宋体" w:hAnsi="宋体" w:cs="TimesNewRomanPSMT"/>
          <w:color w:val="auto"/>
          <w:szCs w:val="21"/>
          <w:highlight w:val="none"/>
        </w:rPr>
        <w:t>“</w:t>
      </w:r>
      <w:r>
        <w:rPr>
          <w:rFonts w:hint="eastAsia" w:ascii="宋体" w:hAnsi="宋体" w:cs="仿宋_GB2312"/>
          <w:color w:val="auto"/>
          <w:szCs w:val="21"/>
          <w:highlight w:val="none"/>
        </w:rPr>
        <w:t>承包人</w:t>
      </w:r>
      <w:r>
        <w:rPr>
          <w:rFonts w:ascii="宋体" w:hAnsi="宋体" w:cs="TimesNewRomanPSMT"/>
          <w:color w:val="auto"/>
          <w:szCs w:val="21"/>
          <w:highlight w:val="none"/>
        </w:rPr>
        <w:t>”</w:t>
      </w:r>
      <w:r>
        <w:rPr>
          <w:rFonts w:hint="eastAsia" w:ascii="宋体" w:hAnsi="宋体" w:cs="仿宋_GB2312"/>
          <w:color w:val="auto"/>
          <w:szCs w:val="21"/>
          <w:highlight w:val="none"/>
        </w:rPr>
        <w:t>）与</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（发包人名称）（以下简称</w:t>
      </w:r>
      <w:r>
        <w:rPr>
          <w:rFonts w:ascii="宋体" w:hAnsi="宋体" w:cs="TimesNewRomanPSMT"/>
          <w:color w:val="auto"/>
          <w:szCs w:val="21"/>
          <w:highlight w:val="none"/>
        </w:rPr>
        <w:t>“</w:t>
      </w:r>
      <w:r>
        <w:rPr>
          <w:rFonts w:hint="eastAsia" w:ascii="宋体" w:hAnsi="宋体" w:cs="仿宋_GB2312"/>
          <w:color w:val="auto"/>
          <w:szCs w:val="21"/>
          <w:highlight w:val="none"/>
        </w:rPr>
        <w:t>发包人</w:t>
      </w:r>
      <w:r>
        <w:rPr>
          <w:rFonts w:ascii="宋体" w:hAnsi="宋体" w:cs="TimesNewRomanPSMT"/>
          <w:color w:val="auto"/>
          <w:szCs w:val="21"/>
          <w:highlight w:val="none"/>
        </w:rPr>
        <w:t>”</w:t>
      </w:r>
      <w:r>
        <w:rPr>
          <w:rFonts w:hint="eastAsia" w:ascii="宋体" w:hAnsi="宋体" w:cs="仿宋_GB2312"/>
          <w:color w:val="auto"/>
          <w:szCs w:val="21"/>
          <w:highlight w:val="none"/>
        </w:rPr>
        <w:t>）于</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年</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月</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日签订的</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（项目名称）施工承包合同，承包人按约定的金额向发包人提交一份质量保证金担保，即有权得到发包人支付相等金额的质量保证金。我方愿意就你方提供给承包人的质量保证金提供担保。</w:t>
      </w:r>
    </w:p>
    <w:p>
      <w:pPr>
        <w:autoSpaceDE w:val="0"/>
        <w:autoSpaceDN w:val="0"/>
        <w:ind w:firstLine="420" w:firstLineChars="200"/>
        <w:rPr>
          <w:rFonts w:hint="eastAsia" w:ascii="宋体" w:hAnsi="宋体" w:cs="仿宋_GB2312"/>
          <w:color w:val="auto"/>
          <w:szCs w:val="21"/>
          <w:highlight w:val="none"/>
        </w:rPr>
      </w:pPr>
      <w:r>
        <w:rPr>
          <w:rFonts w:ascii="宋体" w:hAnsi="宋体" w:cs="TimesNewRomanPSMT"/>
          <w:color w:val="auto"/>
          <w:szCs w:val="21"/>
          <w:highlight w:val="none"/>
        </w:rPr>
        <w:t xml:space="preserve">1. </w:t>
      </w:r>
      <w:r>
        <w:rPr>
          <w:rFonts w:hint="eastAsia" w:ascii="宋体" w:hAnsi="宋体" w:cs="仿宋_GB2312"/>
          <w:color w:val="auto"/>
          <w:szCs w:val="21"/>
          <w:highlight w:val="none"/>
        </w:rPr>
        <w:t>担保金额人民币（大写）</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元（</w:t>
      </w:r>
      <w:r>
        <w:rPr>
          <w:rFonts w:ascii="宋体" w:hAnsi="宋体" w:cs="TimesNewRomanPSMT"/>
          <w:color w:val="auto"/>
          <w:szCs w:val="21"/>
          <w:highlight w:val="none"/>
        </w:rPr>
        <w:t>¥</w:t>
      </w:r>
      <w:r>
        <w:rPr>
          <w:rFonts w:hint="eastAsia" w:ascii="宋体" w:hAnsi="宋体" w:cs="TimesNewRomanPSMT"/>
          <w:color w:val="auto"/>
          <w:szCs w:val="21"/>
          <w:highlight w:val="none"/>
          <w:u w:val="single"/>
        </w:rPr>
        <w:t xml:space="preserve">         </w:t>
      </w:r>
      <w:r>
        <w:rPr>
          <w:rFonts w:ascii="宋体" w:hAnsi="宋体" w:cs="TimesNewRomanPSMT"/>
          <w:color w:val="auto"/>
          <w:szCs w:val="21"/>
          <w:highlight w:val="none"/>
        </w:rPr>
        <w:t xml:space="preserve"> </w:t>
      </w:r>
      <w:r>
        <w:rPr>
          <w:rFonts w:hint="eastAsia" w:ascii="宋体" w:hAnsi="宋体" w:cs="仿宋_GB2312"/>
          <w:color w:val="auto"/>
          <w:szCs w:val="21"/>
          <w:highlight w:val="none"/>
        </w:rPr>
        <w:t>）。</w:t>
      </w:r>
    </w:p>
    <w:p>
      <w:pPr>
        <w:autoSpaceDE w:val="0"/>
        <w:autoSpaceDN w:val="0"/>
        <w:ind w:firstLine="420" w:firstLineChars="200"/>
        <w:rPr>
          <w:rFonts w:hint="eastAsia" w:ascii="宋体" w:hAnsi="宋体" w:cs="仿宋_GB2312"/>
          <w:color w:val="auto"/>
          <w:szCs w:val="21"/>
          <w:highlight w:val="none"/>
        </w:rPr>
      </w:pPr>
      <w:r>
        <w:rPr>
          <w:rFonts w:ascii="宋体" w:hAnsi="宋体" w:cs="TimesNewRomanPSMT"/>
          <w:color w:val="auto"/>
          <w:szCs w:val="21"/>
          <w:highlight w:val="none"/>
        </w:rPr>
        <w:t xml:space="preserve">2. </w:t>
      </w:r>
      <w:r>
        <w:rPr>
          <w:rFonts w:hint="eastAsia" w:ascii="宋体" w:hAnsi="宋体" w:cs="仿宋_GB2312"/>
          <w:color w:val="auto"/>
          <w:szCs w:val="21"/>
          <w:highlight w:val="none"/>
        </w:rPr>
        <w:t>担保有效期自质量保证金支付给承包人起生效，至质保期结束止。</w:t>
      </w:r>
    </w:p>
    <w:p>
      <w:pPr>
        <w:autoSpaceDE w:val="0"/>
        <w:autoSpaceDN w:val="0"/>
        <w:ind w:firstLine="420" w:firstLineChars="200"/>
        <w:rPr>
          <w:rFonts w:hint="eastAsia" w:ascii="宋体" w:hAnsi="宋体" w:cs="仿宋_GB2312"/>
          <w:color w:val="auto"/>
          <w:szCs w:val="21"/>
          <w:highlight w:val="none"/>
        </w:rPr>
      </w:pPr>
      <w:r>
        <w:rPr>
          <w:rFonts w:ascii="宋体" w:hAnsi="宋体" w:cs="TimesNewRomanPSMT"/>
          <w:color w:val="auto"/>
          <w:szCs w:val="21"/>
          <w:highlight w:val="none"/>
        </w:rPr>
        <w:t xml:space="preserve">3. </w:t>
      </w:r>
      <w:r>
        <w:rPr>
          <w:rFonts w:hint="eastAsia" w:ascii="宋体" w:hAnsi="宋体" w:cs="仿宋_GB2312"/>
          <w:color w:val="auto"/>
          <w:szCs w:val="21"/>
          <w:highlight w:val="none"/>
        </w:rPr>
        <w:t>在本保函有效期内，因承包人违反合同约定而拒绝履行质保期相关义务时，我方在收到你方的书面通知后，在７天内无条件支付。但本保函的担保金额，在任何时候不应超过质保金金额。</w:t>
      </w:r>
    </w:p>
    <w:p>
      <w:pPr>
        <w:autoSpaceDE w:val="0"/>
        <w:autoSpaceDN w:val="0"/>
        <w:ind w:firstLine="420" w:firstLineChars="200"/>
        <w:rPr>
          <w:rFonts w:hint="eastAsia" w:ascii="宋体" w:hAnsi="宋体" w:cs="仿宋_GB2312"/>
          <w:color w:val="auto"/>
          <w:szCs w:val="21"/>
          <w:highlight w:val="none"/>
        </w:rPr>
      </w:pPr>
      <w:r>
        <w:rPr>
          <w:rFonts w:ascii="宋体" w:hAnsi="宋体" w:cs="TimesNewRomanPSMT"/>
          <w:color w:val="auto"/>
          <w:szCs w:val="21"/>
          <w:highlight w:val="none"/>
        </w:rPr>
        <w:t xml:space="preserve">4. </w:t>
      </w:r>
      <w:r>
        <w:rPr>
          <w:rFonts w:hint="eastAsia" w:ascii="宋体" w:hAnsi="宋体" w:cs="仿宋_GB2312"/>
          <w:color w:val="auto"/>
          <w:szCs w:val="21"/>
          <w:highlight w:val="none"/>
        </w:rPr>
        <w:t>发包人和承包人变更合同时，我方承担本保函规定的义务不变。</w:t>
      </w:r>
    </w:p>
    <w:p>
      <w:pPr>
        <w:autoSpaceDE w:val="0"/>
        <w:autoSpaceDN w:val="0"/>
        <w:ind w:firstLine="420" w:firstLineChars="200"/>
        <w:jc w:val="right"/>
        <w:rPr>
          <w:rFonts w:hint="eastAsia" w:ascii="宋体" w:hAnsi="宋体" w:cs="仿宋_GB2312"/>
          <w:color w:val="auto"/>
          <w:szCs w:val="21"/>
          <w:highlight w:val="none"/>
        </w:rPr>
      </w:pPr>
    </w:p>
    <w:p>
      <w:pPr>
        <w:autoSpaceDE w:val="0"/>
        <w:autoSpaceDN w:val="0"/>
        <w:ind w:firstLine="420" w:firstLineChars="200"/>
        <w:jc w:val="right"/>
        <w:rPr>
          <w:rFonts w:ascii="宋体" w:hAnsi="宋体" w:cs="仿宋_GB2312"/>
          <w:color w:val="auto"/>
          <w:szCs w:val="21"/>
          <w:highlight w:val="none"/>
        </w:rPr>
      </w:pPr>
      <w:r>
        <w:rPr>
          <w:rFonts w:hint="eastAsia" w:ascii="宋体" w:hAnsi="宋体" w:cs="仿宋_GB2312"/>
          <w:color w:val="auto"/>
          <w:szCs w:val="21"/>
          <w:highlight w:val="none"/>
        </w:rPr>
        <w:t>担</w:t>
      </w:r>
      <w:r>
        <w:rPr>
          <w:rFonts w:ascii="宋体" w:hAnsi="宋体" w:cs="仿宋_GB2312"/>
          <w:color w:val="auto"/>
          <w:szCs w:val="21"/>
          <w:highlight w:val="none"/>
        </w:rPr>
        <w:t xml:space="preserve"> </w:t>
      </w:r>
      <w:r>
        <w:rPr>
          <w:rFonts w:hint="eastAsia" w:ascii="宋体" w:hAnsi="宋体" w:cs="仿宋_GB2312"/>
          <w:color w:val="auto"/>
          <w:szCs w:val="21"/>
          <w:highlight w:val="none"/>
        </w:rPr>
        <w:t>保</w:t>
      </w:r>
      <w:r>
        <w:rPr>
          <w:rFonts w:ascii="宋体" w:hAnsi="宋体" w:cs="仿宋_GB2312"/>
          <w:color w:val="auto"/>
          <w:szCs w:val="21"/>
          <w:highlight w:val="none"/>
        </w:rPr>
        <w:t xml:space="preserve"> </w:t>
      </w:r>
      <w:r>
        <w:rPr>
          <w:rFonts w:hint="eastAsia" w:ascii="宋体" w:hAnsi="宋体" w:cs="仿宋_GB2312"/>
          <w:color w:val="auto"/>
          <w:szCs w:val="21"/>
          <w:highlight w:val="none"/>
        </w:rPr>
        <w:t>人：</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（盖单位章）</w:t>
      </w:r>
    </w:p>
    <w:p>
      <w:pPr>
        <w:autoSpaceDE w:val="0"/>
        <w:autoSpaceDN w:val="0"/>
        <w:jc w:val="right"/>
        <w:rPr>
          <w:rFonts w:ascii="宋体" w:hAnsi="宋体" w:cs="仿宋_GB2312"/>
          <w:color w:val="auto"/>
          <w:szCs w:val="21"/>
          <w:highlight w:val="none"/>
        </w:rPr>
      </w:pPr>
      <w:r>
        <w:rPr>
          <w:rFonts w:hint="eastAsia" w:ascii="宋体" w:hAnsi="宋体" w:cs="仿宋_GB2312"/>
          <w:color w:val="auto"/>
          <w:szCs w:val="21"/>
          <w:highlight w:val="none"/>
        </w:rPr>
        <w:t>法定代表人或其委托代理人：</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（签字）</w:t>
      </w:r>
    </w:p>
    <w:p>
      <w:pPr>
        <w:autoSpaceDE w:val="0"/>
        <w:autoSpaceDN w:val="0"/>
        <w:ind w:firstLine="3780" w:firstLineChars="1800"/>
        <w:rPr>
          <w:rFonts w:ascii="宋体" w:hAnsi="宋体" w:cs="仿宋_GB2312"/>
          <w:color w:val="auto"/>
          <w:szCs w:val="21"/>
          <w:highlight w:val="none"/>
          <w:u w:val="single"/>
        </w:rPr>
      </w:pPr>
      <w:r>
        <w:rPr>
          <w:rFonts w:hint="eastAsia" w:ascii="宋体" w:hAnsi="宋体" w:cs="仿宋_GB2312"/>
          <w:color w:val="auto"/>
          <w:szCs w:val="21"/>
          <w:highlight w:val="none"/>
        </w:rPr>
        <w:t>地</w:t>
      </w:r>
      <w:r>
        <w:rPr>
          <w:rFonts w:ascii="宋体" w:hAnsi="宋体" w:cs="仿宋_GB2312"/>
          <w:color w:val="auto"/>
          <w:szCs w:val="21"/>
          <w:highlight w:val="none"/>
        </w:rPr>
        <w:t xml:space="preserve"> </w:t>
      </w:r>
      <w:r>
        <w:rPr>
          <w:rFonts w:hint="eastAsia" w:ascii="宋体" w:hAnsi="宋体" w:cs="仿宋_GB2312"/>
          <w:color w:val="auto"/>
          <w:szCs w:val="21"/>
          <w:highlight w:val="none"/>
        </w:rPr>
        <w:t>址：</w:t>
      </w:r>
      <w:r>
        <w:rPr>
          <w:rFonts w:hint="eastAsia" w:ascii="宋体" w:hAnsi="宋体" w:cs="仿宋_GB2312"/>
          <w:color w:val="auto"/>
          <w:szCs w:val="21"/>
          <w:highlight w:val="none"/>
          <w:u w:val="single"/>
        </w:rPr>
        <w:t xml:space="preserve">                                         </w:t>
      </w:r>
    </w:p>
    <w:p>
      <w:pPr>
        <w:autoSpaceDE w:val="0"/>
        <w:autoSpaceDN w:val="0"/>
        <w:ind w:firstLine="3780" w:firstLineChars="1800"/>
        <w:rPr>
          <w:rFonts w:ascii="宋体" w:hAnsi="宋体" w:cs="仿宋_GB2312"/>
          <w:color w:val="auto"/>
          <w:szCs w:val="21"/>
          <w:highlight w:val="none"/>
          <w:u w:val="single"/>
        </w:rPr>
      </w:pPr>
      <w:r>
        <w:rPr>
          <w:rFonts w:hint="eastAsia" w:ascii="宋体" w:hAnsi="宋体" w:cs="仿宋_GB2312"/>
          <w:color w:val="auto"/>
          <w:szCs w:val="21"/>
          <w:highlight w:val="none"/>
        </w:rPr>
        <w:t>邮政编码：</w:t>
      </w:r>
      <w:r>
        <w:rPr>
          <w:rFonts w:hint="eastAsia" w:ascii="宋体" w:hAnsi="宋体" w:cs="仿宋_GB2312"/>
          <w:color w:val="auto"/>
          <w:szCs w:val="21"/>
          <w:highlight w:val="none"/>
          <w:u w:val="single"/>
        </w:rPr>
        <w:t xml:space="preserve">                                      </w:t>
      </w:r>
    </w:p>
    <w:p>
      <w:pPr>
        <w:autoSpaceDE w:val="0"/>
        <w:autoSpaceDN w:val="0"/>
        <w:ind w:firstLine="3780" w:firstLineChars="1800"/>
        <w:rPr>
          <w:rFonts w:ascii="宋体" w:hAnsi="宋体" w:cs="仿宋_GB2312"/>
          <w:color w:val="auto"/>
          <w:szCs w:val="21"/>
          <w:highlight w:val="none"/>
          <w:u w:val="single"/>
        </w:rPr>
      </w:pPr>
      <w:r>
        <w:rPr>
          <w:rFonts w:hint="eastAsia" w:ascii="宋体" w:hAnsi="宋体" w:cs="仿宋_GB2312"/>
          <w:color w:val="auto"/>
          <w:szCs w:val="21"/>
          <w:highlight w:val="none"/>
        </w:rPr>
        <w:t>电</w:t>
      </w:r>
      <w:r>
        <w:rPr>
          <w:rFonts w:ascii="宋体" w:hAnsi="宋体" w:cs="仿宋_GB2312"/>
          <w:color w:val="auto"/>
          <w:szCs w:val="21"/>
          <w:highlight w:val="none"/>
        </w:rPr>
        <w:t xml:space="preserve"> </w:t>
      </w:r>
      <w:r>
        <w:rPr>
          <w:rFonts w:hint="eastAsia" w:ascii="宋体" w:hAnsi="宋体" w:cs="仿宋_GB2312"/>
          <w:color w:val="auto"/>
          <w:szCs w:val="21"/>
          <w:highlight w:val="none"/>
        </w:rPr>
        <w:t>话：</w:t>
      </w:r>
      <w:r>
        <w:rPr>
          <w:rFonts w:hint="eastAsia" w:ascii="宋体" w:hAnsi="宋体" w:cs="仿宋_GB2312"/>
          <w:color w:val="auto"/>
          <w:szCs w:val="21"/>
          <w:highlight w:val="none"/>
          <w:u w:val="single"/>
        </w:rPr>
        <w:t xml:space="preserve">                                         </w:t>
      </w:r>
    </w:p>
    <w:p>
      <w:pPr>
        <w:autoSpaceDE w:val="0"/>
        <w:autoSpaceDN w:val="0"/>
        <w:ind w:firstLine="3780" w:firstLineChars="1800"/>
        <w:rPr>
          <w:rFonts w:ascii="宋体" w:hAnsi="宋体" w:cs="仿宋_GB2312"/>
          <w:color w:val="auto"/>
          <w:szCs w:val="21"/>
          <w:highlight w:val="none"/>
          <w:u w:val="single"/>
        </w:rPr>
      </w:pPr>
      <w:r>
        <w:rPr>
          <w:rFonts w:hint="eastAsia" w:ascii="宋体" w:hAnsi="宋体" w:cs="仿宋_GB2312"/>
          <w:color w:val="auto"/>
          <w:szCs w:val="21"/>
          <w:highlight w:val="none"/>
        </w:rPr>
        <w:t>传</w:t>
      </w:r>
      <w:r>
        <w:rPr>
          <w:rFonts w:ascii="宋体" w:hAnsi="宋体" w:cs="仿宋_GB2312"/>
          <w:color w:val="auto"/>
          <w:szCs w:val="21"/>
          <w:highlight w:val="none"/>
        </w:rPr>
        <w:t xml:space="preserve"> </w:t>
      </w:r>
      <w:r>
        <w:rPr>
          <w:rFonts w:hint="eastAsia" w:ascii="宋体" w:hAnsi="宋体" w:cs="仿宋_GB2312"/>
          <w:color w:val="auto"/>
          <w:szCs w:val="21"/>
          <w:highlight w:val="none"/>
        </w:rPr>
        <w:t>真：</w:t>
      </w:r>
      <w:r>
        <w:rPr>
          <w:rFonts w:hint="eastAsia" w:ascii="宋体" w:hAnsi="宋体" w:cs="仿宋_GB2312"/>
          <w:color w:val="auto"/>
          <w:szCs w:val="21"/>
          <w:highlight w:val="none"/>
          <w:u w:val="single"/>
        </w:rPr>
        <w:t xml:space="preserve">                                         </w:t>
      </w:r>
    </w:p>
    <w:p>
      <w:pPr>
        <w:pStyle w:val="22"/>
        <w:ind w:firstLine="420" w:firstLineChars="200"/>
        <w:jc w:val="center"/>
        <w:rPr>
          <w:rFonts w:hint="eastAsia" w:hAnsi="宋体"/>
          <w:color w:val="auto"/>
          <w:szCs w:val="21"/>
          <w:highlight w:val="none"/>
          <w:u w:val="single"/>
        </w:rPr>
      </w:pPr>
      <w:r>
        <w:rPr>
          <w:rFonts w:hint="eastAsia" w:hAnsi="宋体" w:cs="仿宋_GB2312"/>
          <w:color w:val="auto"/>
          <w:szCs w:val="21"/>
          <w:highlight w:val="none"/>
        </w:rPr>
        <w:t xml:space="preserve">                                                       </w:t>
      </w:r>
      <w:r>
        <w:rPr>
          <w:rFonts w:hint="eastAsia" w:hAnsi="宋体" w:cs="仿宋_GB2312"/>
          <w:color w:val="auto"/>
          <w:szCs w:val="21"/>
          <w:highlight w:val="none"/>
          <w:u w:val="single"/>
        </w:rPr>
        <w:t xml:space="preserve">     </w:t>
      </w:r>
      <w:r>
        <w:rPr>
          <w:rFonts w:hint="eastAsia" w:hAnsi="宋体" w:cs="仿宋_GB2312"/>
          <w:color w:val="auto"/>
          <w:szCs w:val="21"/>
          <w:highlight w:val="none"/>
        </w:rPr>
        <w:t>年</w:t>
      </w:r>
      <w:r>
        <w:rPr>
          <w:rFonts w:hint="eastAsia" w:hAnsi="宋体" w:cs="仿宋_GB2312"/>
          <w:color w:val="auto"/>
          <w:szCs w:val="21"/>
          <w:highlight w:val="none"/>
          <w:u w:val="single"/>
        </w:rPr>
        <w:t xml:space="preserve">      </w:t>
      </w:r>
      <w:r>
        <w:rPr>
          <w:rFonts w:hint="eastAsia" w:hAnsi="宋体" w:cs="仿宋_GB2312"/>
          <w:color w:val="auto"/>
          <w:szCs w:val="21"/>
          <w:highlight w:val="none"/>
        </w:rPr>
        <w:t>月</w:t>
      </w:r>
      <w:r>
        <w:rPr>
          <w:rFonts w:hint="eastAsia" w:hAnsi="宋体" w:cs="仿宋_GB2312"/>
          <w:color w:val="auto"/>
          <w:szCs w:val="21"/>
          <w:highlight w:val="none"/>
          <w:u w:val="single"/>
        </w:rPr>
        <w:t xml:space="preserve">      </w:t>
      </w:r>
      <w:r>
        <w:rPr>
          <w:rFonts w:hint="eastAsia" w:hAnsi="宋体" w:cs="仿宋_GB2312"/>
          <w:color w:val="auto"/>
          <w:szCs w:val="21"/>
          <w:highlight w:val="none"/>
        </w:rPr>
        <w:t>日</w:t>
      </w:r>
    </w:p>
    <w:p>
      <w:pPr>
        <w:outlineLvl w:val="2"/>
        <w:rPr>
          <w:rFonts w:hint="eastAsia"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附件三 安全文明施工协议书</w:t>
      </w:r>
      <w:bookmarkEnd w:id="2161"/>
    </w:p>
    <w:p>
      <w:pPr>
        <w:rPr>
          <w:rFonts w:hint="eastAsia" w:ascii="宋体" w:hAnsi="宋体"/>
          <w:color w:val="auto"/>
          <w:szCs w:val="21"/>
          <w:highlight w:val="none"/>
        </w:rPr>
      </w:pPr>
    </w:p>
    <w:p>
      <w:pPr>
        <w:jc w:val="center"/>
        <w:rPr>
          <w:rFonts w:ascii="宋体" w:hAnsi="宋体"/>
          <w:b/>
          <w:color w:val="auto"/>
          <w:szCs w:val="21"/>
          <w:highlight w:val="none"/>
        </w:rPr>
      </w:pPr>
      <w:bookmarkStart w:id="2162" w:name="_Toc247339745"/>
      <w:bookmarkStart w:id="2163" w:name="_Toc341772041"/>
      <w:r>
        <w:rPr>
          <w:rFonts w:hint="eastAsia" w:ascii="宋体" w:hAnsi="宋体"/>
          <w:b/>
          <w:color w:val="auto"/>
          <w:szCs w:val="21"/>
          <w:highlight w:val="none"/>
        </w:rPr>
        <w:t>发、承包工程安全文明施工协议书（施工）</w:t>
      </w:r>
    </w:p>
    <w:p>
      <w:pPr>
        <w:rPr>
          <w:rFonts w:ascii="宋体" w:hAnsi="宋体"/>
          <w:color w:val="auto"/>
          <w:szCs w:val="21"/>
          <w:highlight w:val="none"/>
        </w:rPr>
      </w:pPr>
    </w:p>
    <w:p>
      <w:pPr>
        <w:ind w:firstLine="420" w:firstLineChars="200"/>
        <w:rPr>
          <w:rFonts w:ascii="宋体" w:hAnsi="宋体"/>
          <w:color w:val="auto"/>
          <w:szCs w:val="21"/>
          <w:highlight w:val="none"/>
          <w:u w:val="single"/>
        </w:rPr>
      </w:pPr>
      <w:r>
        <w:rPr>
          <w:rFonts w:hint="eastAsia" w:ascii="宋体" w:hAnsi="宋体"/>
          <w:color w:val="auto"/>
          <w:szCs w:val="21"/>
          <w:highlight w:val="none"/>
        </w:rPr>
        <w:t>发包单位（甲方）：</w:t>
      </w:r>
      <w:r>
        <w:rPr>
          <w:rFonts w:hint="eastAsia" w:ascii="宋体" w:hAnsi="宋体"/>
          <w:color w:val="auto"/>
          <w:szCs w:val="21"/>
          <w:highlight w:val="none"/>
          <w:u w:val="single"/>
        </w:rPr>
        <w:t xml:space="preserve">                          </w:t>
      </w:r>
    </w:p>
    <w:p>
      <w:pPr>
        <w:ind w:firstLine="420" w:firstLineChars="200"/>
        <w:rPr>
          <w:rFonts w:ascii="宋体" w:hAnsi="宋体"/>
          <w:color w:val="auto"/>
          <w:szCs w:val="21"/>
          <w:highlight w:val="none"/>
        </w:rPr>
      </w:pPr>
      <w:r>
        <w:rPr>
          <w:rFonts w:hint="eastAsia" w:ascii="宋体" w:hAnsi="宋体"/>
          <w:color w:val="auto"/>
          <w:szCs w:val="21"/>
          <w:highlight w:val="none"/>
        </w:rPr>
        <w:t>承包单位（乙方）：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ind w:firstLine="420" w:firstLineChars="200"/>
        <w:rPr>
          <w:rFonts w:ascii="宋体" w:hAnsi="宋体"/>
          <w:color w:val="auto"/>
          <w:szCs w:val="21"/>
          <w:highlight w:val="none"/>
        </w:rPr>
      </w:pPr>
      <w:r>
        <w:rPr>
          <w:rFonts w:hint="eastAsia" w:ascii="宋体" w:hAnsi="宋体"/>
          <w:color w:val="auto"/>
          <w:szCs w:val="21"/>
          <w:highlight w:val="none"/>
        </w:rPr>
        <w:t>工程内容：</w:t>
      </w:r>
      <w:r>
        <w:rPr>
          <w:rFonts w:hint="eastAsia" w:ascii="宋体" w:hAnsi="宋体"/>
          <w:color w:val="auto"/>
          <w:szCs w:val="21"/>
          <w:highlight w:val="none"/>
          <w:u w:val="single"/>
        </w:rPr>
        <w:t xml:space="preserve">                          </w:t>
      </w:r>
    </w:p>
    <w:p>
      <w:pPr>
        <w:ind w:firstLine="420" w:firstLineChars="200"/>
        <w:rPr>
          <w:rFonts w:ascii="宋体" w:hAnsi="宋体"/>
          <w:color w:val="auto"/>
          <w:szCs w:val="21"/>
          <w:highlight w:val="none"/>
        </w:rPr>
      </w:pPr>
      <w:r>
        <w:rPr>
          <w:rFonts w:hint="eastAsia" w:ascii="宋体" w:hAnsi="宋体"/>
          <w:color w:val="auto"/>
          <w:szCs w:val="21"/>
          <w:highlight w:val="none"/>
        </w:rPr>
        <w:t>工程地点：</w:t>
      </w:r>
      <w:r>
        <w:rPr>
          <w:rFonts w:hint="eastAsia" w:ascii="宋体" w:hAnsi="宋体"/>
          <w:color w:val="auto"/>
          <w:szCs w:val="21"/>
          <w:highlight w:val="none"/>
          <w:u w:val="single"/>
        </w:rPr>
        <w:t xml:space="preserve">                          </w:t>
      </w:r>
    </w:p>
    <w:p>
      <w:pPr>
        <w:ind w:firstLine="420" w:firstLineChars="200"/>
        <w:rPr>
          <w:rFonts w:hint="eastAsia" w:ascii="宋体" w:hAnsi="宋体"/>
          <w:color w:val="auto"/>
          <w:szCs w:val="21"/>
          <w:highlight w:val="none"/>
        </w:rPr>
      </w:pPr>
      <w:r>
        <w:rPr>
          <w:rFonts w:hint="eastAsia" w:ascii="宋体" w:hAnsi="宋体"/>
          <w:color w:val="auto"/>
          <w:szCs w:val="21"/>
          <w:highlight w:val="none"/>
        </w:rPr>
        <w:t>工程期限：从工程开工至合同范围内的所有项目全部投产</w:t>
      </w:r>
    </w:p>
    <w:p>
      <w:pPr>
        <w:ind w:firstLine="422" w:firstLineChars="200"/>
        <w:rPr>
          <w:rFonts w:ascii="宋体" w:hAnsi="宋体"/>
          <w:color w:val="auto"/>
          <w:szCs w:val="21"/>
          <w:highlight w:val="none"/>
        </w:rPr>
      </w:pPr>
      <w:r>
        <w:rPr>
          <w:rFonts w:hint="eastAsia" w:ascii="宋体" w:hAnsi="宋体"/>
          <w:b/>
          <w:color w:val="auto"/>
          <w:szCs w:val="21"/>
          <w:highlight w:val="none"/>
        </w:rPr>
        <w:t>一、甲方安全责任</w:t>
      </w:r>
    </w:p>
    <w:p>
      <w:pPr>
        <w:ind w:firstLine="525" w:firstLineChars="250"/>
        <w:rPr>
          <w:rFonts w:ascii="宋体" w:hAnsi="宋体"/>
          <w:color w:val="auto"/>
          <w:szCs w:val="21"/>
          <w:highlight w:val="none"/>
        </w:rPr>
      </w:pPr>
      <w:r>
        <w:rPr>
          <w:rFonts w:hint="eastAsia" w:ascii="宋体" w:hAnsi="宋体"/>
          <w:color w:val="auto"/>
          <w:szCs w:val="21"/>
          <w:highlight w:val="none"/>
        </w:rPr>
        <w:t>1．贯彻落实《中华人民共和国安全生产法》、《中华人民共和国特种设备安全法》、《建设工程安全生产管理条例》、《电力监管条例》、《生产安全事故报告和调查处理条例》，</w:t>
      </w:r>
      <w:r>
        <w:rPr>
          <w:rFonts w:ascii="宋体" w:hAnsi="宋体"/>
          <w:color w:val="auto"/>
          <w:szCs w:val="21"/>
          <w:highlight w:val="none"/>
        </w:rPr>
        <w:t xml:space="preserve"> </w:t>
      </w:r>
      <w:r>
        <w:rPr>
          <w:rFonts w:hint="eastAsia" w:ascii="宋体" w:hAnsi="宋体"/>
          <w:color w:val="auto"/>
          <w:szCs w:val="21"/>
          <w:highlight w:val="none"/>
        </w:rPr>
        <w:t>《电力建设工程施工安全监督管理办法》等国家法律法规、行业标准及南方电网公司</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广州市公共交通集团有限公司</w:t>
      </w:r>
      <w:r>
        <w:rPr>
          <w:rFonts w:hint="eastAsia" w:ascii="宋体" w:hAnsi="宋体"/>
          <w:color w:val="auto"/>
          <w:szCs w:val="21"/>
          <w:highlight w:val="none"/>
        </w:rPr>
        <w:t>管理规定。</w:t>
      </w:r>
    </w:p>
    <w:p>
      <w:pPr>
        <w:ind w:firstLine="525" w:firstLineChars="250"/>
        <w:rPr>
          <w:rFonts w:ascii="宋体" w:hAnsi="宋体"/>
          <w:color w:val="auto"/>
          <w:szCs w:val="21"/>
          <w:highlight w:val="none"/>
        </w:rPr>
      </w:pPr>
      <w:r>
        <w:rPr>
          <w:rFonts w:hint="eastAsia" w:ascii="宋体" w:hAnsi="宋体"/>
          <w:color w:val="auto"/>
          <w:szCs w:val="21"/>
          <w:highlight w:val="none"/>
        </w:rPr>
        <w:t>2．建立健全安全生产保证体系和监督体系，建立安全生产责任制和安全生产规章制度，并逐级落实，保证电力建设工程施工安全。</w:t>
      </w:r>
    </w:p>
    <w:p>
      <w:pPr>
        <w:ind w:firstLine="525" w:firstLineChars="250"/>
        <w:rPr>
          <w:rFonts w:ascii="宋体" w:hAnsi="宋体"/>
          <w:color w:val="auto"/>
          <w:szCs w:val="21"/>
          <w:highlight w:val="none"/>
        </w:rPr>
      </w:pPr>
      <w:r>
        <w:rPr>
          <w:rFonts w:hint="eastAsia" w:ascii="宋体" w:hAnsi="宋体"/>
          <w:color w:val="auto"/>
          <w:szCs w:val="21"/>
          <w:highlight w:val="none"/>
        </w:rPr>
        <w:t>3．建立健全安全生产组织和管理机制，负责电力建设工程安全生产组织、协调、监督职责。</w:t>
      </w:r>
    </w:p>
    <w:p>
      <w:pPr>
        <w:ind w:firstLine="525" w:firstLineChars="250"/>
        <w:rPr>
          <w:rFonts w:ascii="宋体" w:hAnsi="宋体"/>
          <w:color w:val="auto"/>
          <w:szCs w:val="21"/>
          <w:highlight w:val="none"/>
        </w:rPr>
      </w:pPr>
      <w:r>
        <w:rPr>
          <w:rFonts w:hint="eastAsia" w:ascii="宋体" w:hAnsi="宋体"/>
          <w:color w:val="auto"/>
          <w:szCs w:val="21"/>
          <w:highlight w:val="none"/>
        </w:rPr>
        <w:t>4．建立健全安全生产监督检查和隐患排查治理机制，实施施工现场全过程安全管理和监督检查，及时纠正乙方施工人员违章指挥、违章作业、违反劳动纪律行为，并按照有关规定督促整改。</w:t>
      </w:r>
    </w:p>
    <w:p>
      <w:pPr>
        <w:ind w:firstLine="525" w:firstLineChars="250"/>
        <w:rPr>
          <w:rFonts w:ascii="宋体" w:hAnsi="宋体"/>
          <w:color w:val="auto"/>
          <w:szCs w:val="21"/>
          <w:highlight w:val="none"/>
        </w:rPr>
      </w:pPr>
      <w:r>
        <w:rPr>
          <w:rFonts w:hint="eastAsia" w:ascii="宋体" w:hAnsi="宋体"/>
          <w:color w:val="auto"/>
          <w:szCs w:val="21"/>
          <w:highlight w:val="none"/>
        </w:rPr>
        <w:t>5．建立健全安全生产应急响应和事故处置机制，实施突发事件应急抢险和事故救援。</w:t>
      </w:r>
    </w:p>
    <w:p>
      <w:pPr>
        <w:ind w:firstLine="525" w:firstLineChars="250"/>
        <w:rPr>
          <w:rFonts w:ascii="宋体" w:hAnsi="宋体"/>
          <w:color w:val="auto"/>
          <w:szCs w:val="21"/>
          <w:highlight w:val="none"/>
        </w:rPr>
      </w:pPr>
      <w:r>
        <w:rPr>
          <w:rFonts w:hint="eastAsia" w:ascii="宋体" w:hAnsi="宋体"/>
          <w:color w:val="auto"/>
          <w:szCs w:val="21"/>
          <w:highlight w:val="none"/>
        </w:rPr>
        <w:t>6．对乙方进行资质审查，确认乙方符合承包本工程的各项要求。</w:t>
      </w:r>
    </w:p>
    <w:p>
      <w:pPr>
        <w:ind w:firstLine="525" w:firstLineChars="250"/>
        <w:rPr>
          <w:rFonts w:ascii="宋体" w:hAnsi="宋体"/>
          <w:color w:val="auto"/>
          <w:szCs w:val="21"/>
          <w:highlight w:val="none"/>
        </w:rPr>
      </w:pPr>
      <w:r>
        <w:rPr>
          <w:rFonts w:hint="eastAsia" w:ascii="宋体" w:hAnsi="宋体"/>
          <w:color w:val="auto"/>
          <w:szCs w:val="21"/>
          <w:highlight w:val="none"/>
        </w:rPr>
        <w:t>7．应当审查确认乙方项目负责人、专职安全生产管理人员等项目管理人员及特种作业人员、特种设备操作人员满足国家规定的资格要求，同时督促乙方落实施工现场一般作业人员管理。</w:t>
      </w:r>
    </w:p>
    <w:p>
      <w:pPr>
        <w:ind w:firstLine="525" w:firstLineChars="250"/>
        <w:rPr>
          <w:rFonts w:ascii="宋体" w:hAnsi="宋体"/>
          <w:color w:val="auto"/>
          <w:szCs w:val="21"/>
          <w:highlight w:val="none"/>
        </w:rPr>
      </w:pPr>
      <w:r>
        <w:rPr>
          <w:rFonts w:hint="eastAsia" w:ascii="宋体" w:hAnsi="宋体"/>
          <w:color w:val="auto"/>
          <w:szCs w:val="21"/>
          <w:highlight w:val="none"/>
        </w:rPr>
        <w:t>8．开工前向乙方项目负责人、工程技术人员和安全生产管理人员等进行全面的安全技术交底，并留存有双方签名的、完整的记录或资料。</w:t>
      </w:r>
    </w:p>
    <w:p>
      <w:pPr>
        <w:ind w:firstLine="525" w:firstLineChars="250"/>
        <w:rPr>
          <w:rFonts w:ascii="宋体" w:hAnsi="宋体"/>
          <w:color w:val="auto"/>
          <w:szCs w:val="21"/>
          <w:highlight w:val="none"/>
        </w:rPr>
      </w:pPr>
      <w:r>
        <w:rPr>
          <w:rFonts w:hint="eastAsia" w:ascii="宋体" w:hAnsi="宋体"/>
          <w:color w:val="auto"/>
          <w:szCs w:val="21"/>
          <w:highlight w:val="none"/>
        </w:rPr>
        <w:t>9．本工程是在有危险性的电力生产区域内作业，有可能造成火灾、爆炸、触电、中毒、窒息、机械伤害、烧烫伤等及可能引起生产设备停电、停运事故；乙方应事先制订相应的安全技术措施，经甲方审查合格后监督乙方实施。</w:t>
      </w:r>
    </w:p>
    <w:p>
      <w:pPr>
        <w:ind w:firstLine="413" w:firstLineChars="196"/>
        <w:rPr>
          <w:rFonts w:ascii="宋体" w:hAnsi="宋体"/>
          <w:b/>
          <w:color w:val="auto"/>
          <w:szCs w:val="21"/>
          <w:highlight w:val="none"/>
        </w:rPr>
      </w:pPr>
      <w:r>
        <w:rPr>
          <w:rFonts w:hint="eastAsia" w:ascii="宋体" w:hAnsi="宋体"/>
          <w:b/>
          <w:color w:val="auto"/>
          <w:szCs w:val="21"/>
          <w:highlight w:val="none"/>
        </w:rPr>
        <w:t>二、乙方安全责任</w:t>
      </w:r>
    </w:p>
    <w:p>
      <w:pPr>
        <w:ind w:firstLine="525" w:firstLineChars="250"/>
        <w:rPr>
          <w:rFonts w:ascii="宋体" w:hAnsi="宋体"/>
          <w:color w:val="auto"/>
          <w:szCs w:val="21"/>
          <w:highlight w:val="none"/>
        </w:rPr>
      </w:pPr>
      <w:r>
        <w:rPr>
          <w:rFonts w:hint="eastAsia" w:ascii="宋体" w:hAnsi="宋体"/>
          <w:color w:val="auto"/>
          <w:szCs w:val="21"/>
          <w:highlight w:val="none"/>
        </w:rPr>
        <w:t>1．严格执行《中华人民共和国安全生产法》、《中华人民共和国特种设备安全法》、《建设工程安全生产管理条例》、《电力监管条例》、《生产安全事故报告和调查处理条例》，</w:t>
      </w:r>
      <w:r>
        <w:rPr>
          <w:rFonts w:ascii="宋体" w:hAnsi="宋体"/>
          <w:color w:val="auto"/>
          <w:szCs w:val="21"/>
          <w:highlight w:val="none"/>
        </w:rPr>
        <w:t xml:space="preserve"> </w:t>
      </w:r>
      <w:r>
        <w:rPr>
          <w:rFonts w:hint="eastAsia" w:ascii="宋体" w:hAnsi="宋体"/>
          <w:color w:val="auto"/>
          <w:szCs w:val="21"/>
          <w:highlight w:val="none"/>
        </w:rPr>
        <w:t>《电力建设工程施工安全监督管理办法》、《电力安全工作规程》、《电力建设安全工作规程》等国家法律法规、行业标准及南方电网公司</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广州市公共交通集团有限公司</w:t>
      </w:r>
      <w:r>
        <w:rPr>
          <w:rFonts w:hint="eastAsia" w:ascii="宋体" w:hAnsi="宋体"/>
          <w:color w:val="auto"/>
          <w:szCs w:val="21"/>
          <w:highlight w:val="none"/>
        </w:rPr>
        <w:t>管理规定。</w:t>
      </w:r>
    </w:p>
    <w:p>
      <w:pPr>
        <w:ind w:firstLine="525" w:firstLineChars="250"/>
        <w:rPr>
          <w:rFonts w:ascii="宋体" w:hAnsi="宋体"/>
          <w:color w:val="auto"/>
          <w:szCs w:val="21"/>
          <w:highlight w:val="none"/>
        </w:rPr>
      </w:pPr>
      <w:r>
        <w:rPr>
          <w:rFonts w:hint="eastAsia" w:ascii="宋体" w:hAnsi="宋体"/>
          <w:color w:val="auto"/>
          <w:szCs w:val="21"/>
          <w:highlight w:val="none"/>
        </w:rPr>
        <w:t>2．乙方应当具备承接本工程相应的资质等级，具备国家、行业及南方电网公司</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广州市公共交通集团有限公司</w:t>
      </w:r>
      <w:r>
        <w:rPr>
          <w:rFonts w:hint="eastAsia" w:ascii="宋体" w:hAnsi="宋体"/>
          <w:color w:val="auto"/>
          <w:szCs w:val="21"/>
          <w:highlight w:val="none"/>
        </w:rPr>
        <w:t>规定的安全生产条件，取得安全生产许可证，在许可的范围内从事电力建设工程施工活动。</w:t>
      </w:r>
    </w:p>
    <w:p>
      <w:pPr>
        <w:ind w:firstLine="525" w:firstLineChars="250"/>
        <w:rPr>
          <w:rFonts w:ascii="宋体" w:hAnsi="宋体"/>
          <w:color w:val="auto"/>
          <w:szCs w:val="21"/>
          <w:highlight w:val="none"/>
        </w:rPr>
      </w:pPr>
      <w:r>
        <w:rPr>
          <w:rFonts w:hint="eastAsia" w:ascii="宋体" w:hAnsi="宋体"/>
          <w:color w:val="auto"/>
          <w:szCs w:val="21"/>
          <w:highlight w:val="none"/>
        </w:rPr>
        <w:t>3．建立健全安全生产保证体系和监督体系，建立安全生产责任制和安全生产规章制度，并逐级落实，保证电力建设工程施工安全。</w:t>
      </w:r>
    </w:p>
    <w:p>
      <w:pPr>
        <w:ind w:firstLine="525" w:firstLineChars="250"/>
        <w:rPr>
          <w:rFonts w:ascii="宋体" w:hAnsi="宋体"/>
          <w:color w:val="auto"/>
          <w:szCs w:val="21"/>
          <w:highlight w:val="none"/>
        </w:rPr>
      </w:pPr>
      <w:r>
        <w:rPr>
          <w:rFonts w:hint="eastAsia" w:ascii="宋体" w:hAnsi="宋体"/>
          <w:color w:val="auto"/>
          <w:szCs w:val="21"/>
          <w:highlight w:val="none"/>
        </w:rPr>
        <w:t>4．乙方应当按照国家法律法规、行业标准及南方电网公司管理规定组织施工，对其施工现场的安全生产负责。应当设立安全生产管理机构，按规定配备专（兼）职安全生产管理人员，制定安全管理制度和操作规程。</w:t>
      </w:r>
    </w:p>
    <w:p>
      <w:pPr>
        <w:ind w:firstLine="525" w:firstLineChars="250"/>
        <w:rPr>
          <w:rFonts w:ascii="宋体" w:hAnsi="宋体"/>
          <w:color w:val="auto"/>
          <w:szCs w:val="21"/>
          <w:highlight w:val="none"/>
        </w:rPr>
      </w:pPr>
      <w:r>
        <w:rPr>
          <w:rFonts w:hint="eastAsia" w:ascii="宋体" w:hAnsi="宋体"/>
          <w:color w:val="auto"/>
          <w:szCs w:val="21"/>
          <w:highlight w:val="none"/>
        </w:rPr>
        <w:t>5．乙方应当按照国家有关规定计列和使用安全生产费用。应当编制安全生产费用使用计划，专款专用。</w:t>
      </w:r>
    </w:p>
    <w:p>
      <w:pPr>
        <w:ind w:firstLine="525" w:firstLineChars="250"/>
        <w:rPr>
          <w:rFonts w:ascii="宋体" w:hAnsi="宋体"/>
          <w:color w:val="auto"/>
          <w:szCs w:val="21"/>
          <w:highlight w:val="none"/>
        </w:rPr>
      </w:pPr>
      <w:r>
        <w:rPr>
          <w:rFonts w:hint="eastAsia" w:ascii="宋体" w:hAnsi="宋体"/>
          <w:color w:val="auto"/>
          <w:szCs w:val="21"/>
          <w:highlight w:val="none"/>
        </w:rPr>
        <w:t>6.确保项目负责人、专职安全生产管理人员等项目管理人员及特种作业人员、特种设备操作人员满足国家规定的资格要求，同时严格落实施工现场一般作业人员的管理措施。严禁使用未成年工和不适应现场安全施工要求的老、弱、病、残人员进行施工。</w:t>
      </w:r>
    </w:p>
    <w:p>
      <w:pPr>
        <w:ind w:firstLine="525" w:firstLineChars="250"/>
        <w:rPr>
          <w:rFonts w:ascii="宋体" w:hAnsi="宋体"/>
          <w:color w:val="auto"/>
          <w:szCs w:val="21"/>
          <w:highlight w:val="none"/>
        </w:rPr>
      </w:pPr>
      <w:r>
        <w:rPr>
          <w:rFonts w:hint="eastAsia" w:ascii="宋体" w:hAnsi="宋体"/>
          <w:color w:val="auto"/>
          <w:szCs w:val="21"/>
          <w:highlight w:val="none"/>
        </w:rPr>
        <w:t>7．开工前，应当开展现场查勘，编制施工组织设计、施工方案和安全技术措施并按技术管理相关规定报建设单位、监理单位同意。</w:t>
      </w:r>
    </w:p>
    <w:p>
      <w:pPr>
        <w:ind w:firstLine="525" w:firstLineChars="250"/>
        <w:rPr>
          <w:rFonts w:ascii="宋体" w:hAnsi="宋体"/>
          <w:color w:val="auto"/>
          <w:szCs w:val="21"/>
          <w:highlight w:val="none"/>
        </w:rPr>
      </w:pPr>
      <w:r>
        <w:rPr>
          <w:rFonts w:hint="eastAsia" w:ascii="宋体" w:hAnsi="宋体"/>
          <w:color w:val="auto"/>
          <w:szCs w:val="21"/>
          <w:highlight w:val="none"/>
        </w:rPr>
        <w:t>8.分部分项工程施工前，施工单位负责项目管理的技术人员应当向作业人员进行安全技术交底，如实告知作业场所和工作岗位可能存在的风险因素、防范措施以及现场应急处置方案，并由双方签字确认；对复杂自然条件、复杂结构、技术难度大及危险性较大的分部分项工程需编制专项施工方案并附安全验算结果，必要时召开专家会议论证确认。</w:t>
      </w:r>
    </w:p>
    <w:p>
      <w:pPr>
        <w:ind w:firstLine="525" w:firstLineChars="250"/>
        <w:rPr>
          <w:rFonts w:ascii="宋体" w:hAnsi="宋体"/>
          <w:color w:val="auto"/>
          <w:szCs w:val="21"/>
          <w:highlight w:val="none"/>
        </w:rPr>
      </w:pPr>
      <w:r>
        <w:rPr>
          <w:rFonts w:hint="eastAsia" w:ascii="宋体" w:hAnsi="宋体"/>
          <w:color w:val="auto"/>
          <w:szCs w:val="21"/>
          <w:highlight w:val="none"/>
        </w:rPr>
        <w:t>9．应当定期组织施工现场安全检查和隐患排查治理，严格落实施工现场安全措施，杜绝违章指挥、违章作业、违反劳动纪律行为发生。</w:t>
      </w:r>
    </w:p>
    <w:p>
      <w:pPr>
        <w:ind w:firstLine="525" w:firstLineChars="250"/>
        <w:rPr>
          <w:rFonts w:ascii="宋体" w:hAnsi="宋体"/>
          <w:color w:val="auto"/>
          <w:szCs w:val="21"/>
          <w:highlight w:val="none"/>
        </w:rPr>
      </w:pPr>
      <w:r>
        <w:rPr>
          <w:rFonts w:hint="eastAsia" w:ascii="宋体" w:hAnsi="宋体"/>
          <w:color w:val="auto"/>
          <w:szCs w:val="21"/>
          <w:highlight w:val="none"/>
        </w:rPr>
        <w:t>10．应当对因电力建设工程施工可能造成损害和影响的毗邻建筑物、构筑物、地下管线、架空线缆、设施及周边环境采取专项防护措施。对施工现场出入口、通道口、孔洞口、邻近带电区、易燃易爆及危险化学品存放处等危险区域和部位采取防护措施并设置明显的安全警示标志。</w:t>
      </w:r>
    </w:p>
    <w:p>
      <w:pPr>
        <w:ind w:firstLine="525" w:firstLineChars="250"/>
        <w:rPr>
          <w:rFonts w:ascii="宋体" w:hAnsi="宋体"/>
          <w:color w:val="auto"/>
          <w:szCs w:val="21"/>
          <w:highlight w:val="none"/>
        </w:rPr>
      </w:pPr>
      <w:r>
        <w:rPr>
          <w:rFonts w:hint="eastAsia" w:ascii="宋体" w:hAnsi="宋体"/>
          <w:color w:val="auto"/>
          <w:szCs w:val="21"/>
          <w:highlight w:val="none"/>
        </w:rPr>
        <w:t>11．应当制定用火、用电、易燃易爆材料使用等消防安全管理制度，确定消防安全责任人，按规定设置消防通道、消防水源，配备消防设施和灭火器材。</w:t>
      </w:r>
    </w:p>
    <w:p>
      <w:pPr>
        <w:ind w:firstLine="525" w:firstLineChars="250"/>
        <w:rPr>
          <w:rFonts w:ascii="宋体" w:hAnsi="宋体"/>
          <w:color w:val="auto"/>
          <w:szCs w:val="21"/>
          <w:highlight w:val="none"/>
        </w:rPr>
      </w:pPr>
      <w:r>
        <w:rPr>
          <w:rFonts w:hint="eastAsia" w:ascii="宋体" w:hAnsi="宋体"/>
          <w:color w:val="auto"/>
          <w:szCs w:val="21"/>
          <w:highlight w:val="none"/>
        </w:rPr>
        <w:t>12．应当按照国家、行业、南方电网公司</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广州市公共交通集团有限公司</w:t>
      </w:r>
      <w:r>
        <w:rPr>
          <w:rFonts w:hint="eastAsia" w:ascii="宋体" w:hAnsi="宋体"/>
          <w:color w:val="auto"/>
          <w:szCs w:val="21"/>
          <w:highlight w:val="none"/>
        </w:rPr>
        <w:t>管理规定采购、租赁、验收、检测、发放、使用、维护和管理施工机械、特种设备，建立施工设备安全管理制度、安全操作规程及相应的管理台帐（清册）和维保记录档案。</w:t>
      </w:r>
    </w:p>
    <w:p>
      <w:pPr>
        <w:ind w:firstLine="525" w:firstLineChars="250"/>
        <w:rPr>
          <w:rFonts w:ascii="宋体" w:hAnsi="宋体"/>
          <w:color w:val="auto"/>
          <w:szCs w:val="21"/>
          <w:highlight w:val="none"/>
        </w:rPr>
      </w:pPr>
      <w:r>
        <w:rPr>
          <w:rFonts w:hint="eastAsia" w:ascii="宋体" w:hAnsi="宋体"/>
          <w:color w:val="auto"/>
          <w:szCs w:val="21"/>
          <w:highlight w:val="none"/>
        </w:rPr>
        <w:t>13．开工前对施工机械与机具及安全防护设施进行全面检查，确保符合相应安全规定方可使用。</w:t>
      </w:r>
    </w:p>
    <w:p>
      <w:pPr>
        <w:ind w:firstLine="525" w:firstLineChars="250"/>
        <w:rPr>
          <w:rFonts w:ascii="宋体" w:hAnsi="宋体"/>
          <w:color w:val="auto"/>
          <w:szCs w:val="21"/>
          <w:highlight w:val="none"/>
        </w:rPr>
      </w:pPr>
      <w:r>
        <w:rPr>
          <w:rFonts w:hint="eastAsia" w:ascii="宋体" w:hAnsi="宋体"/>
          <w:color w:val="auto"/>
          <w:szCs w:val="21"/>
          <w:highlight w:val="none"/>
        </w:rPr>
        <w:t>14．应当按照相关规定组织开展安全生产教育培训工作。项目负责人、专职安全生产管理人员、特种作业人员需经培训合格后持证上岗，新入场人员应当按规定经过三级安全教育。</w:t>
      </w:r>
    </w:p>
    <w:p>
      <w:pPr>
        <w:ind w:firstLine="525" w:firstLineChars="250"/>
        <w:rPr>
          <w:rFonts w:ascii="宋体" w:hAnsi="宋体"/>
          <w:color w:val="auto"/>
          <w:szCs w:val="21"/>
          <w:highlight w:val="none"/>
        </w:rPr>
      </w:pPr>
      <w:r>
        <w:rPr>
          <w:rFonts w:hint="eastAsia" w:ascii="宋体" w:hAnsi="宋体"/>
          <w:color w:val="auto"/>
          <w:szCs w:val="21"/>
          <w:highlight w:val="none"/>
        </w:rPr>
        <w:t>15．对工程进行调试、试运行前，应当按照法律法规和工程建设强制性标准，编制调试大纲、试验方案，对各项试验方案制定安全技术措施并严格实施。</w:t>
      </w:r>
    </w:p>
    <w:p>
      <w:pPr>
        <w:ind w:firstLine="525" w:firstLineChars="250"/>
        <w:rPr>
          <w:rFonts w:ascii="宋体" w:hAnsi="宋体"/>
          <w:color w:val="auto"/>
          <w:szCs w:val="21"/>
          <w:highlight w:val="none"/>
        </w:rPr>
      </w:pPr>
      <w:r>
        <w:rPr>
          <w:rFonts w:hint="eastAsia" w:ascii="宋体" w:hAnsi="宋体"/>
          <w:color w:val="auto"/>
          <w:szCs w:val="21"/>
          <w:highlight w:val="none"/>
        </w:rPr>
        <w:t>16．应当根据工程施工特点、范围，制定应急救援预案、现场处置方案，对施工现场易发生事故的部位、环节进行监控。</w:t>
      </w:r>
    </w:p>
    <w:p>
      <w:pPr>
        <w:ind w:firstLine="525" w:firstLineChars="250"/>
        <w:rPr>
          <w:rFonts w:ascii="宋体" w:hAnsi="宋体"/>
          <w:color w:val="auto"/>
          <w:szCs w:val="21"/>
          <w:highlight w:val="none"/>
        </w:rPr>
      </w:pPr>
      <w:r>
        <w:rPr>
          <w:rFonts w:hint="eastAsia" w:ascii="宋体" w:hAnsi="宋体"/>
          <w:color w:val="auto"/>
          <w:szCs w:val="21"/>
          <w:highlight w:val="none"/>
        </w:rPr>
        <w:t>17．施工中，严格执行《电力安全工作规程》、《电力建设安全工作规程》和甲方颁布的安全、文明生产规定。进入电力生产区域内施工，严格执行工作票制度。对规定可以不办理工作票的工作，开工前应征得值班负责人的同意方可进入施工现场。</w:t>
      </w:r>
    </w:p>
    <w:p>
      <w:pPr>
        <w:ind w:firstLine="525" w:firstLineChars="250"/>
        <w:rPr>
          <w:rFonts w:ascii="宋体" w:hAnsi="宋体"/>
          <w:color w:val="auto"/>
          <w:szCs w:val="21"/>
          <w:highlight w:val="none"/>
        </w:rPr>
      </w:pPr>
      <w:r>
        <w:rPr>
          <w:rFonts w:hint="eastAsia" w:ascii="宋体" w:hAnsi="宋体"/>
          <w:color w:val="auto"/>
          <w:szCs w:val="21"/>
          <w:highlight w:val="none"/>
        </w:rPr>
        <w:t>18．开工前组织施工人员学习上述规程、规定中与本工程施工有关部分，经考试合格并将考试成绩单盖乙方安监部门或乙方分公司章报甲方备案，经甲方确认后方可进行工作。</w:t>
      </w:r>
      <w:r>
        <w:rPr>
          <w:rFonts w:ascii="宋体" w:hAnsi="宋体"/>
          <w:color w:val="auto"/>
          <w:szCs w:val="21"/>
          <w:highlight w:val="none"/>
        </w:rPr>
        <w:t xml:space="preserve"> </w:t>
      </w:r>
    </w:p>
    <w:p>
      <w:pPr>
        <w:ind w:firstLine="525" w:firstLineChars="250"/>
        <w:rPr>
          <w:rFonts w:ascii="宋体" w:hAnsi="宋体"/>
          <w:color w:val="auto"/>
          <w:szCs w:val="21"/>
          <w:highlight w:val="none"/>
        </w:rPr>
      </w:pPr>
      <w:r>
        <w:rPr>
          <w:rFonts w:hint="eastAsia" w:ascii="宋体" w:hAnsi="宋体"/>
          <w:color w:val="auto"/>
          <w:szCs w:val="21"/>
          <w:highlight w:val="none"/>
        </w:rPr>
        <w:t>19．严禁转包、违法分包。</w:t>
      </w:r>
    </w:p>
    <w:p>
      <w:pPr>
        <w:ind w:firstLine="525" w:firstLineChars="250"/>
        <w:rPr>
          <w:rFonts w:ascii="宋体" w:hAnsi="宋体"/>
          <w:color w:val="auto"/>
          <w:szCs w:val="21"/>
          <w:highlight w:val="none"/>
        </w:rPr>
      </w:pPr>
      <w:r>
        <w:rPr>
          <w:rFonts w:hint="eastAsia" w:ascii="宋体" w:hAnsi="宋体"/>
          <w:color w:val="auto"/>
          <w:szCs w:val="21"/>
          <w:highlight w:val="none"/>
        </w:rPr>
        <w:t>20．接受甲方监督、管理指导。乙方负责人（安全施工第一责任人）对甲方安全监督部门提出的意见必须及时整改；发生人身事故或危及生产运行的不安全情况，立即报告甲方安全监督部门。</w:t>
      </w:r>
    </w:p>
    <w:p>
      <w:pPr>
        <w:ind w:firstLine="413" w:firstLineChars="196"/>
        <w:rPr>
          <w:rFonts w:ascii="宋体" w:hAnsi="宋体"/>
          <w:b/>
          <w:color w:val="auto"/>
          <w:szCs w:val="21"/>
          <w:highlight w:val="none"/>
        </w:rPr>
      </w:pPr>
      <w:r>
        <w:rPr>
          <w:rFonts w:hint="eastAsia" w:ascii="宋体" w:hAnsi="宋体"/>
          <w:b/>
          <w:color w:val="auto"/>
          <w:szCs w:val="21"/>
          <w:highlight w:val="none"/>
        </w:rPr>
        <w:t>三、严格执行本安全协议</w:t>
      </w:r>
    </w:p>
    <w:p>
      <w:pPr>
        <w:ind w:firstLine="600"/>
        <w:rPr>
          <w:rFonts w:ascii="宋体" w:hAnsi="宋体"/>
          <w:color w:val="auto"/>
          <w:szCs w:val="21"/>
          <w:highlight w:val="none"/>
          <w:u w:val="single"/>
        </w:rPr>
      </w:pPr>
      <w:r>
        <w:rPr>
          <w:rFonts w:hint="eastAsia" w:ascii="宋体" w:hAnsi="宋体"/>
          <w:color w:val="auto"/>
          <w:szCs w:val="21"/>
          <w:highlight w:val="none"/>
        </w:rPr>
        <w:t>如其中一方不遵守本协议中规定的安全责任造成人身、电网、设备事故及其一切损失，均由违反的一方负责，并按中国南方电网有限责任公司</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广州市公共交通集团有限公司</w:t>
      </w:r>
      <w:r>
        <w:rPr>
          <w:rFonts w:hint="eastAsia" w:ascii="宋体" w:hAnsi="宋体"/>
          <w:color w:val="auto"/>
          <w:szCs w:val="21"/>
          <w:highlight w:val="none"/>
        </w:rPr>
        <w:t>《安全管理规定》等相关的规定进行处罚。如</w:t>
      </w:r>
      <w:r>
        <w:rPr>
          <w:rFonts w:ascii="宋体" w:hAnsi="宋体"/>
          <w:color w:val="auto"/>
          <w:szCs w:val="21"/>
          <w:highlight w:val="none"/>
        </w:rPr>
        <w:t>乙方违反本协议，甲方将按照履约担保的程序进行</w:t>
      </w:r>
      <w:r>
        <w:rPr>
          <w:rFonts w:hint="eastAsia" w:ascii="宋体" w:hAnsi="宋体"/>
          <w:color w:val="auto"/>
          <w:szCs w:val="21"/>
          <w:highlight w:val="none"/>
        </w:rPr>
        <w:t>索赔</w:t>
      </w:r>
      <w:r>
        <w:rPr>
          <w:rFonts w:ascii="宋体" w:hAnsi="宋体"/>
          <w:color w:val="auto"/>
          <w:szCs w:val="21"/>
          <w:highlight w:val="none"/>
        </w:rPr>
        <w:t>。</w:t>
      </w:r>
    </w:p>
    <w:p>
      <w:pPr>
        <w:rPr>
          <w:rFonts w:ascii="宋体" w:hAnsi="宋体"/>
          <w:b/>
          <w:color w:val="auto"/>
          <w:szCs w:val="21"/>
          <w:highlight w:val="none"/>
        </w:rPr>
      </w:pPr>
    </w:p>
    <w:p>
      <w:pPr>
        <w:rPr>
          <w:rFonts w:ascii="宋体" w:hAnsi="宋体"/>
          <w:color w:val="auto"/>
          <w:szCs w:val="21"/>
          <w:highlight w:val="none"/>
          <w:u w:val="single"/>
        </w:rPr>
      </w:pPr>
      <w:r>
        <w:rPr>
          <w:rFonts w:ascii="宋体" w:hAnsi="宋体"/>
          <w:b/>
          <w:color w:val="auto"/>
          <w:szCs w:val="21"/>
          <w:highlight w:val="none"/>
        </w:rPr>
        <w:t>本协议与本工程承包合同为一整体合同文件</w:t>
      </w:r>
    </w:p>
    <w:p>
      <w:pPr>
        <w:outlineLvl w:val="2"/>
        <w:rPr>
          <w:rFonts w:hint="eastAsia" w:ascii="宋体" w:hAnsi="宋体"/>
          <w:color w:val="auto"/>
          <w:szCs w:val="21"/>
          <w:highlight w:val="none"/>
        </w:rPr>
      </w:pPr>
      <w:r>
        <w:rPr>
          <w:rFonts w:hint="eastAsia" w:ascii="宋体" w:hAnsi="宋体"/>
          <w:color w:val="auto"/>
          <w:szCs w:val="21"/>
          <w:highlight w:val="none"/>
        </w:rPr>
        <w:br w:type="page"/>
      </w:r>
      <w:bookmarkEnd w:id="2162"/>
      <w:bookmarkEnd w:id="2163"/>
      <w:r>
        <w:rPr>
          <w:rFonts w:hint="eastAsia" w:ascii="宋体" w:hAnsi="宋体"/>
          <w:color w:val="auto"/>
          <w:szCs w:val="21"/>
          <w:highlight w:val="none"/>
        </w:rPr>
        <w:t>附件四 廉洁协议书</w:t>
      </w:r>
    </w:p>
    <w:p>
      <w:pPr>
        <w:snapToGrid w:val="0"/>
        <w:jc w:val="center"/>
        <w:rPr>
          <w:rFonts w:hint="eastAsia" w:ascii="宋体" w:hAnsi="宋体"/>
          <w:b/>
          <w:color w:val="auto"/>
          <w:szCs w:val="21"/>
          <w:highlight w:val="none"/>
        </w:rPr>
      </w:pPr>
      <w:r>
        <w:rPr>
          <w:rFonts w:hint="eastAsia" w:ascii="宋体" w:hAnsi="宋体"/>
          <w:b/>
          <w:color w:val="auto"/>
          <w:szCs w:val="21"/>
          <w:highlight w:val="none"/>
        </w:rPr>
        <w:t>廉洁协议书</w:t>
      </w:r>
    </w:p>
    <w:p>
      <w:pPr>
        <w:ind w:firstLine="420" w:firstLineChars="200"/>
        <w:rPr>
          <w:rFonts w:ascii="宋体" w:hAnsi="宋体"/>
          <w:color w:val="auto"/>
          <w:szCs w:val="21"/>
          <w:highlight w:val="none"/>
        </w:rPr>
      </w:pPr>
      <w:r>
        <w:rPr>
          <w:rFonts w:hint="eastAsia" w:ascii="宋体" w:hAnsi="宋体"/>
          <w:color w:val="auto"/>
          <w:szCs w:val="21"/>
          <w:highlight w:val="none"/>
        </w:rPr>
        <w:t>为了增强甲乙双方依法经营、廉洁从业意识，完善自我约束、自我监督机制，营造守法诚信、廉洁高效的工作环境，防止发生违法违纪行为，保护国家、集体和当事人的合法权益，根据国家有关法律法规和廉洁自律规定，特订立本廉洁协议书：</w:t>
      </w:r>
    </w:p>
    <w:p>
      <w:pPr>
        <w:ind w:firstLine="422" w:firstLineChars="200"/>
        <w:rPr>
          <w:rFonts w:ascii="宋体" w:hAnsi="宋体"/>
          <w:b/>
          <w:color w:val="auto"/>
          <w:szCs w:val="21"/>
          <w:highlight w:val="none"/>
        </w:rPr>
      </w:pPr>
      <w:r>
        <w:rPr>
          <w:rFonts w:hint="eastAsia" w:ascii="宋体" w:hAnsi="宋体"/>
          <w:b/>
          <w:color w:val="auto"/>
          <w:szCs w:val="21"/>
          <w:highlight w:val="none"/>
        </w:rPr>
        <w:t>第一条</w:t>
      </w:r>
      <w:r>
        <w:rPr>
          <w:rFonts w:ascii="宋体" w:hAnsi="宋体"/>
          <w:b/>
          <w:color w:val="auto"/>
          <w:szCs w:val="21"/>
          <w:highlight w:val="none"/>
        </w:rPr>
        <w:t xml:space="preserve"> </w:t>
      </w:r>
      <w:r>
        <w:rPr>
          <w:rFonts w:hint="eastAsia" w:ascii="宋体" w:hAnsi="宋体"/>
          <w:b/>
          <w:color w:val="auto"/>
          <w:szCs w:val="21"/>
          <w:highlight w:val="none"/>
        </w:rPr>
        <w:t>甲、乙双方的共同责任</w:t>
      </w:r>
    </w:p>
    <w:p>
      <w:pPr>
        <w:ind w:firstLine="420" w:firstLineChars="200"/>
        <w:rPr>
          <w:rFonts w:ascii="宋体" w:hAnsi="宋体"/>
          <w:color w:val="auto"/>
          <w:szCs w:val="21"/>
          <w:highlight w:val="none"/>
        </w:rPr>
      </w:pPr>
      <w:r>
        <w:rPr>
          <w:rFonts w:hint="eastAsia" w:ascii="宋体" w:hAnsi="宋体"/>
          <w:color w:val="auto"/>
          <w:szCs w:val="21"/>
          <w:highlight w:val="none"/>
        </w:rPr>
        <w:t>（一）严格遵守国家关于市场准入、招标投标、工程建设、物资采购等市场经济活动的法律法规、政策以及廉洁建设规定。</w:t>
      </w:r>
    </w:p>
    <w:p>
      <w:pPr>
        <w:ind w:firstLine="420" w:firstLineChars="200"/>
        <w:rPr>
          <w:rFonts w:ascii="宋体" w:hAnsi="宋体"/>
          <w:color w:val="auto"/>
          <w:szCs w:val="21"/>
          <w:highlight w:val="none"/>
        </w:rPr>
      </w:pPr>
      <w:r>
        <w:rPr>
          <w:rFonts w:hint="eastAsia" w:ascii="宋体" w:hAnsi="宋体"/>
          <w:color w:val="auto"/>
          <w:szCs w:val="21"/>
          <w:highlight w:val="none"/>
        </w:rPr>
        <w:t>（二）严格履行合同约定，自觉承担合同义务。</w:t>
      </w:r>
    </w:p>
    <w:p>
      <w:pPr>
        <w:ind w:firstLine="420" w:firstLineChars="200"/>
        <w:rPr>
          <w:rFonts w:ascii="宋体" w:hAnsi="宋体"/>
          <w:color w:val="auto"/>
          <w:szCs w:val="21"/>
          <w:highlight w:val="none"/>
        </w:rPr>
      </w:pPr>
      <w:r>
        <w:rPr>
          <w:rFonts w:hint="eastAsia" w:ascii="宋体" w:hAnsi="宋体"/>
          <w:color w:val="auto"/>
          <w:szCs w:val="21"/>
          <w:highlight w:val="none"/>
        </w:rPr>
        <w:t>（三）业务活动必须坚持公平、公正、公开和诚实守信的原则（除法律法规另有规定者外），不得为获取不正当利益，损害国家、集体和对方利益，不违反招标投标、工程建设管理、物资采购等方面的规章制度。</w:t>
      </w:r>
    </w:p>
    <w:p>
      <w:pPr>
        <w:ind w:firstLine="420" w:firstLineChars="200"/>
        <w:rPr>
          <w:rFonts w:ascii="宋体" w:hAnsi="宋体"/>
          <w:color w:val="auto"/>
          <w:szCs w:val="21"/>
          <w:highlight w:val="none"/>
        </w:rPr>
      </w:pPr>
      <w:r>
        <w:rPr>
          <w:rFonts w:hint="eastAsia" w:ascii="宋体" w:hAnsi="宋体"/>
          <w:color w:val="auto"/>
          <w:szCs w:val="21"/>
          <w:highlight w:val="none"/>
        </w:rPr>
        <w:t>（四）建立健全自我制约制度，开展廉洁教育，公布举报方式，监督并认真查处违法违纪行为。</w:t>
      </w:r>
    </w:p>
    <w:p>
      <w:pPr>
        <w:ind w:firstLine="420" w:firstLineChars="200"/>
        <w:rPr>
          <w:rFonts w:ascii="宋体" w:hAnsi="宋体"/>
          <w:color w:val="auto"/>
          <w:szCs w:val="21"/>
          <w:highlight w:val="none"/>
        </w:rPr>
      </w:pPr>
      <w:r>
        <w:rPr>
          <w:rFonts w:hint="eastAsia" w:ascii="宋体" w:hAnsi="宋体"/>
          <w:color w:val="auto"/>
          <w:szCs w:val="21"/>
          <w:highlight w:val="none"/>
        </w:rPr>
        <w:t>（五）发现对方在业务活动中有违规、违纪、违法行为的，应及时提醒对方，情节严重的，应向有关纪检监察部门举报。</w:t>
      </w:r>
    </w:p>
    <w:p>
      <w:pPr>
        <w:ind w:firstLine="422" w:firstLineChars="200"/>
        <w:rPr>
          <w:rFonts w:ascii="宋体" w:hAnsi="宋体"/>
          <w:b/>
          <w:color w:val="auto"/>
          <w:szCs w:val="21"/>
          <w:highlight w:val="none"/>
        </w:rPr>
      </w:pPr>
      <w:r>
        <w:rPr>
          <w:rFonts w:hint="eastAsia" w:ascii="宋体" w:hAnsi="宋体"/>
          <w:b/>
          <w:color w:val="auto"/>
          <w:szCs w:val="21"/>
          <w:highlight w:val="none"/>
        </w:rPr>
        <w:t>第二条</w:t>
      </w:r>
      <w:r>
        <w:rPr>
          <w:rFonts w:ascii="宋体" w:hAnsi="宋体"/>
          <w:b/>
          <w:color w:val="auto"/>
          <w:szCs w:val="21"/>
          <w:highlight w:val="none"/>
        </w:rPr>
        <w:t xml:space="preserve">  </w:t>
      </w:r>
      <w:r>
        <w:rPr>
          <w:rFonts w:hint="eastAsia" w:ascii="宋体" w:hAnsi="宋体"/>
          <w:b/>
          <w:color w:val="auto"/>
          <w:szCs w:val="21"/>
          <w:highlight w:val="none"/>
        </w:rPr>
        <w:t>甲方的责任</w:t>
      </w:r>
    </w:p>
    <w:p>
      <w:pPr>
        <w:ind w:firstLine="420" w:firstLineChars="200"/>
        <w:rPr>
          <w:rFonts w:ascii="宋体" w:hAnsi="宋体"/>
          <w:color w:val="auto"/>
          <w:szCs w:val="21"/>
          <w:highlight w:val="none"/>
        </w:rPr>
      </w:pPr>
      <w:r>
        <w:rPr>
          <w:rFonts w:hint="eastAsia" w:ascii="宋体" w:hAnsi="宋体"/>
          <w:color w:val="auto"/>
          <w:szCs w:val="21"/>
          <w:highlight w:val="none"/>
        </w:rPr>
        <w:t>甲方相关工作人员，在业务活动的事前、事中、事后，应遵守以下规定：</w:t>
      </w:r>
    </w:p>
    <w:p>
      <w:pPr>
        <w:ind w:firstLine="420" w:firstLineChars="200"/>
        <w:rPr>
          <w:rFonts w:ascii="宋体" w:hAnsi="宋体"/>
          <w:color w:val="auto"/>
          <w:szCs w:val="21"/>
          <w:highlight w:val="none"/>
        </w:rPr>
      </w:pPr>
      <w:r>
        <w:rPr>
          <w:rFonts w:hint="eastAsia" w:ascii="宋体" w:hAnsi="宋体"/>
          <w:color w:val="auto"/>
          <w:szCs w:val="21"/>
          <w:highlight w:val="none"/>
        </w:rPr>
        <w:t>（一）贯彻落实中国南方电网有限责任公司</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广州市公共交通集团有限公司</w:t>
      </w:r>
      <w:r>
        <w:rPr>
          <w:rFonts w:hint="eastAsia" w:ascii="宋体" w:hAnsi="宋体"/>
          <w:color w:val="auto"/>
          <w:szCs w:val="21"/>
          <w:highlight w:val="none"/>
        </w:rPr>
        <w:t>有关党风廉政建设责任制及廉洁从业的规定，建立企业诚信档案；</w:t>
      </w:r>
      <w:r>
        <w:rPr>
          <w:rFonts w:ascii="宋体" w:hAnsi="宋体"/>
          <w:color w:val="auto"/>
          <w:szCs w:val="21"/>
          <w:highlight w:val="none"/>
        </w:rPr>
        <w:t xml:space="preserve"> </w:t>
      </w:r>
    </w:p>
    <w:p>
      <w:pPr>
        <w:ind w:firstLine="420" w:firstLineChars="200"/>
        <w:rPr>
          <w:rFonts w:ascii="宋体" w:hAnsi="宋体"/>
          <w:color w:val="auto"/>
          <w:szCs w:val="21"/>
          <w:highlight w:val="none"/>
        </w:rPr>
      </w:pPr>
      <w:r>
        <w:rPr>
          <w:rFonts w:hint="eastAsia" w:ascii="宋体" w:hAnsi="宋体"/>
          <w:color w:val="auto"/>
          <w:szCs w:val="21"/>
          <w:highlight w:val="none"/>
        </w:rPr>
        <w:t>（二）按照公平、公正、公开和诚实守信的原则开展各项业务活动，为乙方提供公平的竞争环境与平台；</w:t>
      </w:r>
      <w:r>
        <w:rPr>
          <w:rFonts w:ascii="宋体" w:hAnsi="宋体"/>
          <w:color w:val="auto"/>
          <w:szCs w:val="21"/>
          <w:highlight w:val="none"/>
        </w:rPr>
        <w:t xml:space="preserve"> </w:t>
      </w:r>
    </w:p>
    <w:p>
      <w:pPr>
        <w:ind w:firstLine="420" w:firstLineChars="200"/>
        <w:rPr>
          <w:rFonts w:ascii="宋体" w:hAnsi="宋体"/>
          <w:color w:val="auto"/>
          <w:szCs w:val="21"/>
          <w:highlight w:val="none"/>
        </w:rPr>
      </w:pPr>
      <w:r>
        <w:rPr>
          <w:rFonts w:hint="eastAsia" w:ascii="宋体" w:hAnsi="宋体"/>
          <w:color w:val="auto"/>
          <w:szCs w:val="21"/>
          <w:highlight w:val="none"/>
        </w:rPr>
        <w:t>（三）不准向乙方泄漏涉及有关业务活动的秘密；</w:t>
      </w:r>
      <w:r>
        <w:rPr>
          <w:rFonts w:ascii="宋体" w:hAnsi="宋体"/>
          <w:color w:val="auto"/>
          <w:szCs w:val="21"/>
          <w:highlight w:val="none"/>
        </w:rPr>
        <w:t xml:space="preserve"> </w:t>
      </w:r>
    </w:p>
    <w:p>
      <w:pPr>
        <w:ind w:firstLine="420" w:firstLineChars="200"/>
        <w:rPr>
          <w:rFonts w:ascii="宋体" w:hAnsi="宋体"/>
          <w:color w:val="auto"/>
          <w:szCs w:val="21"/>
          <w:highlight w:val="none"/>
        </w:rPr>
      </w:pPr>
      <w:r>
        <w:rPr>
          <w:rFonts w:hint="eastAsia" w:ascii="宋体" w:hAnsi="宋体"/>
          <w:color w:val="auto"/>
          <w:szCs w:val="21"/>
          <w:highlight w:val="none"/>
        </w:rPr>
        <w:t>（四）不准向乙方和相关单位索要或接受回扣、红包、礼金、购物卡、有价证券、贵重物品和好处费、感谢费等；</w:t>
      </w:r>
      <w:r>
        <w:rPr>
          <w:rFonts w:ascii="宋体" w:hAnsi="宋体"/>
          <w:color w:val="auto"/>
          <w:szCs w:val="21"/>
          <w:highlight w:val="none"/>
        </w:rPr>
        <w:t xml:space="preserve"> </w:t>
      </w:r>
    </w:p>
    <w:p>
      <w:pPr>
        <w:ind w:firstLine="420" w:firstLineChars="200"/>
        <w:rPr>
          <w:rFonts w:ascii="宋体" w:hAnsi="宋体"/>
          <w:color w:val="auto"/>
          <w:szCs w:val="21"/>
          <w:highlight w:val="none"/>
        </w:rPr>
      </w:pPr>
      <w:r>
        <w:rPr>
          <w:rFonts w:hint="eastAsia" w:ascii="宋体" w:hAnsi="宋体"/>
          <w:color w:val="auto"/>
          <w:szCs w:val="21"/>
          <w:highlight w:val="none"/>
        </w:rPr>
        <w:t>（五）不准在乙方和相关单位报销任何应由甲方或个人支付的费用；</w:t>
      </w:r>
    </w:p>
    <w:p>
      <w:pPr>
        <w:ind w:firstLine="420" w:firstLineChars="200"/>
        <w:rPr>
          <w:rFonts w:ascii="宋体" w:hAnsi="宋体"/>
          <w:color w:val="auto"/>
          <w:szCs w:val="21"/>
          <w:highlight w:val="none"/>
        </w:rPr>
      </w:pPr>
      <w:r>
        <w:rPr>
          <w:rFonts w:hint="eastAsia" w:ascii="宋体" w:hAnsi="宋体"/>
          <w:color w:val="auto"/>
          <w:szCs w:val="21"/>
          <w:highlight w:val="none"/>
        </w:rPr>
        <w:t>（六）不准要求、暗示或接受乙方和相关单位为个人装修住房、婚丧嫁娶、配偶子女的工作安排以及境内外旅游等提供方便；</w:t>
      </w:r>
    </w:p>
    <w:p>
      <w:pPr>
        <w:ind w:firstLine="420" w:firstLineChars="200"/>
        <w:rPr>
          <w:rFonts w:ascii="宋体" w:hAnsi="宋体"/>
          <w:color w:val="auto"/>
          <w:szCs w:val="21"/>
          <w:highlight w:val="none"/>
        </w:rPr>
      </w:pPr>
      <w:r>
        <w:rPr>
          <w:rFonts w:hint="eastAsia" w:ascii="宋体" w:hAnsi="宋体"/>
          <w:color w:val="auto"/>
          <w:szCs w:val="21"/>
          <w:highlight w:val="none"/>
        </w:rPr>
        <w:t>（七）不准向乙方介绍配偶、子女、亲属参与与甲方有关的经济活动，不得以任何理由向乙方和相关单位推荐第三方单位；</w:t>
      </w:r>
    </w:p>
    <w:p>
      <w:pPr>
        <w:ind w:firstLine="420" w:firstLineChars="200"/>
        <w:rPr>
          <w:rFonts w:ascii="宋体" w:hAnsi="宋体"/>
          <w:color w:val="auto"/>
          <w:szCs w:val="21"/>
          <w:highlight w:val="none"/>
        </w:rPr>
      </w:pPr>
      <w:r>
        <w:rPr>
          <w:rFonts w:hint="eastAsia" w:ascii="宋体" w:hAnsi="宋体"/>
          <w:color w:val="auto"/>
          <w:szCs w:val="21"/>
          <w:highlight w:val="none"/>
        </w:rPr>
        <w:t>（八）不准参与影响相关工作正常和公正开展的其他活动；</w:t>
      </w:r>
    </w:p>
    <w:p>
      <w:pPr>
        <w:ind w:firstLine="420" w:firstLineChars="200"/>
        <w:rPr>
          <w:rFonts w:ascii="宋体" w:hAnsi="宋体"/>
          <w:color w:val="auto"/>
          <w:szCs w:val="21"/>
          <w:highlight w:val="none"/>
        </w:rPr>
      </w:pPr>
      <w:r>
        <w:rPr>
          <w:rFonts w:hint="eastAsia" w:ascii="宋体" w:hAnsi="宋体"/>
          <w:color w:val="auto"/>
          <w:szCs w:val="21"/>
          <w:highlight w:val="none"/>
        </w:rPr>
        <w:t>（九）不准违反《中共中央纪委关于严格禁止利用职务上的便利谋取不正当利益的若干规定》的内容。</w:t>
      </w:r>
    </w:p>
    <w:p>
      <w:pPr>
        <w:ind w:firstLine="422" w:firstLineChars="200"/>
        <w:rPr>
          <w:rFonts w:ascii="宋体" w:hAnsi="宋体"/>
          <w:b/>
          <w:color w:val="auto"/>
          <w:szCs w:val="21"/>
          <w:highlight w:val="none"/>
        </w:rPr>
      </w:pPr>
      <w:r>
        <w:rPr>
          <w:rFonts w:hint="eastAsia" w:ascii="宋体" w:hAnsi="宋体"/>
          <w:b/>
          <w:color w:val="auto"/>
          <w:szCs w:val="21"/>
          <w:highlight w:val="none"/>
        </w:rPr>
        <w:t>第三条</w:t>
      </w:r>
      <w:r>
        <w:rPr>
          <w:rFonts w:ascii="宋体" w:hAnsi="宋体"/>
          <w:b/>
          <w:color w:val="auto"/>
          <w:szCs w:val="21"/>
          <w:highlight w:val="none"/>
        </w:rPr>
        <w:t xml:space="preserve">  </w:t>
      </w:r>
      <w:r>
        <w:rPr>
          <w:rFonts w:hint="eastAsia" w:ascii="宋体" w:hAnsi="宋体"/>
          <w:b/>
          <w:color w:val="auto"/>
          <w:szCs w:val="21"/>
          <w:highlight w:val="none"/>
        </w:rPr>
        <w:t>乙方的责任</w:t>
      </w:r>
    </w:p>
    <w:p>
      <w:pPr>
        <w:ind w:firstLine="420" w:firstLineChars="200"/>
        <w:rPr>
          <w:rFonts w:ascii="宋体" w:hAnsi="宋体"/>
          <w:color w:val="auto"/>
          <w:szCs w:val="21"/>
          <w:highlight w:val="none"/>
        </w:rPr>
      </w:pPr>
      <w:r>
        <w:rPr>
          <w:rFonts w:hint="eastAsia" w:ascii="宋体" w:hAnsi="宋体"/>
          <w:color w:val="auto"/>
          <w:szCs w:val="21"/>
          <w:highlight w:val="none"/>
        </w:rPr>
        <w:t>在与甲方业务交往过程中，按照有关法律法规和程序开展工作，严格执行国家的有关方针、政策，并遵守以下规定：</w:t>
      </w:r>
    </w:p>
    <w:p>
      <w:pPr>
        <w:ind w:firstLine="420" w:firstLineChars="200"/>
        <w:rPr>
          <w:rFonts w:ascii="宋体" w:hAnsi="宋体"/>
          <w:color w:val="auto"/>
          <w:szCs w:val="21"/>
          <w:highlight w:val="none"/>
        </w:rPr>
      </w:pPr>
      <w:r>
        <w:rPr>
          <w:rFonts w:hint="eastAsia" w:ascii="宋体" w:hAnsi="宋体"/>
          <w:color w:val="auto"/>
          <w:szCs w:val="21"/>
          <w:highlight w:val="none"/>
        </w:rPr>
        <w:t>（一）不准以任何理由为甲方和相关单位报销应由对方或个人支付的费用；</w:t>
      </w:r>
    </w:p>
    <w:p>
      <w:pPr>
        <w:ind w:firstLine="420" w:firstLineChars="200"/>
        <w:rPr>
          <w:rFonts w:ascii="宋体" w:hAnsi="宋体"/>
          <w:color w:val="auto"/>
          <w:szCs w:val="21"/>
          <w:highlight w:val="none"/>
        </w:rPr>
      </w:pPr>
      <w:r>
        <w:rPr>
          <w:rFonts w:hint="eastAsia" w:ascii="宋体" w:hAnsi="宋体"/>
          <w:color w:val="auto"/>
          <w:szCs w:val="21"/>
          <w:highlight w:val="none"/>
        </w:rPr>
        <w:t>（二）不准以任何理由向甲方负责人及其工作人员赠送回扣、红包、礼金、购物卡、有价证券、贵重物品和好处费、感谢费等；</w:t>
      </w:r>
    </w:p>
    <w:p>
      <w:pPr>
        <w:ind w:firstLine="420" w:firstLineChars="200"/>
        <w:rPr>
          <w:rFonts w:ascii="宋体" w:hAnsi="宋体"/>
          <w:color w:val="auto"/>
          <w:szCs w:val="21"/>
          <w:highlight w:val="none"/>
        </w:rPr>
      </w:pPr>
      <w:r>
        <w:rPr>
          <w:rFonts w:hint="eastAsia" w:ascii="宋体" w:hAnsi="宋体"/>
          <w:color w:val="auto"/>
          <w:szCs w:val="21"/>
          <w:highlight w:val="none"/>
        </w:rPr>
        <w:t>（三）不准以任何理由为甲方、与甲方相关的单位或个人提供高消费宴请及娱乐活动；</w:t>
      </w:r>
    </w:p>
    <w:p>
      <w:pPr>
        <w:ind w:firstLine="420" w:firstLineChars="200"/>
        <w:rPr>
          <w:rFonts w:ascii="宋体" w:hAnsi="宋体"/>
          <w:color w:val="auto"/>
          <w:szCs w:val="21"/>
          <w:highlight w:val="none"/>
        </w:rPr>
      </w:pPr>
      <w:r>
        <w:rPr>
          <w:rFonts w:hint="eastAsia" w:ascii="宋体" w:hAnsi="宋体"/>
          <w:color w:val="auto"/>
          <w:szCs w:val="21"/>
          <w:highlight w:val="none"/>
        </w:rPr>
        <w:t>（四）不准以任何理由为甲方、与甲方相关的单位或个人购置或提供通讯工具、交通工具和高档办公用品；</w:t>
      </w:r>
    </w:p>
    <w:p>
      <w:pPr>
        <w:ind w:firstLine="420" w:firstLineChars="200"/>
        <w:rPr>
          <w:rFonts w:ascii="宋体" w:hAnsi="宋体"/>
          <w:color w:val="auto"/>
          <w:szCs w:val="21"/>
          <w:highlight w:val="none"/>
        </w:rPr>
      </w:pPr>
      <w:r>
        <w:rPr>
          <w:rFonts w:hint="eastAsia" w:ascii="宋体" w:hAnsi="宋体"/>
          <w:color w:val="auto"/>
          <w:szCs w:val="21"/>
          <w:highlight w:val="none"/>
        </w:rPr>
        <w:t>（五）不准接受或暗示为甲方、与甲方相关的单位或个人装修住房、婚丧嫁取、配偶子女的工作安排以及境内外旅游等提供方便；</w:t>
      </w:r>
    </w:p>
    <w:p>
      <w:pPr>
        <w:ind w:firstLine="420" w:firstLineChars="200"/>
        <w:rPr>
          <w:rFonts w:ascii="宋体" w:hAnsi="宋体"/>
          <w:color w:val="auto"/>
          <w:szCs w:val="21"/>
          <w:highlight w:val="none"/>
        </w:rPr>
      </w:pPr>
      <w:r>
        <w:rPr>
          <w:rFonts w:hint="eastAsia" w:ascii="宋体" w:hAnsi="宋体"/>
          <w:color w:val="auto"/>
          <w:szCs w:val="21"/>
          <w:highlight w:val="none"/>
        </w:rPr>
        <w:t>（六）不准以谋取非正当利益为目的，擅自与甲方工作人员就业务问题进行私下商谈或者达成利益默契；</w:t>
      </w:r>
    </w:p>
    <w:p>
      <w:pPr>
        <w:pStyle w:val="22"/>
        <w:ind w:firstLine="420" w:firstLineChars="200"/>
        <w:rPr>
          <w:rFonts w:hint="eastAsia" w:hAnsi="宋体"/>
          <w:color w:val="auto"/>
          <w:szCs w:val="21"/>
          <w:highlight w:val="none"/>
          <w:u w:val="single"/>
        </w:rPr>
      </w:pPr>
      <w:r>
        <w:rPr>
          <w:rFonts w:hint="eastAsia" w:hAnsi="宋体"/>
          <w:color w:val="auto"/>
          <w:szCs w:val="21"/>
          <w:highlight w:val="none"/>
        </w:rPr>
        <w:t>（七）发现甲方工作人员有违反本廉洁协议书规定的，应向甲方单位举报。</w:t>
      </w:r>
      <w:r>
        <w:rPr>
          <w:rFonts w:hint="eastAsia" w:hAnsi="宋体"/>
          <w:b/>
          <w:color w:val="auto"/>
          <w:szCs w:val="21"/>
          <w:highlight w:val="none"/>
          <w:u w:val="single"/>
        </w:rPr>
        <w:t>南方电网公司（或</w:t>
      </w:r>
      <w:r>
        <w:rPr>
          <w:rFonts w:hint="eastAsia" w:ascii="宋体" w:hAnsi="宋体"/>
          <w:color w:val="auto"/>
          <w:szCs w:val="21"/>
          <w:highlight w:val="none"/>
          <w:u w:val="single"/>
          <w:lang w:val="en-US" w:eastAsia="zh-CN"/>
        </w:rPr>
        <w:t>广州市公共交通集团有限公司</w:t>
      </w:r>
      <w:r>
        <w:rPr>
          <w:rFonts w:hint="eastAsia" w:hAnsi="宋体"/>
          <w:b/>
          <w:color w:val="auto"/>
          <w:szCs w:val="21"/>
          <w:highlight w:val="none"/>
          <w:u w:val="single"/>
        </w:rPr>
        <w:t>）纪检监察部门投诉。通讯地址：     ，邮政编码：     ；举报网站(邮箱)：     。</w:t>
      </w:r>
    </w:p>
    <w:p>
      <w:pPr>
        <w:ind w:firstLine="422" w:firstLineChars="200"/>
        <w:rPr>
          <w:rFonts w:ascii="宋体" w:hAnsi="宋体"/>
          <w:b/>
          <w:color w:val="auto"/>
          <w:szCs w:val="21"/>
          <w:highlight w:val="none"/>
        </w:rPr>
      </w:pPr>
      <w:r>
        <w:rPr>
          <w:rFonts w:hint="eastAsia" w:ascii="宋体" w:hAnsi="宋体"/>
          <w:b/>
          <w:color w:val="auto"/>
          <w:szCs w:val="21"/>
          <w:highlight w:val="none"/>
        </w:rPr>
        <w:t>第四条</w:t>
      </w:r>
      <w:r>
        <w:rPr>
          <w:rFonts w:ascii="宋体" w:hAnsi="宋体"/>
          <w:b/>
          <w:color w:val="auto"/>
          <w:szCs w:val="21"/>
          <w:highlight w:val="none"/>
        </w:rPr>
        <w:t xml:space="preserve">  </w:t>
      </w:r>
      <w:r>
        <w:rPr>
          <w:rFonts w:hint="eastAsia" w:ascii="宋体" w:hAnsi="宋体"/>
          <w:b/>
          <w:color w:val="auto"/>
          <w:szCs w:val="21"/>
          <w:highlight w:val="none"/>
        </w:rPr>
        <w:t>相关责任</w:t>
      </w:r>
    </w:p>
    <w:p>
      <w:pPr>
        <w:ind w:firstLine="420" w:firstLineChars="200"/>
        <w:rPr>
          <w:rFonts w:ascii="宋体" w:hAnsi="宋体"/>
          <w:color w:val="auto"/>
          <w:szCs w:val="21"/>
          <w:highlight w:val="none"/>
        </w:rPr>
      </w:pPr>
      <w:r>
        <w:rPr>
          <w:rFonts w:hint="eastAsia" w:ascii="宋体" w:hAnsi="宋体"/>
          <w:color w:val="auto"/>
          <w:szCs w:val="21"/>
          <w:highlight w:val="none"/>
        </w:rPr>
        <w:t>（一）甲方有违反本廉洁协议书第一、二条规定的，严格按照管理权限，依据有关法律法规和规章制度给予纪律处分或组织处理；涉嫌犯罪的，移送司法机关依法追究刑事责任；给乙方单位造成经济损失的，应依法予以赔偿。</w:t>
      </w:r>
    </w:p>
    <w:p>
      <w:pPr>
        <w:ind w:firstLine="420" w:firstLineChars="200"/>
        <w:rPr>
          <w:rFonts w:ascii="宋体" w:hAnsi="宋体"/>
          <w:color w:val="auto"/>
          <w:szCs w:val="21"/>
          <w:highlight w:val="none"/>
        </w:rPr>
      </w:pPr>
      <w:r>
        <w:rPr>
          <w:rFonts w:hint="eastAsia" w:ascii="宋体" w:hAnsi="宋体"/>
          <w:color w:val="auto"/>
          <w:szCs w:val="21"/>
          <w:highlight w:val="none"/>
        </w:rPr>
        <w:t>（二）乙方违反本廉洁协议书第一、三条规定的，根据国家和</w:t>
      </w:r>
      <w:r>
        <w:rPr>
          <w:rFonts w:hint="eastAsia" w:ascii="宋体" w:hAnsi="宋体"/>
          <w:color w:val="auto"/>
          <w:szCs w:val="21"/>
          <w:highlight w:val="none"/>
          <w:lang w:val="en-US" w:eastAsia="zh-CN"/>
        </w:rPr>
        <w:t>广州市公共交通集团有限公司</w:t>
      </w:r>
      <w:r>
        <w:rPr>
          <w:rFonts w:hint="eastAsia" w:ascii="宋体" w:hAnsi="宋体"/>
          <w:color w:val="auto"/>
          <w:szCs w:val="21"/>
          <w:highlight w:val="none"/>
        </w:rPr>
        <w:t>招投标等有关规定，对乙方进行处理；涉嫌犯罪的，移送司法机关依法追究刑事责任；给甲方单位造成经济损失的，应依法予以赔偿。</w:t>
      </w:r>
    </w:p>
    <w:p>
      <w:pPr>
        <w:ind w:firstLine="420" w:firstLineChars="200"/>
        <w:rPr>
          <w:rFonts w:ascii="宋体" w:hAnsi="宋体"/>
          <w:color w:val="auto"/>
          <w:szCs w:val="21"/>
          <w:highlight w:val="none"/>
        </w:rPr>
      </w:pPr>
      <w:r>
        <w:rPr>
          <w:rFonts w:hint="eastAsia" w:ascii="宋体" w:hAnsi="宋体"/>
          <w:color w:val="auto"/>
          <w:szCs w:val="21"/>
          <w:highlight w:val="none"/>
        </w:rPr>
        <w:t>（三）乙方违反本廉洁协议书第一、三条规定，发生行贿行为，经政府有关执纪执法部门或甲方纪检监察机构查证属实，甲方根据</w:t>
      </w:r>
      <w:r>
        <w:rPr>
          <w:rFonts w:hint="eastAsia" w:ascii="宋体" w:hAnsi="宋体"/>
          <w:color w:val="auto"/>
          <w:szCs w:val="21"/>
          <w:highlight w:val="none"/>
          <w:lang w:val="en-US" w:eastAsia="zh-CN"/>
        </w:rPr>
        <w:t>广州市公共交通集团有限公司相关规定</w:t>
      </w:r>
      <w:r>
        <w:rPr>
          <w:rFonts w:hint="eastAsia" w:ascii="宋体" w:hAnsi="宋体"/>
          <w:color w:val="auto"/>
          <w:szCs w:val="21"/>
          <w:highlight w:val="none"/>
        </w:rPr>
        <w:t>，视情节轻重对乙方实施一定期限的市场禁入。乙方的委托人、代理人或与乙方有销售、劳务或服务关系的其他主体在参加南方电网公司系统的招投标活动或经济往来等过程中发生行贿行为的，视同乙方单位行为。</w:t>
      </w:r>
    </w:p>
    <w:p>
      <w:pPr>
        <w:ind w:firstLine="422" w:firstLineChars="200"/>
        <w:rPr>
          <w:rFonts w:ascii="宋体" w:hAnsi="宋体"/>
          <w:b/>
          <w:color w:val="auto"/>
          <w:szCs w:val="21"/>
          <w:highlight w:val="none"/>
        </w:rPr>
      </w:pPr>
      <w:r>
        <w:rPr>
          <w:rFonts w:hint="eastAsia" w:ascii="宋体" w:hAnsi="宋体"/>
          <w:b/>
          <w:color w:val="auto"/>
          <w:szCs w:val="21"/>
          <w:highlight w:val="none"/>
        </w:rPr>
        <w:t>第五条</w:t>
      </w:r>
      <w:r>
        <w:rPr>
          <w:rFonts w:ascii="宋体" w:hAnsi="宋体"/>
          <w:b/>
          <w:color w:val="auto"/>
          <w:szCs w:val="21"/>
          <w:highlight w:val="none"/>
        </w:rPr>
        <w:t xml:space="preserve">  </w:t>
      </w:r>
      <w:r>
        <w:rPr>
          <w:rFonts w:hint="eastAsia" w:ascii="宋体" w:hAnsi="宋体"/>
          <w:b/>
          <w:color w:val="auto"/>
          <w:szCs w:val="21"/>
          <w:highlight w:val="none"/>
        </w:rPr>
        <w:t>协议书生效及法律效力</w:t>
      </w:r>
    </w:p>
    <w:p>
      <w:pPr>
        <w:ind w:firstLine="420" w:firstLineChars="200"/>
        <w:rPr>
          <w:rFonts w:ascii="宋体" w:hAnsi="宋体"/>
          <w:color w:val="auto"/>
          <w:szCs w:val="21"/>
          <w:highlight w:val="none"/>
        </w:rPr>
      </w:pPr>
      <w:r>
        <w:rPr>
          <w:rFonts w:hint="eastAsia" w:ascii="宋体" w:hAnsi="宋体"/>
          <w:color w:val="auto"/>
          <w:szCs w:val="21"/>
          <w:highlight w:val="none"/>
        </w:rPr>
        <w:t>（一）本廉洁协议书作为合同的附件，与合同具有同等法律效力，经双方签字盖章后立即生效。</w:t>
      </w:r>
    </w:p>
    <w:p>
      <w:pPr>
        <w:ind w:firstLine="430" w:firstLineChars="205"/>
        <w:rPr>
          <w:rFonts w:ascii="宋体" w:hAnsi="宋体"/>
          <w:color w:val="auto"/>
          <w:szCs w:val="21"/>
          <w:highlight w:val="none"/>
        </w:rPr>
      </w:pPr>
      <w:r>
        <w:rPr>
          <w:rFonts w:hint="eastAsia" w:ascii="宋体" w:hAnsi="宋体"/>
          <w:color w:val="auto"/>
          <w:szCs w:val="21"/>
          <w:highlight w:val="none"/>
        </w:rPr>
        <w:t>（二）除非甲乙双方另行签订新的廉洁协议书，否则本廉洁协议书在甲方与乙方存在业务关系期间均对双方产生约束力。</w:t>
      </w:r>
    </w:p>
    <w:p>
      <w:pPr>
        <w:ind w:firstLine="422" w:firstLineChars="200"/>
        <w:rPr>
          <w:rFonts w:ascii="宋体" w:hAnsi="宋体"/>
          <w:b/>
          <w:color w:val="auto"/>
          <w:szCs w:val="21"/>
          <w:highlight w:val="none"/>
        </w:rPr>
      </w:pPr>
      <w:r>
        <w:rPr>
          <w:rFonts w:hint="eastAsia" w:ascii="宋体" w:hAnsi="宋体"/>
          <w:b/>
          <w:color w:val="auto"/>
          <w:szCs w:val="21"/>
          <w:highlight w:val="none"/>
        </w:rPr>
        <w:t>第六条</w:t>
      </w:r>
      <w:r>
        <w:rPr>
          <w:rFonts w:ascii="宋体" w:hAnsi="宋体"/>
          <w:b/>
          <w:color w:val="auto"/>
          <w:szCs w:val="21"/>
          <w:highlight w:val="none"/>
        </w:rPr>
        <w:t xml:space="preserve">  </w:t>
      </w:r>
      <w:r>
        <w:rPr>
          <w:rFonts w:hint="eastAsia" w:ascii="宋体" w:hAnsi="宋体"/>
          <w:b/>
          <w:color w:val="auto"/>
          <w:szCs w:val="21"/>
          <w:highlight w:val="none"/>
        </w:rPr>
        <w:t>协议书份数</w:t>
      </w:r>
    </w:p>
    <w:p>
      <w:pPr>
        <w:ind w:firstLine="420" w:firstLineChars="200"/>
        <w:rPr>
          <w:rFonts w:ascii="宋体" w:hAnsi="宋体"/>
          <w:color w:val="auto"/>
          <w:szCs w:val="21"/>
          <w:highlight w:val="none"/>
        </w:rPr>
      </w:pPr>
      <w:r>
        <w:rPr>
          <w:rFonts w:hint="eastAsia" w:ascii="宋体" w:hAnsi="宋体"/>
          <w:color w:val="auto"/>
          <w:szCs w:val="21"/>
          <w:highlight w:val="none"/>
        </w:rPr>
        <w:t>本廉洁协议书一式</w:t>
      </w:r>
      <w:r>
        <w:rPr>
          <w:rFonts w:ascii="宋体" w:hAnsi="宋体"/>
          <w:color w:val="auto"/>
          <w:szCs w:val="21"/>
          <w:highlight w:val="none"/>
        </w:rPr>
        <w:t xml:space="preserve"> _____ </w:t>
      </w:r>
      <w:r>
        <w:rPr>
          <w:rFonts w:hint="eastAsia" w:ascii="宋体" w:hAnsi="宋体"/>
          <w:color w:val="auto"/>
          <w:szCs w:val="21"/>
          <w:highlight w:val="none"/>
        </w:rPr>
        <w:t>份，甲方</w:t>
      </w:r>
      <w:r>
        <w:rPr>
          <w:rFonts w:ascii="宋体" w:hAnsi="宋体"/>
          <w:color w:val="auto"/>
          <w:szCs w:val="21"/>
          <w:highlight w:val="none"/>
        </w:rPr>
        <w:t>_____</w:t>
      </w:r>
      <w:r>
        <w:rPr>
          <w:rFonts w:hint="eastAsia" w:ascii="宋体" w:hAnsi="宋体"/>
          <w:color w:val="auto"/>
          <w:szCs w:val="21"/>
          <w:highlight w:val="none"/>
        </w:rPr>
        <w:t>份，乙方</w:t>
      </w:r>
      <w:r>
        <w:rPr>
          <w:rFonts w:ascii="宋体" w:hAnsi="宋体"/>
          <w:color w:val="auto"/>
          <w:szCs w:val="21"/>
          <w:highlight w:val="none"/>
        </w:rPr>
        <w:t>_____</w:t>
      </w:r>
      <w:r>
        <w:rPr>
          <w:rFonts w:hint="eastAsia" w:ascii="宋体" w:hAnsi="宋体"/>
          <w:color w:val="auto"/>
          <w:szCs w:val="21"/>
          <w:highlight w:val="none"/>
        </w:rPr>
        <w:t>份。</w:t>
      </w:r>
    </w:p>
    <w:p>
      <w:pPr>
        <w:pStyle w:val="25"/>
        <w:spacing w:after="0" w:line="240" w:lineRule="auto"/>
        <w:ind w:left="0" w:leftChars="0" w:firstLine="200"/>
        <w:rPr>
          <w:rFonts w:ascii="宋体" w:hAnsi="宋体"/>
          <w:color w:val="auto"/>
          <w:szCs w:val="21"/>
          <w:highlight w:val="none"/>
        </w:rPr>
      </w:pPr>
    </w:p>
    <w:p>
      <w:pPr>
        <w:ind w:firstLine="422" w:firstLineChars="200"/>
        <w:rPr>
          <w:rFonts w:ascii="宋体" w:hAnsi="宋体"/>
          <w:b/>
          <w:color w:val="auto"/>
          <w:szCs w:val="21"/>
          <w:highlight w:val="none"/>
        </w:rPr>
      </w:pPr>
      <w:r>
        <w:rPr>
          <w:rFonts w:hint="eastAsia" w:ascii="宋体" w:hAnsi="宋体"/>
          <w:b/>
          <w:color w:val="auto"/>
          <w:szCs w:val="21"/>
          <w:highlight w:val="none"/>
        </w:rPr>
        <w:t>甲乙双方确认在签订本廉洁协议书前已仔细阅读条款内容，甲乙双方对本廉洁协议书所产生的法律责任已清楚知悉并承诺遵守。</w:t>
      </w:r>
    </w:p>
    <w:p>
      <w:pPr>
        <w:ind w:firstLine="200"/>
        <w:jc w:val="left"/>
        <w:rPr>
          <w:rFonts w:ascii="宋体" w:hAnsi="宋体"/>
          <w:color w:val="auto"/>
          <w:szCs w:val="21"/>
          <w:highlight w:val="none"/>
        </w:rPr>
      </w:pPr>
    </w:p>
    <w:p>
      <w:pPr>
        <w:ind w:firstLine="200"/>
        <w:jc w:val="left"/>
        <w:rPr>
          <w:rFonts w:ascii="宋体" w:hAnsi="宋体"/>
          <w:color w:val="auto"/>
          <w:szCs w:val="21"/>
          <w:highlight w:val="none"/>
        </w:rPr>
      </w:pPr>
    </w:p>
    <w:p>
      <w:pPr>
        <w:ind w:firstLine="210" w:firstLineChars="100"/>
        <w:jc w:val="left"/>
        <w:rPr>
          <w:rFonts w:ascii="宋体" w:hAnsi="宋体"/>
          <w:color w:val="auto"/>
          <w:szCs w:val="21"/>
          <w:highlight w:val="none"/>
        </w:rPr>
      </w:pPr>
      <w:r>
        <w:rPr>
          <w:rFonts w:hint="eastAsia" w:ascii="宋体" w:hAnsi="宋体"/>
          <w:color w:val="auto"/>
          <w:szCs w:val="21"/>
          <w:highlight w:val="none"/>
        </w:rPr>
        <w:t>甲方（盖章）</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乙方（盖章）：</w:t>
      </w:r>
    </w:p>
    <w:p>
      <w:pPr>
        <w:ind w:firstLine="200"/>
        <w:jc w:val="left"/>
        <w:rPr>
          <w:rFonts w:ascii="宋体" w:hAnsi="宋体"/>
          <w:color w:val="auto"/>
          <w:szCs w:val="21"/>
          <w:highlight w:val="none"/>
        </w:rPr>
      </w:pPr>
    </w:p>
    <w:p>
      <w:pPr>
        <w:snapToGrid w:val="0"/>
        <w:ind w:firstLine="210" w:firstLineChars="100"/>
        <w:jc w:val="left"/>
        <w:rPr>
          <w:rFonts w:ascii="宋体" w:hAnsi="宋体"/>
          <w:color w:val="auto"/>
          <w:szCs w:val="21"/>
          <w:highlight w:val="none"/>
        </w:rPr>
      </w:pPr>
      <w:r>
        <w:rPr>
          <w:rFonts w:hint="eastAsia" w:ascii="宋体" w:hAnsi="宋体"/>
          <w:color w:val="auto"/>
          <w:szCs w:val="21"/>
          <w:highlight w:val="none"/>
        </w:rPr>
        <w:t>法定代表人</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法定代表人</w:t>
      </w:r>
    </w:p>
    <w:p>
      <w:pPr>
        <w:snapToGrid w:val="0"/>
        <w:ind w:firstLine="200"/>
        <w:jc w:val="left"/>
        <w:rPr>
          <w:rFonts w:ascii="宋体" w:hAnsi="宋体"/>
          <w:color w:val="auto"/>
          <w:szCs w:val="21"/>
          <w:highlight w:val="none"/>
        </w:rPr>
      </w:pPr>
      <w:r>
        <w:rPr>
          <w:rFonts w:hint="eastAsia" w:ascii="宋体" w:hAnsi="宋体"/>
          <w:color w:val="auto"/>
          <w:szCs w:val="21"/>
          <w:highlight w:val="none"/>
        </w:rPr>
        <w:t>（或委托代理人）：</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（或委托代理人）：</w:t>
      </w:r>
      <w:r>
        <w:rPr>
          <w:rFonts w:ascii="宋体" w:hAnsi="宋体"/>
          <w:color w:val="auto"/>
          <w:szCs w:val="21"/>
          <w:highlight w:val="none"/>
        </w:rPr>
        <w:t xml:space="preserve">             </w:t>
      </w:r>
    </w:p>
    <w:p>
      <w:pPr>
        <w:ind w:firstLine="430" w:firstLineChars="205"/>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pPr>
        <w:snapToGrid w:val="0"/>
        <w:ind w:firstLine="525" w:firstLineChars="250"/>
        <w:rPr>
          <w:rFonts w:ascii="宋体" w:hAnsi="宋体"/>
          <w:color w:val="auto"/>
          <w:szCs w:val="21"/>
          <w:highlight w:val="none"/>
        </w:rPr>
      </w:pPr>
    </w:p>
    <w:p>
      <w:pPr>
        <w:snapToGrid w:val="0"/>
        <w:ind w:firstLine="527" w:firstLineChars="250"/>
        <w:rPr>
          <w:rFonts w:ascii="宋体" w:hAnsi="宋体"/>
          <w:b/>
          <w:color w:val="auto"/>
          <w:szCs w:val="21"/>
          <w:highlight w:val="none"/>
        </w:rPr>
      </w:pPr>
    </w:p>
    <w:p>
      <w:pPr>
        <w:snapToGrid w:val="0"/>
        <w:ind w:firstLine="527" w:firstLineChars="250"/>
        <w:rPr>
          <w:rFonts w:ascii="宋体" w:hAnsi="宋体"/>
          <w:b/>
          <w:color w:val="auto"/>
          <w:szCs w:val="21"/>
          <w:highlight w:val="none"/>
        </w:rPr>
      </w:pPr>
      <w:r>
        <w:rPr>
          <w:rFonts w:ascii="宋体" w:hAnsi="宋体"/>
          <w:b/>
          <w:color w:val="auto"/>
          <w:szCs w:val="21"/>
          <w:highlight w:val="none"/>
        </w:rPr>
        <w:t>本协议与本工程承包合同为一整体合同文件</w:t>
      </w:r>
    </w:p>
    <w:p>
      <w:pPr>
        <w:rPr>
          <w:rFonts w:hint="eastAsia" w:ascii="宋体" w:hAnsi="宋体"/>
          <w:b/>
          <w:color w:val="auto"/>
          <w:szCs w:val="21"/>
          <w:highlight w:val="none"/>
        </w:rPr>
      </w:pPr>
    </w:p>
    <w:p>
      <w:pPr>
        <w:rPr>
          <w:rFonts w:hint="eastAsia" w:ascii="宋体" w:hAnsi="宋体"/>
          <w:color w:val="auto"/>
          <w:szCs w:val="21"/>
          <w:highlight w:val="none"/>
        </w:rPr>
      </w:pPr>
    </w:p>
    <w:p>
      <w:pPr>
        <w:outlineLvl w:val="2"/>
        <w:rPr>
          <w:rFonts w:hint="eastAsia" w:ascii="宋体" w:hAnsi="宋体"/>
          <w:color w:val="auto"/>
          <w:szCs w:val="21"/>
          <w:highlight w:val="none"/>
        </w:rPr>
      </w:pPr>
      <w:bookmarkStart w:id="2164" w:name="_Toc247339746"/>
      <w:bookmarkStart w:id="2165" w:name="_Toc341772042"/>
      <w:r>
        <w:rPr>
          <w:rFonts w:hint="eastAsia" w:ascii="宋体" w:hAnsi="宋体"/>
          <w:color w:val="auto"/>
          <w:szCs w:val="21"/>
          <w:highlight w:val="none"/>
        </w:rPr>
        <w:br w:type="page"/>
      </w:r>
      <w:r>
        <w:rPr>
          <w:rFonts w:hint="eastAsia" w:ascii="宋体" w:hAnsi="宋体"/>
          <w:color w:val="auto"/>
          <w:szCs w:val="21"/>
          <w:highlight w:val="none"/>
        </w:rPr>
        <w:t>附件五 工程施工质量保修责任书</w:t>
      </w:r>
      <w:bookmarkEnd w:id="2164"/>
      <w:bookmarkEnd w:id="2165"/>
    </w:p>
    <w:p>
      <w:pPr>
        <w:snapToGrid w:val="0"/>
        <w:jc w:val="center"/>
        <w:rPr>
          <w:rFonts w:hint="eastAsia" w:ascii="宋体" w:hAnsi="宋体"/>
          <w:b/>
          <w:color w:val="auto"/>
          <w:szCs w:val="21"/>
          <w:highlight w:val="none"/>
        </w:rPr>
      </w:pPr>
      <w:r>
        <w:rPr>
          <w:rFonts w:hint="eastAsia" w:ascii="宋体" w:hAnsi="宋体"/>
          <w:b/>
          <w:color w:val="auto"/>
          <w:szCs w:val="21"/>
          <w:highlight w:val="none"/>
        </w:rPr>
        <w:t>工程施工质量保修责任书</w:t>
      </w:r>
    </w:p>
    <w:p>
      <w:pPr>
        <w:snapToGrid w:val="0"/>
        <w:ind w:firstLine="420" w:firstLineChars="200"/>
        <w:rPr>
          <w:rFonts w:hint="eastAsia" w:ascii="宋体" w:hAnsi="宋体"/>
          <w:color w:val="auto"/>
          <w:szCs w:val="21"/>
          <w:highlight w:val="none"/>
          <w:u w:val="single"/>
        </w:rPr>
      </w:pPr>
      <w:r>
        <w:rPr>
          <w:rFonts w:hint="eastAsia" w:ascii="宋体" w:hAnsi="宋体"/>
          <w:color w:val="auto"/>
          <w:szCs w:val="21"/>
          <w:highlight w:val="none"/>
        </w:rPr>
        <w:t xml:space="preserve">发包人（全称）： </w:t>
      </w:r>
      <w:r>
        <w:rPr>
          <w:rFonts w:hint="eastAsia" w:ascii="宋体" w:hAnsi="宋体"/>
          <w:color w:val="auto"/>
          <w:szCs w:val="21"/>
          <w:highlight w:val="none"/>
          <w:u w:val="single"/>
        </w:rPr>
        <w:t xml:space="preserve">              </w:t>
      </w:r>
    </w:p>
    <w:p>
      <w:pPr>
        <w:ind w:firstLine="420" w:firstLineChars="200"/>
        <w:rPr>
          <w:rFonts w:ascii="宋体" w:hAnsi="宋体"/>
          <w:color w:val="auto"/>
          <w:szCs w:val="21"/>
          <w:highlight w:val="none"/>
          <w:u w:val="single"/>
        </w:rPr>
      </w:pPr>
      <w:r>
        <w:rPr>
          <w:rFonts w:hint="eastAsia" w:ascii="宋体" w:hAnsi="宋体"/>
          <w:color w:val="auto"/>
          <w:szCs w:val="21"/>
          <w:highlight w:val="none"/>
        </w:rPr>
        <w:t xml:space="preserve">承包人（全称）： </w:t>
      </w:r>
      <w:r>
        <w:rPr>
          <w:rFonts w:hint="eastAsia" w:ascii="宋体" w:hAnsi="宋体"/>
          <w:color w:val="auto"/>
          <w:szCs w:val="21"/>
          <w:highlight w:val="none"/>
          <w:u w:val="single"/>
        </w:rPr>
        <w:t xml:space="preserve">              </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为保证</w:t>
      </w:r>
      <w:r>
        <w:rPr>
          <w:rFonts w:hint="eastAsia" w:ascii="宋体" w:hAnsi="宋体"/>
          <w:color w:val="auto"/>
          <w:szCs w:val="21"/>
          <w:highlight w:val="none"/>
          <w:u w:val="single"/>
        </w:rPr>
        <w:t xml:space="preserve">          工程</w:t>
      </w:r>
      <w:r>
        <w:rPr>
          <w:rFonts w:hint="eastAsia" w:ascii="宋体" w:hAnsi="宋体"/>
          <w:color w:val="auto"/>
          <w:szCs w:val="21"/>
          <w:highlight w:val="none"/>
        </w:rPr>
        <w:t>在合理使用期限内正常使用，发包人与承包人协商一致签订工程质量保修责任书。承包人在质量保修期内按照有关管理规定及双方约定承担本工程质量保修责任。</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（一）、工程质量保修范围和内容</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质量保修范围包括本建设工程总承包合同中所含的项目。具体质量保修内容双方约定如下：</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 总承包人对竣工交付使用的工程所存在的质量缺陷负责保修。 </w:t>
      </w:r>
    </w:p>
    <w:p>
      <w:pPr>
        <w:autoSpaceDE w:val="0"/>
        <w:autoSpaceDN w:val="0"/>
        <w:ind w:firstLine="420" w:firstLineChars="200"/>
        <w:jc w:val="left"/>
        <w:rPr>
          <w:rFonts w:ascii="宋体" w:hAnsi="宋体"/>
          <w:color w:val="auto"/>
          <w:szCs w:val="21"/>
          <w:highlight w:val="none"/>
        </w:rPr>
      </w:pPr>
      <w:r>
        <w:rPr>
          <w:rFonts w:hint="eastAsia" w:ascii="宋体" w:hAnsi="宋体"/>
          <w:color w:val="auto"/>
          <w:szCs w:val="21"/>
          <w:highlight w:val="none"/>
        </w:rPr>
        <w:t>2. 质量保修范围为协议书第1条规定的总承包范围内的全部工程内容。</w:t>
      </w:r>
    </w:p>
    <w:p>
      <w:pPr>
        <w:autoSpaceDE w:val="0"/>
        <w:autoSpaceDN w:val="0"/>
        <w:ind w:firstLine="420" w:firstLineChars="200"/>
        <w:jc w:val="left"/>
        <w:rPr>
          <w:rFonts w:hint="eastAsia" w:ascii="宋体" w:hAnsi="宋体"/>
          <w:color w:val="auto"/>
          <w:szCs w:val="21"/>
          <w:highlight w:val="none"/>
        </w:rPr>
      </w:pPr>
      <w:r>
        <w:rPr>
          <w:rFonts w:hint="eastAsia" w:ascii="宋体" w:hAnsi="宋体"/>
          <w:color w:val="auto"/>
          <w:szCs w:val="21"/>
          <w:highlight w:val="none"/>
        </w:rPr>
        <w:t>3. 执行电力建设工程启动及竣工验收规程、建设工程质量管理办法等规定。</w:t>
      </w:r>
    </w:p>
    <w:p>
      <w:pPr>
        <w:tabs>
          <w:tab w:val="left" w:pos="3360"/>
        </w:tabs>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（二）、质量保修期</w:t>
      </w:r>
    </w:p>
    <w:p>
      <w:pPr>
        <w:autoSpaceDE w:val="0"/>
        <w:autoSpaceDN w:val="0"/>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1. 质量保修期从工程实际竣工之日算起。</w:t>
      </w:r>
      <w:r>
        <w:rPr>
          <w:rFonts w:hint="eastAsia" w:ascii="宋体" w:hAnsi="宋体" w:cs="宋体"/>
          <w:color w:val="auto"/>
          <w:szCs w:val="21"/>
          <w:highlight w:val="none"/>
        </w:rPr>
        <w:t>整体工程或其中分单项、单位、分项、分部验收交付的工程，均从移交之日起分别计算保修期。保修期为</w:t>
      </w:r>
      <w:r>
        <w:rPr>
          <w:rFonts w:ascii="宋体" w:hAnsi="宋体" w:cs="宋体"/>
          <w:color w:val="auto"/>
          <w:szCs w:val="21"/>
          <w:highlight w:val="none"/>
        </w:rPr>
        <w:t xml:space="preserve">2 </w:t>
      </w:r>
      <w:r>
        <w:rPr>
          <w:rFonts w:hint="eastAsia" w:ascii="宋体" w:hAnsi="宋体" w:cs="宋体"/>
          <w:color w:val="auto"/>
          <w:szCs w:val="21"/>
          <w:highlight w:val="none"/>
        </w:rPr>
        <w:t>年。</w:t>
      </w:r>
    </w:p>
    <w:p>
      <w:pPr>
        <w:autoSpaceDE w:val="0"/>
        <w:autoSpaceDN w:val="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 </w:t>
      </w:r>
      <w:r>
        <w:rPr>
          <w:rFonts w:ascii="宋体" w:hAnsi="宋体" w:cs="宋体"/>
          <w:color w:val="auto"/>
          <w:szCs w:val="21"/>
          <w:highlight w:val="none"/>
        </w:rPr>
        <w:t>在正常使用条件下，建设工程的最低保修期限为：（一）基础设施工程、房屋建筑的地基基础工程和主体结构工程，为设计文件规定的该工程的合理使用年限；（二）屋面防水工程、有防水要求的卫生间、房间和外墙面的放渗漏，为5年；（三）供热与供冷系统，为2个采暖期、供冷期；（四）电气管线、给排水管道、设备安装和装修工程，为2年</w:t>
      </w:r>
      <w:r>
        <w:rPr>
          <w:rFonts w:hint="eastAsia" w:ascii="宋体" w:hAnsi="宋体" w:cs="宋体"/>
          <w:color w:val="auto"/>
          <w:szCs w:val="21"/>
          <w:highlight w:val="none"/>
        </w:rPr>
        <w:t>，</w:t>
      </w:r>
      <w:r>
        <w:rPr>
          <w:rFonts w:ascii="宋体" w:hAnsi="宋体" w:cs="宋体"/>
          <w:color w:val="auto"/>
          <w:szCs w:val="21"/>
          <w:highlight w:val="none"/>
        </w:rPr>
        <w:t>（</w:t>
      </w:r>
      <w:r>
        <w:rPr>
          <w:rFonts w:hint="eastAsia" w:ascii="宋体" w:hAnsi="宋体" w:cs="宋体"/>
          <w:color w:val="auto"/>
          <w:szCs w:val="21"/>
          <w:highlight w:val="none"/>
        </w:rPr>
        <w:t>五</w:t>
      </w:r>
      <w:r>
        <w:rPr>
          <w:rFonts w:ascii="宋体" w:hAnsi="宋体" w:cs="宋体"/>
          <w:color w:val="auto"/>
          <w:szCs w:val="21"/>
          <w:highlight w:val="none"/>
        </w:rPr>
        <w:t>）</w:t>
      </w:r>
      <w:r>
        <w:rPr>
          <w:rFonts w:hint="eastAsia" w:ascii="宋体" w:hAnsi="宋体" w:cs="宋体"/>
          <w:color w:val="auto"/>
          <w:szCs w:val="21"/>
          <w:highlight w:val="none"/>
        </w:rPr>
        <w:t>绿化工程</w:t>
      </w:r>
      <w:r>
        <w:rPr>
          <w:rFonts w:ascii="宋体" w:hAnsi="宋体" w:cs="宋体"/>
          <w:color w:val="auto"/>
          <w:szCs w:val="21"/>
          <w:highlight w:val="none"/>
        </w:rPr>
        <w:t>，为</w:t>
      </w:r>
      <w:r>
        <w:rPr>
          <w:rFonts w:hint="eastAsia" w:ascii="宋体" w:hAnsi="宋体" w:cs="宋体"/>
          <w:color w:val="auto"/>
          <w:szCs w:val="21"/>
          <w:highlight w:val="none"/>
        </w:rPr>
        <w:t>1</w:t>
      </w:r>
      <w:r>
        <w:rPr>
          <w:rFonts w:ascii="宋体" w:hAnsi="宋体" w:cs="宋体"/>
          <w:color w:val="auto"/>
          <w:szCs w:val="21"/>
          <w:highlight w:val="none"/>
        </w:rPr>
        <w:t>年。其他项目的保修期限由发包</w:t>
      </w:r>
      <w:r>
        <w:rPr>
          <w:rFonts w:hint="eastAsia" w:ascii="宋体" w:hAnsi="宋体" w:cs="宋体"/>
          <w:color w:val="auto"/>
          <w:szCs w:val="21"/>
          <w:highlight w:val="none"/>
        </w:rPr>
        <w:t>人</w:t>
      </w:r>
      <w:r>
        <w:rPr>
          <w:rFonts w:ascii="宋体" w:hAnsi="宋体" w:cs="宋体"/>
          <w:color w:val="auto"/>
          <w:szCs w:val="21"/>
          <w:highlight w:val="none"/>
        </w:rPr>
        <w:t>与承包</w:t>
      </w:r>
      <w:r>
        <w:rPr>
          <w:rFonts w:hint="eastAsia" w:ascii="宋体" w:hAnsi="宋体" w:cs="宋体"/>
          <w:color w:val="auto"/>
          <w:szCs w:val="21"/>
          <w:highlight w:val="none"/>
        </w:rPr>
        <w:t>人</w:t>
      </w:r>
      <w:r>
        <w:rPr>
          <w:rFonts w:ascii="宋体" w:hAnsi="宋体" w:cs="宋体"/>
          <w:color w:val="auto"/>
          <w:szCs w:val="21"/>
          <w:highlight w:val="none"/>
        </w:rPr>
        <w:t>约定。建设工程的保修期，自竣工验收合格之日起计算。</w:t>
      </w:r>
    </w:p>
    <w:p>
      <w:pPr>
        <w:autoSpaceDE w:val="0"/>
        <w:autoSpaceDN w:val="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 其他约定：按中华人民共和国建设部令第80号执行。</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（三）、质量保修责任</w:t>
      </w:r>
    </w:p>
    <w:p>
      <w:pPr>
        <w:numPr>
          <w:ilvl w:val="0"/>
          <w:numId w:val="14"/>
        </w:numPr>
        <w:snapToGrid w:val="0"/>
        <w:ind w:left="0" w:firstLine="420" w:firstLineChars="200"/>
        <w:rPr>
          <w:rFonts w:hint="eastAsia" w:ascii="宋体" w:hAnsi="宋体"/>
          <w:color w:val="auto"/>
          <w:szCs w:val="21"/>
          <w:highlight w:val="none"/>
        </w:rPr>
      </w:pPr>
      <w:r>
        <w:rPr>
          <w:rFonts w:hint="eastAsia" w:ascii="宋体" w:hAnsi="宋体"/>
          <w:color w:val="auto"/>
          <w:szCs w:val="21"/>
          <w:highlight w:val="none"/>
        </w:rPr>
        <w:t>属于保修范围的内容项目，承包人应在接到修理通知之日后七天内派人员修理。</w:t>
      </w:r>
    </w:p>
    <w:p>
      <w:pPr>
        <w:numPr>
          <w:ilvl w:val="0"/>
          <w:numId w:val="14"/>
        </w:numPr>
        <w:snapToGrid w:val="0"/>
        <w:ind w:left="0" w:firstLine="420" w:firstLineChars="200"/>
        <w:rPr>
          <w:rFonts w:hint="eastAsia" w:ascii="宋体" w:hAnsi="宋体"/>
          <w:color w:val="auto"/>
          <w:szCs w:val="21"/>
          <w:highlight w:val="none"/>
        </w:rPr>
      </w:pPr>
      <w:r>
        <w:rPr>
          <w:rFonts w:hint="eastAsia" w:ascii="宋体" w:hAnsi="宋体"/>
          <w:color w:val="auto"/>
          <w:szCs w:val="21"/>
          <w:highlight w:val="none"/>
        </w:rPr>
        <w:t>发生须紧急抢修事故，承包人接到事故通知后，应立即到达事故现场抢修。由于工程质量造成的事故，抢修费用由承包人承担。</w:t>
      </w:r>
    </w:p>
    <w:p>
      <w:pPr>
        <w:numPr>
          <w:ilvl w:val="0"/>
          <w:numId w:val="14"/>
        </w:numPr>
        <w:snapToGrid w:val="0"/>
        <w:ind w:left="0" w:firstLine="420" w:firstLineChars="200"/>
        <w:rPr>
          <w:rFonts w:ascii="宋体" w:hAnsi="宋体"/>
          <w:color w:val="auto"/>
          <w:szCs w:val="21"/>
          <w:highlight w:val="none"/>
        </w:rPr>
      </w:pPr>
      <w:r>
        <w:rPr>
          <w:rFonts w:hint="eastAsia" w:ascii="宋体" w:hAnsi="宋体"/>
          <w:color w:val="auto"/>
          <w:szCs w:val="21"/>
          <w:highlight w:val="none"/>
        </w:rPr>
        <w:t>承包人负责维修由于承包人原因形成的质量缺陷，承担由于承包人原因造成的发包人直接损失。所发生的费用从合同余款中扣除，不足部分由承包人支付。如果承包人未能在规定的时间内修补缺陷和损害，发包人可确定一个合理的日期，要求承包人在该日期之前修补好缺陷或损害，并应将该日期及时通知承包人。如果承包人到该通知日期仍未修补好缺陷或损害，且此项修补工作根据合同规定应由承包人承担实施的费用，发包人可以自行选择：</w:t>
      </w:r>
    </w:p>
    <w:p>
      <w:pPr>
        <w:numPr>
          <w:ilvl w:val="1"/>
          <w:numId w:val="15"/>
        </w:numPr>
        <w:autoSpaceDE w:val="0"/>
        <w:autoSpaceDN w:val="0"/>
        <w:adjustRightInd w:val="0"/>
        <w:ind w:left="0" w:firstLine="420" w:firstLineChars="200"/>
        <w:jc w:val="left"/>
        <w:rPr>
          <w:rFonts w:ascii="宋体" w:hAnsi="宋体" w:cs="宋体"/>
          <w:color w:val="auto"/>
          <w:szCs w:val="21"/>
          <w:highlight w:val="none"/>
        </w:rPr>
      </w:pPr>
      <w:r>
        <w:rPr>
          <w:rFonts w:hint="eastAsia" w:ascii="宋体" w:hAnsi="宋体" w:cs="宋体"/>
          <w:color w:val="auto"/>
          <w:szCs w:val="21"/>
          <w:highlight w:val="none"/>
        </w:rPr>
        <w:t>委托其他单位进行此项工作，由此产生的费用由承包人承担，但承包人对此项工作将不再负责任；</w:t>
      </w:r>
    </w:p>
    <w:p>
      <w:pPr>
        <w:numPr>
          <w:ilvl w:val="1"/>
          <w:numId w:val="15"/>
        </w:numPr>
        <w:autoSpaceDE w:val="0"/>
        <w:autoSpaceDN w:val="0"/>
        <w:adjustRightInd w:val="0"/>
        <w:ind w:left="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和承包人商定或确定合同价格的合理减少额；</w:t>
      </w:r>
    </w:p>
    <w:p>
      <w:pPr>
        <w:numPr>
          <w:ilvl w:val="1"/>
          <w:numId w:val="15"/>
        </w:numPr>
        <w:autoSpaceDE w:val="0"/>
        <w:autoSpaceDN w:val="0"/>
        <w:adjustRightInd w:val="0"/>
        <w:ind w:left="0"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果上述缺陷或损害使发包人实质上丧失了工程或工程的任何主要部分的利益时，发包人可以终止整个合同，或合同中有关不能按原定意图使用的该主要部分。发包人还有权在不损害根据合同或其他规定所具有的任何其他权利的情况下，收回对工程或该部分工程（视情况而定）的全部支出总额，加上融资费用和拆除工程、清理场地以及将生产设备和材料退还给</w:t>
      </w:r>
      <w:r>
        <w:rPr>
          <w:rFonts w:hint="eastAsia" w:ascii="宋体" w:hAnsi="宋体"/>
          <w:color w:val="auto"/>
          <w:szCs w:val="21"/>
          <w:highlight w:val="none"/>
        </w:rPr>
        <w:t>承包人</w:t>
      </w:r>
      <w:r>
        <w:rPr>
          <w:rFonts w:hint="eastAsia" w:ascii="宋体" w:hAnsi="宋体" w:cs="宋体"/>
          <w:color w:val="auto"/>
          <w:szCs w:val="21"/>
          <w:highlight w:val="none"/>
        </w:rPr>
        <w:t>所支付的费用。</w:t>
      </w:r>
    </w:p>
    <w:p>
      <w:pPr>
        <w:numPr>
          <w:ilvl w:val="0"/>
          <w:numId w:val="14"/>
        </w:numPr>
        <w:snapToGrid w:val="0"/>
        <w:ind w:left="0" w:firstLine="420" w:firstLineChars="200"/>
        <w:rPr>
          <w:rFonts w:hint="eastAsia" w:ascii="宋体" w:hAnsi="宋体"/>
          <w:color w:val="auto"/>
          <w:szCs w:val="21"/>
          <w:highlight w:val="none"/>
        </w:rPr>
      </w:pPr>
      <w:r>
        <w:rPr>
          <w:rFonts w:hint="eastAsia" w:ascii="宋体" w:hAnsi="宋体"/>
          <w:color w:val="auto"/>
          <w:szCs w:val="21"/>
          <w:highlight w:val="none"/>
        </w:rPr>
        <w:t>在国家规定的工程合理使用期限内，承包人确保工程质量和安全。因承包人原因致使工程在合理使用期限内存在或产生因质量或安全方面的缺陷造成人身和财产损害的，承包人应承担损害赔偿责任。</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（四）、质量保证金的支付</w:t>
      </w:r>
    </w:p>
    <w:p>
      <w:pPr>
        <w:ind w:firstLine="420" w:firstLineChars="200"/>
        <w:rPr>
          <w:rFonts w:hint="eastAsia" w:ascii="宋体" w:hAnsi="宋体"/>
          <w:color w:val="auto"/>
          <w:szCs w:val="21"/>
          <w:highlight w:val="none"/>
        </w:rPr>
      </w:pPr>
      <w:r>
        <w:rPr>
          <w:rFonts w:hint="eastAsia" w:ascii="宋体" w:hAnsi="宋体"/>
          <w:color w:val="auto"/>
          <w:szCs w:val="21"/>
          <w:highlight w:val="none"/>
        </w:rPr>
        <w:t>工程竣工结算时，承包人提交金额为竣工结算价3%的质量保证金保函，承包人应确保质量保证金保函在工程缺陷责任期内有效。严格执行《关于印发中国南方电网有限责任公司工程项目质量保证金管理工作指引的通知》。</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（五）、其他</w:t>
      </w:r>
    </w:p>
    <w:p>
      <w:pPr>
        <w:snapToGrid w:val="0"/>
        <w:ind w:firstLine="420" w:firstLineChars="200"/>
        <w:rPr>
          <w:rFonts w:hint="eastAsia" w:ascii="宋体" w:hAnsi="宋体"/>
          <w:color w:val="auto"/>
          <w:szCs w:val="21"/>
          <w:highlight w:val="none"/>
          <w:u w:val="single"/>
        </w:rPr>
      </w:pPr>
      <w:r>
        <w:rPr>
          <w:rFonts w:hint="eastAsia" w:ascii="宋体" w:hAnsi="宋体"/>
          <w:color w:val="auto"/>
          <w:szCs w:val="21"/>
          <w:highlight w:val="none"/>
        </w:rPr>
        <w:t>工程缺陷责任期如有需要延续的，承包人应确保质量保证金保函在缺陷责任期的延续期内有效。</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本工程质量保修责任书作为本项目总承包合同附件，由发包人与总承包人双方共同签署。</w:t>
      </w:r>
    </w:p>
    <w:p>
      <w:pPr>
        <w:snapToGrid w:val="0"/>
        <w:ind w:firstLine="422" w:firstLineChars="200"/>
        <w:rPr>
          <w:rFonts w:ascii="宋体" w:hAnsi="宋体"/>
          <w:b/>
          <w:color w:val="auto"/>
          <w:szCs w:val="21"/>
          <w:highlight w:val="none"/>
        </w:rPr>
      </w:pPr>
      <w:r>
        <w:rPr>
          <w:rFonts w:ascii="宋体" w:hAnsi="宋体"/>
          <w:b/>
          <w:color w:val="auto"/>
          <w:szCs w:val="21"/>
          <w:highlight w:val="none"/>
        </w:rPr>
        <w:t>本协议与本工程承包合同为一整体合同文件</w:t>
      </w:r>
    </w:p>
    <w:bookmarkEnd w:id="2160"/>
    <w:p>
      <w:pPr>
        <w:outlineLvl w:val="2"/>
        <w:rPr>
          <w:rFonts w:hint="eastAsia" w:ascii="宋体" w:hAnsi="宋体"/>
          <w:color w:val="auto"/>
          <w:szCs w:val="21"/>
          <w:highlight w:val="none"/>
        </w:rPr>
      </w:pPr>
      <w:bookmarkStart w:id="2166" w:name="_Toc341772043"/>
      <w:r>
        <w:rPr>
          <w:rFonts w:ascii="宋体" w:hAnsi="宋体"/>
          <w:color w:val="auto"/>
          <w:szCs w:val="21"/>
          <w:highlight w:val="none"/>
        </w:rPr>
        <w:br w:type="page"/>
      </w:r>
      <w:r>
        <w:rPr>
          <w:rFonts w:hint="eastAsia" w:ascii="宋体" w:hAnsi="宋体"/>
          <w:color w:val="auto"/>
          <w:szCs w:val="21"/>
          <w:highlight w:val="none"/>
        </w:rPr>
        <w:t xml:space="preserve">附件六 </w:t>
      </w:r>
      <w:r>
        <w:rPr>
          <w:rFonts w:ascii="宋体" w:hAnsi="宋体"/>
          <w:color w:val="auto"/>
          <w:szCs w:val="21"/>
          <w:highlight w:val="none"/>
        </w:rPr>
        <w:t xml:space="preserve"> </w:t>
      </w:r>
      <w:r>
        <w:rPr>
          <w:rFonts w:hint="eastAsia" w:ascii="宋体" w:hAnsi="宋体" w:cs="宋体"/>
          <w:color w:val="auto"/>
          <w:kern w:val="0"/>
          <w:szCs w:val="21"/>
          <w:highlight w:val="none"/>
        </w:rPr>
        <w:t>中国南方电网有限责任公司基建工作“八不准”细则</w:t>
      </w:r>
    </w:p>
    <w:p>
      <w:pPr>
        <w:snapToGrid w:val="0"/>
        <w:ind w:firstLine="527" w:firstLineChars="250"/>
        <w:rPr>
          <w:rFonts w:ascii="宋体" w:hAnsi="宋体"/>
          <w:b/>
          <w:strike/>
          <w:color w:val="auto"/>
          <w:szCs w:val="21"/>
          <w:highlight w:val="none"/>
        </w:rPr>
      </w:pPr>
    </w:p>
    <w:p>
      <w:pPr>
        <w:snapToGrid w:val="0"/>
        <w:ind w:firstLine="420" w:firstLineChars="200"/>
        <w:jc w:val="center"/>
        <w:rPr>
          <w:rFonts w:hint="eastAsia" w:ascii="宋体" w:hAnsi="宋体"/>
          <w:color w:val="auto"/>
          <w:szCs w:val="21"/>
          <w:highlight w:val="none"/>
        </w:rPr>
      </w:pPr>
      <w:r>
        <w:rPr>
          <w:rFonts w:hint="eastAsia" w:ascii="宋体" w:hAnsi="宋体"/>
          <w:color w:val="auto"/>
          <w:szCs w:val="21"/>
          <w:highlight w:val="none"/>
        </w:rPr>
        <w:t>总  则</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为贯彻落实国家有关法律法规，推进公司依法治企建设，防止基建领域权力寻租、违规向职工持股企业输送利益问题，结合公司实际，制定本细则。</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本细则适用于参与公司基建工程管理的各级人员。</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管理要求</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第一条 不准违规干预基建工程招标及合同管理。</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各级领导干部应当严格遵守国家法律法规和公司有关规定，不准有下列违规行为：</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（一）在基建工程招标、合同变更和结算等环节为项目承包商请托说情，授意、纵容身边工作人员或亲属为项目承包商请托说情；</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（二）要求基建管理人员或基建单位负责人私下会见项目承包商或代理人以及其他与基建项目有利害关系的人；</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（三）超越职权对基建工程招标及采购提出倾向性意见或者具体要求；</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（四）其他违法的基建管理活动，妨碍基建招标、合同管理公平、公正、公开的行为。</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对领导人员干预招标、插手工程项目的情况，基建人员应当全面如实记录，做到全程留痕、有据可查。</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第二条 不准利用基建工程进行权力寻租。</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基建各级人员应当严格遵守国家法律法规和公司有关规定，按有关规章制度和流程标准办事，不得在基建工程招标采购、合同签订、设计评审、工程量变更、事故责任认定、项目验收、合同结算、承包商管理等环节吃、拿、卡、要，损害公司形象，谋取不正当利益。</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第三条 不准违规开展招标工作。</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基建工程招标不得违反国家法律法规和公司招投标有关规定，严格按规章制度、作业标准及办事流程办事，不得以权谋私、违规操作。</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达到公开招标条件的项目，必须公开招标。应当核准或备案的项目，在未取得核准或备案手续前，原则上不准招标。未列入公司固定资产投资计划的项目，不准开展招标工作。</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工程建设过程必须合法合规，严禁先实施、后招标。严禁建设单位将工程发包给不具备相应资质的单位或个人。</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第四条 不准违规进行评标。</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评标委员会的组建，必须严格符合国家法律法规和公司有关制度以及招标方案和招标文件。与投标人有利益相关方的评标专家必须按照规定进行回避。</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评标专家必须认真履行职责，依据招标文件的评分规则和投标人递交的资料进行评标。评标过程应客观公正、严谨完整，不准存在错打或遗漏现象。</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第五条 不准违反合同管理有关规定。</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合同的签订、履行、变更和结算应严格遵守公司相关管理规定。</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严格按照规定的程序和权限对合同进行审批和签订，合同条款要采用合同标准文本且符合招投标文件要求，对变动的专用条款须严格审查。严格开展合同履约和合同变更管理，坚持“先审批，后实施”的变更原则；合同变更须依据合同变更条款和规定的审批程序进行；变更的工程量、价应符合实际，由相关各方签字确认，变更资料及时、完备。规范合同的结算工作，严禁超前结算；合同结算须按结算审核指导书要求，严格审核，结算原则应与合同保持一致。</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第六条 不准非法转包、非法分包和挂靠行为。</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不准存在分包管理不到位现象。不准基建管理人员私下指定分包单位，违规指定分包范围。加强分包审批与备案管理，防止“阴阳合同”，严格项目现场的分包检查。</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第七条 不准对承包商管理不公。</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严格承包商管理，确保公平、公正、公开，防止人为干预。</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不准基建管理人员在承包商建立资信档案过程中，人为提高或降低审核标准；不准在承包商考核扣分中徇私舞弊，没有严格按照扣分标准进行检查扣分；不准在承包商履约评价中偏袒或歧视承包商等不公正行为。在承包商管理中严格复核，不准弄虚作假。</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第八条 不准违规向职工持股企业输送利益。</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严禁直接将应招标基建项目交由职工持股企业承接，职工持股企业必须经过合法的程序（如公开招投标），通过市场竞争取得基建项目。招投标过程必须依法依规、一视同仁，不得有偏袒不公，采购价格符合市场水平。</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加强对职工持股企业承接项目的管控，防止在项目实施过程中发生违规利益输送问题；强化责任落实，特别是加强变更管理，杜绝工程量与实际不符的情况；加强结算管理，严格结算审查；加强分包管理，严禁职工持股企业发生非法转包、非法分包和挂靠等行为。</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检查与监督</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各级基建人员应定期开展自查自纠，对违反规定的行为，应及时予以纠正、处理。公司总部和各分子公司不定期地进行巡查，检查中发现问题，严肃处理。问题严重的，责任单位领导负责向上级说清楚。</w:t>
      </w:r>
    </w:p>
    <w:p>
      <w:pPr>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对违反规定，造成重大损失或恶劣影响的，应当按照国家法律法规和公司有关规定，由纪检监察部门进行立案调查，涉嫌构成犯罪的移交司法机关处置。</w:t>
      </w:r>
    </w:p>
    <w:p>
      <w:pPr>
        <w:snapToGrid w:val="0"/>
        <w:ind w:firstLine="420" w:firstLineChars="200"/>
        <w:rPr>
          <w:rFonts w:ascii="宋体" w:hAnsi="宋体"/>
          <w:color w:val="auto"/>
          <w:szCs w:val="21"/>
          <w:highlight w:val="none"/>
        </w:rPr>
      </w:pPr>
      <w:r>
        <w:rPr>
          <w:rFonts w:hint="eastAsia" w:ascii="宋体" w:hAnsi="宋体"/>
          <w:color w:val="auto"/>
          <w:szCs w:val="21"/>
          <w:highlight w:val="none"/>
        </w:rPr>
        <w:t>本细则自发布之日起实施，公司基建部负责解释。</w:t>
      </w:r>
    </w:p>
    <w:p>
      <w:pPr>
        <w:snapToGrid w:val="0"/>
        <w:ind w:firstLine="422" w:firstLineChars="200"/>
        <w:rPr>
          <w:rFonts w:ascii="宋体" w:hAnsi="宋体"/>
          <w:b/>
          <w:strike/>
          <w:color w:val="auto"/>
          <w:szCs w:val="21"/>
          <w:highlight w:val="none"/>
        </w:rPr>
      </w:pPr>
    </w:p>
    <w:p>
      <w:pPr>
        <w:snapToGrid w:val="0"/>
        <w:ind w:firstLine="422" w:firstLineChars="200"/>
        <w:rPr>
          <w:rFonts w:ascii="宋体" w:hAnsi="宋体"/>
          <w:b/>
          <w:strike/>
          <w:color w:val="auto"/>
          <w:szCs w:val="21"/>
          <w:highlight w:val="none"/>
        </w:rPr>
      </w:pPr>
    </w:p>
    <w:p>
      <w:pPr>
        <w:snapToGrid w:val="0"/>
        <w:ind w:firstLine="422" w:firstLineChars="200"/>
        <w:rPr>
          <w:rFonts w:hint="eastAsia" w:ascii="宋体" w:hAnsi="宋体"/>
          <w:b/>
          <w:strike/>
          <w:color w:val="auto"/>
          <w:szCs w:val="21"/>
          <w:highlight w:val="none"/>
        </w:rPr>
      </w:pPr>
    </w:p>
    <w:p>
      <w:pPr>
        <w:snapToGrid w:val="0"/>
        <w:ind w:firstLine="422" w:firstLineChars="200"/>
        <w:rPr>
          <w:rFonts w:ascii="宋体" w:hAnsi="宋体"/>
          <w:b/>
          <w:color w:val="auto"/>
          <w:szCs w:val="21"/>
          <w:highlight w:val="none"/>
        </w:rPr>
      </w:pPr>
      <w:r>
        <w:rPr>
          <w:rFonts w:ascii="宋体" w:hAnsi="宋体"/>
          <w:b/>
          <w:color w:val="auto"/>
          <w:szCs w:val="21"/>
          <w:highlight w:val="none"/>
        </w:rPr>
        <w:t>本</w:t>
      </w:r>
      <w:r>
        <w:rPr>
          <w:rFonts w:hint="eastAsia" w:ascii="宋体" w:hAnsi="宋体"/>
          <w:b/>
          <w:color w:val="auto"/>
          <w:szCs w:val="21"/>
          <w:highlight w:val="none"/>
        </w:rPr>
        <w:t>通知</w:t>
      </w:r>
      <w:r>
        <w:rPr>
          <w:rFonts w:ascii="宋体" w:hAnsi="宋体"/>
          <w:b/>
          <w:color w:val="auto"/>
          <w:szCs w:val="21"/>
          <w:highlight w:val="none"/>
        </w:rPr>
        <w:t>与本工程承包合同为一整体合同文件</w:t>
      </w:r>
      <w:r>
        <w:rPr>
          <w:rFonts w:hint="eastAsia" w:ascii="宋体" w:hAnsi="宋体"/>
          <w:b/>
          <w:color w:val="auto"/>
          <w:szCs w:val="21"/>
          <w:highlight w:val="none"/>
        </w:rPr>
        <w:t>。</w:t>
      </w:r>
    </w:p>
    <w:p>
      <w:pPr>
        <w:outlineLvl w:val="2"/>
        <w:rPr>
          <w:rFonts w:hint="eastAsia" w:ascii="宋体" w:hAnsi="宋体"/>
          <w:color w:val="auto"/>
          <w:szCs w:val="21"/>
          <w:highlight w:val="none"/>
        </w:rPr>
      </w:pPr>
      <w:r>
        <w:rPr>
          <w:rFonts w:ascii="宋体" w:hAnsi="宋体"/>
          <w:b/>
          <w:strike/>
          <w:color w:val="auto"/>
          <w:szCs w:val="21"/>
          <w:highlight w:val="none"/>
        </w:rPr>
        <w:br w:type="page"/>
      </w:r>
      <w:r>
        <w:rPr>
          <w:rFonts w:hint="eastAsia" w:ascii="宋体" w:hAnsi="宋体"/>
          <w:color w:val="auto"/>
          <w:szCs w:val="21"/>
          <w:highlight w:val="none"/>
        </w:rPr>
        <w:t>附件七 现场作业人员统计表</w:t>
      </w:r>
      <w:bookmarkEnd w:id="2166"/>
    </w:p>
    <w:p>
      <w:pPr>
        <w:rPr>
          <w:rFonts w:hint="eastAsia" w:ascii="宋体" w:hAnsi="宋体"/>
          <w:color w:val="auto"/>
          <w:szCs w:val="21"/>
          <w:highlight w:val="none"/>
        </w:rPr>
      </w:pPr>
    </w:p>
    <w:p>
      <w:pPr>
        <w:jc w:val="center"/>
        <w:rPr>
          <w:rFonts w:hint="eastAsia" w:ascii="宋体" w:hAnsi="宋体"/>
          <w:b/>
          <w:color w:val="auto"/>
          <w:szCs w:val="21"/>
          <w:highlight w:val="none"/>
        </w:rPr>
      </w:pPr>
      <w:r>
        <w:rPr>
          <w:rFonts w:hint="eastAsia" w:ascii="宋体" w:hAnsi="宋体"/>
          <w:b/>
          <w:color w:val="auto"/>
          <w:szCs w:val="21"/>
          <w:highlight w:val="none"/>
        </w:rPr>
        <w:t>**单位</w:t>
      </w:r>
      <w:r>
        <w:rPr>
          <w:rFonts w:hint="eastAsia" w:ascii="宋体" w:hAnsi="宋体"/>
          <w:b/>
          <w:color w:val="auto"/>
          <w:szCs w:val="21"/>
          <w:highlight w:val="none"/>
          <w:u w:val="single"/>
        </w:rPr>
        <w:t xml:space="preserve">   </w:t>
      </w:r>
      <w:r>
        <w:rPr>
          <w:rFonts w:hint="eastAsia" w:ascii="宋体" w:hAnsi="宋体"/>
          <w:b/>
          <w:color w:val="auto"/>
          <w:szCs w:val="21"/>
          <w:highlight w:val="none"/>
        </w:rPr>
        <w:t>项目现场作业人员统计表</w:t>
      </w:r>
    </w:p>
    <w:tbl>
      <w:tblPr>
        <w:tblStyle w:val="43"/>
        <w:tblW w:w="9900"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900"/>
        <w:gridCol w:w="900"/>
        <w:gridCol w:w="1080"/>
        <w:gridCol w:w="1085"/>
        <w:gridCol w:w="816"/>
        <w:gridCol w:w="984"/>
        <w:gridCol w:w="858"/>
        <w:gridCol w:w="1117"/>
        <w:gridCol w:w="144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720" w:type="dxa"/>
            <w:vMerge w:val="restart"/>
            <w:tcBorders>
              <w:top w:val="single" w:color="000000" w:sz="4" w:space="0"/>
              <w:left w:val="single" w:color="000000" w:sz="4" w:space="0"/>
              <w:right w:val="single" w:color="000000" w:sz="4" w:space="0"/>
            </w:tcBorders>
            <w:vAlign w:val="center"/>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r>
              <w:rPr>
                <w:rFonts w:hint="default" w:hAnsi="宋体" w:cs="Times New Roman"/>
                <w:color w:val="auto"/>
                <w:szCs w:val="21"/>
                <w:highlight w:val="none"/>
              </w:rPr>
              <w:t>序号</w:t>
            </w:r>
          </w:p>
        </w:tc>
        <w:tc>
          <w:tcPr>
            <w:tcW w:w="900" w:type="dxa"/>
            <w:vMerge w:val="restart"/>
            <w:tcBorders>
              <w:top w:val="single" w:color="000000" w:sz="4" w:space="0"/>
              <w:left w:val="single" w:color="000000" w:sz="4" w:space="0"/>
              <w:right w:val="single" w:color="000000" w:sz="4" w:space="0"/>
            </w:tcBorders>
            <w:vAlign w:val="center"/>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r>
              <w:rPr>
                <w:rFonts w:hint="default" w:hAnsi="宋体" w:cs="Times New Roman"/>
                <w:color w:val="auto"/>
                <w:szCs w:val="21"/>
                <w:highlight w:val="none"/>
              </w:rPr>
              <w:t>姓名</w:t>
            </w:r>
          </w:p>
        </w:tc>
        <w:tc>
          <w:tcPr>
            <w:tcW w:w="900" w:type="dxa"/>
            <w:vMerge w:val="restart"/>
            <w:tcBorders>
              <w:top w:val="single" w:color="000000" w:sz="4" w:space="0"/>
              <w:left w:val="single" w:color="000000" w:sz="4" w:space="0"/>
              <w:right w:val="single" w:color="000000" w:sz="4" w:space="0"/>
            </w:tcBorders>
            <w:vAlign w:val="center"/>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r>
              <w:rPr>
                <w:rFonts w:hint="default" w:hAnsi="宋体" w:cs="Times New Roman"/>
                <w:color w:val="auto"/>
                <w:szCs w:val="21"/>
                <w:highlight w:val="none"/>
              </w:rPr>
              <w:t>工作岗位</w:t>
            </w:r>
          </w:p>
        </w:tc>
        <w:tc>
          <w:tcPr>
            <w:tcW w:w="1080" w:type="dxa"/>
            <w:vMerge w:val="restart"/>
            <w:tcBorders>
              <w:top w:val="single" w:color="000000" w:sz="4" w:space="0"/>
              <w:left w:val="single" w:color="000000" w:sz="4" w:space="0"/>
              <w:right w:val="single" w:color="000000" w:sz="4" w:space="0"/>
            </w:tcBorders>
            <w:vAlign w:val="center"/>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r>
              <w:rPr>
                <w:rFonts w:hint="default" w:hAnsi="宋体" w:cs="Times New Roman"/>
                <w:color w:val="auto"/>
                <w:szCs w:val="21"/>
                <w:highlight w:val="none"/>
              </w:rPr>
              <w:t>执业资格</w:t>
            </w:r>
          </w:p>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r>
              <w:rPr>
                <w:rFonts w:hint="default" w:hAnsi="宋体" w:cs="Times New Roman"/>
                <w:color w:val="auto"/>
                <w:szCs w:val="21"/>
                <w:highlight w:val="none"/>
              </w:rPr>
              <w:t>及证书号</w:t>
            </w:r>
          </w:p>
        </w:tc>
        <w:tc>
          <w:tcPr>
            <w:tcW w:w="2885" w:type="dxa"/>
            <w:gridSpan w:val="3"/>
            <w:tcBorders>
              <w:top w:val="single" w:color="000000" w:sz="4" w:space="0"/>
              <w:left w:val="single" w:color="000000" w:sz="4" w:space="0"/>
              <w:bottom w:val="single" w:color="000000" w:sz="4" w:space="0"/>
              <w:right w:val="single" w:color="000000" w:sz="4" w:space="0"/>
            </w:tcBorders>
            <w:vAlign w:val="center"/>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r>
              <w:rPr>
                <w:rFonts w:hint="default" w:hAnsi="宋体" w:cs="Times New Roman"/>
                <w:color w:val="auto"/>
                <w:szCs w:val="21"/>
                <w:highlight w:val="none"/>
              </w:rPr>
              <w:t>职业资格/技术职务</w:t>
            </w:r>
          </w:p>
        </w:tc>
        <w:tc>
          <w:tcPr>
            <w:tcW w:w="3415" w:type="dxa"/>
            <w:gridSpan w:val="3"/>
            <w:tcBorders>
              <w:top w:val="single" w:color="000000" w:sz="4" w:space="0"/>
              <w:left w:val="single" w:color="000000" w:sz="4" w:space="0"/>
              <w:bottom w:val="single" w:color="000000" w:sz="4" w:space="0"/>
              <w:right w:val="single" w:color="000000" w:sz="4" w:space="0"/>
            </w:tcBorders>
            <w:vAlign w:val="center"/>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r>
              <w:rPr>
                <w:rFonts w:hint="default" w:hAnsi="宋体" w:cs="Times New Roman"/>
                <w:color w:val="auto"/>
                <w:szCs w:val="21"/>
                <w:highlight w:val="none"/>
              </w:rPr>
              <w:t>特种/一般作业人员</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20" w:type="dxa"/>
            <w:vMerge w:val="continue"/>
            <w:tcBorders>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900" w:type="dxa"/>
            <w:vMerge w:val="continue"/>
            <w:tcBorders>
              <w:left w:val="single" w:color="000000" w:sz="4" w:space="0"/>
              <w:bottom w:val="single" w:color="000000" w:sz="4" w:space="0"/>
              <w:right w:val="single" w:color="000000" w:sz="4" w:space="0"/>
            </w:tcBorders>
            <w:vAlign w:val="center"/>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p>
        </w:tc>
        <w:tc>
          <w:tcPr>
            <w:tcW w:w="900" w:type="dxa"/>
            <w:vMerge w:val="continue"/>
            <w:tcBorders>
              <w:left w:val="single" w:color="000000" w:sz="4" w:space="0"/>
              <w:bottom w:val="single" w:color="000000" w:sz="4" w:space="0"/>
              <w:right w:val="single" w:color="000000" w:sz="4" w:space="0"/>
            </w:tcBorders>
            <w:vAlign w:val="center"/>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p>
        </w:tc>
        <w:tc>
          <w:tcPr>
            <w:tcW w:w="1080" w:type="dxa"/>
            <w:vMerge w:val="continue"/>
            <w:tcBorders>
              <w:left w:val="single" w:color="000000" w:sz="4" w:space="0"/>
              <w:bottom w:val="single" w:color="000000" w:sz="4" w:space="0"/>
              <w:right w:val="single" w:color="000000" w:sz="4" w:space="0"/>
            </w:tcBorders>
            <w:vAlign w:val="center"/>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p>
        </w:tc>
        <w:tc>
          <w:tcPr>
            <w:tcW w:w="1085"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r>
              <w:rPr>
                <w:rFonts w:hint="default" w:hAnsi="宋体" w:cs="Times New Roman"/>
                <w:color w:val="auto"/>
                <w:szCs w:val="21"/>
                <w:highlight w:val="none"/>
              </w:rPr>
              <w:t>职称/技能</w:t>
            </w:r>
          </w:p>
        </w:tc>
        <w:tc>
          <w:tcPr>
            <w:tcW w:w="816"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r>
              <w:rPr>
                <w:rFonts w:hint="default" w:hAnsi="宋体" w:cs="Times New Roman"/>
                <w:color w:val="auto"/>
                <w:szCs w:val="21"/>
                <w:highlight w:val="none"/>
              </w:rPr>
              <w:t>专业</w:t>
            </w:r>
          </w:p>
        </w:tc>
        <w:tc>
          <w:tcPr>
            <w:tcW w:w="984"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r>
              <w:rPr>
                <w:rFonts w:hint="default" w:hAnsi="宋体" w:cs="Times New Roman"/>
                <w:color w:val="auto"/>
                <w:szCs w:val="21"/>
                <w:highlight w:val="none"/>
              </w:rPr>
              <w:t>证书号</w:t>
            </w:r>
          </w:p>
        </w:tc>
        <w:tc>
          <w:tcPr>
            <w:tcW w:w="858"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r>
              <w:rPr>
                <w:rFonts w:hint="default" w:hAnsi="宋体" w:cs="Times New Roman"/>
                <w:color w:val="auto"/>
                <w:szCs w:val="21"/>
                <w:highlight w:val="none"/>
              </w:rPr>
              <w:t>工种</w:t>
            </w:r>
          </w:p>
        </w:tc>
        <w:tc>
          <w:tcPr>
            <w:tcW w:w="111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r>
              <w:rPr>
                <w:rFonts w:hint="default" w:hAnsi="宋体" w:cs="Times New Roman"/>
                <w:color w:val="auto"/>
                <w:szCs w:val="21"/>
                <w:highlight w:val="none"/>
              </w:rPr>
              <w:t>特种作业操作证书号</w:t>
            </w: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r>
              <w:rPr>
                <w:rFonts w:hint="default" w:hAnsi="宋体" w:cs="Times New Roman"/>
                <w:color w:val="auto"/>
                <w:szCs w:val="21"/>
                <w:highlight w:val="none"/>
              </w:rPr>
              <w:t>电网建设作业人员资格认定证书号</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p>
        </w:tc>
        <w:tc>
          <w:tcPr>
            <w:tcW w:w="1085"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p>
        </w:tc>
        <w:tc>
          <w:tcPr>
            <w:tcW w:w="816"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p>
        </w:tc>
        <w:tc>
          <w:tcPr>
            <w:tcW w:w="984"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p>
        </w:tc>
        <w:tc>
          <w:tcPr>
            <w:tcW w:w="858"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p>
        </w:tc>
        <w:tc>
          <w:tcPr>
            <w:tcW w:w="1117"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p>
        </w:tc>
        <w:tc>
          <w:tcPr>
            <w:tcW w:w="1440"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p>
        </w:tc>
        <w:tc>
          <w:tcPr>
            <w:tcW w:w="1085"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p>
        </w:tc>
        <w:tc>
          <w:tcPr>
            <w:tcW w:w="816"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p>
        </w:tc>
        <w:tc>
          <w:tcPr>
            <w:tcW w:w="984"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p>
        </w:tc>
        <w:tc>
          <w:tcPr>
            <w:tcW w:w="858"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p>
        </w:tc>
        <w:tc>
          <w:tcPr>
            <w:tcW w:w="1117"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p>
        </w:tc>
        <w:tc>
          <w:tcPr>
            <w:tcW w:w="1440"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p>
        </w:tc>
        <w:tc>
          <w:tcPr>
            <w:tcW w:w="1085"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p>
        </w:tc>
        <w:tc>
          <w:tcPr>
            <w:tcW w:w="816"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p>
        </w:tc>
        <w:tc>
          <w:tcPr>
            <w:tcW w:w="984"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p>
        </w:tc>
        <w:tc>
          <w:tcPr>
            <w:tcW w:w="858"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p>
        </w:tc>
        <w:tc>
          <w:tcPr>
            <w:tcW w:w="1117"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p>
        </w:tc>
        <w:tc>
          <w:tcPr>
            <w:tcW w:w="1440" w:type="dxa"/>
            <w:tcBorders>
              <w:top w:val="single" w:color="000000" w:sz="4" w:space="0"/>
              <w:left w:val="single" w:color="000000" w:sz="4" w:space="0"/>
              <w:bottom w:val="single" w:color="000000" w:sz="4" w:space="0"/>
              <w:right w:val="single" w:color="000000" w:sz="4" w:space="0"/>
            </w:tcBorders>
            <w:vAlign w:val="top"/>
          </w:tcPr>
          <w:p>
            <w:pPr>
              <w:pStyle w:val="22"/>
              <w:keepNext w:val="0"/>
              <w:keepLines w:val="0"/>
              <w:suppressLineNumbers w:val="0"/>
              <w:spacing w:before="0" w:beforeAutospacing="0" w:after="0" w:afterAutospacing="0"/>
              <w:ind w:left="0" w:right="0"/>
              <w:jc w:val="center"/>
              <w:rPr>
                <w:rFonts w:hint="default" w:hAnsi="宋体" w:cs="Times New Roman"/>
                <w:color w:val="auto"/>
                <w:szCs w:val="21"/>
                <w:highlight w:val="none"/>
              </w:rPr>
            </w:pPr>
          </w:p>
        </w:tc>
      </w:tr>
    </w:tbl>
    <w:p>
      <w:pPr>
        <w:rPr>
          <w:rFonts w:hint="eastAsia" w:ascii="宋体" w:hAnsi="宋体"/>
          <w:color w:val="auto"/>
          <w:szCs w:val="21"/>
          <w:highlight w:val="none"/>
        </w:rPr>
      </w:pPr>
      <w:r>
        <w:rPr>
          <w:rFonts w:hint="eastAsia" w:ascii="宋体" w:hAnsi="宋体"/>
          <w:color w:val="auto"/>
          <w:szCs w:val="21"/>
          <w:highlight w:val="none"/>
        </w:rPr>
        <w:t>注：1、执业资格为建造师、安全工程师等。职称为高、中、初级工程师；技能为高级技师、技师等。</w:t>
      </w:r>
    </w:p>
    <w:p>
      <w:pPr>
        <w:ind w:firstLine="420" w:firstLineChars="200"/>
        <w:rPr>
          <w:rFonts w:hint="eastAsia" w:ascii="宋体" w:hAnsi="宋体"/>
          <w:color w:val="auto"/>
          <w:szCs w:val="21"/>
          <w:highlight w:val="none"/>
        </w:rPr>
      </w:pPr>
      <w:r>
        <w:rPr>
          <w:rFonts w:hint="eastAsia" w:ascii="宋体" w:hAnsi="宋体"/>
          <w:color w:val="auto"/>
          <w:szCs w:val="21"/>
          <w:highlight w:val="none"/>
        </w:rPr>
        <w:t>2、同时要求提交项目经理、主要管理人员、专业工种人员、法人代表的相关资料。</w:t>
      </w: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hint="eastAsia"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hint="eastAsia" w:ascii="宋体" w:hAnsi="宋体"/>
          <w:color w:val="auto"/>
          <w:szCs w:val="21"/>
          <w:highlight w:val="none"/>
        </w:rPr>
      </w:pPr>
    </w:p>
    <w:p>
      <w:pPr>
        <w:outlineLvl w:val="2"/>
        <w:rPr>
          <w:rFonts w:hint="eastAsia" w:ascii="宋体" w:hAnsi="宋体"/>
          <w:color w:val="auto"/>
          <w:szCs w:val="21"/>
          <w:highlight w:val="none"/>
        </w:rPr>
      </w:pPr>
      <w:r>
        <w:rPr>
          <w:rFonts w:hint="eastAsia" w:ascii="宋体" w:hAnsi="宋体"/>
          <w:color w:val="auto"/>
          <w:szCs w:val="21"/>
          <w:highlight w:val="none"/>
        </w:rPr>
        <w:t>附件八 开展标准建设清单</w:t>
      </w:r>
    </w:p>
    <w:p>
      <w:pPr>
        <w:jc w:val="center"/>
        <w:rPr>
          <w:rFonts w:hint="eastAsia" w:ascii="宋体" w:hAnsi="宋体"/>
          <w:b/>
          <w:color w:val="auto"/>
          <w:szCs w:val="21"/>
          <w:highlight w:val="none"/>
        </w:rPr>
      </w:pPr>
      <w:r>
        <w:rPr>
          <w:rFonts w:hint="eastAsia" w:ascii="宋体" w:hAnsi="宋体"/>
          <w:b/>
          <w:color w:val="auto"/>
          <w:szCs w:val="21"/>
          <w:highlight w:val="none"/>
        </w:rPr>
        <w:t>**单项目开展标准建设清单</w:t>
      </w:r>
    </w:p>
    <w:tbl>
      <w:tblPr>
        <w:tblStyle w:val="4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3223"/>
        <w:gridCol w:w="2268"/>
        <w:gridCol w:w="15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3" w:type="dxa"/>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序号</w:t>
            </w:r>
          </w:p>
        </w:tc>
        <w:tc>
          <w:tcPr>
            <w:tcW w:w="3223" w:type="dxa"/>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标准点</w:t>
            </w:r>
          </w:p>
        </w:tc>
        <w:tc>
          <w:tcPr>
            <w:tcW w:w="2268" w:type="dxa"/>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部位</w:t>
            </w:r>
          </w:p>
        </w:tc>
        <w:tc>
          <w:tcPr>
            <w:tcW w:w="1541" w:type="dxa"/>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作法</w:t>
            </w:r>
          </w:p>
        </w:tc>
        <w:tc>
          <w:tcPr>
            <w:tcW w:w="1541" w:type="dxa"/>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13" w:type="dxa"/>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Times New Roman"/>
                <w:color w:val="auto"/>
                <w:szCs w:val="21"/>
                <w:highlight w:val="none"/>
              </w:rPr>
            </w:pPr>
          </w:p>
        </w:tc>
        <w:tc>
          <w:tcPr>
            <w:tcW w:w="3223" w:type="dxa"/>
            <w:vAlign w:val="center"/>
          </w:tcPr>
          <w:p>
            <w:pPr>
              <w:keepNext w:val="0"/>
              <w:keepLines w:val="0"/>
              <w:suppressLineNumbers w:val="0"/>
              <w:autoSpaceDE w:val="0"/>
              <w:autoSpaceDN w:val="0"/>
              <w:spacing w:before="0" w:beforeAutospacing="0" w:after="0" w:afterAutospacing="0"/>
              <w:ind w:left="0" w:right="0"/>
              <w:rPr>
                <w:rFonts w:hint="eastAsia" w:ascii="宋体" w:hAnsi="宋体" w:cs="Times New Roman"/>
                <w:color w:val="auto"/>
                <w:szCs w:val="21"/>
                <w:highlight w:val="none"/>
              </w:rPr>
            </w:pPr>
          </w:p>
        </w:tc>
        <w:tc>
          <w:tcPr>
            <w:tcW w:w="2268" w:type="dxa"/>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Times New Roman"/>
                <w:color w:val="auto"/>
                <w:szCs w:val="21"/>
                <w:highlight w:val="none"/>
              </w:rPr>
            </w:pPr>
          </w:p>
        </w:tc>
        <w:tc>
          <w:tcPr>
            <w:tcW w:w="1541" w:type="dxa"/>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Times New Roman"/>
                <w:color w:val="auto"/>
                <w:szCs w:val="21"/>
                <w:highlight w:val="none"/>
              </w:rPr>
            </w:pPr>
          </w:p>
        </w:tc>
        <w:tc>
          <w:tcPr>
            <w:tcW w:w="1541" w:type="dxa"/>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13" w:type="dxa"/>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Times New Roman"/>
                <w:color w:val="auto"/>
                <w:szCs w:val="21"/>
                <w:highlight w:val="none"/>
              </w:rPr>
            </w:pPr>
          </w:p>
        </w:tc>
        <w:tc>
          <w:tcPr>
            <w:tcW w:w="3223" w:type="dxa"/>
            <w:vAlign w:val="center"/>
          </w:tcPr>
          <w:p>
            <w:pPr>
              <w:keepNext w:val="0"/>
              <w:keepLines w:val="0"/>
              <w:suppressLineNumbers w:val="0"/>
              <w:autoSpaceDE w:val="0"/>
              <w:autoSpaceDN w:val="0"/>
              <w:spacing w:before="0" w:beforeAutospacing="0" w:after="0" w:afterAutospacing="0"/>
              <w:ind w:left="0" w:right="0"/>
              <w:rPr>
                <w:rFonts w:hint="eastAsia" w:ascii="宋体" w:hAnsi="宋体" w:cs="Times New Roman"/>
                <w:color w:val="auto"/>
                <w:szCs w:val="21"/>
                <w:highlight w:val="none"/>
              </w:rPr>
            </w:pPr>
          </w:p>
        </w:tc>
        <w:tc>
          <w:tcPr>
            <w:tcW w:w="2268" w:type="dxa"/>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Times New Roman"/>
                <w:color w:val="auto"/>
                <w:szCs w:val="21"/>
                <w:highlight w:val="none"/>
              </w:rPr>
            </w:pPr>
          </w:p>
        </w:tc>
        <w:tc>
          <w:tcPr>
            <w:tcW w:w="1541" w:type="dxa"/>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Times New Roman"/>
                <w:color w:val="auto"/>
                <w:szCs w:val="21"/>
                <w:highlight w:val="none"/>
              </w:rPr>
            </w:pPr>
          </w:p>
        </w:tc>
        <w:tc>
          <w:tcPr>
            <w:tcW w:w="1541" w:type="dxa"/>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13" w:type="dxa"/>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Times New Roman"/>
                <w:color w:val="auto"/>
                <w:szCs w:val="21"/>
                <w:highlight w:val="none"/>
              </w:rPr>
            </w:pPr>
          </w:p>
        </w:tc>
        <w:tc>
          <w:tcPr>
            <w:tcW w:w="3223" w:type="dxa"/>
            <w:vAlign w:val="center"/>
          </w:tcPr>
          <w:p>
            <w:pPr>
              <w:keepNext w:val="0"/>
              <w:keepLines w:val="0"/>
              <w:suppressLineNumbers w:val="0"/>
              <w:autoSpaceDE w:val="0"/>
              <w:autoSpaceDN w:val="0"/>
              <w:spacing w:before="0" w:beforeAutospacing="0" w:after="0" w:afterAutospacing="0"/>
              <w:ind w:left="0" w:right="0"/>
              <w:rPr>
                <w:rFonts w:hint="eastAsia" w:ascii="宋体" w:hAnsi="宋体" w:cs="Times New Roman"/>
                <w:color w:val="auto"/>
                <w:szCs w:val="21"/>
                <w:highlight w:val="none"/>
              </w:rPr>
            </w:pPr>
          </w:p>
        </w:tc>
        <w:tc>
          <w:tcPr>
            <w:tcW w:w="2268" w:type="dxa"/>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Times New Roman"/>
                <w:color w:val="auto"/>
                <w:szCs w:val="21"/>
                <w:highlight w:val="none"/>
              </w:rPr>
            </w:pPr>
          </w:p>
        </w:tc>
        <w:tc>
          <w:tcPr>
            <w:tcW w:w="1541" w:type="dxa"/>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Times New Roman"/>
                <w:color w:val="auto"/>
                <w:szCs w:val="21"/>
                <w:highlight w:val="none"/>
              </w:rPr>
            </w:pPr>
          </w:p>
        </w:tc>
        <w:tc>
          <w:tcPr>
            <w:tcW w:w="1541" w:type="dxa"/>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13" w:type="dxa"/>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Times New Roman"/>
                <w:color w:val="auto"/>
                <w:szCs w:val="21"/>
                <w:highlight w:val="none"/>
              </w:rPr>
            </w:pPr>
          </w:p>
        </w:tc>
        <w:tc>
          <w:tcPr>
            <w:tcW w:w="3223" w:type="dxa"/>
            <w:vAlign w:val="center"/>
          </w:tcPr>
          <w:p>
            <w:pPr>
              <w:keepNext w:val="0"/>
              <w:keepLines w:val="0"/>
              <w:suppressLineNumbers w:val="0"/>
              <w:autoSpaceDE w:val="0"/>
              <w:autoSpaceDN w:val="0"/>
              <w:spacing w:before="0" w:beforeAutospacing="0" w:after="0" w:afterAutospacing="0"/>
              <w:ind w:left="0" w:right="0"/>
              <w:rPr>
                <w:rFonts w:hint="eastAsia" w:ascii="宋体" w:hAnsi="宋体" w:cs="Times New Roman"/>
                <w:color w:val="auto"/>
                <w:szCs w:val="21"/>
                <w:highlight w:val="none"/>
              </w:rPr>
            </w:pPr>
          </w:p>
        </w:tc>
        <w:tc>
          <w:tcPr>
            <w:tcW w:w="2268" w:type="dxa"/>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Times New Roman"/>
                <w:color w:val="auto"/>
                <w:szCs w:val="21"/>
                <w:highlight w:val="none"/>
              </w:rPr>
            </w:pPr>
          </w:p>
        </w:tc>
        <w:tc>
          <w:tcPr>
            <w:tcW w:w="1541" w:type="dxa"/>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Times New Roman"/>
                <w:color w:val="auto"/>
                <w:szCs w:val="21"/>
                <w:highlight w:val="none"/>
              </w:rPr>
            </w:pPr>
          </w:p>
        </w:tc>
        <w:tc>
          <w:tcPr>
            <w:tcW w:w="1541" w:type="dxa"/>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Times New Roman"/>
                <w:color w:val="auto"/>
                <w:szCs w:val="21"/>
                <w:highlight w:val="none"/>
              </w:rPr>
            </w:pPr>
          </w:p>
        </w:tc>
      </w:tr>
    </w:tbl>
    <w:p>
      <w:pPr>
        <w:autoSpaceDE w:val="0"/>
        <w:autoSpaceDN w:val="0"/>
        <w:jc w:val="left"/>
        <w:rPr>
          <w:rFonts w:ascii="宋体" w:hAnsi="宋体" w:cs="仿宋_GB2312"/>
          <w:color w:val="auto"/>
          <w:szCs w:val="21"/>
          <w:highlight w:val="none"/>
        </w:rPr>
      </w:pPr>
    </w:p>
    <w:p>
      <w:pPr>
        <w:autoSpaceDE w:val="0"/>
        <w:autoSpaceDN w:val="0"/>
        <w:jc w:val="left"/>
        <w:rPr>
          <w:rFonts w:ascii="宋体" w:hAnsi="宋体" w:cs="仿宋_GB2312"/>
          <w:color w:val="auto"/>
          <w:szCs w:val="21"/>
          <w:highlight w:val="none"/>
        </w:rPr>
      </w:pPr>
    </w:p>
    <w:p>
      <w:pPr>
        <w:autoSpaceDE w:val="0"/>
        <w:autoSpaceDN w:val="0"/>
        <w:jc w:val="left"/>
        <w:rPr>
          <w:rFonts w:ascii="宋体" w:hAnsi="宋体" w:cs="仿宋_GB2312"/>
          <w:color w:val="auto"/>
          <w:szCs w:val="21"/>
          <w:highlight w:val="none"/>
        </w:rPr>
      </w:pPr>
    </w:p>
    <w:p>
      <w:pPr>
        <w:autoSpaceDE w:val="0"/>
        <w:autoSpaceDN w:val="0"/>
        <w:jc w:val="left"/>
        <w:rPr>
          <w:rFonts w:ascii="宋体" w:hAnsi="宋体" w:cs="仿宋_GB2312"/>
          <w:color w:val="auto"/>
          <w:szCs w:val="21"/>
          <w:highlight w:val="none"/>
        </w:rPr>
      </w:pPr>
    </w:p>
    <w:p>
      <w:pPr>
        <w:autoSpaceDE w:val="0"/>
        <w:autoSpaceDN w:val="0"/>
        <w:jc w:val="left"/>
        <w:rPr>
          <w:rFonts w:ascii="宋体" w:hAnsi="宋体" w:cs="仿宋_GB2312"/>
          <w:color w:val="auto"/>
          <w:szCs w:val="21"/>
          <w:highlight w:val="none"/>
        </w:rPr>
      </w:pPr>
    </w:p>
    <w:p>
      <w:pPr>
        <w:autoSpaceDE w:val="0"/>
        <w:autoSpaceDN w:val="0"/>
        <w:jc w:val="left"/>
        <w:rPr>
          <w:rFonts w:hint="eastAsia" w:ascii="宋体" w:hAnsi="宋体" w:cs="仿宋_GB2312"/>
          <w:color w:val="auto"/>
          <w:szCs w:val="21"/>
          <w:highlight w:val="none"/>
        </w:rPr>
      </w:pPr>
    </w:p>
    <w:p>
      <w:pPr>
        <w:outlineLvl w:val="2"/>
        <w:rPr>
          <w:rFonts w:hint="eastAsia" w:ascii="宋体" w:hAnsi="宋体"/>
          <w:color w:val="auto"/>
          <w:szCs w:val="21"/>
          <w:highlight w:val="none"/>
        </w:rPr>
      </w:pPr>
      <w:r>
        <w:rPr>
          <w:rFonts w:hint="eastAsia" w:ascii="宋体" w:hAnsi="宋体"/>
          <w:color w:val="auto"/>
          <w:szCs w:val="21"/>
          <w:highlight w:val="none"/>
        </w:rPr>
        <w:t>附件九 甲供设备材料明细表</w:t>
      </w:r>
    </w:p>
    <w:p>
      <w:pPr>
        <w:autoSpaceDE w:val="0"/>
        <w:autoSpaceDN w:val="0"/>
        <w:jc w:val="left"/>
        <w:rPr>
          <w:rFonts w:hint="eastAsia" w:ascii="宋体" w:hAnsi="宋体" w:cs="仿宋_GB2312"/>
          <w:color w:val="auto"/>
          <w:szCs w:val="21"/>
          <w:highlight w:val="none"/>
        </w:rPr>
      </w:pPr>
    </w:p>
    <w:p>
      <w:pPr>
        <w:outlineLvl w:val="2"/>
        <w:rPr>
          <w:rFonts w:hint="eastAsia" w:ascii="宋体" w:hAnsi="宋体"/>
          <w:color w:val="auto"/>
          <w:szCs w:val="21"/>
          <w:highlight w:val="none"/>
        </w:rPr>
      </w:pPr>
      <w:r>
        <w:rPr>
          <w:rFonts w:ascii="宋体" w:hAnsi="宋体" w:cs="仿宋_GB2312"/>
          <w:color w:val="auto"/>
          <w:szCs w:val="21"/>
          <w:highlight w:val="none"/>
        </w:rPr>
        <w:br w:type="page"/>
      </w:r>
      <w:r>
        <w:rPr>
          <w:rFonts w:hint="eastAsia" w:ascii="宋体" w:hAnsi="宋体"/>
          <w:color w:val="auto"/>
          <w:szCs w:val="21"/>
          <w:highlight w:val="none"/>
        </w:rPr>
        <w:t>附件十 分包管理</w:t>
      </w:r>
    </w:p>
    <w:p>
      <w:pPr>
        <w:autoSpaceDE w:val="0"/>
        <w:autoSpaceDN w:val="0"/>
        <w:jc w:val="left"/>
        <w:rPr>
          <w:rFonts w:hint="eastAsia" w:hAnsi="宋体" w:cs="TimesNewRomanPSMT"/>
          <w:color w:val="auto"/>
          <w:kern w:val="0"/>
          <w:szCs w:val="21"/>
          <w:highlight w:val="none"/>
        </w:rPr>
      </w:pPr>
      <w:r>
        <w:rPr>
          <w:rFonts w:hint="eastAsia" w:ascii="宋体" w:hAnsi="宋体" w:cs="仿宋_GB2312"/>
          <w:color w:val="auto"/>
          <w:szCs w:val="21"/>
          <w:highlight w:val="none"/>
        </w:rPr>
        <w:t xml:space="preserve">  </w:t>
      </w:r>
    </w:p>
    <w:p>
      <w:pPr>
        <w:outlineLvl w:val="2"/>
        <w:rPr>
          <w:rFonts w:hint="eastAsia" w:ascii="宋体" w:hAnsi="宋体"/>
          <w:color w:val="auto"/>
          <w:szCs w:val="21"/>
          <w:highlight w:val="none"/>
        </w:rPr>
      </w:pPr>
      <w:r>
        <w:rPr>
          <w:rFonts w:hint="eastAsia" w:ascii="宋体" w:hAnsi="宋体"/>
          <w:color w:val="auto"/>
          <w:szCs w:val="21"/>
          <w:highlight w:val="none"/>
        </w:rPr>
        <w:t>附件十一  特殊调试项目</w:t>
      </w:r>
    </w:p>
    <w:p>
      <w:pPr>
        <w:autoSpaceDE w:val="0"/>
        <w:autoSpaceDN w:val="0"/>
        <w:ind w:firstLine="420" w:firstLineChars="200"/>
        <w:jc w:val="center"/>
        <w:rPr>
          <w:rFonts w:hint="eastAsia" w:ascii="宋体" w:hAnsi="宋体" w:cs="仿宋_GB2312"/>
          <w:b/>
          <w:color w:val="auto"/>
          <w:szCs w:val="21"/>
          <w:highlight w:val="none"/>
        </w:rPr>
      </w:pPr>
      <w:r>
        <w:rPr>
          <w:rFonts w:hint="eastAsia" w:ascii="宋体" w:hAnsi="宋体"/>
          <w:color w:val="auto"/>
          <w:szCs w:val="21"/>
          <w:highlight w:val="none"/>
        </w:rPr>
        <w:t>特殊调试项目明细表</w:t>
      </w:r>
    </w:p>
    <w:tbl>
      <w:tblPr>
        <w:tblStyle w:val="43"/>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5610"/>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51" w:type="dxa"/>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序号</w:t>
            </w:r>
          </w:p>
        </w:tc>
        <w:tc>
          <w:tcPr>
            <w:tcW w:w="5610" w:type="dxa"/>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特殊调试项目</w:t>
            </w:r>
          </w:p>
        </w:tc>
        <w:tc>
          <w:tcPr>
            <w:tcW w:w="2220" w:type="dxa"/>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51" w:type="dxa"/>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Times New Roman"/>
                <w:color w:val="auto"/>
                <w:szCs w:val="21"/>
                <w:highlight w:val="none"/>
              </w:rPr>
            </w:pPr>
          </w:p>
        </w:tc>
        <w:tc>
          <w:tcPr>
            <w:tcW w:w="5610" w:type="dxa"/>
            <w:vAlign w:val="center"/>
          </w:tcPr>
          <w:p>
            <w:pPr>
              <w:keepNext w:val="0"/>
              <w:keepLines w:val="0"/>
              <w:suppressLineNumbers w:val="0"/>
              <w:autoSpaceDE w:val="0"/>
              <w:autoSpaceDN w:val="0"/>
              <w:spacing w:before="0" w:beforeAutospacing="0" w:after="0" w:afterAutospacing="0"/>
              <w:ind w:left="0" w:right="0"/>
              <w:rPr>
                <w:rFonts w:hint="eastAsia" w:ascii="宋体" w:hAnsi="宋体" w:cs="Times New Roman"/>
                <w:color w:val="auto"/>
                <w:szCs w:val="21"/>
                <w:highlight w:val="none"/>
              </w:rPr>
            </w:pPr>
          </w:p>
        </w:tc>
        <w:tc>
          <w:tcPr>
            <w:tcW w:w="2220" w:type="dxa"/>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51" w:type="dxa"/>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Times New Roman"/>
                <w:color w:val="auto"/>
                <w:szCs w:val="21"/>
                <w:highlight w:val="none"/>
              </w:rPr>
            </w:pPr>
          </w:p>
        </w:tc>
        <w:tc>
          <w:tcPr>
            <w:tcW w:w="5610" w:type="dxa"/>
            <w:vAlign w:val="center"/>
          </w:tcPr>
          <w:p>
            <w:pPr>
              <w:keepNext w:val="0"/>
              <w:keepLines w:val="0"/>
              <w:suppressLineNumbers w:val="0"/>
              <w:autoSpaceDE w:val="0"/>
              <w:autoSpaceDN w:val="0"/>
              <w:spacing w:before="0" w:beforeAutospacing="0" w:after="0" w:afterAutospacing="0"/>
              <w:ind w:left="0" w:right="0"/>
              <w:rPr>
                <w:rFonts w:hint="eastAsia" w:ascii="宋体" w:hAnsi="宋体" w:cs="Times New Roman"/>
                <w:color w:val="auto"/>
                <w:szCs w:val="21"/>
                <w:highlight w:val="none"/>
              </w:rPr>
            </w:pPr>
          </w:p>
        </w:tc>
        <w:tc>
          <w:tcPr>
            <w:tcW w:w="2220" w:type="dxa"/>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51" w:type="dxa"/>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Times New Roman"/>
                <w:color w:val="auto"/>
                <w:szCs w:val="21"/>
                <w:highlight w:val="none"/>
              </w:rPr>
            </w:pPr>
          </w:p>
        </w:tc>
        <w:tc>
          <w:tcPr>
            <w:tcW w:w="5610" w:type="dxa"/>
            <w:vAlign w:val="center"/>
          </w:tcPr>
          <w:p>
            <w:pPr>
              <w:keepNext w:val="0"/>
              <w:keepLines w:val="0"/>
              <w:suppressLineNumbers w:val="0"/>
              <w:autoSpaceDE w:val="0"/>
              <w:autoSpaceDN w:val="0"/>
              <w:spacing w:before="0" w:beforeAutospacing="0" w:after="0" w:afterAutospacing="0"/>
              <w:ind w:left="0" w:right="0"/>
              <w:rPr>
                <w:rFonts w:hint="eastAsia" w:ascii="宋体" w:hAnsi="宋体" w:cs="Times New Roman"/>
                <w:color w:val="auto"/>
                <w:szCs w:val="21"/>
                <w:highlight w:val="none"/>
              </w:rPr>
            </w:pPr>
          </w:p>
        </w:tc>
        <w:tc>
          <w:tcPr>
            <w:tcW w:w="2220" w:type="dxa"/>
            <w:vAlign w:val="center"/>
          </w:tcPr>
          <w:p>
            <w:pPr>
              <w:keepNext w:val="0"/>
              <w:keepLines w:val="0"/>
              <w:suppressLineNumbers w:val="0"/>
              <w:autoSpaceDE w:val="0"/>
              <w:autoSpaceDN w:val="0"/>
              <w:spacing w:before="0" w:beforeAutospacing="0" w:after="0" w:afterAutospacing="0"/>
              <w:ind w:left="0" w:right="0"/>
              <w:jc w:val="center"/>
              <w:rPr>
                <w:rFonts w:hint="eastAsia" w:ascii="宋体" w:hAnsi="宋体" w:cs="Times New Roman"/>
                <w:color w:val="auto"/>
                <w:szCs w:val="21"/>
                <w:highlight w:val="none"/>
              </w:rPr>
            </w:pPr>
          </w:p>
        </w:tc>
      </w:tr>
    </w:tbl>
    <w:p>
      <w:pPr>
        <w:outlineLvl w:val="2"/>
        <w:rPr>
          <w:rFonts w:hint="eastAsia"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附件十二  管理规范和技术（规范）标准</w:t>
      </w:r>
    </w:p>
    <w:p>
      <w:pPr>
        <w:pStyle w:val="22"/>
        <w:spacing w:line="360" w:lineRule="auto"/>
        <w:jc w:val="center"/>
        <w:rPr>
          <w:rFonts w:hAnsi="宋体"/>
          <w:b/>
          <w:color w:val="auto"/>
          <w:szCs w:val="21"/>
          <w:highlight w:val="none"/>
        </w:rPr>
      </w:pPr>
      <w:r>
        <w:rPr>
          <w:rFonts w:hint="eastAsia"/>
          <w:color w:val="auto"/>
          <w:highlight w:val="none"/>
        </w:rPr>
        <w:tab/>
      </w:r>
      <w:r>
        <w:rPr>
          <w:rFonts w:hint="eastAsia"/>
          <w:color w:val="auto"/>
          <w:highlight w:val="none"/>
        </w:rPr>
        <w:tab/>
      </w:r>
      <w:r>
        <w:rPr>
          <w:rFonts w:hint="eastAsia"/>
          <w:color w:val="auto"/>
          <w:highlight w:val="none"/>
        </w:rPr>
        <w:tab/>
      </w:r>
      <w:r>
        <w:rPr>
          <w:rFonts w:hint="eastAsia" w:hAnsi="宋体"/>
          <w:b/>
          <w:color w:val="auto"/>
          <w:szCs w:val="21"/>
          <w:highlight w:val="none"/>
        </w:rPr>
        <w:t>管理规范和技术（规范）标准</w:t>
      </w:r>
    </w:p>
    <w:p>
      <w:pPr>
        <w:pStyle w:val="22"/>
        <w:ind w:firstLine="420" w:firstLineChars="200"/>
        <w:rPr>
          <w:rFonts w:hAnsi="宋体"/>
          <w:color w:val="auto"/>
          <w:szCs w:val="21"/>
          <w:highlight w:val="none"/>
        </w:rPr>
      </w:pPr>
      <w:r>
        <w:rPr>
          <w:rFonts w:hAnsi="宋体"/>
          <w:color w:val="auto"/>
          <w:szCs w:val="21"/>
          <w:highlight w:val="none"/>
        </w:rPr>
        <w:t>本项目须达到下列现行中华人民共和国以及省、自治区、直辖市或行业的</w:t>
      </w:r>
      <w:r>
        <w:rPr>
          <w:rFonts w:hint="eastAsia" w:hAnsi="宋体"/>
          <w:color w:val="auto"/>
          <w:szCs w:val="21"/>
          <w:highlight w:val="none"/>
        </w:rPr>
        <w:t>有关法律法规、</w:t>
      </w:r>
      <w:r>
        <w:rPr>
          <w:rFonts w:hAnsi="宋体"/>
          <w:color w:val="auto"/>
          <w:szCs w:val="21"/>
          <w:highlight w:val="none"/>
        </w:rPr>
        <w:t>标准、规范的要求，</w:t>
      </w:r>
      <w:r>
        <w:rPr>
          <w:rFonts w:hint="eastAsia" w:hAnsi="宋体"/>
          <w:color w:val="auto"/>
          <w:szCs w:val="21"/>
          <w:highlight w:val="none"/>
        </w:rPr>
        <w:t>满足中国南方电网公司有限责任公司的管理制度和规定、</w:t>
      </w:r>
      <w:r>
        <w:rPr>
          <w:color w:val="auto"/>
          <w:szCs w:val="21"/>
          <w:highlight w:val="none"/>
        </w:rPr>
        <w:t>技术标准</w:t>
      </w:r>
      <w:r>
        <w:rPr>
          <w:rFonts w:hint="eastAsia" w:hAnsi="宋体"/>
          <w:color w:val="auto"/>
          <w:szCs w:val="21"/>
          <w:highlight w:val="none"/>
        </w:rPr>
        <w:t>，</w:t>
      </w:r>
      <w:r>
        <w:rPr>
          <w:rFonts w:hAnsi="宋体"/>
          <w:color w:val="auto"/>
          <w:szCs w:val="21"/>
          <w:highlight w:val="none"/>
        </w:rPr>
        <w:t>至少应包括：</w:t>
      </w:r>
    </w:p>
    <w:tbl>
      <w:tblPr>
        <w:tblStyle w:val="4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7019"/>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7019"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Cs w:val="21"/>
                <w:highlight w:val="none"/>
              </w:rPr>
            </w:pPr>
            <w:r>
              <w:rPr>
                <w:rFonts w:hint="eastAsia" w:ascii="宋体" w:hAnsi="宋体" w:cs="宋体"/>
                <w:b/>
                <w:bCs/>
                <w:color w:val="auto"/>
                <w:kern w:val="0"/>
                <w:szCs w:val="21"/>
                <w:highlight w:val="none"/>
              </w:rPr>
              <w:t>名称</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686" w:type="dxa"/>
            <w:gridSpan w:val="3"/>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Cs w:val="21"/>
                <w:highlight w:val="none"/>
              </w:rPr>
            </w:pPr>
            <w:r>
              <w:rPr>
                <w:rFonts w:hint="eastAsia" w:ascii="宋体" w:hAnsi="宋体" w:cs="宋体"/>
                <w:b/>
                <w:bCs/>
                <w:color w:val="auto"/>
                <w:kern w:val="0"/>
                <w:szCs w:val="21"/>
                <w:highlight w:val="none"/>
              </w:rPr>
              <w:t>国家法律、行政法规、规章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7019" w:type="dxa"/>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《中华人民共和国建筑法》 (主席令46号，2011年7月1日施行，第十三届全国人民代表大会常务委员会第十次会议修改，主席令29号，2019年4月23日施行)</w:t>
            </w:r>
          </w:p>
        </w:tc>
        <w:tc>
          <w:tcPr>
            <w:tcW w:w="1907"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w:t>
            </w:r>
          </w:p>
        </w:tc>
        <w:tc>
          <w:tcPr>
            <w:tcW w:w="7019" w:type="dxa"/>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《中华人民共和国民法典》（主席令45号，2021年1月1日施行）</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w:t>
            </w:r>
          </w:p>
        </w:tc>
        <w:tc>
          <w:tcPr>
            <w:tcW w:w="7019" w:type="dxa"/>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《中华人民共和国安全生产法》(主席令13号，2014年12月1日施行)</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w:t>
            </w:r>
          </w:p>
        </w:tc>
        <w:tc>
          <w:tcPr>
            <w:tcW w:w="7019" w:type="dxa"/>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《中华人民共和国招标投标法》(主席令21号，2000年1月1日起施行，第十二届全国人民代表大会常务委员会第三十一次会议修订，主席令86号，2017年12月28日起施行)</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w:t>
            </w:r>
          </w:p>
        </w:tc>
        <w:tc>
          <w:tcPr>
            <w:tcW w:w="7019" w:type="dxa"/>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《中华人民共和国环境保护法》（主席令9号，2015年1月1日实施）</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《中华人民共和国电力法》（主席令第60号,1995年12月28日颁布,第十三届全国人民代表大会常务委员会第七次会议第三次修订，主席令23号，2018年12月29日施行）</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7</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 xml:space="preserve">《中华人民共和国劳动法》（主席令第28号，1994年7月5日颁布，第十三届全国人民代表大会常务委员会第七次会议修订，主席令24号，2018年12月29日施行) </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8</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 xml:space="preserve">《中华人民共和国劳动合同法》（主席令第73号，2013年7月1日起施行) </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9</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《中华人民共和国水土保持法》（主席令39号，2011年3月1日施行）</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10</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《建设工程质量管理条例》（国务院令第279号，2000年1月30日发布，2019年修订，国务院令第714号，2019年4月23日施行）</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11</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《建设工程安全生产管理条例》（国务院令第393号，2004年2月1日起施行）</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12</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《建设项目环境保护管理条例》（国务院令第253号，1998年11月29日起发布，2017年修订，国务院令第682号,2017年10月1日施行）</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13</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《建设工程勘察设计管理条例》(国务院令第293号，2000年9月20日发布，2017年修订，国务院令第687号，2017年10月7日施行）</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14</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《生产安全事故报告和调查处理条例》(国务院令第493号，2007年6月1日施行)</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15</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《电力安全事故应急处置和调查处理条例》(国务院令第599号，2011年9月1日施行)</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16</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《中华人民共和国招标投标法实施条例》(国务院令第613号，2012年2月1日发布，2019年修订，国务院令第709号，2019年3月2日施行）</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17</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《中共中央纪委关于严格禁止利用职务上的便利谋取不正当利益的若干规定》(2007年6月8日发布)</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18</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《国务院关于特大安全事故行政责任追究的规定》（国务院令第302号，2001年4月21日起施行)）</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19</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中华人民共和国固体废物污染环境防治法（主席令第23号，2015年4月24日发布，第十二届全国人民代表大会常务委员会第二十四次会议第四次修订，主席令57号，2016年11月7日施行）</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20</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中华人民共和国大气污染防治法（主席令第31号，2016年1月1日发布，第十三届全国人民代表大会常务委员会第六次会议修订，2018年10月26日施行）</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21</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中华人民共和国计量法（2015年修正，主席令第26号，2015年4月24日发布，第十三届全国人民代表大会常务委员会第六次会议修订，主席令第16号，主席令16号，2018年10月26日起施行）</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22</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《评标委员会和评标方法暂行规定》（七部委12号令）</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23</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《工程建设项目货物招标投标办法》（七部委27号令）</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24</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《工程建设项目施工招标投标办法》（七部委30号令，九部委23号令修订，2013年5月1日施行）</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25</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《工程建设项目勘察设计招标投标办法》（八部委2号令，九部委23号令修订，2013年5月1日施行）</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26</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《关于废止和修改部分招标投标规章和规范性文件的决定》（九部委第23号令）</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27</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《电子招标投标办法》（八部委20号令）</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28</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《电力建设工程施工安全监督管理办法》（国家发展和改革委员会令第28号）</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29</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《建筑业企业资质管理规定》（住建部令第22号,2015年3月1日起发布，2018年修订，住建部令第45号，2018年12月22日施行）</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30</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《房屋建筑工程和市政基础设施工程实行见证取样和送检的规定》(建建[2000]211号)</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31</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《施工总承包企业特级资质标准》（建市[2007]72号）</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32</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《关于进一步加强和完善建筑劳务管理工作的指导意见》（建市[2014]112号）</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33</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《建筑工程施工发包与承包违法行为认定查处管理办法》（建市规〔2019〕1号）</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34</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《建筑业企业资质标准》（建市(2014)159号，建市(2016)226号修改，2016年11月1日施行）</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35</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《建设单位项目负责人质量安全责任八项规定（试行）》及《建筑工程项目总监理工程师质量安全责任六项规定（试行）》(建市[2015]35号)</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36</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《建设部关于加强建筑意外伤害保险工作的指导意见》（建质[2003]107号）</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37</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《建设工程质量责任主体和有关机构不良记录管理办法》（试行）（建质[2003]113号）</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38</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《建筑施工人员个人劳动保护用品使用管理暂行规定》（建质[2007]255号）</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39</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《建筑施工特种作业人员管理规定》(建质[2008]75号)</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40</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《建筑施工企业安全生产管理机构设置及专职安全生产管理人员配备办法》（建质[2008]91号）</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41</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《建筑施工企业负责人及项目负责人施工现场带班暂行办法》(建质[2011]111号)</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42</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《房屋建筑和市政基础设施工程竣工验收规定》（建质[2013]171号）</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43</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《建筑施工安全生产标准化考评暂行办法》（建质[2014]111号）</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44</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《建筑施工项目经理质量安全责任十项规定（试行）》（建质[2014]123号）</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45</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《建筑工程五方责任主体项目负责人质量终身责任追究暂行办法》（建质[2014]124号）</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46</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《房屋建筑和市政基础设施工程施工安全监督规定》（建质[2014]153号）</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47</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《房屋建筑和市政基础设施工程施工安全监督工作规程》（建质[2014]154号）</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48</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《关于严格落实建筑工程质量终身责任承诺制的通知》（建办质[2014]44号）</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49</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《房屋建筑工程质量保修办法》(建设部令,第80号)</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50</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《国家优质工程奖评选办法》（中施企协字〔2019〕16号）</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51</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《实施工程建设强制性标准监督规定》(建设部令,第81号）</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52</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《建设工程勘察设计资质管理规定》（建设部令第160号，住建部令第45号修改，2018年12月22日施行）</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53</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《工程监理企业资质管理规定》（建设部令第158号，住建部令第45号修改，2018年12月22日施行）</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54</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《国家能源局综合司关于开展电力建设工程落实施工方案专项行动的通知》国能综安全［2015］163 号</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55</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《国家能源局关于加强电力工程质量监督工作的通知》（国能安全﹙2014）206号）</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56</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《国家能源局综合司关于印发火力发电、输变电工程质量监督检查大纲的通知》（国能综安全（2014）45号）</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57</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《国家能源局关于印发电力工程质量监督体系调整方案的通知》（国能电力（2012）306号）</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58</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关于印发《电力工程质量监督实施管理程序（试行）》的通知(中电联质监〔2012〕437号)</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59</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《特种作业人员安全技术培训考核管理规定》(国家安全监督总局第80号令修订，2015年7月1日实施)</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60</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《企业安全生产应急管理九条规定》(国家安全监督总局第74号令，2015年1月30日实施)</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61</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《防止电力生产事故的二十五项重点要求》（国能安全[2014]161号）</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62</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《国家电力监管委员会令》（第5号）--《电力二次系统安全防护规定》</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63</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《承装（修、试）电力设施许可证管理办法》（国家发展和改革委员会令第36号）</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64</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《危险性较大的分部分项工程安全管理规定》(中华人民共和国住房和城乡建设部令第37号，建设部令第47号修改，2019年3月13日施行)</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65</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必须招标的工程项目规定（国家发展和改革委员会令第16号）</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66</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必须招标的基础设施和公用事业项目范围规定（发改法规规【2018】843号）</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67</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招标公告和公示信息发布管理办法（国家发展和改革委员会令第10号）</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部委法规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60"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7019"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国家、行业设计规范和技术标准</w:t>
            </w:r>
          </w:p>
        </w:tc>
        <w:tc>
          <w:tcPr>
            <w:tcW w:w="190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68</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《电力安全工作规程》发电厂和变电所电气部分、电力线路部分（GB 26860-2011、GB 26859-2011）</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69</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《电力建设安全工作规程》电力线路；变电站(DL 5009.2-2013；DL 5009.3-2013)</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70</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《20kV及以下变电所设计规范》GB 50053-2013</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71</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《10kV及以下架空配电线路设计技术规程》DL/T 5220-2005</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72</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《110kV～750kV架空输电线路设计规范》GB 50545-2010</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73</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《110kV～750kV架空输电线路施工及验收规范》GB 50233-2014</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74</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《110-750kV架空送电线路工程施工质量检验及评定规程》DL/T 5168-2016</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75</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《110kV及以上送变电工程启动及竣工验收规程》DL/T 782-2001</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76</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《3～110kV高压配电装置设计规范》GB 50060-2008</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77</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《35kV～110kV变电站设计规范》GB 50059-2011</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78</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《66kV及以下架空电力线路设计规范》  GB 50061-2010</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79</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电网建设项目文件归档与档案整理规范DL/T1363-2014</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80</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《变电站建筑结构设计技术规程》DL/T 5457-2012</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81</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《变电站总布置设计技术规程》DL/T 5056-2007</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82</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《110kV～750kV架空输电线路张力架线施工工艺导则》DL/T 5343-2018</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83</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《城市电力电缆线路设计技术规定》DL/T 5221-2016</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84</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《城市工程管线综合规划规范》  GB 50289-2016</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85</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《导体和电器选择设计技术规定》DL/T 5222-2005</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86</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《低合金高强度结构钢》GB/T 1591-2018</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87</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《低压配电设计规范》GB 50054-2011</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88</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《地下防水工程质量验收规范》GB 50208-2011</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89</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《地下工程防水技术规范》GB 50108-2008</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90</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《电工圆铝线》GB/T 3955-2009</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91</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《电工圆铜线》GB/T3953-2009</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92</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《电缆的导体》GB/T 3956-2008</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93</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《电缆和光缆绝缘和护套材料通用试验方法》（GB/T 2951.11-2008、GB/T 2951.12-2008、GB/T 2951.13-2008、GB/T 2951.14-2008、GB/T 2951.21-2008、GB/T 2951.31-2008、GB/T 2951.32-2008、GB/T 2951.41-2008、GB/T 2951.42-2008、GB/T 2951.51-2008）</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94</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《电缆外护层》（GB /T 2952.1-2008、GB /T 2952.2-2008、GB /T 2952.3-2008）</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95</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《电缆载流量计算》（JB/T 10181.11-2014、JB/T 10181.12-2014、JB/T 10181.21-2014、JB/T 10181.22-2014、JB/T 10181.31-2014、JB/T 10181.32-2014）</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96</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《电力工程直流电源系统设计技术规程》 DL/T 5044-2014</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97</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《电力建设施工及验收技术规范》DJ 57-1979</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98</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《电力设备典型消防规程》DL 5027-2015</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99</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《电力设施抗震设计规范》GB 50260-2013</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100</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《电力系统安全稳定导则》DL 755-2001</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101</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《电力系统设计技术规程》DL/T 5429-2009</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102</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《电力系统设计内容深度规定》DL/T 5444-2010</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103</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《电气装置安装工程 高压电器施工及验收规范》GB 50147-2010</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104</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《电气装置安装工程 电力变压器、油浸电抗器、互感器施工及验收规范》GB 50148-2010</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105</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《电气装置安装工程 母线装置施工及验收规范》GB 50149-2010</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106</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《电气装置安装工程 电气设备交接试验标准》GB50150-2016</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107</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 xml:space="preserve">《电气装置安装工程 电缆线路施工及验收规范 》GB50168-2018 </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108</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《电气装置安装工程 接地装置施工及验收规范》GB 50169-2016</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109</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《电气装置安装工程 旋转电机施工及验收规范》 GB 50170-2018</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110</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《电气装置安装工程 盘、柜及二次回路接线施工及验收规范》GB 50171-2012</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111</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《电气装置安装工程 蓄电池施工及验收规范》GB 50172-2012</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112</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《电气装置安装工程 66kV及以下架空电力线路施工及验收规范》GB 50173-2014</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113</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《电气装置安装工程 低压电器施工及验收规范》GB 50254-2014</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114</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《电气装置安装工程 电力变流设备施工及验收规范》GB 50255-2014</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115</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《电气装置安装工程 起重机电气装置施工及验收规范》GB 50256-2014</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116</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《电气装置安装工程 爆炸和火灾危险环境电气装置施工及验收规范》GB 50257-2014</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117</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《电气装置安装工程 串联电容器补偿装置施工及验收规范》GB 51049-2014</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118</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《1000kV系统电气装置安装工程电气设备交接试验标准》GB/T 50832-2013</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119</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电气装置安装工程 质量检验及评定规程 DL/T 5161.1-2018～DL/T 5161.15-2018</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120</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《电力装置电测量仪表装置设计规范》  GB/T50063-2017</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121</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《电力装置的继电保护和自动装置设计规范》  GB/T50062－2008</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122</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《电线电缆电性能试验方法》（GB/T 3048.1-2007、GB/T 3048.2-2007、GB/T 3048.3-2007、GB/T 3048.4-2007、GB/T 3048.5-2007、GB/T 3048.7-2007、GB/T 3048.8-2007、GB/T 3048.9-2007、GB/T 3048.10-2007、GB/T 3048.11-2007、GB/T 3048.12-2007）</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123</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《电线电缆交货盘》JB/T 8137.1-4-2013</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124</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《电线电缆识别标志方法》GB/T6995.1-5-2008</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125</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《额定电压110kV（Um=126kV）交联聚乙烯绝缘电力电缆及其附件》（GB/T 11017.1-2014、GB/T 11017.2-2014、GB/T 11017.3-2014）</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126</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《额定电压220kV(Um=252kV)交联聚乙烯绝缘电力电缆及其附件》GB/Z 18890.1-2015、GB/Z 18890.2-2015、GB/Z 18890.3-2015</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127</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《额定电压1kV(Um=1.2kV)到35kV(Um=40.5kV)挤包绝缘电力电缆及附件》GB/T 12706-2008</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128</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《额定电压6kV(Um=7.2kV)到35kV(Um=40.5kV)电力电缆附件试验方法》GB/T 18889-2002</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129</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《非合金钢及细晶粒钢焊条》GB/T 5117-2012</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130</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《钢结构高强度螺栓连接技术规程》JGJ 82-2011</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131</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《钢结构工程施工质量验收规范》  GB 50205-2001</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132</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《钢筋焊接及验收规程》JGJ 18-2012</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133</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《钢结构设计标准》GB 50017-2017</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134</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《混凝土结构设计规范》 GB 50010-2010</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135</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《高压电缆选用导则》DL/T 401-2017</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136</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《高压绝缘子瓷件技术条件》GB/T 772-2005</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137</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《工程测量规范(附条文说明)》GB 50026-2007</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138</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《供配电系统设计规范》  GB50052-2009</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139</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《灌注桩基础技术规程(附条文说明)》YSJ 212-1992</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140</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《混凝土结构工程施工质量验收规范》GB 50204-2015</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141</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《混凝土强度检验评定标准》GB/T 50107-2010</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142</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《混凝土质量控制标准》GB 50164-2011</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143</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《火力发电厂、变电站二次接线设计技术规程 》DL/T 5136-2012</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144</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《火力发电厂与变电站设计防火标准》GB 50229-2019</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145</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《继电保护和安全自动装置技术规程》GB/T 14285-2006</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146</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《架空电力线路内爆压接施工工艺规程》SDJ 277-1990</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147</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《架空送电线路钢管杆设计技术规定》(DL/T5130一2001)</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148</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《电力工程电缆设计标准》GB50217-2018</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149</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《建设工程监理规范》GB/T50319-2013</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150</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《电力建设工程监理规范》(DL/T 5434-2009)</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151</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《建筑工程施工质量验收统一标准》 GB 50300-2013</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152</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《工程建设标准强制性条文》（房屋建筑部分）（2013版）</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153</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《建设工程项目管理规范》 GB/T 50326-2017</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154</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《建设工程文件归档规范》GB/T 50328-2014</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155</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《建设项目档案管理规范》DA/T28-2018</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156</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《建筑基桩检测技术规范》JGJ 106-2014</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157</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《建筑地基处理技术规范》JGJ 79-2012</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158</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《建筑地基基础设计规范》GB 50027-2011</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159</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《建筑地基基础工程施工质量验收标准》GB 50202-2018</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160</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《建筑地面工程施工质量验收规范》 GB 50209-2010</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161</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《建筑电气工程施工质量验收规范》GB50303-2015</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162</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《建筑电气工程施工质量验收规范》GB 50303-2015</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163</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《建筑钢结构防火设计规程（附条文说明）》DG/TJ 08-20008-2000</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164</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《建筑给水排水及采暖工程施工质量验收规范》GB50242-2002</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165</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《建筑工程抗震设防分类标准》GB 50223-2008</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166</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《建筑结构荷载规范》GB 5009-2012</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167</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《建筑结构检测技术标准》GB/T 50344-2004</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168</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《建筑抗震设计规范（附条文说明）》GB 50011-2010</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169</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《建筑气象参数标准》JGJ 35-1987</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170</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《建筑设计防火规范》GB 50016-2014</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171</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《建筑桩基技术规范》、《建筑地基基础设计规范》JGJ94-2008、GB50007-2011</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172</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《建筑装饰装修工程质量验收规范》GB 50210-2018</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173</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《建设用卵石、碎石》GB/T 14685-2011</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174</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《建设用砂》GB/T 14684-2011</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175</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《交流110kV交联聚乙烯绝缘电缆及其附件订货技术规范》DL 509-1993</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176</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《紧固件机械性能》（GB/T 3098.1-2010、GB/T 3098.2-2015、GB/T 3098.3-2016、GB/T 3098.5-2016、GB/T 3098.6-2014、GB/T 3098.7-2000、GB/T 3098.8-2010、GB/T 3098.9-2010、GB/T 3098.10-1993、GB/T 3098.11-2002、GB/T 3098.12-1996、GB/T 3098.13-1996、GB/T 3098.14-2000、GB/T 3098.15-2014、GB/T 3098.16-2014、GB/T 3098.17-2000、GB/T 3098.18-2004、GB/T 3098.19-2004、GB/T 3098.20-2004、GB/T 3098.21-2014、GB/T 3098.22-2009）</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177</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《民用建筑电气设计规范(附条文说明[另册])》 JGJ 16-2008</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178</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《木结构工程施工质量验收规范》 GB 50206-2012</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179</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《普通混凝土力学性能试验方法标准》GB/T 50081-2002</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180</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《普通混凝土配合比设计规程》JGJ 55-2011</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181</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《普通混凝土用砂、石质量及检验方法标准》JGJ 52-2006</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182</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《砌体结构工程施工质量验收规范 》GB 50203-2011</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183</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《砌体结构设计规范》GB 50003-2011</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184</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《砌筑砂浆配合比设计规程》JGJ/T 98-2010</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185</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《热强钢焊条》GB/T 5118-2012</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186</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《输变电工程架空导线及地线液压压接工艺规程》DL/T 5285-2018</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187</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 xml:space="preserve">《架空输电线路施工机具基本技术要求》DL/T 875-2016 </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188</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《输电线路铁塔制造技术条件》GB/T 2694-2018</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189</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《水泥混凝土路面施工及验收规范》 GBJ 97-1987</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190</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《碳素结构钢》 GB/T 700-2006</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191</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《通风与空调工程施工质量验收规范》GB50243-2016</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192</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《通用用电设备配电设计规范》 GB 50055-2011</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193</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《土方与爆破工程施工及验收规范》GB 50201-2012</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194</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《屋面工程质量验收规范》GB 50207-2012</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195</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《岩土工程勘察规范》GB 50021-2001</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196</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《优质碳素结构钢》 GB/T 699-2015</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197</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《远动设备及系统 第5101部分:传输规约 基本远动任务配套标准》DL/T 634.5101-2002</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198</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《远动设备及系统 第5-104部分：传输规约 采用标准传输协议集的IEC60870-5-101网络访问》 DL/T 634.5104-2009</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199</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《中国地震动参数区划图》GB 18306-2015</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200</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《组合钢模板技术规范》 GB/T 50214-2013</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201</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《电力建设工程质量监督检查典型大纲（火电、送变电部分）》（电建质监[2005]57号）</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202</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《电力建设施工质量验收及评价规程　第1部分：土建工程》 DL/T 5210.1-2012</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203</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建筑结构荷载规范GB 50009-2012</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204</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建筑照明设计标准GB 50034-2013</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205</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《钢筋混凝土用钢 第1部分 热轧光圆钢筋》GB 1499.1-2017</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206</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《钢筋混凝土用钢 第2部分 热轧带肋钢筋》GB 1499.2-2018</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207</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《通用硅酸盐水泥》GB 175-2007/XG2-2015</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208</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《外墙饰面砖工程施工及验收规程》 JGJ 126-2015</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209</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《水工混凝土施工规范》 DL/T 5144-2015</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210</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《现场绝缘试验实施导则》DL/T 474.1～4-2018</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211</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《光纤复合架空地线》 JB/T 8999-2014</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212</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《电磁环境控制限值》 GB 8702-2014</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213</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《电力建设工程 工程量清单计价规范-输电线路工程》 DL/T 5205-2016</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214</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《电力建设工程 工程量清单计价规范-变电工程》 DL/T 5341-2016</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215</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《20kV及以下配电网工程工程量清单计算规范》DL/T 5766-2018</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216</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《电网工程建设预算编制与计算规定（2013年版）》（国能电力[2013]289号）</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217</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《20kV及以下配电网工程建设预算编制与计算规定》（国能电力[2017]6号）</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218</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《国家能源局关于颁布2013版电力建设工程定额和费用计算规定的通知》（国能电力〔2013〕289号）</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219</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《国家能源局关于颁布20千伏及以下配电网工程定额及费用标准（2016年版）的通知》（国能电力〔2017〕6号）</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220</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关于落实《国家发展改革委关于进一步放开建设项目专业服务价格的通知》（发改价格[2015]299号）的指导意见（中电联定额[2015]162号文）</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221</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《220kV-500kV挤包固体绝缘电缆及附件试验方法要求》IEC 62067</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222</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《30kV-150kV挤包固体绝缘电缆及附件试验方法要求》IEC 60840</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223</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《电缆额定电流的计算》IEC 60287-1-1-2006</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224</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《电缆连续（100%负荷率）允许载流量计算》IEC287</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225</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《电缆周期性和应急额定电流计算》IEC853-2</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226</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《220kV电力电缆》CSBTS/TC213-01</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227</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《220kV电力电缆附件》CSBTS/TC213-02</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228</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《工程建设标准强制性条文》（电力工程部分）（2011版，中电联标准(2012)16号）</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229</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《电力建设工程施工安全监督管理办法》（国家发改委第28号令）</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230</w:t>
            </w:r>
          </w:p>
        </w:tc>
        <w:tc>
          <w:tcPr>
            <w:tcW w:w="7019"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《输变电工程质量监督检查大纲》（2014版）</w:t>
            </w:r>
          </w:p>
        </w:tc>
        <w:tc>
          <w:tcPr>
            <w:tcW w:w="1907" w:type="dxa"/>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686" w:type="dxa"/>
            <w:gridSpan w:val="3"/>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b/>
                <w:bCs/>
                <w:color w:val="auto"/>
                <w:kern w:val="0"/>
                <w:szCs w:val="21"/>
                <w:highlight w:val="none"/>
              </w:rPr>
              <w:t>南方电网管理要求、企业标准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231</w:t>
            </w:r>
          </w:p>
        </w:tc>
        <w:tc>
          <w:tcPr>
            <w:tcW w:w="701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《关于印发&lt;标准设计和典型造价总体技术原则&gt;的通知》（南方电网基建[2013]16号）——《标准设计和典型造价总体技术原则》（Q/CSG11102001-2013）</w:t>
            </w:r>
          </w:p>
        </w:tc>
        <w:tc>
          <w:tcPr>
            <w:tcW w:w="190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232</w:t>
            </w:r>
          </w:p>
        </w:tc>
        <w:tc>
          <w:tcPr>
            <w:tcW w:w="7019" w:type="dxa"/>
            <w:vAlign w:val="bottom"/>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《中国南方电网有限责任公司安全生产问责管理规定》</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233</w:t>
            </w:r>
          </w:p>
        </w:tc>
        <w:tc>
          <w:tcPr>
            <w:tcW w:w="7019" w:type="dxa"/>
            <w:vAlign w:val="bottom"/>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《中国南方电网有限责任公司电力安全工作规程》</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234</w:t>
            </w:r>
          </w:p>
        </w:tc>
        <w:tc>
          <w:tcPr>
            <w:tcW w:w="7019" w:type="dxa"/>
            <w:vAlign w:val="bottom"/>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中国南方电网有限责任公司安全管理规定</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235</w:t>
            </w:r>
          </w:p>
        </w:tc>
        <w:tc>
          <w:tcPr>
            <w:tcW w:w="7019" w:type="dxa"/>
            <w:vAlign w:val="bottom"/>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《中国南方电网有限责任公司安全监督工作规定》</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236</w:t>
            </w:r>
          </w:p>
        </w:tc>
        <w:tc>
          <w:tcPr>
            <w:tcW w:w="7019" w:type="dxa"/>
            <w:vAlign w:val="bottom"/>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《安全生产风险管理体系审核业务指导书》</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237</w:t>
            </w:r>
          </w:p>
        </w:tc>
        <w:tc>
          <w:tcPr>
            <w:tcW w:w="7019" w:type="dxa"/>
            <w:vAlign w:val="bottom"/>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中国南方电网有限责任公司安全工作规程考试管理业务指导书</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238</w:t>
            </w:r>
          </w:p>
        </w:tc>
        <w:tc>
          <w:tcPr>
            <w:tcW w:w="7019" w:type="dxa"/>
            <w:vAlign w:val="bottom"/>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中国南方电网有限责任公司安全生产风险管控监督业务指导书</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239</w:t>
            </w:r>
          </w:p>
        </w:tc>
        <w:tc>
          <w:tcPr>
            <w:tcW w:w="7019" w:type="dxa"/>
            <w:vAlign w:val="bottom"/>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中国南方电网有限责任公司电力安全工器具管理业务指导书</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240</w:t>
            </w:r>
          </w:p>
        </w:tc>
        <w:tc>
          <w:tcPr>
            <w:tcW w:w="7019" w:type="dxa"/>
            <w:vAlign w:val="bottom"/>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中国南方电网有限责任公司隐患治理监督和安全检查业务指导书</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241</w:t>
            </w:r>
          </w:p>
        </w:tc>
        <w:tc>
          <w:tcPr>
            <w:tcW w:w="7019" w:type="dxa"/>
            <w:vAlign w:val="bottom"/>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中国南方电网有限责任公司基建项目作业环境管理（5S）工作指引</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242</w:t>
            </w:r>
          </w:p>
        </w:tc>
        <w:tc>
          <w:tcPr>
            <w:tcW w:w="7019" w:type="dxa"/>
            <w:vAlign w:val="bottom"/>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中国南方电网有限责任公司基建项目承包商管理业务指导书</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243</w:t>
            </w:r>
          </w:p>
        </w:tc>
        <w:tc>
          <w:tcPr>
            <w:tcW w:w="7019" w:type="dxa"/>
            <w:vAlign w:val="bottom"/>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《中国南方电网有限责任公司基建项目达标投产及工程评优管理业务指导书》（Q/CSG433016-2015）</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244</w:t>
            </w:r>
          </w:p>
        </w:tc>
        <w:tc>
          <w:tcPr>
            <w:tcW w:w="7019" w:type="dxa"/>
            <w:vAlign w:val="bottom"/>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中国南方电网有限责任公司保供电管理规定(Q/CSG210004—2014)</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245</w:t>
            </w:r>
          </w:p>
        </w:tc>
        <w:tc>
          <w:tcPr>
            <w:tcW w:w="7019" w:type="dxa"/>
            <w:vAlign w:val="bottom"/>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中国南方电网有限责任公司应急管理规定(Q/CSG210003-2014)</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246</w:t>
            </w:r>
          </w:p>
        </w:tc>
        <w:tc>
          <w:tcPr>
            <w:tcW w:w="7019" w:type="dxa"/>
            <w:vAlign w:val="bottom"/>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中国南方电网有限责任公司应急预案与演练管理办法</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247</w:t>
            </w:r>
          </w:p>
        </w:tc>
        <w:tc>
          <w:tcPr>
            <w:tcW w:w="7019" w:type="dxa"/>
            <w:vAlign w:val="bottom"/>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中国南方电网有限责任公司应急预警与响应管理办法</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248</w:t>
            </w:r>
          </w:p>
        </w:tc>
        <w:tc>
          <w:tcPr>
            <w:tcW w:w="7019" w:type="dxa"/>
            <w:vAlign w:val="bottom"/>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中国南方电网有限责任公司配电自动化规划导则</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249</w:t>
            </w:r>
          </w:p>
        </w:tc>
        <w:tc>
          <w:tcPr>
            <w:tcW w:w="7019" w:type="dxa"/>
            <w:vAlign w:val="bottom"/>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《南方电网公司基建项目造价信息化规约（电网工程部分）》（基建[2013]50号）</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250</w:t>
            </w:r>
          </w:p>
        </w:tc>
        <w:tc>
          <w:tcPr>
            <w:tcW w:w="7019" w:type="dxa"/>
            <w:vAlign w:val="bottom"/>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《南方电网公司基建项目造价信息化规约（2013）》（南方电网基建[2014]60号）</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251</w:t>
            </w:r>
          </w:p>
        </w:tc>
        <w:tc>
          <w:tcPr>
            <w:tcW w:w="7019" w:type="dxa"/>
            <w:vAlign w:val="bottom"/>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《基建前期继电保护相关技术问题专题会会议纪要》（系统[2012]第56期）</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252</w:t>
            </w:r>
          </w:p>
        </w:tc>
        <w:tc>
          <w:tcPr>
            <w:tcW w:w="7019" w:type="dxa"/>
            <w:vAlign w:val="bottom"/>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《转发中国电力企业联合会关于落实进一步放开建设项目专业服务价格指导意见的通知》（南方电网定额〔2015〕12号）</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253</w:t>
            </w:r>
          </w:p>
        </w:tc>
        <w:tc>
          <w:tcPr>
            <w:tcW w:w="7019" w:type="dxa"/>
            <w:vAlign w:val="bottom"/>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公司基建工程质量控制（WHS）标准（2017年版）</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254</w:t>
            </w:r>
          </w:p>
        </w:tc>
        <w:tc>
          <w:tcPr>
            <w:tcW w:w="7019" w:type="dxa"/>
            <w:vAlign w:val="bottom"/>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中国南方电网有限责任公司基建管理规定</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255</w:t>
            </w:r>
          </w:p>
        </w:tc>
        <w:tc>
          <w:tcPr>
            <w:tcW w:w="7019" w:type="dxa"/>
            <w:vAlign w:val="bottom"/>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中国南方电网有限责任公司投资管理规定</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256</w:t>
            </w:r>
          </w:p>
        </w:tc>
        <w:tc>
          <w:tcPr>
            <w:tcW w:w="7019" w:type="dxa"/>
            <w:vAlign w:val="bottom"/>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中国南方电网有限责任公司采购计划与需求管理办法(2017)(修订)</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257</w:t>
            </w:r>
          </w:p>
        </w:tc>
        <w:tc>
          <w:tcPr>
            <w:tcW w:w="7019" w:type="dxa"/>
            <w:vAlign w:val="bottom"/>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中国南方电网有限责任公司仓储配送管理办法（2017）(修订)</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258</w:t>
            </w:r>
          </w:p>
        </w:tc>
        <w:tc>
          <w:tcPr>
            <w:tcW w:w="7019" w:type="dxa"/>
            <w:vAlign w:val="bottom"/>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中国南方电网有限责任公司电力行业统计管理办法(修订)</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259</w:t>
            </w:r>
          </w:p>
        </w:tc>
        <w:tc>
          <w:tcPr>
            <w:tcW w:w="7019" w:type="dxa"/>
            <w:vAlign w:val="bottom"/>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中国南方电网有限责任公司非招标采购方式管理办法(2017)(修订)</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260</w:t>
            </w:r>
          </w:p>
        </w:tc>
        <w:tc>
          <w:tcPr>
            <w:tcW w:w="7019" w:type="dxa"/>
            <w:vAlign w:val="bottom"/>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中国南方电网有限责任公司工程交接验收管理办法</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261</w:t>
            </w:r>
          </w:p>
        </w:tc>
        <w:tc>
          <w:tcPr>
            <w:tcW w:w="7019" w:type="dxa"/>
            <w:vAlign w:val="bottom"/>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中国南方电网有限责任公司供货商扣分处罚实施细则</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262</w:t>
            </w:r>
          </w:p>
        </w:tc>
        <w:tc>
          <w:tcPr>
            <w:tcW w:w="7019" w:type="dxa"/>
            <w:vAlign w:val="bottom"/>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中国南方电网有限责任公司供应商管理办法(2017)(修订)</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263</w:t>
            </w:r>
          </w:p>
        </w:tc>
        <w:tc>
          <w:tcPr>
            <w:tcW w:w="7019" w:type="dxa"/>
            <w:vAlign w:val="bottom"/>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中国南方电网有限责任公司环境保护风险监督管理办法</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264</w:t>
            </w:r>
          </w:p>
        </w:tc>
        <w:tc>
          <w:tcPr>
            <w:tcW w:w="7019" w:type="dxa"/>
            <w:vAlign w:val="bottom"/>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中国南方电网有限责任公司基建安全管理办法</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265</w:t>
            </w:r>
          </w:p>
        </w:tc>
        <w:tc>
          <w:tcPr>
            <w:tcW w:w="7019" w:type="dxa"/>
            <w:vAlign w:val="bottom"/>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中国南方电网有限责任公司基建工程验收管理办法</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266</w:t>
            </w:r>
          </w:p>
        </w:tc>
        <w:tc>
          <w:tcPr>
            <w:tcW w:w="7019" w:type="dxa"/>
            <w:vAlign w:val="bottom"/>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中国南方电网有限责任公司基建技术管理办法</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267</w:t>
            </w:r>
          </w:p>
        </w:tc>
        <w:tc>
          <w:tcPr>
            <w:tcW w:w="7019" w:type="dxa"/>
            <w:vAlign w:val="bottom"/>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中国南方电网有限责任公司基建设计管理办法</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268</w:t>
            </w:r>
          </w:p>
        </w:tc>
        <w:tc>
          <w:tcPr>
            <w:tcW w:w="7019" w:type="dxa"/>
            <w:vAlign w:val="bottom"/>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中国南方电网有限责任公司基建项目进度管理办法</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269</w:t>
            </w:r>
          </w:p>
        </w:tc>
        <w:tc>
          <w:tcPr>
            <w:tcW w:w="7019" w:type="dxa"/>
            <w:vAlign w:val="bottom"/>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中国南方电网有限责任公司基建项目投资管控业务指导书</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270</w:t>
            </w:r>
          </w:p>
        </w:tc>
        <w:tc>
          <w:tcPr>
            <w:tcW w:w="7019" w:type="dxa"/>
            <w:vAlign w:val="bottom"/>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中国南方电网有限责任公司基建造价管理办法</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271</w:t>
            </w:r>
          </w:p>
        </w:tc>
        <w:tc>
          <w:tcPr>
            <w:tcW w:w="7019" w:type="dxa"/>
            <w:vAlign w:val="bottom"/>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中国南方电网有限责任公司基建质量管理办法</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272</w:t>
            </w:r>
          </w:p>
        </w:tc>
        <w:tc>
          <w:tcPr>
            <w:tcW w:w="7019" w:type="dxa"/>
            <w:vAlign w:val="bottom"/>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中国南方电网有限责任公司技术监督管理规定</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273</w:t>
            </w:r>
          </w:p>
        </w:tc>
        <w:tc>
          <w:tcPr>
            <w:tcW w:w="7019" w:type="dxa"/>
            <w:vAlign w:val="bottom"/>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中国南方电网有限责任公司生产设备选型管理办法</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274</w:t>
            </w:r>
          </w:p>
        </w:tc>
        <w:tc>
          <w:tcPr>
            <w:tcW w:w="7019" w:type="dxa"/>
            <w:vAlign w:val="bottom"/>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中国南方电网有限责任公司新技术推广应用管理规定</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275</w:t>
            </w:r>
          </w:p>
        </w:tc>
        <w:tc>
          <w:tcPr>
            <w:tcW w:w="7019" w:type="dxa"/>
            <w:vAlign w:val="bottom"/>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中国南方电网有限责任公司招标管理规定(2017)(修订)</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276</w:t>
            </w:r>
          </w:p>
        </w:tc>
        <w:tc>
          <w:tcPr>
            <w:tcW w:w="7019" w:type="dxa"/>
            <w:vAlign w:val="bottom"/>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关于印发工程领域违法转分包专项治理措施的通知（南方电网基建[2019]18号）</w:t>
            </w:r>
          </w:p>
        </w:tc>
        <w:tc>
          <w:tcPr>
            <w:tcW w:w="1907" w:type="dxa"/>
            <w:vAlign w:val="bottom"/>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277</w:t>
            </w:r>
          </w:p>
        </w:tc>
        <w:tc>
          <w:tcPr>
            <w:tcW w:w="7019" w:type="dxa"/>
            <w:vAlign w:val="bottom"/>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中国南方电网有限责任公司基建工程监理工作典型表式（2015年版）</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278</w:t>
            </w:r>
          </w:p>
        </w:tc>
        <w:tc>
          <w:tcPr>
            <w:tcW w:w="7019" w:type="dxa"/>
            <w:vAlign w:val="bottom"/>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中国南方电网有限责任公司监理项目部工作手册</w:t>
            </w:r>
          </w:p>
        </w:tc>
        <w:tc>
          <w:tcPr>
            <w:tcW w:w="1907" w:type="dxa"/>
            <w:vAlign w:val="bottom"/>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279</w:t>
            </w:r>
          </w:p>
        </w:tc>
        <w:tc>
          <w:tcPr>
            <w:tcW w:w="7019" w:type="dxa"/>
            <w:vAlign w:val="center"/>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bookmarkStart w:id="2167" w:name="RANGE!B287"/>
            <w:r>
              <w:rPr>
                <w:rFonts w:hint="eastAsia" w:ascii="宋体" w:hAnsi="宋体" w:cs="宋体"/>
                <w:color w:val="auto"/>
                <w:kern w:val="0"/>
                <w:szCs w:val="21"/>
                <w:highlight w:val="none"/>
              </w:rPr>
              <w:t>中国南方电网有限责任公司基建承包商违章扣分实施指南（2019版）</w:t>
            </w:r>
            <w:bookmarkEnd w:id="2167"/>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280</w:t>
            </w:r>
          </w:p>
        </w:tc>
        <w:tc>
          <w:tcPr>
            <w:tcW w:w="7019" w:type="dxa"/>
            <w:vAlign w:val="center"/>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中国南方电网有限责任公司基建项目承包商评价标准</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281</w:t>
            </w:r>
          </w:p>
        </w:tc>
        <w:tc>
          <w:tcPr>
            <w:tcW w:w="7019" w:type="dxa"/>
            <w:vAlign w:val="center"/>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《中国南方电网有限责任公司工程项目质量保证金管理工作指引》（南方电网基建〔2019〕10号）</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282</w:t>
            </w:r>
          </w:p>
        </w:tc>
        <w:tc>
          <w:tcPr>
            <w:tcW w:w="7019" w:type="dxa"/>
            <w:vAlign w:val="bottom"/>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《中国南方电网有限责任公司设备缺陷定级标准》（基建分册）、《中国南方电网有限责任公司缺陷标准库》（基建分册）</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283</w:t>
            </w:r>
          </w:p>
        </w:tc>
        <w:tc>
          <w:tcPr>
            <w:tcW w:w="7019" w:type="dxa"/>
            <w:vAlign w:val="bottom"/>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《南方电网公司基建项目造价信息化规约（20kV及以下配网工程2016定额版）》（基建〔2017〕46号）</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284</w:t>
            </w:r>
          </w:p>
        </w:tc>
        <w:tc>
          <w:tcPr>
            <w:tcW w:w="7019" w:type="dxa"/>
            <w:vAlign w:val="bottom"/>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《南方电网公司技术标准体系表（2019版）》</w:t>
            </w:r>
          </w:p>
        </w:tc>
        <w:tc>
          <w:tcPr>
            <w:tcW w:w="1907" w:type="dxa"/>
            <w:vAlign w:val="bottom"/>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南方电网企业标准</w:t>
            </w:r>
          </w:p>
        </w:tc>
      </w:tr>
    </w:tbl>
    <w:p>
      <w:pPr>
        <w:widowControl/>
        <w:autoSpaceDE w:val="0"/>
        <w:autoSpaceDN w:val="0"/>
        <w:adjustRightInd w:val="0"/>
        <w:spacing w:before="64"/>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以上所列的主要技术标准和规范，如未能达到国际和国内最新标准时，投标方应使用符合最近的国际、国内标准，并提供采用的标准、规范和所应用的最新版本的有关技术依据资料。</w:t>
      </w:r>
    </w:p>
    <w:p>
      <w:pPr>
        <w:pStyle w:val="22"/>
        <w:spacing w:line="360" w:lineRule="auto"/>
        <w:jc w:val="center"/>
        <w:rPr>
          <w:color w:val="auto"/>
          <w:highlight w:val="none"/>
        </w:rPr>
      </w:pPr>
    </w:p>
    <w:p>
      <w:pPr>
        <w:pStyle w:val="22"/>
        <w:spacing w:line="360" w:lineRule="auto"/>
        <w:jc w:val="center"/>
        <w:rPr>
          <w:color w:val="auto"/>
          <w:highlight w:val="none"/>
        </w:rPr>
      </w:pPr>
    </w:p>
    <w:p>
      <w:pPr>
        <w:rPr>
          <w:rFonts w:ascii="宋体" w:hAnsi="宋体"/>
          <w:color w:val="auto"/>
          <w:highlight w:val="none"/>
        </w:rPr>
      </w:pPr>
    </w:p>
    <w:p>
      <w:pPr>
        <w:rPr>
          <w:rFonts w:ascii="宋体" w:hAnsi="宋体"/>
          <w:color w:val="auto"/>
          <w:highlight w:val="none"/>
        </w:rPr>
      </w:pPr>
    </w:p>
    <w:p>
      <w:pPr>
        <w:widowControl/>
        <w:jc w:val="left"/>
        <w:rPr>
          <w:rFonts w:hint="eastAsia" w:ascii="宋体" w:hAnsi="宋体"/>
          <w:color w:val="auto"/>
          <w:highlight w:val="none"/>
        </w:rPr>
      </w:pPr>
      <w:r>
        <w:rPr>
          <w:rFonts w:ascii="宋体" w:hAnsi="宋体"/>
          <w:color w:val="auto"/>
          <w:highlight w:val="none"/>
        </w:rPr>
        <w:br w:type="page"/>
      </w:r>
      <w:r>
        <w:rPr>
          <w:rFonts w:hint="eastAsia" w:ascii="宋体" w:hAnsi="宋体"/>
          <w:color w:val="auto"/>
          <w:highlight w:val="none"/>
        </w:rPr>
        <w:t>附件十三  施工单位功能应用要求（主网</w:t>
      </w:r>
      <w:r>
        <w:rPr>
          <w:rFonts w:ascii="宋体" w:hAnsi="宋体"/>
          <w:color w:val="auto"/>
          <w:highlight w:val="none"/>
        </w:rPr>
        <w:t>）</w:t>
      </w:r>
    </w:p>
    <w:tbl>
      <w:tblPr>
        <w:tblStyle w:val="43"/>
        <w:tblW w:w="9300" w:type="dxa"/>
        <w:tblInd w:w="93" w:type="dxa"/>
        <w:tblLayout w:type="fixed"/>
        <w:tblCellMar>
          <w:top w:w="0" w:type="dxa"/>
          <w:left w:w="108" w:type="dxa"/>
          <w:bottom w:w="0" w:type="dxa"/>
          <w:right w:w="108" w:type="dxa"/>
        </w:tblCellMar>
      </w:tblPr>
      <w:tblGrid>
        <w:gridCol w:w="694"/>
        <w:gridCol w:w="1030"/>
        <w:gridCol w:w="1866"/>
        <w:gridCol w:w="2144"/>
        <w:gridCol w:w="1958"/>
        <w:gridCol w:w="1608"/>
      </w:tblGrid>
      <w:tr>
        <w:tblPrEx>
          <w:tblCellMar>
            <w:top w:w="0" w:type="dxa"/>
            <w:left w:w="108" w:type="dxa"/>
            <w:bottom w:w="0" w:type="dxa"/>
            <w:right w:w="108" w:type="dxa"/>
          </w:tblCellMar>
        </w:tblPrEx>
        <w:trPr>
          <w:trHeight w:val="670" w:hRule="atLeast"/>
          <w:tblHeader/>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编号</w:t>
            </w:r>
          </w:p>
        </w:tc>
        <w:tc>
          <w:tcPr>
            <w:tcW w:w="103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主/配网</w:t>
            </w:r>
          </w:p>
        </w:tc>
        <w:tc>
          <w:tcPr>
            <w:tcW w:w="186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功能名称</w:t>
            </w:r>
          </w:p>
        </w:tc>
        <w:tc>
          <w:tcPr>
            <w:tcW w:w="214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需操作内容</w:t>
            </w:r>
          </w:p>
        </w:tc>
        <w:tc>
          <w:tcPr>
            <w:tcW w:w="19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录入时间要求</w:t>
            </w:r>
          </w:p>
        </w:tc>
        <w:tc>
          <w:tcPr>
            <w:tcW w:w="16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录入质量</w:t>
            </w:r>
          </w:p>
        </w:tc>
      </w:tr>
      <w:tr>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vAlign w:val="center"/>
          </w:tcPr>
          <w:p>
            <w:pPr>
              <w:pStyle w:val="231"/>
              <w:keepNext w:val="0"/>
              <w:keepLines w:val="0"/>
              <w:widowControl/>
              <w:numPr>
                <w:ilvl w:val="0"/>
                <w:numId w:val="16"/>
              </w:numPr>
              <w:suppressLineNumbers w:val="0"/>
              <w:spacing w:before="0" w:beforeAutospacing="0" w:after="0" w:afterAutospacing="0" w:line="240" w:lineRule="auto"/>
              <w:ind w:right="0" w:firstLineChars="0"/>
              <w:jc w:val="center"/>
              <w:rPr>
                <w:rFonts w:hint="default" w:ascii="宋体" w:hAnsi="宋体" w:cs="宋体"/>
                <w:color w:val="auto"/>
                <w:kern w:val="0"/>
                <w:szCs w:val="21"/>
                <w:highlight w:val="none"/>
              </w:rPr>
            </w:pPr>
          </w:p>
        </w:tc>
        <w:tc>
          <w:tcPr>
            <w:tcW w:w="103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主网</w:t>
            </w:r>
          </w:p>
        </w:tc>
        <w:tc>
          <w:tcPr>
            <w:tcW w:w="186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进度计划编制</w:t>
            </w:r>
          </w:p>
        </w:tc>
        <w:tc>
          <w:tcPr>
            <w:tcW w:w="21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三级进度计划编制</w:t>
            </w:r>
          </w:p>
        </w:tc>
        <w:tc>
          <w:tcPr>
            <w:tcW w:w="195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二级进度计划下达后一周内</w:t>
            </w:r>
          </w:p>
        </w:tc>
        <w:tc>
          <w:tcPr>
            <w:tcW w:w="160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与合同签订的施工范围相符</w:t>
            </w:r>
          </w:p>
        </w:tc>
      </w:tr>
      <w:tr>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vAlign w:val="center"/>
          </w:tcPr>
          <w:p>
            <w:pPr>
              <w:pStyle w:val="231"/>
              <w:keepNext w:val="0"/>
              <w:keepLines w:val="0"/>
              <w:widowControl/>
              <w:numPr>
                <w:ilvl w:val="0"/>
                <w:numId w:val="16"/>
              </w:numPr>
              <w:suppressLineNumbers w:val="0"/>
              <w:spacing w:before="0" w:beforeAutospacing="0" w:after="0" w:afterAutospacing="0" w:line="240" w:lineRule="auto"/>
              <w:ind w:right="0" w:firstLineChars="0"/>
              <w:jc w:val="center"/>
              <w:rPr>
                <w:rFonts w:hint="default" w:ascii="宋体" w:hAnsi="宋体" w:cs="宋体"/>
                <w:color w:val="auto"/>
                <w:kern w:val="0"/>
                <w:szCs w:val="21"/>
                <w:highlight w:val="none"/>
              </w:rPr>
            </w:pPr>
          </w:p>
        </w:tc>
        <w:tc>
          <w:tcPr>
            <w:tcW w:w="103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主网</w:t>
            </w:r>
          </w:p>
        </w:tc>
        <w:tc>
          <w:tcPr>
            <w:tcW w:w="186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进度计划跟踪</w:t>
            </w:r>
          </w:p>
        </w:tc>
        <w:tc>
          <w:tcPr>
            <w:tcW w:w="21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三级进度计划跟踪</w:t>
            </w:r>
          </w:p>
        </w:tc>
        <w:tc>
          <w:tcPr>
            <w:tcW w:w="195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发生生5个工作日内</w:t>
            </w:r>
          </w:p>
        </w:tc>
        <w:tc>
          <w:tcPr>
            <w:tcW w:w="160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与实际相符</w:t>
            </w:r>
          </w:p>
        </w:tc>
      </w:tr>
      <w:tr>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vAlign w:val="center"/>
          </w:tcPr>
          <w:p>
            <w:pPr>
              <w:pStyle w:val="231"/>
              <w:keepNext w:val="0"/>
              <w:keepLines w:val="0"/>
              <w:widowControl/>
              <w:numPr>
                <w:ilvl w:val="0"/>
                <w:numId w:val="16"/>
              </w:numPr>
              <w:suppressLineNumbers w:val="0"/>
              <w:spacing w:before="0" w:beforeAutospacing="0" w:after="0" w:afterAutospacing="0" w:line="240" w:lineRule="auto"/>
              <w:ind w:right="0" w:firstLineChars="0"/>
              <w:jc w:val="center"/>
              <w:rPr>
                <w:rFonts w:hint="default" w:ascii="宋体" w:hAnsi="宋体" w:cs="宋体"/>
                <w:color w:val="auto"/>
                <w:kern w:val="0"/>
                <w:szCs w:val="21"/>
                <w:highlight w:val="none"/>
              </w:rPr>
            </w:pPr>
          </w:p>
        </w:tc>
        <w:tc>
          <w:tcPr>
            <w:tcW w:w="103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主网</w:t>
            </w:r>
          </w:p>
        </w:tc>
        <w:tc>
          <w:tcPr>
            <w:tcW w:w="186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进度计划调整</w:t>
            </w:r>
          </w:p>
        </w:tc>
        <w:tc>
          <w:tcPr>
            <w:tcW w:w="21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调整三级进度计划</w:t>
            </w:r>
          </w:p>
        </w:tc>
        <w:tc>
          <w:tcPr>
            <w:tcW w:w="195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发生生5个工作日内</w:t>
            </w:r>
          </w:p>
        </w:tc>
        <w:tc>
          <w:tcPr>
            <w:tcW w:w="160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与实际相符</w:t>
            </w:r>
          </w:p>
        </w:tc>
      </w:tr>
      <w:tr>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vAlign w:val="center"/>
          </w:tcPr>
          <w:p>
            <w:pPr>
              <w:pStyle w:val="231"/>
              <w:keepNext w:val="0"/>
              <w:keepLines w:val="0"/>
              <w:widowControl/>
              <w:numPr>
                <w:ilvl w:val="0"/>
                <w:numId w:val="16"/>
              </w:numPr>
              <w:suppressLineNumbers w:val="0"/>
              <w:spacing w:before="0" w:beforeAutospacing="0" w:after="0" w:afterAutospacing="0" w:line="240" w:lineRule="auto"/>
              <w:ind w:right="0" w:firstLineChars="0"/>
              <w:jc w:val="center"/>
              <w:rPr>
                <w:rFonts w:hint="default" w:ascii="宋体" w:hAnsi="宋体" w:cs="宋体"/>
                <w:color w:val="auto"/>
                <w:kern w:val="0"/>
                <w:szCs w:val="21"/>
                <w:highlight w:val="none"/>
              </w:rPr>
            </w:pPr>
          </w:p>
        </w:tc>
        <w:tc>
          <w:tcPr>
            <w:tcW w:w="103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主网</w:t>
            </w:r>
          </w:p>
        </w:tc>
        <w:tc>
          <w:tcPr>
            <w:tcW w:w="186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项目开工</w:t>
            </w:r>
          </w:p>
        </w:tc>
        <w:tc>
          <w:tcPr>
            <w:tcW w:w="21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新增并录入工程开工信息、上传相关附件</w:t>
            </w:r>
          </w:p>
        </w:tc>
        <w:tc>
          <w:tcPr>
            <w:tcW w:w="195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进度计划开工节点前完成</w:t>
            </w:r>
          </w:p>
        </w:tc>
        <w:tc>
          <w:tcPr>
            <w:tcW w:w="160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符合工程开工条件</w:t>
            </w:r>
          </w:p>
        </w:tc>
      </w:tr>
      <w:tr>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vAlign w:val="center"/>
          </w:tcPr>
          <w:p>
            <w:pPr>
              <w:pStyle w:val="231"/>
              <w:keepNext w:val="0"/>
              <w:keepLines w:val="0"/>
              <w:widowControl/>
              <w:numPr>
                <w:ilvl w:val="0"/>
                <w:numId w:val="16"/>
              </w:numPr>
              <w:suppressLineNumbers w:val="0"/>
              <w:spacing w:before="0" w:beforeAutospacing="0" w:after="0" w:afterAutospacing="0" w:line="240" w:lineRule="auto"/>
              <w:ind w:right="0" w:firstLineChars="0"/>
              <w:jc w:val="center"/>
              <w:rPr>
                <w:rFonts w:hint="default" w:ascii="宋体" w:hAnsi="宋体" w:cs="宋体"/>
                <w:color w:val="auto"/>
                <w:kern w:val="0"/>
                <w:szCs w:val="21"/>
                <w:highlight w:val="none"/>
              </w:rPr>
            </w:pPr>
          </w:p>
        </w:tc>
        <w:tc>
          <w:tcPr>
            <w:tcW w:w="103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主网</w:t>
            </w:r>
          </w:p>
        </w:tc>
        <w:tc>
          <w:tcPr>
            <w:tcW w:w="186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项目组织结构</w:t>
            </w:r>
          </w:p>
        </w:tc>
        <w:tc>
          <w:tcPr>
            <w:tcW w:w="21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录入施工项目部人员信息</w:t>
            </w:r>
          </w:p>
        </w:tc>
        <w:tc>
          <w:tcPr>
            <w:tcW w:w="195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施工合同签订后</w:t>
            </w:r>
          </w:p>
        </w:tc>
        <w:tc>
          <w:tcPr>
            <w:tcW w:w="160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与实际相符</w:t>
            </w:r>
          </w:p>
        </w:tc>
      </w:tr>
      <w:tr>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vAlign w:val="center"/>
          </w:tcPr>
          <w:p>
            <w:pPr>
              <w:pStyle w:val="231"/>
              <w:keepNext w:val="0"/>
              <w:keepLines w:val="0"/>
              <w:widowControl/>
              <w:numPr>
                <w:ilvl w:val="0"/>
                <w:numId w:val="16"/>
              </w:numPr>
              <w:suppressLineNumbers w:val="0"/>
              <w:spacing w:before="0" w:beforeAutospacing="0" w:after="0" w:afterAutospacing="0" w:line="240" w:lineRule="auto"/>
              <w:ind w:right="0" w:firstLineChars="0"/>
              <w:jc w:val="center"/>
              <w:rPr>
                <w:rFonts w:hint="default" w:ascii="宋体" w:hAnsi="宋体" w:cs="宋体"/>
                <w:color w:val="auto"/>
                <w:kern w:val="0"/>
                <w:szCs w:val="21"/>
                <w:highlight w:val="none"/>
              </w:rPr>
            </w:pPr>
          </w:p>
        </w:tc>
        <w:tc>
          <w:tcPr>
            <w:tcW w:w="103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主网</w:t>
            </w:r>
          </w:p>
        </w:tc>
        <w:tc>
          <w:tcPr>
            <w:tcW w:w="186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安全文明检查整改通知</w:t>
            </w:r>
          </w:p>
        </w:tc>
        <w:tc>
          <w:tcPr>
            <w:tcW w:w="21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接收整改通知单，填写整改结果并提交确认</w:t>
            </w:r>
          </w:p>
        </w:tc>
        <w:tc>
          <w:tcPr>
            <w:tcW w:w="195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整改完成时间之前</w:t>
            </w:r>
          </w:p>
        </w:tc>
        <w:tc>
          <w:tcPr>
            <w:tcW w:w="160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与实际相符</w:t>
            </w:r>
          </w:p>
        </w:tc>
      </w:tr>
      <w:tr>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vAlign w:val="center"/>
          </w:tcPr>
          <w:p>
            <w:pPr>
              <w:pStyle w:val="231"/>
              <w:keepNext w:val="0"/>
              <w:keepLines w:val="0"/>
              <w:widowControl/>
              <w:numPr>
                <w:ilvl w:val="0"/>
                <w:numId w:val="16"/>
              </w:numPr>
              <w:suppressLineNumbers w:val="0"/>
              <w:spacing w:before="0" w:beforeAutospacing="0" w:after="0" w:afterAutospacing="0" w:line="240" w:lineRule="auto"/>
              <w:ind w:right="0" w:firstLineChars="0"/>
              <w:jc w:val="center"/>
              <w:rPr>
                <w:rFonts w:hint="default" w:ascii="宋体" w:hAnsi="宋体" w:cs="宋体"/>
                <w:color w:val="auto"/>
                <w:kern w:val="0"/>
                <w:szCs w:val="21"/>
                <w:highlight w:val="none"/>
              </w:rPr>
            </w:pPr>
          </w:p>
        </w:tc>
        <w:tc>
          <w:tcPr>
            <w:tcW w:w="103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主网</w:t>
            </w:r>
          </w:p>
        </w:tc>
        <w:tc>
          <w:tcPr>
            <w:tcW w:w="186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作业指导书设置</w:t>
            </w:r>
          </w:p>
        </w:tc>
        <w:tc>
          <w:tcPr>
            <w:tcW w:w="21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选取项目作业指导书内容</w:t>
            </w:r>
          </w:p>
        </w:tc>
        <w:tc>
          <w:tcPr>
            <w:tcW w:w="195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项目开工前</w:t>
            </w:r>
          </w:p>
        </w:tc>
        <w:tc>
          <w:tcPr>
            <w:tcW w:w="160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与实际相符</w:t>
            </w:r>
          </w:p>
        </w:tc>
      </w:tr>
      <w:tr>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vAlign w:val="center"/>
          </w:tcPr>
          <w:p>
            <w:pPr>
              <w:pStyle w:val="231"/>
              <w:keepNext w:val="0"/>
              <w:keepLines w:val="0"/>
              <w:widowControl/>
              <w:numPr>
                <w:ilvl w:val="0"/>
                <w:numId w:val="16"/>
              </w:numPr>
              <w:suppressLineNumbers w:val="0"/>
              <w:spacing w:before="0" w:beforeAutospacing="0" w:after="0" w:afterAutospacing="0" w:line="240" w:lineRule="auto"/>
              <w:ind w:right="0" w:firstLineChars="0"/>
              <w:jc w:val="center"/>
              <w:rPr>
                <w:rFonts w:hint="default" w:ascii="宋体" w:hAnsi="宋体" w:cs="宋体"/>
                <w:color w:val="auto"/>
                <w:kern w:val="0"/>
                <w:szCs w:val="21"/>
                <w:highlight w:val="none"/>
              </w:rPr>
            </w:pPr>
          </w:p>
        </w:tc>
        <w:tc>
          <w:tcPr>
            <w:tcW w:w="103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主网</w:t>
            </w:r>
          </w:p>
        </w:tc>
        <w:tc>
          <w:tcPr>
            <w:tcW w:w="186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安全风险评估</w:t>
            </w:r>
          </w:p>
        </w:tc>
        <w:tc>
          <w:tcPr>
            <w:tcW w:w="21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评估施工作业风险</w:t>
            </w:r>
          </w:p>
        </w:tc>
        <w:tc>
          <w:tcPr>
            <w:tcW w:w="195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项目开工前</w:t>
            </w:r>
          </w:p>
        </w:tc>
        <w:tc>
          <w:tcPr>
            <w:tcW w:w="160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与实际相符</w:t>
            </w:r>
          </w:p>
        </w:tc>
      </w:tr>
      <w:tr>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vAlign w:val="center"/>
          </w:tcPr>
          <w:p>
            <w:pPr>
              <w:pStyle w:val="231"/>
              <w:keepNext w:val="0"/>
              <w:keepLines w:val="0"/>
              <w:widowControl/>
              <w:numPr>
                <w:ilvl w:val="0"/>
                <w:numId w:val="16"/>
              </w:numPr>
              <w:suppressLineNumbers w:val="0"/>
              <w:spacing w:before="0" w:beforeAutospacing="0" w:after="0" w:afterAutospacing="0" w:line="240" w:lineRule="auto"/>
              <w:ind w:right="0" w:firstLineChars="0"/>
              <w:jc w:val="center"/>
              <w:rPr>
                <w:rFonts w:hint="default" w:ascii="宋体" w:hAnsi="宋体" w:cs="宋体"/>
                <w:color w:val="auto"/>
                <w:kern w:val="0"/>
                <w:szCs w:val="21"/>
                <w:highlight w:val="none"/>
              </w:rPr>
            </w:pPr>
          </w:p>
        </w:tc>
        <w:tc>
          <w:tcPr>
            <w:tcW w:w="103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主网</w:t>
            </w:r>
          </w:p>
        </w:tc>
        <w:tc>
          <w:tcPr>
            <w:tcW w:w="186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服务合同</w:t>
            </w:r>
          </w:p>
        </w:tc>
        <w:tc>
          <w:tcPr>
            <w:tcW w:w="21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录入施工合同</w:t>
            </w:r>
          </w:p>
        </w:tc>
        <w:tc>
          <w:tcPr>
            <w:tcW w:w="195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合同签订后3天</w:t>
            </w:r>
          </w:p>
        </w:tc>
        <w:tc>
          <w:tcPr>
            <w:tcW w:w="160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与实际相符</w:t>
            </w:r>
          </w:p>
        </w:tc>
      </w:tr>
      <w:tr>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vAlign w:val="center"/>
          </w:tcPr>
          <w:p>
            <w:pPr>
              <w:pStyle w:val="231"/>
              <w:keepNext w:val="0"/>
              <w:keepLines w:val="0"/>
              <w:widowControl/>
              <w:numPr>
                <w:ilvl w:val="0"/>
                <w:numId w:val="16"/>
              </w:numPr>
              <w:suppressLineNumbers w:val="0"/>
              <w:spacing w:before="0" w:beforeAutospacing="0" w:after="0" w:afterAutospacing="0" w:line="240" w:lineRule="auto"/>
              <w:ind w:right="0" w:firstLineChars="0"/>
              <w:jc w:val="center"/>
              <w:rPr>
                <w:rFonts w:hint="default" w:ascii="宋体" w:hAnsi="宋体" w:cs="宋体"/>
                <w:color w:val="auto"/>
                <w:kern w:val="0"/>
                <w:szCs w:val="21"/>
                <w:highlight w:val="none"/>
              </w:rPr>
            </w:pPr>
          </w:p>
        </w:tc>
        <w:tc>
          <w:tcPr>
            <w:tcW w:w="103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主网</w:t>
            </w:r>
          </w:p>
        </w:tc>
        <w:tc>
          <w:tcPr>
            <w:tcW w:w="186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合同补充协议</w:t>
            </w:r>
          </w:p>
        </w:tc>
        <w:tc>
          <w:tcPr>
            <w:tcW w:w="21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记录合同内容及费用变更</w:t>
            </w:r>
          </w:p>
        </w:tc>
        <w:tc>
          <w:tcPr>
            <w:tcW w:w="195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合同结算前</w:t>
            </w:r>
          </w:p>
        </w:tc>
        <w:tc>
          <w:tcPr>
            <w:tcW w:w="160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与实际相符</w:t>
            </w:r>
          </w:p>
        </w:tc>
      </w:tr>
      <w:tr>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vAlign w:val="center"/>
          </w:tcPr>
          <w:p>
            <w:pPr>
              <w:pStyle w:val="231"/>
              <w:keepNext w:val="0"/>
              <w:keepLines w:val="0"/>
              <w:widowControl/>
              <w:numPr>
                <w:ilvl w:val="0"/>
                <w:numId w:val="16"/>
              </w:numPr>
              <w:suppressLineNumbers w:val="0"/>
              <w:spacing w:before="0" w:beforeAutospacing="0" w:after="0" w:afterAutospacing="0" w:line="240" w:lineRule="auto"/>
              <w:ind w:right="0" w:firstLineChars="0"/>
              <w:jc w:val="center"/>
              <w:rPr>
                <w:rFonts w:hint="default" w:ascii="宋体" w:hAnsi="宋体" w:cs="宋体"/>
                <w:color w:val="auto"/>
                <w:kern w:val="0"/>
                <w:szCs w:val="21"/>
                <w:highlight w:val="none"/>
              </w:rPr>
            </w:pPr>
          </w:p>
        </w:tc>
        <w:tc>
          <w:tcPr>
            <w:tcW w:w="103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主网</w:t>
            </w:r>
          </w:p>
        </w:tc>
        <w:tc>
          <w:tcPr>
            <w:tcW w:w="186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费用变更</w:t>
            </w:r>
          </w:p>
        </w:tc>
        <w:tc>
          <w:tcPr>
            <w:tcW w:w="21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录入费用变更信息</w:t>
            </w:r>
          </w:p>
        </w:tc>
        <w:tc>
          <w:tcPr>
            <w:tcW w:w="195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无</w:t>
            </w:r>
          </w:p>
        </w:tc>
        <w:tc>
          <w:tcPr>
            <w:tcW w:w="160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与实际相符</w:t>
            </w:r>
          </w:p>
        </w:tc>
      </w:tr>
      <w:tr>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vAlign w:val="center"/>
          </w:tcPr>
          <w:p>
            <w:pPr>
              <w:pStyle w:val="231"/>
              <w:keepNext w:val="0"/>
              <w:keepLines w:val="0"/>
              <w:widowControl/>
              <w:numPr>
                <w:ilvl w:val="0"/>
                <w:numId w:val="16"/>
              </w:numPr>
              <w:suppressLineNumbers w:val="0"/>
              <w:spacing w:before="0" w:beforeAutospacing="0" w:after="0" w:afterAutospacing="0" w:line="240" w:lineRule="auto"/>
              <w:ind w:right="0" w:firstLineChars="0"/>
              <w:jc w:val="center"/>
              <w:rPr>
                <w:rFonts w:hint="default" w:ascii="宋体" w:hAnsi="宋体" w:cs="宋体"/>
                <w:color w:val="auto"/>
                <w:kern w:val="0"/>
                <w:szCs w:val="21"/>
                <w:highlight w:val="none"/>
              </w:rPr>
            </w:pPr>
          </w:p>
        </w:tc>
        <w:tc>
          <w:tcPr>
            <w:tcW w:w="103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主网</w:t>
            </w:r>
          </w:p>
        </w:tc>
        <w:tc>
          <w:tcPr>
            <w:tcW w:w="186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工程量计量</w:t>
            </w:r>
          </w:p>
        </w:tc>
        <w:tc>
          <w:tcPr>
            <w:tcW w:w="21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录入工程量计量数据</w:t>
            </w:r>
          </w:p>
        </w:tc>
        <w:tc>
          <w:tcPr>
            <w:tcW w:w="195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项目开工后、结算前定期开展</w:t>
            </w:r>
          </w:p>
        </w:tc>
        <w:tc>
          <w:tcPr>
            <w:tcW w:w="160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与实际相符</w:t>
            </w:r>
          </w:p>
        </w:tc>
      </w:tr>
      <w:tr>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vAlign w:val="center"/>
          </w:tcPr>
          <w:p>
            <w:pPr>
              <w:pStyle w:val="231"/>
              <w:keepNext w:val="0"/>
              <w:keepLines w:val="0"/>
              <w:widowControl/>
              <w:numPr>
                <w:ilvl w:val="0"/>
                <w:numId w:val="16"/>
              </w:numPr>
              <w:suppressLineNumbers w:val="0"/>
              <w:spacing w:before="0" w:beforeAutospacing="0" w:after="0" w:afterAutospacing="0" w:line="240" w:lineRule="auto"/>
              <w:ind w:right="0" w:firstLineChars="0"/>
              <w:jc w:val="center"/>
              <w:rPr>
                <w:rFonts w:hint="default" w:ascii="宋体" w:hAnsi="宋体" w:cs="宋体"/>
                <w:color w:val="auto"/>
                <w:kern w:val="0"/>
                <w:szCs w:val="21"/>
                <w:highlight w:val="none"/>
              </w:rPr>
            </w:pPr>
          </w:p>
        </w:tc>
        <w:tc>
          <w:tcPr>
            <w:tcW w:w="103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主网</w:t>
            </w:r>
          </w:p>
        </w:tc>
        <w:tc>
          <w:tcPr>
            <w:tcW w:w="186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服务发票登记</w:t>
            </w:r>
          </w:p>
        </w:tc>
        <w:tc>
          <w:tcPr>
            <w:tcW w:w="21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录入服务发票信息</w:t>
            </w:r>
          </w:p>
        </w:tc>
        <w:tc>
          <w:tcPr>
            <w:tcW w:w="195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需要支付款项时</w:t>
            </w:r>
          </w:p>
        </w:tc>
        <w:tc>
          <w:tcPr>
            <w:tcW w:w="160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与实际相符</w:t>
            </w:r>
          </w:p>
        </w:tc>
      </w:tr>
      <w:tr>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vAlign w:val="center"/>
          </w:tcPr>
          <w:p>
            <w:pPr>
              <w:pStyle w:val="231"/>
              <w:keepNext w:val="0"/>
              <w:keepLines w:val="0"/>
              <w:widowControl/>
              <w:numPr>
                <w:ilvl w:val="0"/>
                <w:numId w:val="16"/>
              </w:numPr>
              <w:suppressLineNumbers w:val="0"/>
              <w:spacing w:before="0" w:beforeAutospacing="0" w:after="0" w:afterAutospacing="0" w:line="240" w:lineRule="auto"/>
              <w:ind w:right="0" w:firstLineChars="0"/>
              <w:jc w:val="center"/>
              <w:rPr>
                <w:rFonts w:hint="default" w:ascii="宋体" w:hAnsi="宋体" w:cs="宋体"/>
                <w:color w:val="auto"/>
                <w:kern w:val="0"/>
                <w:szCs w:val="21"/>
                <w:highlight w:val="none"/>
              </w:rPr>
            </w:pPr>
          </w:p>
        </w:tc>
        <w:tc>
          <w:tcPr>
            <w:tcW w:w="103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主网</w:t>
            </w:r>
          </w:p>
        </w:tc>
        <w:tc>
          <w:tcPr>
            <w:tcW w:w="186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合同分包申请</w:t>
            </w:r>
          </w:p>
        </w:tc>
        <w:tc>
          <w:tcPr>
            <w:tcW w:w="21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录入施工分包申请</w:t>
            </w:r>
          </w:p>
        </w:tc>
        <w:tc>
          <w:tcPr>
            <w:tcW w:w="195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施工合同签订后</w:t>
            </w:r>
          </w:p>
        </w:tc>
        <w:tc>
          <w:tcPr>
            <w:tcW w:w="160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与实际相符</w:t>
            </w:r>
          </w:p>
        </w:tc>
      </w:tr>
      <w:tr>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vAlign w:val="center"/>
          </w:tcPr>
          <w:p>
            <w:pPr>
              <w:pStyle w:val="231"/>
              <w:keepNext w:val="0"/>
              <w:keepLines w:val="0"/>
              <w:widowControl/>
              <w:numPr>
                <w:ilvl w:val="0"/>
                <w:numId w:val="16"/>
              </w:numPr>
              <w:suppressLineNumbers w:val="0"/>
              <w:spacing w:before="0" w:beforeAutospacing="0" w:after="0" w:afterAutospacing="0" w:line="240" w:lineRule="auto"/>
              <w:ind w:right="0" w:firstLineChars="0"/>
              <w:jc w:val="center"/>
              <w:rPr>
                <w:rFonts w:hint="default" w:ascii="宋体" w:hAnsi="宋体" w:cs="宋体"/>
                <w:color w:val="auto"/>
                <w:kern w:val="0"/>
                <w:szCs w:val="21"/>
                <w:highlight w:val="none"/>
              </w:rPr>
            </w:pPr>
          </w:p>
        </w:tc>
        <w:tc>
          <w:tcPr>
            <w:tcW w:w="103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主网</w:t>
            </w:r>
          </w:p>
        </w:tc>
        <w:tc>
          <w:tcPr>
            <w:tcW w:w="186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合同结算</w:t>
            </w:r>
          </w:p>
        </w:tc>
        <w:tc>
          <w:tcPr>
            <w:tcW w:w="21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录入合同结算数据</w:t>
            </w:r>
          </w:p>
        </w:tc>
        <w:tc>
          <w:tcPr>
            <w:tcW w:w="195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支付合同结算款时</w:t>
            </w:r>
          </w:p>
        </w:tc>
        <w:tc>
          <w:tcPr>
            <w:tcW w:w="160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与实际相符</w:t>
            </w:r>
          </w:p>
        </w:tc>
      </w:tr>
      <w:tr>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vAlign w:val="center"/>
          </w:tcPr>
          <w:p>
            <w:pPr>
              <w:pStyle w:val="231"/>
              <w:keepNext w:val="0"/>
              <w:keepLines w:val="0"/>
              <w:widowControl/>
              <w:numPr>
                <w:ilvl w:val="0"/>
                <w:numId w:val="16"/>
              </w:numPr>
              <w:suppressLineNumbers w:val="0"/>
              <w:spacing w:before="0" w:beforeAutospacing="0" w:after="0" w:afterAutospacing="0" w:line="240" w:lineRule="auto"/>
              <w:ind w:right="0" w:firstLineChars="0"/>
              <w:jc w:val="center"/>
              <w:rPr>
                <w:rFonts w:hint="default" w:ascii="宋体" w:hAnsi="宋体" w:cs="宋体"/>
                <w:color w:val="auto"/>
                <w:kern w:val="0"/>
                <w:szCs w:val="21"/>
                <w:highlight w:val="none"/>
              </w:rPr>
            </w:pPr>
          </w:p>
        </w:tc>
        <w:tc>
          <w:tcPr>
            <w:tcW w:w="103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主网</w:t>
            </w:r>
          </w:p>
        </w:tc>
        <w:tc>
          <w:tcPr>
            <w:tcW w:w="186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安全应急预案</w:t>
            </w:r>
          </w:p>
        </w:tc>
        <w:tc>
          <w:tcPr>
            <w:tcW w:w="21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制定现场安全应急预案</w:t>
            </w:r>
          </w:p>
        </w:tc>
        <w:tc>
          <w:tcPr>
            <w:tcW w:w="195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项目开工前</w:t>
            </w:r>
          </w:p>
        </w:tc>
        <w:tc>
          <w:tcPr>
            <w:tcW w:w="160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与实际相符</w:t>
            </w:r>
          </w:p>
        </w:tc>
      </w:tr>
      <w:tr>
        <w:tblPrEx>
          <w:tblCellMar>
            <w:top w:w="0" w:type="dxa"/>
            <w:left w:w="108" w:type="dxa"/>
            <w:bottom w:w="0" w:type="dxa"/>
            <w:right w:w="108" w:type="dxa"/>
          </w:tblCellMar>
        </w:tblPrEx>
        <w:trPr>
          <w:trHeight w:val="585" w:hRule="atLeast"/>
        </w:trPr>
        <w:tc>
          <w:tcPr>
            <w:tcW w:w="694" w:type="dxa"/>
            <w:tcBorders>
              <w:top w:val="nil"/>
              <w:left w:val="single" w:color="auto" w:sz="4" w:space="0"/>
              <w:bottom w:val="single" w:color="auto" w:sz="4" w:space="0"/>
              <w:right w:val="single" w:color="auto" w:sz="4" w:space="0"/>
            </w:tcBorders>
            <w:vAlign w:val="center"/>
          </w:tcPr>
          <w:p>
            <w:pPr>
              <w:pStyle w:val="231"/>
              <w:keepNext w:val="0"/>
              <w:keepLines w:val="0"/>
              <w:widowControl/>
              <w:numPr>
                <w:ilvl w:val="0"/>
                <w:numId w:val="16"/>
              </w:numPr>
              <w:suppressLineNumbers w:val="0"/>
              <w:spacing w:before="0" w:beforeAutospacing="0" w:after="0" w:afterAutospacing="0" w:line="240" w:lineRule="auto"/>
              <w:ind w:right="0" w:firstLineChars="0"/>
              <w:jc w:val="center"/>
              <w:rPr>
                <w:rFonts w:hint="default" w:ascii="宋体" w:hAnsi="宋体" w:cs="宋体"/>
                <w:color w:val="auto"/>
                <w:kern w:val="0"/>
                <w:szCs w:val="21"/>
                <w:highlight w:val="none"/>
              </w:rPr>
            </w:pPr>
          </w:p>
        </w:tc>
        <w:tc>
          <w:tcPr>
            <w:tcW w:w="103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主网</w:t>
            </w:r>
          </w:p>
        </w:tc>
        <w:tc>
          <w:tcPr>
            <w:tcW w:w="186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设备进场管理</w:t>
            </w:r>
          </w:p>
        </w:tc>
        <w:tc>
          <w:tcPr>
            <w:tcW w:w="21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登记现场设备进场记录</w:t>
            </w:r>
          </w:p>
        </w:tc>
        <w:tc>
          <w:tcPr>
            <w:tcW w:w="195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发生生5个工作日内</w:t>
            </w:r>
          </w:p>
        </w:tc>
        <w:tc>
          <w:tcPr>
            <w:tcW w:w="160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与实际相符</w:t>
            </w:r>
          </w:p>
        </w:tc>
      </w:tr>
    </w:tbl>
    <w:p>
      <w:pPr>
        <w:rPr>
          <w:rFonts w:hint="eastAsia" w:ascii="宋体" w:hAnsi="宋体"/>
          <w:color w:val="auto"/>
          <w:highlight w:val="none"/>
        </w:rPr>
      </w:pPr>
    </w:p>
    <w:p>
      <w:pPr>
        <w:pStyle w:val="2"/>
        <w:pageBreakBefore/>
        <w:widowControl/>
        <w:spacing w:before="0" w:after="0" w:line="240" w:lineRule="auto"/>
        <w:jc w:val="center"/>
        <w:rPr>
          <w:rFonts w:hint="eastAsia" w:ascii="宋体" w:hAnsi="宋体" w:eastAsia="宋体"/>
          <w:color w:val="auto"/>
          <w:sz w:val="24"/>
          <w:szCs w:val="24"/>
          <w:highlight w:val="none"/>
        </w:rPr>
      </w:pPr>
      <w:bookmarkStart w:id="2168" w:name="_Toc20644924"/>
      <w:r>
        <w:rPr>
          <w:rFonts w:hint="eastAsia" w:ascii="宋体" w:hAnsi="宋体" w:eastAsia="宋体"/>
          <w:color w:val="auto"/>
          <w:sz w:val="24"/>
          <w:szCs w:val="24"/>
          <w:highlight w:val="none"/>
        </w:rPr>
        <w:t>第五节 报价书</w:t>
      </w:r>
      <w:bookmarkEnd w:id="2157"/>
      <w:bookmarkEnd w:id="2168"/>
    </w:p>
    <w:p>
      <w:pPr>
        <w:rPr>
          <w:rFonts w:ascii="宋体" w:hAnsi="宋体"/>
          <w:color w:val="auto"/>
          <w:szCs w:val="21"/>
          <w:highlight w:val="none"/>
        </w:rPr>
      </w:pPr>
      <w:r>
        <w:rPr>
          <w:rFonts w:hint="eastAsia" w:ascii="宋体" w:hAnsi="宋体"/>
          <w:color w:val="auto"/>
          <w:szCs w:val="21"/>
          <w:highlight w:val="none"/>
        </w:rPr>
        <w:t>详见投标文件。</w:t>
      </w:r>
    </w:p>
    <w:permEnd w:id="80"/>
    <w:p>
      <w:pPr>
        <w:autoSpaceDE w:val="0"/>
        <w:autoSpaceDN w:val="0"/>
        <w:adjustRightInd w:val="0"/>
        <w:ind w:firstLine="632" w:firstLineChars="300"/>
        <w:jc w:val="left"/>
        <w:rPr>
          <w:rFonts w:ascii="宋体" w:hAnsi="宋体" w:cs="仿宋_GB2312"/>
          <w:b/>
          <w:color w:val="auto"/>
          <w:kern w:val="0"/>
          <w:szCs w:val="21"/>
          <w:highlight w:val="none"/>
        </w:rPr>
      </w:pPr>
    </w:p>
    <w:p>
      <w:pPr>
        <w:rPr>
          <w:rFonts w:hint="default"/>
          <w:color w:val="auto"/>
          <w:highlight w:val="none"/>
          <w:lang w:val="en-US" w:eastAsia="zh-CN"/>
        </w:rPr>
      </w:pPr>
    </w:p>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r>
        <w:rPr>
          <w:rFonts w:hint="eastAsia"/>
          <w:color w:val="auto"/>
          <w:highlight w:val="none"/>
          <w:lang w:eastAsia="zh-CN"/>
        </w:rPr>
        <w:br w:type="page"/>
      </w:r>
    </w:p>
    <w:p>
      <w:pPr>
        <w:pStyle w:val="3"/>
        <w:pageBreakBefore/>
        <w:widowControl/>
        <w:numPr>
          <w:ilvl w:val="0"/>
          <w:numId w:val="5"/>
        </w:numPr>
        <w:tabs>
          <w:tab w:val="left" w:pos="2127"/>
        </w:tabs>
        <w:spacing w:before="120" w:after="120" w:line="360" w:lineRule="auto"/>
        <w:jc w:val="center"/>
        <w:rPr>
          <w:rFonts w:ascii="宋体" w:hAnsi="宋体"/>
          <w:color w:val="auto"/>
          <w:kern w:val="0"/>
          <w:sz w:val="32"/>
          <w:szCs w:val="32"/>
          <w:highlight w:val="none"/>
        </w:rPr>
      </w:pPr>
      <w:bookmarkStart w:id="2169" w:name="_Toc4670"/>
      <w:bookmarkStart w:id="2170" w:name="_Toc23141"/>
      <w:r>
        <w:rPr>
          <w:rFonts w:hint="eastAsia" w:ascii="宋体" w:hAnsi="宋体"/>
          <w:color w:val="auto"/>
          <w:kern w:val="0"/>
          <w:sz w:val="32"/>
          <w:szCs w:val="32"/>
          <w:highlight w:val="none"/>
          <w:lang w:val="en-US" w:eastAsia="zh-CN"/>
        </w:rPr>
        <w:t>电子</w:t>
      </w:r>
      <w:r>
        <w:rPr>
          <w:rFonts w:hint="eastAsia" w:ascii="宋体" w:hAnsi="宋体"/>
          <w:color w:val="auto"/>
          <w:kern w:val="0"/>
          <w:sz w:val="32"/>
          <w:szCs w:val="32"/>
          <w:highlight w:val="none"/>
        </w:rPr>
        <w:t>投标文件格式</w:t>
      </w:r>
      <w:bookmarkEnd w:id="2169"/>
      <w:bookmarkEnd w:id="2170"/>
    </w:p>
    <w:p>
      <w:pPr>
        <w:jc w:val="right"/>
        <w:rPr>
          <w:color w:val="auto"/>
          <w:highlight w:val="none"/>
        </w:rPr>
      </w:pPr>
    </w:p>
    <w:p>
      <w:pPr>
        <w:spacing w:line="360" w:lineRule="auto"/>
        <w:rPr>
          <w:color w:val="auto"/>
          <w:highlight w:val="none"/>
        </w:rPr>
      </w:pPr>
      <w:r>
        <w:rPr>
          <w:rFonts w:hint="eastAsia" w:ascii="宋体" w:hAnsi="宋体" w:cs="宋体"/>
          <w:color w:val="auto"/>
          <w:sz w:val="24"/>
          <w:szCs w:val="24"/>
          <w:highlight w:val="none"/>
        </w:rPr>
        <w:t>招标编号：</w:t>
      </w:r>
      <w:r>
        <w:rPr>
          <w:rFonts w:hint="eastAsia" w:ascii="宋体" w:hAnsi="宋体" w:cs="宋体"/>
          <w:color w:val="auto"/>
          <w:kern w:val="0"/>
          <w:sz w:val="28"/>
          <w:szCs w:val="28"/>
          <w:highlight w:val="none"/>
        </w:rPr>
        <w:t xml:space="preserve">                                            </w:t>
      </w:r>
    </w:p>
    <w:p>
      <w:pPr>
        <w:tabs>
          <w:tab w:val="left" w:pos="2127"/>
        </w:tabs>
        <w:autoSpaceDE w:val="0"/>
        <w:autoSpaceDN w:val="0"/>
        <w:adjustRightInd w:val="0"/>
        <w:spacing w:line="360" w:lineRule="auto"/>
        <w:jc w:val="center"/>
        <w:rPr>
          <w:rFonts w:ascii="宋体" w:hAnsi="宋体" w:cs="黑体"/>
          <w:color w:val="auto"/>
          <w:kern w:val="0"/>
          <w:sz w:val="28"/>
          <w:szCs w:val="28"/>
          <w:highlight w:val="none"/>
        </w:rPr>
      </w:pPr>
    </w:p>
    <w:p>
      <w:pPr>
        <w:tabs>
          <w:tab w:val="left" w:pos="2127"/>
        </w:tabs>
        <w:autoSpaceDE w:val="0"/>
        <w:autoSpaceDN w:val="0"/>
        <w:adjustRightInd w:val="0"/>
        <w:spacing w:line="360" w:lineRule="auto"/>
        <w:jc w:val="center"/>
        <w:rPr>
          <w:rFonts w:hint="eastAsia" w:ascii="宋体" w:hAnsi="宋体" w:cs="黑体"/>
          <w:color w:val="auto"/>
          <w:kern w:val="0"/>
          <w:sz w:val="28"/>
          <w:szCs w:val="28"/>
          <w:highlight w:val="none"/>
          <w:u w:val="single"/>
        </w:rPr>
      </w:pPr>
      <w:r>
        <w:rPr>
          <w:rFonts w:hint="eastAsia" w:ascii="宋体" w:hAnsi="宋体" w:cs="黑体"/>
          <w:color w:val="auto"/>
          <w:kern w:val="0"/>
          <w:sz w:val="28"/>
          <w:szCs w:val="28"/>
          <w:highlight w:val="none"/>
          <w:u w:val="single"/>
        </w:rPr>
        <w:t xml:space="preserve">   （项目名称） </w:t>
      </w:r>
    </w:p>
    <w:p>
      <w:pPr>
        <w:tabs>
          <w:tab w:val="left" w:pos="2127"/>
        </w:tabs>
        <w:autoSpaceDE w:val="0"/>
        <w:autoSpaceDN w:val="0"/>
        <w:adjustRightInd w:val="0"/>
        <w:spacing w:line="360" w:lineRule="auto"/>
        <w:jc w:val="center"/>
        <w:rPr>
          <w:rFonts w:hint="eastAsia" w:ascii="宋体" w:hAnsi="宋体" w:cs="黑体"/>
          <w:color w:val="auto"/>
          <w:kern w:val="0"/>
          <w:sz w:val="28"/>
          <w:szCs w:val="28"/>
          <w:highlight w:val="none"/>
          <w:u w:val="single"/>
        </w:rPr>
      </w:pPr>
    </w:p>
    <w:p>
      <w:pPr>
        <w:tabs>
          <w:tab w:val="left" w:pos="2127"/>
        </w:tabs>
        <w:autoSpaceDE w:val="0"/>
        <w:autoSpaceDN w:val="0"/>
        <w:adjustRightInd w:val="0"/>
        <w:spacing w:line="360" w:lineRule="auto"/>
        <w:jc w:val="center"/>
        <w:rPr>
          <w:rFonts w:hint="eastAsia" w:ascii="宋体" w:hAnsi="宋体" w:cs="黑体"/>
          <w:color w:val="auto"/>
          <w:kern w:val="0"/>
          <w:sz w:val="28"/>
          <w:szCs w:val="28"/>
          <w:highlight w:val="none"/>
          <w:u w:val="single"/>
        </w:rPr>
      </w:pPr>
    </w:p>
    <w:p>
      <w:pPr>
        <w:tabs>
          <w:tab w:val="left" w:pos="2127"/>
        </w:tabs>
        <w:autoSpaceDE w:val="0"/>
        <w:autoSpaceDN w:val="0"/>
        <w:adjustRightInd w:val="0"/>
        <w:spacing w:line="360" w:lineRule="auto"/>
        <w:jc w:val="both"/>
        <w:rPr>
          <w:rFonts w:ascii="宋体" w:hAnsi="宋体" w:cs="黑体"/>
          <w:color w:val="auto"/>
          <w:kern w:val="0"/>
          <w:sz w:val="28"/>
          <w:szCs w:val="28"/>
          <w:highlight w:val="none"/>
        </w:rPr>
      </w:pPr>
    </w:p>
    <w:p>
      <w:pPr>
        <w:tabs>
          <w:tab w:val="left" w:pos="2127"/>
        </w:tabs>
        <w:autoSpaceDE w:val="0"/>
        <w:autoSpaceDN w:val="0"/>
        <w:adjustRightInd w:val="0"/>
        <w:spacing w:line="360" w:lineRule="auto"/>
        <w:jc w:val="center"/>
        <w:rPr>
          <w:rFonts w:ascii="宋体" w:hAnsi="宋体" w:cs="黑体"/>
          <w:color w:val="auto"/>
          <w:kern w:val="0"/>
          <w:sz w:val="44"/>
          <w:szCs w:val="44"/>
          <w:highlight w:val="none"/>
        </w:rPr>
      </w:pPr>
      <w:r>
        <w:rPr>
          <w:rFonts w:hint="eastAsia" w:ascii="宋体" w:hAnsi="宋体" w:cs="黑体"/>
          <w:color w:val="auto"/>
          <w:kern w:val="0"/>
          <w:sz w:val="44"/>
          <w:szCs w:val="44"/>
          <w:highlight w:val="none"/>
          <w:lang w:val="en-US" w:eastAsia="zh-CN"/>
        </w:rPr>
        <w:t xml:space="preserve">电 子 </w:t>
      </w:r>
      <w:r>
        <w:rPr>
          <w:rFonts w:hint="eastAsia" w:ascii="宋体" w:hAnsi="宋体" w:cs="黑体"/>
          <w:color w:val="auto"/>
          <w:kern w:val="0"/>
          <w:sz w:val="44"/>
          <w:szCs w:val="44"/>
          <w:highlight w:val="none"/>
        </w:rPr>
        <w:t>投</w:t>
      </w:r>
      <w:r>
        <w:rPr>
          <w:rFonts w:ascii="宋体" w:hAnsi="宋体" w:cs="黑体"/>
          <w:color w:val="auto"/>
          <w:kern w:val="0"/>
          <w:sz w:val="44"/>
          <w:szCs w:val="44"/>
          <w:highlight w:val="none"/>
        </w:rPr>
        <w:t xml:space="preserve"> </w:t>
      </w:r>
      <w:r>
        <w:rPr>
          <w:rFonts w:hint="eastAsia" w:ascii="宋体" w:hAnsi="宋体" w:cs="黑体"/>
          <w:color w:val="auto"/>
          <w:kern w:val="0"/>
          <w:sz w:val="44"/>
          <w:szCs w:val="44"/>
          <w:highlight w:val="none"/>
        </w:rPr>
        <w:t>标</w:t>
      </w:r>
      <w:r>
        <w:rPr>
          <w:rFonts w:ascii="宋体" w:hAnsi="宋体" w:cs="黑体"/>
          <w:color w:val="auto"/>
          <w:kern w:val="0"/>
          <w:sz w:val="44"/>
          <w:szCs w:val="44"/>
          <w:highlight w:val="none"/>
        </w:rPr>
        <w:t xml:space="preserve"> </w:t>
      </w:r>
      <w:r>
        <w:rPr>
          <w:rFonts w:hint="eastAsia" w:ascii="宋体" w:hAnsi="宋体" w:cs="黑体"/>
          <w:color w:val="auto"/>
          <w:kern w:val="0"/>
          <w:sz w:val="44"/>
          <w:szCs w:val="44"/>
          <w:highlight w:val="none"/>
        </w:rPr>
        <w:t>文</w:t>
      </w:r>
      <w:r>
        <w:rPr>
          <w:rFonts w:ascii="宋体" w:hAnsi="宋体" w:cs="黑体"/>
          <w:color w:val="auto"/>
          <w:kern w:val="0"/>
          <w:sz w:val="44"/>
          <w:szCs w:val="44"/>
          <w:highlight w:val="none"/>
        </w:rPr>
        <w:t xml:space="preserve"> </w:t>
      </w:r>
      <w:r>
        <w:rPr>
          <w:rFonts w:hint="eastAsia" w:ascii="宋体" w:hAnsi="宋体" w:cs="黑体"/>
          <w:color w:val="auto"/>
          <w:kern w:val="0"/>
          <w:sz w:val="44"/>
          <w:szCs w:val="44"/>
          <w:highlight w:val="none"/>
        </w:rPr>
        <w:t>件</w:t>
      </w:r>
    </w:p>
    <w:p>
      <w:pPr>
        <w:tabs>
          <w:tab w:val="left" w:pos="2127"/>
        </w:tabs>
        <w:autoSpaceDE w:val="0"/>
        <w:autoSpaceDN w:val="0"/>
        <w:adjustRightInd w:val="0"/>
        <w:spacing w:line="360" w:lineRule="auto"/>
        <w:jc w:val="center"/>
        <w:rPr>
          <w:rFonts w:ascii="宋体" w:hAnsi="宋体" w:cs="黑体"/>
          <w:color w:val="auto"/>
          <w:kern w:val="0"/>
          <w:sz w:val="44"/>
          <w:szCs w:val="44"/>
          <w:highlight w:val="none"/>
        </w:rPr>
      </w:pPr>
    </w:p>
    <w:p>
      <w:pPr>
        <w:tabs>
          <w:tab w:val="left" w:pos="2127"/>
        </w:tabs>
        <w:autoSpaceDE w:val="0"/>
        <w:autoSpaceDN w:val="0"/>
        <w:adjustRightInd w:val="0"/>
        <w:spacing w:line="360" w:lineRule="auto"/>
        <w:jc w:val="center"/>
        <w:outlineLvl w:val="1"/>
        <w:rPr>
          <w:rFonts w:ascii="宋体" w:hAnsi="宋体" w:cs="黑体"/>
          <w:color w:val="auto"/>
          <w:kern w:val="0"/>
          <w:sz w:val="44"/>
          <w:szCs w:val="44"/>
          <w:highlight w:val="none"/>
        </w:rPr>
      </w:pPr>
      <w:bookmarkStart w:id="2171" w:name="_Toc16753"/>
      <w:bookmarkStart w:id="2172" w:name="_Toc20105"/>
      <w:r>
        <w:rPr>
          <w:rFonts w:hint="eastAsia" w:ascii="宋体" w:hAnsi="宋体" w:cs="黑体"/>
          <w:color w:val="auto"/>
          <w:kern w:val="0"/>
          <w:sz w:val="44"/>
          <w:szCs w:val="44"/>
          <w:highlight w:val="none"/>
        </w:rPr>
        <w:t>1.商务文件</w:t>
      </w:r>
      <w:bookmarkEnd w:id="2171"/>
      <w:bookmarkEnd w:id="2172"/>
    </w:p>
    <w:p>
      <w:pPr>
        <w:tabs>
          <w:tab w:val="left" w:pos="2127"/>
        </w:tabs>
        <w:autoSpaceDE w:val="0"/>
        <w:autoSpaceDN w:val="0"/>
        <w:adjustRightInd w:val="0"/>
        <w:spacing w:line="360" w:lineRule="auto"/>
        <w:rPr>
          <w:rFonts w:ascii="宋体" w:hAnsi="宋体" w:cs="黑体"/>
          <w:color w:val="auto"/>
          <w:kern w:val="0"/>
          <w:sz w:val="44"/>
          <w:szCs w:val="44"/>
          <w:highlight w:val="none"/>
        </w:rPr>
      </w:pPr>
    </w:p>
    <w:p>
      <w:pPr>
        <w:tabs>
          <w:tab w:val="left" w:pos="2127"/>
        </w:tabs>
        <w:autoSpaceDE w:val="0"/>
        <w:autoSpaceDN w:val="0"/>
        <w:adjustRightInd w:val="0"/>
        <w:spacing w:line="360" w:lineRule="auto"/>
        <w:jc w:val="center"/>
        <w:rPr>
          <w:rFonts w:ascii="宋体" w:hAnsi="宋体" w:cs="黑体"/>
          <w:color w:val="auto"/>
          <w:kern w:val="0"/>
          <w:sz w:val="44"/>
          <w:szCs w:val="44"/>
          <w:highlight w:val="none"/>
        </w:rPr>
      </w:pPr>
    </w:p>
    <w:p>
      <w:pPr>
        <w:pStyle w:val="16"/>
        <w:rPr>
          <w:color w:val="auto"/>
          <w:highlight w:val="none"/>
        </w:rPr>
      </w:pPr>
    </w:p>
    <w:p>
      <w:pPr>
        <w:tabs>
          <w:tab w:val="left" w:pos="2127"/>
        </w:tabs>
        <w:autoSpaceDE w:val="0"/>
        <w:autoSpaceDN w:val="0"/>
        <w:adjustRightInd w:val="0"/>
        <w:spacing w:line="360" w:lineRule="auto"/>
        <w:jc w:val="both"/>
        <w:rPr>
          <w:rFonts w:ascii="宋体" w:hAnsi="宋体" w:cs="黑体"/>
          <w:color w:val="auto"/>
          <w:kern w:val="0"/>
          <w:sz w:val="44"/>
          <w:szCs w:val="44"/>
          <w:highlight w:val="none"/>
        </w:rPr>
      </w:pPr>
    </w:p>
    <w:p>
      <w:pPr>
        <w:tabs>
          <w:tab w:val="left" w:pos="2127"/>
        </w:tabs>
        <w:autoSpaceDE w:val="0"/>
        <w:autoSpaceDN w:val="0"/>
        <w:adjustRightInd w:val="0"/>
        <w:spacing w:line="360" w:lineRule="auto"/>
        <w:jc w:val="center"/>
        <w:rPr>
          <w:rFonts w:ascii="宋体" w:hAnsi="宋体" w:cs="黑体"/>
          <w:color w:val="auto"/>
          <w:kern w:val="0"/>
          <w:sz w:val="28"/>
          <w:szCs w:val="28"/>
          <w:highlight w:val="none"/>
        </w:rPr>
      </w:pPr>
      <w:r>
        <w:rPr>
          <w:rFonts w:hint="eastAsia" w:ascii="宋体" w:hAnsi="宋体" w:cs="黑体"/>
          <w:color w:val="auto"/>
          <w:kern w:val="0"/>
          <w:sz w:val="28"/>
          <w:szCs w:val="28"/>
          <w:highlight w:val="none"/>
        </w:rPr>
        <w:t>投标人：</w:t>
      </w:r>
      <w:r>
        <w:rPr>
          <w:rFonts w:hint="eastAsia" w:ascii="宋体" w:hAnsi="宋体" w:cs="黑体"/>
          <w:color w:val="auto"/>
          <w:kern w:val="0"/>
          <w:sz w:val="28"/>
          <w:szCs w:val="28"/>
          <w:highlight w:val="none"/>
          <w:u w:val="single"/>
        </w:rPr>
        <w:t xml:space="preserve">                        </w:t>
      </w:r>
      <w:r>
        <w:rPr>
          <w:rFonts w:hint="eastAsia" w:ascii="宋体" w:hAnsi="宋体" w:cs="黑体"/>
          <w:color w:val="auto"/>
          <w:kern w:val="0"/>
          <w:sz w:val="28"/>
          <w:szCs w:val="28"/>
          <w:highlight w:val="none"/>
        </w:rPr>
        <w:t>（盖公章或电子</w:t>
      </w:r>
      <w:r>
        <w:rPr>
          <w:rFonts w:hint="eastAsia" w:ascii="宋体" w:hAnsi="宋体" w:cs="黑体"/>
          <w:color w:val="auto"/>
          <w:kern w:val="0"/>
          <w:sz w:val="28"/>
          <w:szCs w:val="28"/>
          <w:highlight w:val="none"/>
          <w:lang w:val="en-US" w:eastAsia="zh-CN"/>
        </w:rPr>
        <w:t>印</w:t>
      </w:r>
      <w:r>
        <w:rPr>
          <w:rFonts w:hint="eastAsia" w:ascii="宋体" w:hAnsi="宋体" w:cs="黑体"/>
          <w:color w:val="auto"/>
          <w:kern w:val="0"/>
          <w:sz w:val="28"/>
          <w:szCs w:val="28"/>
          <w:highlight w:val="none"/>
        </w:rPr>
        <w:t>章）</w:t>
      </w:r>
    </w:p>
    <w:p>
      <w:pPr>
        <w:tabs>
          <w:tab w:val="left" w:pos="2127"/>
        </w:tabs>
        <w:autoSpaceDE w:val="0"/>
        <w:autoSpaceDN w:val="0"/>
        <w:adjustRightInd w:val="0"/>
        <w:spacing w:line="360" w:lineRule="auto"/>
        <w:jc w:val="center"/>
        <w:rPr>
          <w:rFonts w:ascii="宋体" w:hAnsi="宋体" w:cs="黑体"/>
          <w:color w:val="auto"/>
          <w:kern w:val="0"/>
          <w:sz w:val="28"/>
          <w:szCs w:val="28"/>
          <w:highlight w:val="none"/>
        </w:rPr>
      </w:pPr>
      <w:r>
        <w:rPr>
          <w:rFonts w:hint="eastAsia" w:ascii="宋体" w:hAnsi="宋体" w:cs="黑体"/>
          <w:color w:val="auto"/>
          <w:kern w:val="0"/>
          <w:sz w:val="28"/>
          <w:szCs w:val="28"/>
          <w:highlight w:val="none"/>
          <w:u w:val="single"/>
        </w:rPr>
        <w:t xml:space="preserve">    </w:t>
      </w:r>
      <w:r>
        <w:rPr>
          <w:rFonts w:hint="eastAsia" w:ascii="宋体" w:hAnsi="宋体" w:cs="黑体"/>
          <w:color w:val="auto"/>
          <w:kern w:val="0"/>
          <w:sz w:val="28"/>
          <w:szCs w:val="28"/>
          <w:highlight w:val="none"/>
        </w:rPr>
        <w:t>年</w:t>
      </w:r>
      <w:r>
        <w:rPr>
          <w:rFonts w:hint="eastAsia" w:ascii="宋体" w:hAnsi="宋体" w:cs="黑体"/>
          <w:color w:val="auto"/>
          <w:kern w:val="0"/>
          <w:sz w:val="28"/>
          <w:szCs w:val="28"/>
          <w:highlight w:val="none"/>
          <w:u w:val="single"/>
        </w:rPr>
        <w:t xml:space="preserve">    </w:t>
      </w:r>
      <w:r>
        <w:rPr>
          <w:rFonts w:hint="eastAsia" w:ascii="宋体" w:hAnsi="宋体" w:cs="黑体"/>
          <w:color w:val="auto"/>
          <w:kern w:val="0"/>
          <w:sz w:val="28"/>
          <w:szCs w:val="28"/>
          <w:highlight w:val="none"/>
        </w:rPr>
        <w:t>月</w:t>
      </w:r>
      <w:r>
        <w:rPr>
          <w:rFonts w:hint="eastAsia" w:ascii="宋体" w:hAnsi="宋体" w:cs="黑体"/>
          <w:color w:val="auto"/>
          <w:kern w:val="0"/>
          <w:sz w:val="28"/>
          <w:szCs w:val="28"/>
          <w:highlight w:val="none"/>
          <w:u w:val="single"/>
        </w:rPr>
        <w:t xml:space="preserve">    </w:t>
      </w:r>
      <w:r>
        <w:rPr>
          <w:rFonts w:hint="eastAsia" w:ascii="宋体" w:hAnsi="宋体" w:cs="黑体"/>
          <w:color w:val="auto"/>
          <w:kern w:val="0"/>
          <w:sz w:val="28"/>
          <w:szCs w:val="28"/>
          <w:highlight w:val="none"/>
        </w:rPr>
        <w:t>日</w:t>
      </w:r>
    </w:p>
    <w:p>
      <w:pPr>
        <w:rPr>
          <w:color w:val="auto"/>
          <w:highlight w:val="none"/>
        </w:rPr>
      </w:pPr>
      <w:bookmarkStart w:id="2173" w:name="_Toc484792239"/>
      <w:bookmarkStart w:id="2174" w:name="_Toc482803126"/>
      <w:bookmarkStart w:id="2175" w:name="_Toc5040"/>
    </w:p>
    <w:p>
      <w:pPr>
        <w:keepNext/>
        <w:keepLines/>
        <w:pageBreakBefore w:val="0"/>
        <w:widowControl w:val="0"/>
        <w:kinsoku/>
        <w:wordWrap/>
        <w:overflowPunct/>
        <w:topLinePunct w:val="0"/>
        <w:autoSpaceDE/>
        <w:autoSpaceDN/>
        <w:bidi w:val="0"/>
        <w:adjustRightInd/>
        <w:snapToGrid/>
        <w:textAlignment w:val="auto"/>
        <w:outlineLvl w:val="9"/>
        <w:rPr>
          <w:rFonts w:hint="eastAsia"/>
          <w:color w:val="auto"/>
          <w:highlight w:val="none"/>
        </w:rPr>
      </w:pPr>
      <w:bookmarkStart w:id="2176" w:name="_Toc27945"/>
      <w:bookmarkStart w:id="2177" w:name="_Toc10299"/>
      <w:bookmarkStart w:id="2178" w:name="_Toc3431"/>
      <w:r>
        <w:rPr>
          <w:rFonts w:hint="eastAsia"/>
          <w:color w:val="auto"/>
          <w:highlight w:val="none"/>
        </w:rPr>
        <w:br w:type="page"/>
      </w:r>
      <w:bookmarkStart w:id="2179" w:name="_Toc10806"/>
      <w:bookmarkStart w:id="2180" w:name="_Toc20079"/>
      <w:bookmarkStart w:id="2181" w:name="_Toc3047"/>
    </w:p>
    <w:p>
      <w:pPr>
        <w:rPr>
          <w:rFonts w:hint="eastAsia"/>
          <w:color w:val="auto"/>
          <w:highlight w:val="none"/>
        </w:rPr>
      </w:pPr>
    </w:p>
    <w:p>
      <w:pPr>
        <w:rPr>
          <w:rFonts w:hint="eastAsia"/>
          <w:color w:val="auto"/>
          <w:highlight w:val="none"/>
        </w:rPr>
      </w:pPr>
    </w:p>
    <w:p>
      <w:pPr>
        <w:spacing w:line="220" w:lineRule="auto"/>
        <w:ind w:left="4066"/>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14:textOutline w14:w="5094" w14:cap="flat" w14:cmpd="sng">
            <w14:solidFill>
              <w14:srgbClr w14:val="000000"/>
            </w14:solidFill>
            <w14:prstDash w14:val="solid"/>
            <w14:miter w14:val="0"/>
          </w14:textOutline>
        </w:rPr>
        <w:t>商务</w:t>
      </w:r>
      <w:r>
        <w:rPr>
          <w:rFonts w:ascii="宋体" w:hAnsi="宋体" w:eastAsia="宋体" w:cs="宋体"/>
          <w:color w:val="auto"/>
          <w:spacing w:val="-1"/>
          <w:sz w:val="28"/>
          <w:szCs w:val="28"/>
          <w:highlight w:val="none"/>
          <w14:textOutline w14:w="5094" w14:cap="flat" w14:cmpd="sng">
            <w14:solidFill>
              <w14:srgbClr w14:val="000000"/>
            </w14:solidFill>
            <w14:prstDash w14:val="solid"/>
            <w14:miter w14:val="0"/>
          </w14:textOutline>
        </w:rPr>
        <w:t>评分自查表</w:t>
      </w:r>
    </w:p>
    <w:p>
      <w:pPr>
        <w:spacing w:line="174" w:lineRule="exact"/>
        <w:rPr>
          <w:color w:val="auto"/>
          <w:highlight w:val="none"/>
        </w:rPr>
      </w:pPr>
    </w:p>
    <w:tbl>
      <w:tblPr>
        <w:tblStyle w:val="269"/>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48"/>
        <w:gridCol w:w="3228"/>
        <w:gridCol w:w="1135"/>
        <w:gridCol w:w="1384"/>
        <w:gridCol w:w="1385"/>
        <w:gridCol w:w="12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357" w:type="pct"/>
            <w:vAlign w:val="top"/>
          </w:tcPr>
          <w:p>
            <w:pPr>
              <w:spacing w:before="183" w:line="222" w:lineRule="auto"/>
              <w:ind w:left="15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序</w:t>
            </w:r>
            <w:r>
              <w:rPr>
                <w:rFonts w:ascii="宋体" w:hAnsi="宋体" w:eastAsia="宋体" w:cs="宋体"/>
                <w:color w:val="auto"/>
                <w:spacing w:val="-1"/>
                <w:sz w:val="21"/>
                <w:szCs w:val="21"/>
                <w:highlight w:val="none"/>
              </w:rPr>
              <w:t>号</w:t>
            </w:r>
          </w:p>
        </w:tc>
        <w:tc>
          <w:tcPr>
            <w:tcW w:w="1778" w:type="pct"/>
            <w:vAlign w:val="top"/>
          </w:tcPr>
          <w:p>
            <w:pPr>
              <w:spacing w:before="183" w:line="221" w:lineRule="auto"/>
              <w:ind w:left="142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评</w:t>
            </w:r>
            <w:r>
              <w:rPr>
                <w:rFonts w:ascii="宋体" w:hAnsi="宋体" w:eastAsia="宋体" w:cs="宋体"/>
                <w:color w:val="auto"/>
                <w:spacing w:val="-1"/>
                <w:sz w:val="21"/>
                <w:szCs w:val="21"/>
                <w:highlight w:val="none"/>
              </w:rPr>
              <w:t>分项目</w:t>
            </w:r>
          </w:p>
        </w:tc>
        <w:tc>
          <w:tcPr>
            <w:tcW w:w="625" w:type="pct"/>
            <w:vAlign w:val="top"/>
          </w:tcPr>
          <w:p>
            <w:pPr>
              <w:spacing w:before="182" w:line="221" w:lineRule="auto"/>
              <w:ind w:left="32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满</w:t>
            </w:r>
            <w:r>
              <w:rPr>
                <w:rFonts w:ascii="宋体" w:hAnsi="宋体" w:eastAsia="宋体" w:cs="宋体"/>
                <w:color w:val="auto"/>
                <w:spacing w:val="-1"/>
                <w:sz w:val="21"/>
                <w:szCs w:val="21"/>
                <w:highlight w:val="none"/>
              </w:rPr>
              <w:t>分值</w:t>
            </w:r>
          </w:p>
        </w:tc>
        <w:tc>
          <w:tcPr>
            <w:tcW w:w="762" w:type="pct"/>
            <w:vAlign w:val="top"/>
          </w:tcPr>
          <w:p>
            <w:pPr>
              <w:spacing w:before="183" w:line="221" w:lineRule="auto"/>
              <w:ind w:left="492"/>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自</w:t>
            </w:r>
            <w:r>
              <w:rPr>
                <w:rFonts w:ascii="宋体" w:hAnsi="宋体" w:eastAsia="宋体" w:cs="宋体"/>
                <w:color w:val="auto"/>
                <w:spacing w:val="-8"/>
                <w:sz w:val="21"/>
                <w:szCs w:val="21"/>
                <w:highlight w:val="none"/>
              </w:rPr>
              <w:t>评分</w:t>
            </w:r>
          </w:p>
        </w:tc>
        <w:tc>
          <w:tcPr>
            <w:tcW w:w="763" w:type="pct"/>
            <w:vAlign w:val="top"/>
          </w:tcPr>
          <w:p>
            <w:pPr>
              <w:spacing w:before="183" w:line="222" w:lineRule="auto"/>
              <w:ind w:left="35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对应页码</w:t>
            </w:r>
          </w:p>
        </w:tc>
        <w:tc>
          <w:tcPr>
            <w:tcW w:w="711" w:type="pct"/>
            <w:vAlign w:val="top"/>
          </w:tcPr>
          <w:p>
            <w:pPr>
              <w:spacing w:before="183" w:line="222" w:lineRule="auto"/>
              <w:ind w:left="51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备</w:t>
            </w:r>
            <w:r>
              <w:rPr>
                <w:rFonts w:ascii="宋体" w:hAnsi="宋体" w:eastAsia="宋体" w:cs="宋体"/>
                <w:color w:val="auto"/>
                <w:spacing w:val="-2"/>
                <w:sz w:val="21"/>
                <w:szCs w:val="21"/>
                <w:highlight w:val="no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357" w:type="pct"/>
            <w:vAlign w:val="top"/>
          </w:tcPr>
          <w:p>
            <w:pPr>
              <w:spacing w:before="213" w:line="186" w:lineRule="auto"/>
              <w:ind w:left="326"/>
              <w:rPr>
                <w:rFonts w:ascii="宋体" w:hAnsi="宋体" w:eastAsia="宋体" w:cs="宋体"/>
                <w:color w:val="auto"/>
                <w:sz w:val="21"/>
                <w:szCs w:val="21"/>
                <w:highlight w:val="none"/>
              </w:rPr>
            </w:pPr>
            <w:r>
              <w:rPr>
                <w:rFonts w:ascii="宋体" w:hAnsi="宋体" w:eastAsia="宋体" w:cs="宋体"/>
                <w:color w:val="auto"/>
                <w:sz w:val="21"/>
                <w:szCs w:val="21"/>
                <w:highlight w:val="none"/>
              </w:rPr>
              <w:t>1</w:t>
            </w:r>
          </w:p>
        </w:tc>
        <w:tc>
          <w:tcPr>
            <w:tcW w:w="1778" w:type="pct"/>
            <w:vAlign w:val="top"/>
          </w:tcPr>
          <w:p>
            <w:pPr>
              <w:spacing w:before="178" w:line="221" w:lineRule="auto"/>
              <w:ind w:left="95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质量事故指标</w:t>
            </w:r>
            <w:r>
              <w:rPr>
                <w:rFonts w:ascii="宋体" w:hAnsi="宋体" w:eastAsia="宋体" w:cs="宋体"/>
                <w:color w:val="auto"/>
                <w:sz w:val="21"/>
                <w:szCs w:val="21"/>
                <w:highlight w:val="none"/>
              </w:rPr>
              <w:t>考核</w:t>
            </w:r>
          </w:p>
        </w:tc>
        <w:tc>
          <w:tcPr>
            <w:tcW w:w="625" w:type="pct"/>
            <w:vAlign w:val="top"/>
          </w:tcPr>
          <w:p>
            <w:pPr>
              <w:spacing w:before="214" w:line="183" w:lineRule="auto"/>
              <w:ind w:left="48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2.5</w:t>
            </w:r>
          </w:p>
        </w:tc>
        <w:tc>
          <w:tcPr>
            <w:tcW w:w="762" w:type="pct"/>
            <w:vAlign w:val="top"/>
          </w:tcPr>
          <w:p>
            <w:pPr>
              <w:rPr>
                <w:rFonts w:ascii="Arial"/>
                <w:color w:val="auto"/>
                <w:sz w:val="21"/>
                <w:highlight w:val="none"/>
              </w:rPr>
            </w:pPr>
          </w:p>
        </w:tc>
        <w:tc>
          <w:tcPr>
            <w:tcW w:w="763" w:type="pct"/>
            <w:vAlign w:val="top"/>
          </w:tcPr>
          <w:p>
            <w:pPr>
              <w:rPr>
                <w:rFonts w:ascii="Arial"/>
                <w:color w:val="auto"/>
                <w:sz w:val="21"/>
                <w:highlight w:val="none"/>
              </w:rPr>
            </w:pPr>
          </w:p>
        </w:tc>
        <w:tc>
          <w:tcPr>
            <w:tcW w:w="711" w:type="pct"/>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57" w:type="pct"/>
            <w:vAlign w:val="top"/>
          </w:tcPr>
          <w:p>
            <w:pPr>
              <w:spacing w:before="212" w:line="185" w:lineRule="auto"/>
              <w:ind w:left="312"/>
              <w:rPr>
                <w:rFonts w:ascii="宋体" w:hAnsi="宋体" w:eastAsia="宋体" w:cs="宋体"/>
                <w:color w:val="auto"/>
                <w:sz w:val="21"/>
                <w:szCs w:val="21"/>
                <w:highlight w:val="none"/>
              </w:rPr>
            </w:pPr>
            <w:r>
              <w:rPr>
                <w:rFonts w:ascii="宋体" w:hAnsi="宋体" w:eastAsia="宋体" w:cs="宋体"/>
                <w:color w:val="auto"/>
                <w:sz w:val="21"/>
                <w:szCs w:val="21"/>
                <w:highlight w:val="none"/>
              </w:rPr>
              <w:t>2</w:t>
            </w:r>
          </w:p>
        </w:tc>
        <w:tc>
          <w:tcPr>
            <w:tcW w:w="1778" w:type="pct"/>
            <w:vAlign w:val="top"/>
          </w:tcPr>
          <w:p>
            <w:pPr>
              <w:spacing w:before="179" w:line="221" w:lineRule="auto"/>
              <w:ind w:left="95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安</w:t>
            </w:r>
            <w:r>
              <w:rPr>
                <w:rFonts w:ascii="宋体" w:hAnsi="宋体" w:eastAsia="宋体" w:cs="宋体"/>
                <w:color w:val="auto"/>
                <w:spacing w:val="-1"/>
                <w:sz w:val="21"/>
                <w:szCs w:val="21"/>
                <w:highlight w:val="none"/>
              </w:rPr>
              <w:t>全事故指标考核</w:t>
            </w:r>
          </w:p>
        </w:tc>
        <w:tc>
          <w:tcPr>
            <w:tcW w:w="625" w:type="pct"/>
            <w:vAlign w:val="top"/>
          </w:tcPr>
          <w:p>
            <w:pPr>
              <w:spacing w:before="214" w:line="183" w:lineRule="auto"/>
              <w:ind w:left="48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2.5</w:t>
            </w:r>
          </w:p>
        </w:tc>
        <w:tc>
          <w:tcPr>
            <w:tcW w:w="762" w:type="pct"/>
            <w:vAlign w:val="top"/>
          </w:tcPr>
          <w:p>
            <w:pPr>
              <w:rPr>
                <w:rFonts w:ascii="Arial"/>
                <w:color w:val="auto"/>
                <w:sz w:val="21"/>
                <w:highlight w:val="none"/>
              </w:rPr>
            </w:pPr>
          </w:p>
        </w:tc>
        <w:tc>
          <w:tcPr>
            <w:tcW w:w="763" w:type="pct"/>
            <w:vAlign w:val="top"/>
          </w:tcPr>
          <w:p>
            <w:pPr>
              <w:rPr>
                <w:rFonts w:ascii="Arial"/>
                <w:color w:val="auto"/>
                <w:sz w:val="21"/>
                <w:highlight w:val="none"/>
              </w:rPr>
            </w:pPr>
          </w:p>
        </w:tc>
        <w:tc>
          <w:tcPr>
            <w:tcW w:w="711" w:type="pct"/>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357" w:type="pct"/>
            <w:vAlign w:val="top"/>
          </w:tcPr>
          <w:p>
            <w:pPr>
              <w:spacing w:before="215" w:line="183" w:lineRule="auto"/>
              <w:ind w:left="314"/>
              <w:rPr>
                <w:rFonts w:ascii="宋体" w:hAnsi="宋体" w:eastAsia="宋体" w:cs="宋体"/>
                <w:color w:val="auto"/>
                <w:sz w:val="21"/>
                <w:szCs w:val="21"/>
                <w:highlight w:val="none"/>
              </w:rPr>
            </w:pPr>
            <w:r>
              <w:rPr>
                <w:rFonts w:ascii="宋体" w:hAnsi="宋体" w:eastAsia="宋体" w:cs="宋体"/>
                <w:color w:val="auto"/>
                <w:sz w:val="21"/>
                <w:szCs w:val="21"/>
                <w:highlight w:val="none"/>
              </w:rPr>
              <w:t>3</w:t>
            </w:r>
          </w:p>
        </w:tc>
        <w:tc>
          <w:tcPr>
            <w:tcW w:w="1778" w:type="pct"/>
            <w:vAlign w:val="top"/>
          </w:tcPr>
          <w:p>
            <w:pPr>
              <w:spacing w:before="179" w:line="221" w:lineRule="auto"/>
              <w:ind w:left="116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纳</w:t>
            </w:r>
            <w:r>
              <w:rPr>
                <w:rFonts w:ascii="宋体" w:hAnsi="宋体" w:eastAsia="宋体" w:cs="宋体"/>
                <w:color w:val="auto"/>
                <w:spacing w:val="-1"/>
                <w:sz w:val="21"/>
                <w:szCs w:val="21"/>
                <w:highlight w:val="none"/>
              </w:rPr>
              <w:t>税信用情况</w:t>
            </w:r>
          </w:p>
        </w:tc>
        <w:tc>
          <w:tcPr>
            <w:tcW w:w="625" w:type="pct"/>
            <w:vAlign w:val="top"/>
          </w:tcPr>
          <w:p>
            <w:pPr>
              <w:spacing w:before="215" w:line="183" w:lineRule="auto"/>
              <w:ind w:left="582"/>
              <w:rPr>
                <w:rFonts w:ascii="宋体" w:hAnsi="宋体" w:eastAsia="宋体" w:cs="宋体"/>
                <w:color w:val="auto"/>
                <w:sz w:val="21"/>
                <w:szCs w:val="21"/>
                <w:highlight w:val="none"/>
              </w:rPr>
            </w:pPr>
            <w:r>
              <w:rPr>
                <w:rFonts w:ascii="宋体" w:hAnsi="宋体" w:eastAsia="宋体" w:cs="宋体"/>
                <w:color w:val="auto"/>
                <w:sz w:val="21"/>
                <w:szCs w:val="21"/>
                <w:highlight w:val="none"/>
              </w:rPr>
              <w:t>8</w:t>
            </w:r>
          </w:p>
        </w:tc>
        <w:tc>
          <w:tcPr>
            <w:tcW w:w="762" w:type="pct"/>
            <w:vAlign w:val="top"/>
          </w:tcPr>
          <w:p>
            <w:pPr>
              <w:rPr>
                <w:rFonts w:ascii="Arial"/>
                <w:color w:val="auto"/>
                <w:sz w:val="21"/>
                <w:highlight w:val="none"/>
              </w:rPr>
            </w:pPr>
          </w:p>
        </w:tc>
        <w:tc>
          <w:tcPr>
            <w:tcW w:w="763" w:type="pct"/>
            <w:vAlign w:val="top"/>
          </w:tcPr>
          <w:p>
            <w:pPr>
              <w:rPr>
                <w:rFonts w:ascii="Arial"/>
                <w:color w:val="auto"/>
                <w:sz w:val="21"/>
                <w:highlight w:val="none"/>
              </w:rPr>
            </w:pPr>
          </w:p>
        </w:tc>
        <w:tc>
          <w:tcPr>
            <w:tcW w:w="711" w:type="pct"/>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357" w:type="pct"/>
            <w:vAlign w:val="top"/>
          </w:tcPr>
          <w:p>
            <w:pPr>
              <w:spacing w:before="212" w:line="185" w:lineRule="auto"/>
              <w:ind w:left="309"/>
              <w:rPr>
                <w:rFonts w:ascii="宋体" w:hAnsi="宋体" w:eastAsia="宋体" w:cs="宋体"/>
                <w:color w:val="auto"/>
                <w:sz w:val="21"/>
                <w:szCs w:val="21"/>
                <w:highlight w:val="none"/>
              </w:rPr>
            </w:pPr>
            <w:r>
              <w:rPr>
                <w:rFonts w:ascii="宋体" w:hAnsi="宋体" w:eastAsia="宋体" w:cs="宋体"/>
                <w:color w:val="auto"/>
                <w:sz w:val="21"/>
                <w:szCs w:val="21"/>
                <w:highlight w:val="none"/>
              </w:rPr>
              <w:t>4</w:t>
            </w:r>
          </w:p>
        </w:tc>
        <w:tc>
          <w:tcPr>
            <w:tcW w:w="1778" w:type="pct"/>
            <w:vAlign w:val="top"/>
          </w:tcPr>
          <w:p>
            <w:pPr>
              <w:spacing w:before="179" w:line="221" w:lineRule="auto"/>
              <w:ind w:left="116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企业</w:t>
            </w:r>
            <w:r>
              <w:rPr>
                <w:rFonts w:ascii="宋体" w:hAnsi="宋体" w:eastAsia="宋体" w:cs="宋体"/>
                <w:color w:val="auto"/>
                <w:spacing w:val="-1"/>
                <w:sz w:val="21"/>
                <w:szCs w:val="21"/>
                <w:highlight w:val="none"/>
              </w:rPr>
              <w:t>信用情况</w:t>
            </w:r>
          </w:p>
        </w:tc>
        <w:tc>
          <w:tcPr>
            <w:tcW w:w="625" w:type="pct"/>
            <w:vAlign w:val="top"/>
          </w:tcPr>
          <w:p>
            <w:pPr>
              <w:spacing w:before="215" w:line="183" w:lineRule="auto"/>
              <w:ind w:left="582"/>
              <w:rPr>
                <w:rFonts w:ascii="宋体" w:hAnsi="宋体" w:eastAsia="宋体" w:cs="宋体"/>
                <w:color w:val="auto"/>
                <w:sz w:val="21"/>
                <w:szCs w:val="21"/>
                <w:highlight w:val="none"/>
              </w:rPr>
            </w:pPr>
            <w:r>
              <w:rPr>
                <w:rFonts w:ascii="宋体" w:hAnsi="宋体" w:eastAsia="宋体" w:cs="宋体"/>
                <w:color w:val="auto"/>
                <w:sz w:val="21"/>
                <w:szCs w:val="21"/>
                <w:highlight w:val="none"/>
              </w:rPr>
              <w:t>8</w:t>
            </w:r>
          </w:p>
        </w:tc>
        <w:tc>
          <w:tcPr>
            <w:tcW w:w="762" w:type="pct"/>
            <w:vAlign w:val="top"/>
          </w:tcPr>
          <w:p>
            <w:pPr>
              <w:rPr>
                <w:rFonts w:ascii="Arial"/>
                <w:color w:val="auto"/>
                <w:sz w:val="21"/>
                <w:highlight w:val="none"/>
              </w:rPr>
            </w:pPr>
          </w:p>
        </w:tc>
        <w:tc>
          <w:tcPr>
            <w:tcW w:w="763" w:type="pct"/>
            <w:vAlign w:val="top"/>
          </w:tcPr>
          <w:p>
            <w:pPr>
              <w:rPr>
                <w:rFonts w:ascii="Arial"/>
                <w:color w:val="auto"/>
                <w:sz w:val="21"/>
                <w:highlight w:val="none"/>
              </w:rPr>
            </w:pPr>
          </w:p>
        </w:tc>
        <w:tc>
          <w:tcPr>
            <w:tcW w:w="711" w:type="pct"/>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57" w:type="pct"/>
            <w:vAlign w:val="top"/>
          </w:tcPr>
          <w:p>
            <w:pPr>
              <w:spacing w:before="218" w:line="182" w:lineRule="auto"/>
              <w:ind w:left="314"/>
              <w:rPr>
                <w:rFonts w:ascii="宋体" w:hAnsi="宋体" w:eastAsia="宋体" w:cs="宋体"/>
                <w:color w:val="auto"/>
                <w:sz w:val="21"/>
                <w:szCs w:val="21"/>
                <w:highlight w:val="none"/>
              </w:rPr>
            </w:pPr>
            <w:r>
              <w:rPr>
                <w:rFonts w:ascii="宋体" w:hAnsi="宋体" w:eastAsia="宋体" w:cs="宋体"/>
                <w:color w:val="auto"/>
                <w:sz w:val="21"/>
                <w:szCs w:val="21"/>
                <w:highlight w:val="none"/>
              </w:rPr>
              <w:t>5</w:t>
            </w:r>
          </w:p>
        </w:tc>
        <w:tc>
          <w:tcPr>
            <w:tcW w:w="1778" w:type="pct"/>
            <w:vAlign w:val="top"/>
          </w:tcPr>
          <w:p>
            <w:pPr>
              <w:spacing w:before="180" w:line="221" w:lineRule="auto"/>
              <w:ind w:left="116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企业</w:t>
            </w:r>
            <w:r>
              <w:rPr>
                <w:rFonts w:ascii="宋体" w:hAnsi="宋体" w:eastAsia="宋体" w:cs="宋体"/>
                <w:color w:val="auto"/>
                <w:spacing w:val="-1"/>
                <w:sz w:val="21"/>
                <w:szCs w:val="21"/>
                <w:highlight w:val="none"/>
              </w:rPr>
              <w:t>管理体系</w:t>
            </w:r>
          </w:p>
        </w:tc>
        <w:tc>
          <w:tcPr>
            <w:tcW w:w="625" w:type="pct"/>
            <w:vAlign w:val="top"/>
          </w:tcPr>
          <w:p>
            <w:pPr>
              <w:spacing w:before="218" w:line="182" w:lineRule="auto"/>
              <w:ind w:left="586"/>
              <w:rPr>
                <w:rFonts w:ascii="宋体" w:hAnsi="宋体" w:eastAsia="宋体" w:cs="宋体"/>
                <w:color w:val="auto"/>
                <w:sz w:val="21"/>
                <w:szCs w:val="21"/>
                <w:highlight w:val="none"/>
              </w:rPr>
            </w:pPr>
            <w:r>
              <w:rPr>
                <w:rFonts w:ascii="宋体" w:hAnsi="宋体" w:eastAsia="宋体" w:cs="宋体"/>
                <w:color w:val="auto"/>
                <w:sz w:val="21"/>
                <w:szCs w:val="21"/>
                <w:highlight w:val="none"/>
              </w:rPr>
              <w:t>5</w:t>
            </w:r>
          </w:p>
        </w:tc>
        <w:tc>
          <w:tcPr>
            <w:tcW w:w="762" w:type="pct"/>
            <w:vAlign w:val="top"/>
          </w:tcPr>
          <w:p>
            <w:pPr>
              <w:rPr>
                <w:rFonts w:ascii="Arial"/>
                <w:color w:val="auto"/>
                <w:sz w:val="21"/>
                <w:highlight w:val="none"/>
              </w:rPr>
            </w:pPr>
          </w:p>
        </w:tc>
        <w:tc>
          <w:tcPr>
            <w:tcW w:w="763" w:type="pct"/>
            <w:vAlign w:val="top"/>
          </w:tcPr>
          <w:p>
            <w:pPr>
              <w:rPr>
                <w:rFonts w:ascii="Arial"/>
                <w:color w:val="auto"/>
                <w:sz w:val="21"/>
                <w:highlight w:val="none"/>
              </w:rPr>
            </w:pPr>
          </w:p>
        </w:tc>
        <w:tc>
          <w:tcPr>
            <w:tcW w:w="711" w:type="pct"/>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357" w:type="pct"/>
            <w:vAlign w:val="top"/>
          </w:tcPr>
          <w:p>
            <w:pPr>
              <w:spacing w:before="217" w:line="183" w:lineRule="auto"/>
              <w:ind w:left="312"/>
              <w:rPr>
                <w:rFonts w:ascii="宋体" w:hAnsi="宋体" w:eastAsia="宋体" w:cs="宋体"/>
                <w:color w:val="auto"/>
                <w:sz w:val="21"/>
                <w:szCs w:val="21"/>
                <w:highlight w:val="none"/>
              </w:rPr>
            </w:pPr>
            <w:r>
              <w:rPr>
                <w:rFonts w:ascii="宋体" w:hAnsi="宋体" w:eastAsia="宋体" w:cs="宋体"/>
                <w:color w:val="auto"/>
                <w:sz w:val="21"/>
                <w:szCs w:val="21"/>
                <w:highlight w:val="none"/>
              </w:rPr>
              <w:t>6</w:t>
            </w:r>
          </w:p>
        </w:tc>
        <w:tc>
          <w:tcPr>
            <w:tcW w:w="1778" w:type="pct"/>
            <w:vAlign w:val="top"/>
          </w:tcPr>
          <w:p>
            <w:pPr>
              <w:spacing w:before="181" w:line="221" w:lineRule="auto"/>
              <w:ind w:left="127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财务状况</w:t>
            </w:r>
          </w:p>
        </w:tc>
        <w:tc>
          <w:tcPr>
            <w:tcW w:w="625" w:type="pct"/>
            <w:vAlign w:val="top"/>
          </w:tcPr>
          <w:p>
            <w:pPr>
              <w:spacing w:before="217" w:line="183" w:lineRule="auto"/>
              <w:ind w:left="582"/>
              <w:rPr>
                <w:rFonts w:ascii="宋体" w:hAnsi="宋体" w:eastAsia="宋体" w:cs="宋体"/>
                <w:color w:val="auto"/>
                <w:sz w:val="21"/>
                <w:szCs w:val="21"/>
                <w:highlight w:val="none"/>
              </w:rPr>
            </w:pPr>
            <w:r>
              <w:rPr>
                <w:rFonts w:ascii="宋体" w:hAnsi="宋体" w:eastAsia="宋体" w:cs="宋体"/>
                <w:color w:val="auto"/>
                <w:sz w:val="21"/>
                <w:szCs w:val="21"/>
                <w:highlight w:val="none"/>
              </w:rPr>
              <w:t>8</w:t>
            </w:r>
          </w:p>
        </w:tc>
        <w:tc>
          <w:tcPr>
            <w:tcW w:w="762" w:type="pct"/>
            <w:vAlign w:val="top"/>
          </w:tcPr>
          <w:p>
            <w:pPr>
              <w:rPr>
                <w:rFonts w:ascii="Arial"/>
                <w:color w:val="auto"/>
                <w:sz w:val="21"/>
                <w:highlight w:val="none"/>
              </w:rPr>
            </w:pPr>
          </w:p>
        </w:tc>
        <w:tc>
          <w:tcPr>
            <w:tcW w:w="763" w:type="pct"/>
            <w:vAlign w:val="top"/>
          </w:tcPr>
          <w:p>
            <w:pPr>
              <w:rPr>
                <w:rFonts w:ascii="Arial"/>
                <w:color w:val="auto"/>
                <w:sz w:val="21"/>
                <w:highlight w:val="none"/>
              </w:rPr>
            </w:pPr>
          </w:p>
        </w:tc>
        <w:tc>
          <w:tcPr>
            <w:tcW w:w="711" w:type="pct"/>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57" w:type="pct"/>
            <w:vAlign w:val="top"/>
          </w:tcPr>
          <w:p>
            <w:pPr>
              <w:spacing w:before="216" w:line="182" w:lineRule="auto"/>
              <w:ind w:left="315"/>
              <w:rPr>
                <w:rFonts w:ascii="宋体" w:hAnsi="宋体" w:eastAsia="宋体" w:cs="宋体"/>
                <w:color w:val="auto"/>
                <w:sz w:val="21"/>
                <w:szCs w:val="21"/>
                <w:highlight w:val="none"/>
              </w:rPr>
            </w:pPr>
            <w:r>
              <w:rPr>
                <w:rFonts w:ascii="宋体" w:hAnsi="宋体" w:eastAsia="宋体" w:cs="宋体"/>
                <w:color w:val="auto"/>
                <w:sz w:val="21"/>
                <w:szCs w:val="21"/>
                <w:highlight w:val="none"/>
              </w:rPr>
              <w:t>7</w:t>
            </w:r>
          </w:p>
        </w:tc>
        <w:tc>
          <w:tcPr>
            <w:tcW w:w="1778" w:type="pct"/>
            <w:vAlign w:val="top"/>
          </w:tcPr>
          <w:p>
            <w:pPr>
              <w:spacing w:before="181" w:line="221" w:lineRule="auto"/>
              <w:ind w:left="640"/>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项目经理(项目负责人</w:t>
            </w:r>
            <w:r>
              <w:rPr>
                <w:rFonts w:ascii="宋体" w:hAnsi="宋体" w:eastAsia="宋体" w:cs="宋体"/>
                <w:color w:val="auto"/>
                <w:spacing w:val="7"/>
                <w:sz w:val="21"/>
                <w:szCs w:val="21"/>
                <w:highlight w:val="none"/>
              </w:rPr>
              <w:t>)</w:t>
            </w:r>
          </w:p>
        </w:tc>
        <w:tc>
          <w:tcPr>
            <w:tcW w:w="625" w:type="pct"/>
            <w:vAlign w:val="top"/>
          </w:tcPr>
          <w:p>
            <w:pPr>
              <w:spacing w:before="219" w:line="182" w:lineRule="auto"/>
              <w:ind w:left="586"/>
              <w:rPr>
                <w:rFonts w:ascii="宋体" w:hAnsi="宋体" w:eastAsia="宋体" w:cs="宋体"/>
                <w:color w:val="auto"/>
                <w:sz w:val="21"/>
                <w:szCs w:val="21"/>
                <w:highlight w:val="none"/>
              </w:rPr>
            </w:pPr>
            <w:r>
              <w:rPr>
                <w:rFonts w:ascii="宋体" w:hAnsi="宋体" w:eastAsia="宋体" w:cs="宋体"/>
                <w:color w:val="auto"/>
                <w:sz w:val="21"/>
                <w:szCs w:val="21"/>
                <w:highlight w:val="none"/>
              </w:rPr>
              <w:t>5</w:t>
            </w:r>
          </w:p>
        </w:tc>
        <w:tc>
          <w:tcPr>
            <w:tcW w:w="762" w:type="pct"/>
            <w:vAlign w:val="top"/>
          </w:tcPr>
          <w:p>
            <w:pPr>
              <w:rPr>
                <w:rFonts w:ascii="Arial"/>
                <w:color w:val="auto"/>
                <w:sz w:val="21"/>
                <w:highlight w:val="none"/>
              </w:rPr>
            </w:pPr>
          </w:p>
        </w:tc>
        <w:tc>
          <w:tcPr>
            <w:tcW w:w="763" w:type="pct"/>
            <w:vAlign w:val="top"/>
          </w:tcPr>
          <w:p>
            <w:pPr>
              <w:rPr>
                <w:rFonts w:ascii="Arial"/>
                <w:color w:val="auto"/>
                <w:sz w:val="21"/>
                <w:highlight w:val="none"/>
              </w:rPr>
            </w:pPr>
          </w:p>
        </w:tc>
        <w:tc>
          <w:tcPr>
            <w:tcW w:w="711" w:type="pct"/>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357" w:type="pct"/>
            <w:vAlign w:val="top"/>
          </w:tcPr>
          <w:p>
            <w:pPr>
              <w:spacing w:before="217" w:line="183" w:lineRule="auto"/>
              <w:ind w:left="311"/>
              <w:rPr>
                <w:rFonts w:ascii="宋体" w:hAnsi="宋体" w:eastAsia="宋体" w:cs="宋体"/>
                <w:color w:val="auto"/>
                <w:sz w:val="21"/>
                <w:szCs w:val="21"/>
                <w:highlight w:val="none"/>
              </w:rPr>
            </w:pPr>
            <w:r>
              <w:rPr>
                <w:rFonts w:ascii="宋体" w:hAnsi="宋体" w:eastAsia="宋体" w:cs="宋体"/>
                <w:color w:val="auto"/>
                <w:sz w:val="21"/>
                <w:szCs w:val="21"/>
                <w:highlight w:val="none"/>
              </w:rPr>
              <w:t>8</w:t>
            </w:r>
          </w:p>
        </w:tc>
        <w:tc>
          <w:tcPr>
            <w:tcW w:w="1778" w:type="pct"/>
            <w:vAlign w:val="top"/>
          </w:tcPr>
          <w:p>
            <w:pPr>
              <w:spacing w:before="181" w:line="221" w:lineRule="auto"/>
              <w:ind w:left="74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施工管理</w:t>
            </w:r>
            <w:r>
              <w:rPr>
                <w:rFonts w:ascii="宋体" w:hAnsi="宋体" w:eastAsia="宋体" w:cs="宋体"/>
                <w:color w:val="auto"/>
                <w:sz w:val="21"/>
                <w:szCs w:val="21"/>
                <w:highlight w:val="none"/>
              </w:rPr>
              <w:t>人员综合素质</w:t>
            </w:r>
          </w:p>
        </w:tc>
        <w:tc>
          <w:tcPr>
            <w:tcW w:w="625" w:type="pct"/>
            <w:vAlign w:val="top"/>
          </w:tcPr>
          <w:p>
            <w:pPr>
              <w:spacing w:before="216" w:line="186" w:lineRule="auto"/>
              <w:ind w:left="531"/>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w:t>
            </w:r>
            <w:r>
              <w:rPr>
                <w:rFonts w:ascii="宋体" w:hAnsi="宋体" w:eastAsia="宋体" w:cs="宋体"/>
                <w:color w:val="auto"/>
                <w:spacing w:val="-2"/>
                <w:sz w:val="21"/>
                <w:szCs w:val="21"/>
                <w:highlight w:val="none"/>
              </w:rPr>
              <w:t>1</w:t>
            </w:r>
          </w:p>
        </w:tc>
        <w:tc>
          <w:tcPr>
            <w:tcW w:w="762" w:type="pct"/>
            <w:vAlign w:val="top"/>
          </w:tcPr>
          <w:p>
            <w:pPr>
              <w:rPr>
                <w:rFonts w:ascii="Arial"/>
                <w:color w:val="auto"/>
                <w:sz w:val="21"/>
                <w:highlight w:val="none"/>
              </w:rPr>
            </w:pPr>
          </w:p>
        </w:tc>
        <w:tc>
          <w:tcPr>
            <w:tcW w:w="763" w:type="pct"/>
            <w:vAlign w:val="top"/>
          </w:tcPr>
          <w:p>
            <w:pPr>
              <w:rPr>
                <w:rFonts w:ascii="Arial"/>
                <w:color w:val="auto"/>
                <w:sz w:val="21"/>
                <w:highlight w:val="none"/>
              </w:rPr>
            </w:pPr>
          </w:p>
        </w:tc>
        <w:tc>
          <w:tcPr>
            <w:tcW w:w="711" w:type="pct"/>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357" w:type="pct"/>
            <w:vAlign w:val="top"/>
          </w:tcPr>
          <w:p>
            <w:pPr>
              <w:spacing w:before="215" w:line="183" w:lineRule="auto"/>
              <w:ind w:left="311"/>
              <w:rPr>
                <w:rFonts w:ascii="宋体" w:hAnsi="宋体" w:eastAsia="宋体" w:cs="宋体"/>
                <w:color w:val="auto"/>
                <w:sz w:val="21"/>
                <w:szCs w:val="21"/>
                <w:highlight w:val="none"/>
              </w:rPr>
            </w:pPr>
            <w:r>
              <w:rPr>
                <w:rFonts w:ascii="宋体" w:hAnsi="宋体" w:eastAsia="宋体" w:cs="宋体"/>
                <w:color w:val="auto"/>
                <w:sz w:val="21"/>
                <w:szCs w:val="21"/>
                <w:highlight w:val="none"/>
              </w:rPr>
              <w:t>9</w:t>
            </w:r>
          </w:p>
        </w:tc>
        <w:tc>
          <w:tcPr>
            <w:tcW w:w="1778" w:type="pct"/>
            <w:vAlign w:val="top"/>
          </w:tcPr>
          <w:p>
            <w:pPr>
              <w:spacing w:before="182" w:line="219" w:lineRule="auto"/>
              <w:ind w:left="116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科技创新评</w:t>
            </w:r>
            <w:r>
              <w:rPr>
                <w:rFonts w:ascii="宋体" w:hAnsi="宋体" w:eastAsia="宋体" w:cs="宋体"/>
                <w:color w:val="auto"/>
                <w:sz w:val="21"/>
                <w:szCs w:val="21"/>
                <w:highlight w:val="none"/>
              </w:rPr>
              <w:t>价</w:t>
            </w:r>
          </w:p>
        </w:tc>
        <w:tc>
          <w:tcPr>
            <w:tcW w:w="625" w:type="pct"/>
            <w:vAlign w:val="top"/>
          </w:tcPr>
          <w:p>
            <w:pPr>
              <w:spacing w:before="219" w:line="182" w:lineRule="auto"/>
              <w:ind w:left="586"/>
              <w:rPr>
                <w:rFonts w:ascii="宋体" w:hAnsi="宋体" w:eastAsia="宋体" w:cs="宋体"/>
                <w:color w:val="auto"/>
                <w:sz w:val="21"/>
                <w:szCs w:val="21"/>
                <w:highlight w:val="none"/>
              </w:rPr>
            </w:pPr>
            <w:r>
              <w:rPr>
                <w:rFonts w:ascii="宋体" w:hAnsi="宋体" w:eastAsia="宋体" w:cs="宋体"/>
                <w:color w:val="auto"/>
                <w:sz w:val="21"/>
                <w:szCs w:val="21"/>
                <w:highlight w:val="none"/>
              </w:rPr>
              <w:t>5</w:t>
            </w:r>
          </w:p>
        </w:tc>
        <w:tc>
          <w:tcPr>
            <w:tcW w:w="762" w:type="pct"/>
            <w:vAlign w:val="top"/>
          </w:tcPr>
          <w:p>
            <w:pPr>
              <w:rPr>
                <w:rFonts w:ascii="Arial"/>
                <w:color w:val="auto"/>
                <w:sz w:val="21"/>
                <w:highlight w:val="none"/>
              </w:rPr>
            </w:pPr>
          </w:p>
        </w:tc>
        <w:tc>
          <w:tcPr>
            <w:tcW w:w="763" w:type="pct"/>
            <w:vAlign w:val="top"/>
          </w:tcPr>
          <w:p>
            <w:pPr>
              <w:rPr>
                <w:rFonts w:ascii="Arial"/>
                <w:color w:val="auto"/>
                <w:sz w:val="21"/>
                <w:highlight w:val="none"/>
              </w:rPr>
            </w:pPr>
          </w:p>
        </w:tc>
        <w:tc>
          <w:tcPr>
            <w:tcW w:w="711" w:type="pct"/>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357" w:type="pct"/>
            <w:vAlign w:val="top"/>
          </w:tcPr>
          <w:p>
            <w:pPr>
              <w:spacing w:before="218" w:line="184" w:lineRule="auto"/>
              <w:ind w:left="273"/>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1</w:t>
            </w:r>
            <w:r>
              <w:rPr>
                <w:rFonts w:ascii="宋体" w:hAnsi="宋体" w:eastAsia="宋体" w:cs="宋体"/>
                <w:color w:val="auto"/>
                <w:spacing w:val="-5"/>
                <w:sz w:val="21"/>
                <w:szCs w:val="21"/>
                <w:highlight w:val="none"/>
              </w:rPr>
              <w:t>0</w:t>
            </w:r>
          </w:p>
        </w:tc>
        <w:tc>
          <w:tcPr>
            <w:tcW w:w="1778" w:type="pct"/>
            <w:vAlign w:val="top"/>
          </w:tcPr>
          <w:p>
            <w:pPr>
              <w:spacing w:before="183" w:line="221" w:lineRule="auto"/>
              <w:ind w:left="1377"/>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企</w:t>
            </w:r>
            <w:r>
              <w:rPr>
                <w:rFonts w:ascii="宋体" w:hAnsi="宋体" w:eastAsia="宋体" w:cs="宋体"/>
                <w:color w:val="auto"/>
                <w:spacing w:val="-2"/>
                <w:sz w:val="21"/>
                <w:szCs w:val="21"/>
                <w:highlight w:val="none"/>
              </w:rPr>
              <w:t>业业绩</w:t>
            </w:r>
          </w:p>
        </w:tc>
        <w:tc>
          <w:tcPr>
            <w:tcW w:w="625" w:type="pct"/>
            <w:vAlign w:val="top"/>
          </w:tcPr>
          <w:p>
            <w:pPr>
              <w:spacing w:before="218" w:line="184" w:lineRule="auto"/>
              <w:ind w:left="544"/>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1</w:t>
            </w:r>
            <w:r>
              <w:rPr>
                <w:rFonts w:ascii="宋体" w:hAnsi="宋体" w:eastAsia="宋体" w:cs="宋体"/>
                <w:color w:val="auto"/>
                <w:spacing w:val="-5"/>
                <w:sz w:val="21"/>
                <w:szCs w:val="21"/>
                <w:highlight w:val="none"/>
              </w:rPr>
              <w:t>5</w:t>
            </w:r>
          </w:p>
        </w:tc>
        <w:tc>
          <w:tcPr>
            <w:tcW w:w="762" w:type="pct"/>
            <w:vAlign w:val="top"/>
          </w:tcPr>
          <w:p>
            <w:pPr>
              <w:rPr>
                <w:rFonts w:ascii="Arial"/>
                <w:color w:val="auto"/>
                <w:sz w:val="21"/>
                <w:highlight w:val="none"/>
              </w:rPr>
            </w:pPr>
          </w:p>
        </w:tc>
        <w:tc>
          <w:tcPr>
            <w:tcW w:w="763" w:type="pct"/>
            <w:vAlign w:val="top"/>
          </w:tcPr>
          <w:p>
            <w:pPr>
              <w:rPr>
                <w:rFonts w:ascii="Arial"/>
                <w:color w:val="auto"/>
                <w:sz w:val="21"/>
                <w:highlight w:val="none"/>
              </w:rPr>
            </w:pPr>
          </w:p>
        </w:tc>
        <w:tc>
          <w:tcPr>
            <w:tcW w:w="711" w:type="pct"/>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57" w:type="pct"/>
            <w:vAlign w:val="top"/>
          </w:tcPr>
          <w:p>
            <w:pPr>
              <w:spacing w:before="215" w:line="186" w:lineRule="auto"/>
              <w:ind w:left="273"/>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1</w:t>
            </w:r>
            <w:r>
              <w:rPr>
                <w:rFonts w:ascii="宋体" w:hAnsi="宋体" w:eastAsia="宋体" w:cs="宋体"/>
                <w:color w:val="auto"/>
                <w:spacing w:val="-5"/>
                <w:sz w:val="21"/>
                <w:szCs w:val="21"/>
                <w:highlight w:val="none"/>
              </w:rPr>
              <w:t>1</w:t>
            </w:r>
          </w:p>
        </w:tc>
        <w:tc>
          <w:tcPr>
            <w:tcW w:w="1778" w:type="pct"/>
            <w:vAlign w:val="top"/>
          </w:tcPr>
          <w:p>
            <w:pPr>
              <w:spacing w:before="183" w:line="221" w:lineRule="auto"/>
              <w:ind w:left="1377"/>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获</w:t>
            </w:r>
            <w:r>
              <w:rPr>
                <w:rFonts w:ascii="宋体" w:hAnsi="宋体" w:eastAsia="宋体" w:cs="宋体"/>
                <w:color w:val="auto"/>
                <w:spacing w:val="-2"/>
                <w:sz w:val="21"/>
                <w:szCs w:val="21"/>
                <w:highlight w:val="none"/>
              </w:rPr>
              <w:t>奖情况</w:t>
            </w:r>
          </w:p>
        </w:tc>
        <w:tc>
          <w:tcPr>
            <w:tcW w:w="625" w:type="pct"/>
            <w:vAlign w:val="top"/>
          </w:tcPr>
          <w:p>
            <w:pPr>
              <w:spacing w:before="219" w:line="183" w:lineRule="auto"/>
              <w:ind w:left="531"/>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w:t>
            </w:r>
            <w:r>
              <w:rPr>
                <w:rFonts w:ascii="宋体" w:hAnsi="宋体" w:eastAsia="宋体" w:cs="宋体"/>
                <w:color w:val="auto"/>
                <w:spacing w:val="-2"/>
                <w:sz w:val="21"/>
                <w:szCs w:val="21"/>
                <w:highlight w:val="none"/>
              </w:rPr>
              <w:t>0</w:t>
            </w:r>
          </w:p>
        </w:tc>
        <w:tc>
          <w:tcPr>
            <w:tcW w:w="762" w:type="pct"/>
            <w:vAlign w:val="top"/>
          </w:tcPr>
          <w:p>
            <w:pPr>
              <w:rPr>
                <w:rFonts w:ascii="Arial"/>
                <w:color w:val="auto"/>
                <w:sz w:val="21"/>
                <w:highlight w:val="none"/>
              </w:rPr>
            </w:pPr>
          </w:p>
        </w:tc>
        <w:tc>
          <w:tcPr>
            <w:tcW w:w="763" w:type="pct"/>
            <w:vAlign w:val="top"/>
          </w:tcPr>
          <w:p>
            <w:pPr>
              <w:rPr>
                <w:rFonts w:ascii="Arial"/>
                <w:color w:val="auto"/>
                <w:sz w:val="21"/>
                <w:highlight w:val="none"/>
              </w:rPr>
            </w:pPr>
          </w:p>
        </w:tc>
        <w:tc>
          <w:tcPr>
            <w:tcW w:w="711" w:type="pct"/>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357" w:type="pct"/>
            <w:vAlign w:val="top"/>
          </w:tcPr>
          <w:p>
            <w:pPr>
              <w:rPr>
                <w:rFonts w:ascii="Arial"/>
                <w:color w:val="auto"/>
                <w:sz w:val="21"/>
                <w:highlight w:val="none"/>
              </w:rPr>
            </w:pPr>
          </w:p>
        </w:tc>
        <w:tc>
          <w:tcPr>
            <w:tcW w:w="1778" w:type="pct"/>
            <w:vAlign w:val="top"/>
          </w:tcPr>
          <w:p>
            <w:pPr>
              <w:spacing w:before="184" w:line="222" w:lineRule="auto"/>
              <w:ind w:left="158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合计</w:t>
            </w:r>
          </w:p>
        </w:tc>
        <w:tc>
          <w:tcPr>
            <w:tcW w:w="625" w:type="pct"/>
            <w:vAlign w:val="top"/>
          </w:tcPr>
          <w:p>
            <w:pPr>
              <w:spacing w:before="218" w:line="184" w:lineRule="auto"/>
              <w:ind w:left="49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100</w:t>
            </w:r>
          </w:p>
        </w:tc>
        <w:tc>
          <w:tcPr>
            <w:tcW w:w="762" w:type="pct"/>
            <w:vAlign w:val="top"/>
          </w:tcPr>
          <w:p>
            <w:pPr>
              <w:rPr>
                <w:rFonts w:ascii="Arial"/>
                <w:color w:val="auto"/>
                <w:sz w:val="21"/>
                <w:highlight w:val="none"/>
              </w:rPr>
            </w:pPr>
          </w:p>
        </w:tc>
        <w:tc>
          <w:tcPr>
            <w:tcW w:w="763" w:type="pct"/>
            <w:vAlign w:val="top"/>
          </w:tcPr>
          <w:p>
            <w:pPr>
              <w:rPr>
                <w:rFonts w:ascii="Arial"/>
                <w:color w:val="auto"/>
                <w:sz w:val="21"/>
                <w:highlight w:val="none"/>
              </w:rPr>
            </w:pPr>
          </w:p>
        </w:tc>
        <w:tc>
          <w:tcPr>
            <w:tcW w:w="711" w:type="pct"/>
            <w:vAlign w:val="top"/>
          </w:tcPr>
          <w:p>
            <w:pPr>
              <w:rPr>
                <w:rFonts w:ascii="Arial"/>
                <w:color w:val="auto"/>
                <w:sz w:val="21"/>
                <w:highlight w:val="none"/>
              </w:rPr>
            </w:pPr>
          </w:p>
        </w:tc>
      </w:tr>
    </w:tbl>
    <w:p>
      <w:pPr>
        <w:pStyle w:val="16"/>
        <w:rPr>
          <w:rFonts w:ascii="宋体" w:hAnsi="宋体" w:eastAsia="宋体" w:cs="宋体"/>
          <w:color w:val="auto"/>
          <w:sz w:val="21"/>
          <w:szCs w:val="21"/>
          <w:highlight w:val="none"/>
          <w14:textOutline w14:w="3831" w14:cap="flat" w14:cmpd="sng">
            <w14:solidFill>
              <w14:srgbClr w14:val="000000"/>
            </w14:solidFill>
            <w14:prstDash w14:val="solid"/>
            <w14:miter w14:val="0"/>
          </w14:textOutline>
        </w:rPr>
      </w:pPr>
      <w:r>
        <w:rPr>
          <w:rFonts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注：</w:t>
      </w:r>
      <w:r>
        <w:rPr>
          <w:rFonts w:ascii="宋体" w:hAnsi="宋体" w:eastAsia="宋体" w:cs="宋体"/>
          <w:color w:val="auto"/>
          <w:sz w:val="21"/>
          <w:szCs w:val="21"/>
          <w:highlight w:val="none"/>
          <w14:textOutline w14:w="3831" w14:cap="flat" w14:cmpd="sng">
            <w14:solidFill>
              <w14:srgbClr w14:val="000000"/>
            </w14:solidFill>
            <w14:prstDash w14:val="solid"/>
            <w14:miter w14:val="0"/>
          </w14:textOutline>
        </w:rPr>
        <w:t>投标单位须如实，并按要求填写以上表格，如无对应该项资料，请在备注中注明。</w:t>
      </w:r>
    </w:p>
    <w:p>
      <w:pPr>
        <w:rPr>
          <w:rFonts w:hint="eastAsia"/>
          <w:color w:val="auto"/>
          <w:highlight w:val="none"/>
        </w:rPr>
      </w:pPr>
      <w:r>
        <w:rPr>
          <w:rFonts w:hint="eastAsia"/>
          <w:color w:val="auto"/>
          <w:highlight w:val="none"/>
        </w:rPr>
        <w:br w:type="page"/>
      </w:r>
    </w:p>
    <w:p>
      <w:pPr>
        <w:spacing w:line="222" w:lineRule="auto"/>
        <w:ind w:left="4368"/>
        <w:rPr>
          <w:rFonts w:ascii="宋体" w:hAnsi="宋体" w:eastAsia="宋体" w:cs="宋体"/>
          <w:color w:val="auto"/>
          <w:sz w:val="28"/>
          <w:szCs w:val="28"/>
          <w:highlight w:val="none"/>
        </w:rPr>
      </w:pPr>
      <w:r>
        <w:rPr>
          <w:rFonts w:ascii="宋体" w:hAnsi="宋体" w:eastAsia="宋体" w:cs="宋体"/>
          <w:color w:val="auto"/>
          <w:spacing w:val="-8"/>
          <w:sz w:val="28"/>
          <w:szCs w:val="28"/>
          <w:highlight w:val="none"/>
          <w14:textOutline w14:w="5094" w14:cap="flat" w14:cmpd="sng">
            <w14:solidFill>
              <w14:srgbClr w14:val="000000"/>
            </w14:solidFill>
            <w14:prstDash w14:val="solid"/>
            <w14:miter w14:val="0"/>
          </w14:textOutline>
        </w:rPr>
        <w:t>目</w:t>
      </w:r>
      <w:r>
        <w:rPr>
          <w:rFonts w:ascii="宋体" w:hAnsi="宋体" w:eastAsia="宋体" w:cs="宋体"/>
          <w:color w:val="auto"/>
          <w:spacing w:val="-8"/>
          <w:sz w:val="28"/>
          <w:szCs w:val="28"/>
          <w:highlight w:val="none"/>
        </w:rPr>
        <w:t xml:space="preserve">    </w:t>
      </w:r>
      <w:r>
        <w:rPr>
          <w:rFonts w:ascii="宋体" w:hAnsi="宋体" w:eastAsia="宋体" w:cs="宋体"/>
          <w:color w:val="auto"/>
          <w:spacing w:val="-8"/>
          <w:sz w:val="28"/>
          <w:szCs w:val="28"/>
          <w:highlight w:val="none"/>
          <w14:textOutline w14:w="5094" w14:cap="flat" w14:cmpd="sng">
            <w14:solidFill>
              <w14:srgbClr w14:val="000000"/>
            </w14:solidFill>
            <w14:prstDash w14:val="solid"/>
            <w14:miter w14:val="0"/>
          </w14:textOutline>
        </w:rPr>
        <w:t>录</w:t>
      </w:r>
    </w:p>
    <w:p>
      <w:pPr>
        <w:spacing w:before="289" w:line="220" w:lineRule="auto"/>
        <w:ind w:left="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一、法定代</w:t>
      </w:r>
      <w:r>
        <w:rPr>
          <w:rFonts w:ascii="宋体" w:hAnsi="宋体" w:eastAsia="宋体" w:cs="宋体"/>
          <w:color w:val="auto"/>
          <w:sz w:val="21"/>
          <w:szCs w:val="21"/>
          <w:highlight w:val="none"/>
        </w:rPr>
        <w:t>表人证明、授权委托书(如有)</w:t>
      </w:r>
    </w:p>
    <w:p>
      <w:pPr>
        <w:spacing w:before="20" w:line="221" w:lineRule="auto"/>
        <w:ind w:left="4"/>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二</w:t>
      </w:r>
      <w:r>
        <w:rPr>
          <w:rFonts w:ascii="宋体" w:hAnsi="宋体" w:eastAsia="宋体" w:cs="宋体"/>
          <w:color w:val="auto"/>
          <w:spacing w:val="-8"/>
          <w:sz w:val="21"/>
          <w:szCs w:val="21"/>
          <w:highlight w:val="none"/>
        </w:rPr>
        <w:t>、投标人关联企业情况声明</w:t>
      </w:r>
    </w:p>
    <w:p>
      <w:pPr>
        <w:spacing w:before="22" w:line="221" w:lineRule="auto"/>
        <w:ind w:left="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三</w:t>
      </w:r>
      <w:r>
        <w:rPr>
          <w:rFonts w:ascii="宋体" w:hAnsi="宋体" w:eastAsia="宋体" w:cs="宋体"/>
          <w:color w:val="auto"/>
          <w:sz w:val="21"/>
          <w:szCs w:val="21"/>
          <w:highlight w:val="none"/>
        </w:rPr>
        <w:t>、严格执行“管理规范和技术(规范)标准”的承诺函</w:t>
      </w:r>
    </w:p>
    <w:p>
      <w:pPr>
        <w:spacing w:before="23" w:line="221" w:lineRule="auto"/>
        <w:ind w:left="4"/>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四</w:t>
      </w:r>
      <w:r>
        <w:rPr>
          <w:rFonts w:ascii="宋体" w:hAnsi="宋体" w:eastAsia="宋体" w:cs="宋体"/>
          <w:color w:val="auto"/>
          <w:spacing w:val="-1"/>
          <w:sz w:val="21"/>
          <w:szCs w:val="21"/>
          <w:highlight w:val="none"/>
        </w:rPr>
        <w:t>、投标保证金证</w:t>
      </w:r>
      <w:r>
        <w:rPr>
          <w:rFonts w:ascii="宋体" w:hAnsi="宋体" w:eastAsia="宋体" w:cs="宋体"/>
          <w:color w:val="auto"/>
          <w:sz w:val="21"/>
          <w:szCs w:val="21"/>
          <w:highlight w:val="none"/>
        </w:rPr>
        <w:t>明扫描件</w:t>
      </w:r>
    </w:p>
    <w:p>
      <w:pPr>
        <w:spacing w:before="20" w:line="220" w:lineRule="auto"/>
        <w:ind w:left="2"/>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五</w:t>
      </w:r>
      <w:r>
        <w:rPr>
          <w:rFonts w:ascii="宋体" w:hAnsi="宋体" w:eastAsia="宋体" w:cs="宋体"/>
          <w:color w:val="auto"/>
          <w:spacing w:val="-1"/>
          <w:sz w:val="21"/>
          <w:szCs w:val="21"/>
          <w:highlight w:val="none"/>
        </w:rPr>
        <w:t>、投标人廉洁</w:t>
      </w:r>
      <w:r>
        <w:rPr>
          <w:rFonts w:ascii="宋体" w:hAnsi="宋体" w:eastAsia="宋体" w:cs="宋体"/>
          <w:color w:val="auto"/>
          <w:sz w:val="21"/>
          <w:szCs w:val="21"/>
          <w:highlight w:val="none"/>
        </w:rPr>
        <w:t>承诺书</w:t>
      </w:r>
    </w:p>
    <w:p>
      <w:pPr>
        <w:spacing w:before="23" w:line="221" w:lineRule="auto"/>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六</w:t>
      </w:r>
      <w:r>
        <w:rPr>
          <w:rFonts w:ascii="宋体" w:hAnsi="宋体" w:eastAsia="宋体" w:cs="宋体"/>
          <w:color w:val="auto"/>
          <w:spacing w:val="-1"/>
          <w:sz w:val="21"/>
          <w:szCs w:val="21"/>
          <w:highlight w:val="none"/>
        </w:rPr>
        <w:t>、企</w:t>
      </w:r>
      <w:r>
        <w:rPr>
          <w:rFonts w:ascii="宋体" w:hAnsi="宋体" w:eastAsia="宋体" w:cs="宋体"/>
          <w:color w:val="auto"/>
          <w:sz w:val="21"/>
          <w:szCs w:val="21"/>
          <w:highlight w:val="none"/>
        </w:rPr>
        <w:t>业近年工程质量、安全情况承诺函</w:t>
      </w:r>
    </w:p>
    <w:p>
      <w:pPr>
        <w:spacing w:before="20" w:line="220" w:lineRule="auto"/>
        <w:ind w:left="4"/>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七</w:t>
      </w:r>
      <w:r>
        <w:rPr>
          <w:rFonts w:ascii="宋体" w:hAnsi="宋体" w:eastAsia="宋体" w:cs="宋体"/>
          <w:color w:val="auto"/>
          <w:spacing w:val="-1"/>
          <w:sz w:val="21"/>
          <w:szCs w:val="21"/>
          <w:highlight w:val="none"/>
        </w:rPr>
        <w:t>、企业诚信承诺</w:t>
      </w:r>
      <w:r>
        <w:rPr>
          <w:rFonts w:ascii="宋体" w:hAnsi="宋体" w:eastAsia="宋体" w:cs="宋体"/>
          <w:color w:val="auto"/>
          <w:sz w:val="21"/>
          <w:szCs w:val="21"/>
          <w:highlight w:val="none"/>
        </w:rPr>
        <w:t>书</w:t>
      </w:r>
    </w:p>
    <w:p>
      <w:pPr>
        <w:spacing w:before="24" w:line="220" w:lineRule="auto"/>
        <w:ind w:left="6"/>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八</w:t>
      </w:r>
      <w:r>
        <w:rPr>
          <w:rFonts w:ascii="宋体" w:hAnsi="宋体" w:eastAsia="宋体" w:cs="宋体"/>
          <w:color w:val="auto"/>
          <w:spacing w:val="-1"/>
          <w:sz w:val="21"/>
          <w:szCs w:val="21"/>
          <w:highlight w:val="none"/>
        </w:rPr>
        <w:t>、近三年的无行贿</w:t>
      </w:r>
      <w:r>
        <w:rPr>
          <w:rFonts w:ascii="宋体" w:hAnsi="宋体" w:eastAsia="宋体" w:cs="宋体"/>
          <w:color w:val="auto"/>
          <w:sz w:val="21"/>
          <w:szCs w:val="21"/>
          <w:highlight w:val="none"/>
        </w:rPr>
        <w:t>犯罪记录承诺书</w:t>
      </w:r>
    </w:p>
    <w:p>
      <w:pPr>
        <w:spacing w:before="20" w:line="241" w:lineRule="auto"/>
        <w:ind w:left="2"/>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九</w:t>
      </w:r>
      <w:r>
        <w:rPr>
          <w:rFonts w:ascii="宋体" w:hAnsi="宋体" w:eastAsia="宋体" w:cs="宋体"/>
          <w:color w:val="auto"/>
          <w:spacing w:val="-1"/>
          <w:sz w:val="21"/>
          <w:szCs w:val="21"/>
          <w:highlight w:val="none"/>
        </w:rPr>
        <w:t>、交纳</w:t>
      </w:r>
      <w:r>
        <w:rPr>
          <w:rFonts w:ascii="宋体" w:hAnsi="宋体" w:eastAsia="宋体" w:cs="宋体"/>
          <w:color w:val="auto"/>
          <w:sz w:val="21"/>
          <w:szCs w:val="21"/>
          <w:highlight w:val="none"/>
        </w:rPr>
        <w:t>采购代理服务费承诺书</w:t>
      </w:r>
    </w:p>
    <w:p>
      <w:pPr>
        <w:spacing w:before="1" w:line="220" w:lineRule="auto"/>
        <w:ind w:left="2"/>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十</w:t>
      </w:r>
      <w:r>
        <w:rPr>
          <w:rFonts w:ascii="宋体" w:hAnsi="宋体" w:eastAsia="宋体" w:cs="宋体"/>
          <w:color w:val="auto"/>
          <w:spacing w:val="6"/>
          <w:sz w:val="21"/>
          <w:szCs w:val="21"/>
          <w:highlight w:val="none"/>
        </w:rPr>
        <w:t>、</w:t>
      </w:r>
      <w:r>
        <w:rPr>
          <w:rFonts w:ascii="宋体" w:hAnsi="宋体" w:eastAsia="宋体" w:cs="宋体"/>
          <w:color w:val="auto"/>
          <w:spacing w:val="5"/>
          <w:sz w:val="21"/>
          <w:szCs w:val="21"/>
          <w:highlight w:val="none"/>
        </w:rPr>
        <w:t>投标保证保险承诺函(如有)</w:t>
      </w:r>
    </w:p>
    <w:p>
      <w:pPr>
        <w:spacing w:before="1" w:line="219" w:lineRule="auto"/>
        <w:ind w:left="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十</w:t>
      </w:r>
      <w:r>
        <w:rPr>
          <w:rFonts w:hint="eastAsia" w:ascii="宋体" w:hAnsi="宋体" w:eastAsia="宋体" w:cs="宋体"/>
          <w:color w:val="auto"/>
          <w:spacing w:val="-1"/>
          <w:sz w:val="21"/>
          <w:szCs w:val="21"/>
          <w:highlight w:val="none"/>
          <w:lang w:val="en-US" w:eastAsia="zh-CN"/>
        </w:rPr>
        <w:t>一</w:t>
      </w:r>
      <w:r>
        <w:rPr>
          <w:rFonts w:ascii="宋体" w:hAnsi="宋体" w:eastAsia="宋体" w:cs="宋体"/>
          <w:color w:val="auto"/>
          <w:spacing w:val="-1"/>
          <w:sz w:val="21"/>
          <w:szCs w:val="21"/>
          <w:highlight w:val="none"/>
        </w:rPr>
        <w:t>、企业</w:t>
      </w:r>
      <w:r>
        <w:rPr>
          <w:rFonts w:ascii="宋体" w:hAnsi="宋体" w:eastAsia="宋体" w:cs="宋体"/>
          <w:color w:val="auto"/>
          <w:sz w:val="21"/>
          <w:szCs w:val="21"/>
          <w:highlight w:val="none"/>
        </w:rPr>
        <w:t>基本情况</w:t>
      </w:r>
    </w:p>
    <w:p>
      <w:pPr>
        <w:spacing w:before="25" w:line="239" w:lineRule="auto"/>
        <w:ind w:left="2" w:firstLine="1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1、投标人基本情况表(报表格式参考附表1)(应附投标人营业执照副本及</w:t>
      </w:r>
      <w:r>
        <w:rPr>
          <w:rFonts w:ascii="宋体" w:hAnsi="宋体" w:eastAsia="宋体" w:cs="宋体"/>
          <w:color w:val="auto"/>
          <w:sz w:val="21"/>
          <w:szCs w:val="21"/>
          <w:highlight w:val="none"/>
        </w:rPr>
        <w:t>其相关有效证明材料、资质证书</w:t>
      </w:r>
      <w:r>
        <w:rPr>
          <w:rFonts w:ascii="宋体" w:hAnsi="宋体" w:eastAsia="宋体" w:cs="宋体"/>
          <w:color w:val="auto"/>
          <w:spacing w:val="-2"/>
          <w:sz w:val="21"/>
          <w:szCs w:val="21"/>
          <w:highlight w:val="none"/>
        </w:rPr>
        <w:t>和安全</w:t>
      </w:r>
      <w:r>
        <w:rPr>
          <w:rFonts w:ascii="宋体" w:hAnsi="宋体" w:eastAsia="宋体" w:cs="宋体"/>
          <w:color w:val="auto"/>
          <w:spacing w:val="-1"/>
          <w:sz w:val="21"/>
          <w:szCs w:val="21"/>
          <w:highlight w:val="none"/>
        </w:rPr>
        <w:t>生产许可证等材料的扫描件。)</w:t>
      </w:r>
    </w:p>
    <w:p>
      <w:pPr>
        <w:spacing w:line="238" w:lineRule="auto"/>
        <w:ind w:left="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十</w:t>
      </w:r>
      <w:r>
        <w:rPr>
          <w:rFonts w:hint="eastAsia" w:ascii="宋体" w:hAnsi="宋体" w:eastAsia="宋体" w:cs="宋体"/>
          <w:color w:val="auto"/>
          <w:spacing w:val="3"/>
          <w:sz w:val="21"/>
          <w:szCs w:val="21"/>
          <w:highlight w:val="none"/>
          <w:lang w:val="en-US" w:eastAsia="zh-CN"/>
        </w:rPr>
        <w:t>二</w:t>
      </w:r>
      <w:r>
        <w:rPr>
          <w:rFonts w:ascii="宋体" w:hAnsi="宋体" w:eastAsia="宋体" w:cs="宋体"/>
          <w:color w:val="auto"/>
          <w:spacing w:val="3"/>
          <w:sz w:val="21"/>
          <w:szCs w:val="21"/>
          <w:highlight w:val="none"/>
        </w:rPr>
        <w:t>、纳税信用情况(需提供国家税务总局网页相关截图，同时必须提供查询</w:t>
      </w:r>
      <w:r>
        <w:rPr>
          <w:rFonts w:ascii="宋体" w:hAnsi="宋体" w:eastAsia="宋体" w:cs="宋体"/>
          <w:color w:val="auto"/>
          <w:spacing w:val="2"/>
          <w:sz w:val="21"/>
          <w:szCs w:val="21"/>
          <w:highlight w:val="none"/>
        </w:rPr>
        <w:t>网</w:t>
      </w:r>
      <w:r>
        <w:rPr>
          <w:rFonts w:ascii="宋体" w:hAnsi="宋体" w:eastAsia="宋体" w:cs="宋体"/>
          <w:color w:val="auto"/>
          <w:sz w:val="21"/>
          <w:szCs w:val="21"/>
          <w:highlight w:val="none"/>
        </w:rPr>
        <w:t>址)</w:t>
      </w:r>
    </w:p>
    <w:p>
      <w:pPr>
        <w:spacing w:before="1" w:line="219" w:lineRule="auto"/>
        <w:ind w:left="2"/>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十</w:t>
      </w:r>
      <w:r>
        <w:rPr>
          <w:rFonts w:hint="eastAsia" w:ascii="宋体" w:hAnsi="宋体" w:eastAsia="宋体" w:cs="宋体"/>
          <w:color w:val="auto"/>
          <w:spacing w:val="6"/>
          <w:sz w:val="21"/>
          <w:szCs w:val="21"/>
          <w:highlight w:val="none"/>
          <w:lang w:val="en-US" w:eastAsia="zh-CN"/>
        </w:rPr>
        <w:t>三</w:t>
      </w:r>
      <w:r>
        <w:rPr>
          <w:rFonts w:ascii="宋体" w:hAnsi="宋体" w:eastAsia="宋体" w:cs="宋体"/>
          <w:color w:val="auto"/>
          <w:spacing w:val="6"/>
          <w:sz w:val="21"/>
          <w:szCs w:val="21"/>
          <w:highlight w:val="none"/>
        </w:rPr>
        <w:t>、企业信</w:t>
      </w:r>
      <w:r>
        <w:rPr>
          <w:rFonts w:ascii="宋体" w:hAnsi="宋体" w:eastAsia="宋体" w:cs="宋体"/>
          <w:color w:val="auto"/>
          <w:spacing w:val="4"/>
          <w:sz w:val="21"/>
          <w:szCs w:val="21"/>
          <w:highlight w:val="none"/>
        </w:rPr>
        <w:t>用</w:t>
      </w:r>
      <w:r>
        <w:rPr>
          <w:rFonts w:ascii="宋体" w:hAnsi="宋体" w:eastAsia="宋体" w:cs="宋体"/>
          <w:color w:val="auto"/>
          <w:spacing w:val="3"/>
          <w:sz w:val="21"/>
          <w:szCs w:val="21"/>
          <w:highlight w:val="none"/>
        </w:rPr>
        <w:t>情况(提供证书的官方网页截图</w:t>
      </w:r>
      <w:r>
        <w:rPr>
          <w:rFonts w:hint="eastAsia" w:ascii="宋体" w:hAnsi="宋体" w:cs="宋体"/>
          <w:color w:val="auto"/>
          <w:spacing w:val="3"/>
          <w:sz w:val="21"/>
          <w:szCs w:val="21"/>
          <w:highlight w:val="none"/>
          <w:lang w:val="en-US" w:eastAsia="zh-CN"/>
        </w:rPr>
        <w:t>或</w:t>
      </w:r>
      <w:r>
        <w:rPr>
          <w:rFonts w:ascii="宋体" w:hAnsi="宋体" w:eastAsia="宋体" w:cs="宋体"/>
          <w:color w:val="auto"/>
          <w:spacing w:val="3"/>
          <w:sz w:val="21"/>
          <w:szCs w:val="21"/>
          <w:highlight w:val="none"/>
        </w:rPr>
        <w:t>原件扫描件)</w:t>
      </w:r>
    </w:p>
    <w:p>
      <w:pPr>
        <w:spacing w:before="24" w:line="219" w:lineRule="auto"/>
        <w:ind w:left="2"/>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十</w:t>
      </w:r>
      <w:r>
        <w:rPr>
          <w:rFonts w:hint="eastAsia" w:ascii="宋体" w:hAnsi="宋体" w:eastAsia="宋体" w:cs="宋体"/>
          <w:color w:val="auto"/>
          <w:spacing w:val="4"/>
          <w:sz w:val="21"/>
          <w:szCs w:val="21"/>
          <w:highlight w:val="none"/>
          <w:lang w:val="en-US" w:eastAsia="zh-CN"/>
        </w:rPr>
        <w:t>四</w:t>
      </w:r>
      <w:r>
        <w:rPr>
          <w:rFonts w:ascii="宋体" w:hAnsi="宋体" w:eastAsia="宋体" w:cs="宋体"/>
          <w:color w:val="auto"/>
          <w:spacing w:val="4"/>
          <w:sz w:val="21"/>
          <w:szCs w:val="21"/>
          <w:highlight w:val="none"/>
        </w:rPr>
        <w:t>、项目经理(项目负责人)及施工队伍综合素质评</w:t>
      </w:r>
      <w:r>
        <w:rPr>
          <w:rFonts w:ascii="宋体" w:hAnsi="宋体" w:eastAsia="宋体" w:cs="宋体"/>
          <w:color w:val="auto"/>
          <w:spacing w:val="3"/>
          <w:sz w:val="21"/>
          <w:szCs w:val="21"/>
          <w:highlight w:val="none"/>
        </w:rPr>
        <w:t>价</w:t>
      </w:r>
    </w:p>
    <w:p>
      <w:pPr>
        <w:spacing w:before="24" w:line="219" w:lineRule="auto"/>
        <w:ind w:left="2" w:firstLine="436" w:firstLineChars="200"/>
        <w:rPr>
          <w:rFonts w:ascii="宋体" w:hAnsi="宋体" w:eastAsia="宋体" w:cs="宋体"/>
          <w:color w:val="auto"/>
          <w:spacing w:val="4"/>
          <w:sz w:val="21"/>
          <w:szCs w:val="21"/>
          <w:highlight w:val="none"/>
        </w:rPr>
      </w:pPr>
      <w:r>
        <w:rPr>
          <w:rFonts w:ascii="宋体" w:hAnsi="宋体" w:eastAsia="宋体" w:cs="宋体"/>
          <w:color w:val="auto"/>
          <w:spacing w:val="4"/>
          <w:sz w:val="21"/>
          <w:szCs w:val="21"/>
          <w:highlight w:val="none"/>
        </w:rPr>
        <w:t>1、本工程项目经理(项目负责人)的注册建造师资格证书及注册证书(根据《住房和城乡建设部办公厅关于全面实行一级建造师电子注册证书的通知》的要求，一级及二级建造师均须提供新版注册证书电子证照)、项目经理安全生产考核合格证(B类)、职称证书、社保证明、提供在广州公共资源交易中心的企业信息登记在册人员相关截图证明材料(报表格式参考附表2，附相关证明材料等)；</w:t>
      </w:r>
    </w:p>
    <w:p>
      <w:pPr>
        <w:spacing w:before="1" w:line="239" w:lineRule="auto"/>
        <w:ind w:left="5" w:firstLine="41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2、施工管理人员(包括但不限于：技术负责人、安全负责人、质量负责人、</w:t>
      </w:r>
      <w:r>
        <w:rPr>
          <w:rFonts w:ascii="宋体" w:hAnsi="宋体" w:eastAsia="宋体" w:cs="宋体"/>
          <w:color w:val="auto"/>
          <w:spacing w:val="1"/>
          <w:sz w:val="21"/>
          <w:szCs w:val="21"/>
          <w:highlight w:val="none"/>
        </w:rPr>
        <w:t>造价负责人等)(报表格</w:t>
      </w:r>
      <w:r>
        <w:rPr>
          <w:rFonts w:ascii="宋体" w:hAnsi="宋体" w:eastAsia="宋体" w:cs="宋体"/>
          <w:color w:val="auto"/>
          <w:spacing w:val="-6"/>
          <w:sz w:val="21"/>
          <w:szCs w:val="21"/>
          <w:highlight w:val="none"/>
        </w:rPr>
        <w:t>式</w:t>
      </w:r>
      <w:r>
        <w:rPr>
          <w:rFonts w:ascii="宋体" w:hAnsi="宋体" w:eastAsia="宋体" w:cs="宋体"/>
          <w:color w:val="auto"/>
          <w:spacing w:val="-5"/>
          <w:sz w:val="21"/>
          <w:szCs w:val="21"/>
          <w:highlight w:val="none"/>
        </w:rPr>
        <w:t>参</w:t>
      </w:r>
      <w:r>
        <w:rPr>
          <w:rFonts w:ascii="宋体" w:hAnsi="宋体" w:eastAsia="宋体" w:cs="宋体"/>
          <w:color w:val="auto"/>
          <w:spacing w:val="-3"/>
          <w:sz w:val="21"/>
          <w:szCs w:val="21"/>
          <w:highlight w:val="none"/>
        </w:rPr>
        <w:t>考附表3，附相关证明材料等)；</w:t>
      </w:r>
    </w:p>
    <w:p>
      <w:pPr>
        <w:spacing w:line="221" w:lineRule="auto"/>
        <w:ind w:left="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十</w:t>
      </w:r>
      <w:r>
        <w:rPr>
          <w:rFonts w:hint="eastAsia" w:ascii="宋体" w:hAnsi="宋体" w:eastAsia="宋体" w:cs="宋体"/>
          <w:color w:val="auto"/>
          <w:spacing w:val="-1"/>
          <w:sz w:val="21"/>
          <w:szCs w:val="21"/>
          <w:highlight w:val="none"/>
          <w:lang w:val="en-US" w:eastAsia="zh-CN"/>
        </w:rPr>
        <w:t>五</w:t>
      </w:r>
      <w:r>
        <w:rPr>
          <w:rFonts w:ascii="宋体" w:hAnsi="宋体" w:eastAsia="宋体" w:cs="宋体"/>
          <w:color w:val="auto"/>
          <w:spacing w:val="-1"/>
          <w:sz w:val="21"/>
          <w:szCs w:val="21"/>
          <w:highlight w:val="none"/>
        </w:rPr>
        <w:t>、企业</w:t>
      </w:r>
      <w:r>
        <w:rPr>
          <w:rFonts w:ascii="宋体" w:hAnsi="宋体" w:eastAsia="宋体" w:cs="宋体"/>
          <w:color w:val="auto"/>
          <w:sz w:val="21"/>
          <w:szCs w:val="21"/>
          <w:highlight w:val="none"/>
        </w:rPr>
        <w:t>业绩</w:t>
      </w:r>
    </w:p>
    <w:p>
      <w:pPr>
        <w:spacing w:before="24" w:line="239" w:lineRule="auto"/>
        <w:ind w:left="6" w:hanging="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2020年至投标截止日前完成同类工程(指房屋建筑或电力建筑工程</w:t>
      </w:r>
      <w:r>
        <w:rPr>
          <w:rFonts w:ascii="宋体" w:hAnsi="宋体" w:eastAsia="宋体" w:cs="宋体"/>
          <w:color w:val="auto"/>
          <w:spacing w:val="1"/>
          <w:sz w:val="21"/>
          <w:szCs w:val="21"/>
          <w:highlight w:val="none"/>
        </w:rPr>
        <w:t>等施工项目</w:t>
      </w:r>
      <w:r>
        <w:rPr>
          <w:rFonts w:hint="eastAsia" w:ascii="宋体" w:hAnsi="宋体" w:cs="宋体"/>
          <w:color w:val="auto"/>
          <w:spacing w:val="4"/>
          <w:sz w:val="21"/>
          <w:szCs w:val="21"/>
          <w:highlight w:val="none"/>
          <w:lang w:val="en-US" w:eastAsia="zh-CN"/>
        </w:rPr>
        <w:t>且</w:t>
      </w:r>
      <w:r>
        <w:rPr>
          <w:rFonts w:ascii="宋体" w:hAnsi="宋体" w:cs="宋体"/>
          <w:color w:val="auto"/>
          <w:kern w:val="0"/>
          <w:szCs w:val="21"/>
          <w:highlight w:val="none"/>
        </w:rPr>
        <w:t>合同造价为</w:t>
      </w:r>
      <w:r>
        <w:rPr>
          <w:rFonts w:hint="eastAsia" w:ascii="宋体" w:hAnsi="宋体" w:cs="宋体"/>
          <w:color w:val="auto"/>
          <w:kern w:val="0"/>
          <w:szCs w:val="21"/>
          <w:highlight w:val="none"/>
        </w:rPr>
        <w:t>1800</w:t>
      </w:r>
      <w:r>
        <w:rPr>
          <w:rFonts w:ascii="宋体" w:hAnsi="宋体" w:cs="宋体"/>
          <w:color w:val="auto"/>
          <w:kern w:val="0"/>
          <w:szCs w:val="21"/>
          <w:highlight w:val="none"/>
        </w:rPr>
        <w:t>万元或以上</w:t>
      </w:r>
      <w:r>
        <w:rPr>
          <w:rFonts w:ascii="宋体" w:hAnsi="宋体" w:eastAsia="宋体" w:cs="宋体"/>
          <w:color w:val="auto"/>
          <w:spacing w:val="1"/>
          <w:sz w:val="21"/>
          <w:szCs w:val="21"/>
          <w:highlight w:val="none"/>
        </w:rPr>
        <w:t>，不含专业分包工程)情况</w:t>
      </w:r>
      <w:r>
        <w:rPr>
          <w:rFonts w:ascii="宋体" w:hAnsi="宋体" w:eastAsia="宋体" w:cs="宋体"/>
          <w:color w:val="auto"/>
          <w:spacing w:val="-1"/>
          <w:sz w:val="21"/>
          <w:szCs w:val="21"/>
          <w:highlight w:val="none"/>
        </w:rPr>
        <w:t>(报表格式参考附表</w:t>
      </w:r>
      <w:r>
        <w:rPr>
          <w:rFonts w:ascii="宋体" w:hAnsi="宋体" w:eastAsia="宋体" w:cs="宋体"/>
          <w:color w:val="auto"/>
          <w:sz w:val="21"/>
          <w:szCs w:val="21"/>
          <w:highlight w:val="none"/>
        </w:rPr>
        <w:t>4、附表5，附证明材料)</w:t>
      </w:r>
    </w:p>
    <w:p>
      <w:pPr>
        <w:spacing w:line="220" w:lineRule="auto"/>
        <w:ind w:left="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十</w:t>
      </w:r>
      <w:r>
        <w:rPr>
          <w:rFonts w:hint="eastAsia" w:ascii="宋体" w:hAnsi="宋体" w:eastAsia="宋体" w:cs="宋体"/>
          <w:color w:val="auto"/>
          <w:spacing w:val="-1"/>
          <w:sz w:val="21"/>
          <w:szCs w:val="21"/>
          <w:highlight w:val="none"/>
          <w:lang w:val="en-US" w:eastAsia="zh-CN"/>
        </w:rPr>
        <w:t>六</w:t>
      </w:r>
      <w:r>
        <w:rPr>
          <w:rFonts w:ascii="宋体" w:hAnsi="宋体" w:eastAsia="宋体" w:cs="宋体"/>
          <w:color w:val="auto"/>
          <w:spacing w:val="-1"/>
          <w:sz w:val="21"/>
          <w:szCs w:val="21"/>
          <w:highlight w:val="none"/>
        </w:rPr>
        <w:t>、获奖</w:t>
      </w:r>
      <w:r>
        <w:rPr>
          <w:rFonts w:ascii="宋体" w:hAnsi="宋体" w:eastAsia="宋体" w:cs="宋体"/>
          <w:color w:val="auto"/>
          <w:sz w:val="21"/>
          <w:szCs w:val="21"/>
          <w:highlight w:val="none"/>
        </w:rPr>
        <w:t>情况</w:t>
      </w:r>
    </w:p>
    <w:p>
      <w:pPr>
        <w:spacing w:before="22" w:line="239" w:lineRule="auto"/>
        <w:ind w:firstLine="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2019年至投标截止日前完成同类工程(指房屋建筑或电力建筑工</w:t>
      </w:r>
      <w:r>
        <w:rPr>
          <w:rFonts w:ascii="宋体" w:hAnsi="宋体" w:eastAsia="宋体" w:cs="宋体"/>
          <w:color w:val="auto"/>
          <w:spacing w:val="1"/>
          <w:sz w:val="21"/>
          <w:szCs w:val="21"/>
          <w:highlight w:val="none"/>
        </w:rPr>
        <w:t>程等)获奖情况(如有，报表格式参考附</w:t>
      </w:r>
      <w:r>
        <w:rPr>
          <w:rFonts w:ascii="宋体" w:hAnsi="宋体" w:eastAsia="宋体" w:cs="宋体"/>
          <w:color w:val="auto"/>
          <w:spacing w:val="-12"/>
          <w:sz w:val="21"/>
          <w:szCs w:val="21"/>
          <w:highlight w:val="none"/>
        </w:rPr>
        <w:t>表</w:t>
      </w:r>
      <w:r>
        <w:rPr>
          <w:rFonts w:ascii="宋体" w:hAnsi="宋体" w:eastAsia="宋体" w:cs="宋体"/>
          <w:color w:val="auto"/>
          <w:spacing w:val="-6"/>
          <w:sz w:val="21"/>
          <w:szCs w:val="21"/>
          <w:highlight w:val="none"/>
        </w:rPr>
        <w:t>6，附证明材料)</w:t>
      </w:r>
    </w:p>
    <w:p>
      <w:pPr>
        <w:spacing w:line="220" w:lineRule="auto"/>
        <w:ind w:left="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十</w:t>
      </w:r>
      <w:r>
        <w:rPr>
          <w:rFonts w:hint="eastAsia" w:ascii="宋体" w:hAnsi="宋体" w:eastAsia="宋体" w:cs="宋体"/>
          <w:color w:val="auto"/>
          <w:spacing w:val="-1"/>
          <w:sz w:val="21"/>
          <w:szCs w:val="21"/>
          <w:highlight w:val="none"/>
          <w:lang w:val="en-US" w:eastAsia="zh-CN"/>
        </w:rPr>
        <w:t>七</w:t>
      </w:r>
      <w:r>
        <w:rPr>
          <w:rFonts w:ascii="宋体" w:hAnsi="宋体" w:eastAsia="宋体" w:cs="宋体"/>
          <w:color w:val="auto"/>
          <w:spacing w:val="-1"/>
          <w:sz w:val="21"/>
          <w:szCs w:val="21"/>
          <w:highlight w:val="none"/>
        </w:rPr>
        <w:t>、近年</w:t>
      </w:r>
      <w:r>
        <w:rPr>
          <w:rFonts w:ascii="宋体" w:hAnsi="宋体" w:eastAsia="宋体" w:cs="宋体"/>
          <w:color w:val="auto"/>
          <w:sz w:val="21"/>
          <w:szCs w:val="21"/>
          <w:highlight w:val="none"/>
        </w:rPr>
        <w:t>财务状况</w:t>
      </w:r>
    </w:p>
    <w:p>
      <w:pPr>
        <w:spacing w:before="23" w:line="220" w:lineRule="auto"/>
        <w:ind w:left="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十</w:t>
      </w:r>
      <w:r>
        <w:rPr>
          <w:rFonts w:hint="eastAsia" w:ascii="宋体" w:hAnsi="宋体" w:eastAsia="宋体" w:cs="宋体"/>
          <w:color w:val="auto"/>
          <w:spacing w:val="5"/>
          <w:sz w:val="21"/>
          <w:szCs w:val="21"/>
          <w:highlight w:val="none"/>
          <w:lang w:val="en-US" w:eastAsia="zh-CN"/>
        </w:rPr>
        <w:t>八</w:t>
      </w:r>
      <w:r>
        <w:rPr>
          <w:rFonts w:ascii="宋体" w:hAnsi="宋体" w:eastAsia="宋体" w:cs="宋体"/>
          <w:color w:val="auto"/>
          <w:spacing w:val="5"/>
          <w:sz w:val="21"/>
          <w:szCs w:val="21"/>
          <w:highlight w:val="none"/>
        </w:rPr>
        <w:t>、企业管理体系(提供证书扫描件</w:t>
      </w:r>
      <w:r>
        <w:rPr>
          <w:rFonts w:ascii="宋体" w:hAnsi="宋体" w:eastAsia="宋体" w:cs="宋体"/>
          <w:color w:val="auto"/>
          <w:spacing w:val="4"/>
          <w:sz w:val="21"/>
          <w:szCs w:val="21"/>
          <w:highlight w:val="none"/>
        </w:rPr>
        <w:t>)</w:t>
      </w:r>
    </w:p>
    <w:p>
      <w:pPr>
        <w:spacing w:before="21" w:line="241" w:lineRule="auto"/>
        <w:ind w:left="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十</w:t>
      </w:r>
      <w:r>
        <w:rPr>
          <w:rFonts w:hint="eastAsia" w:ascii="宋体" w:hAnsi="宋体" w:eastAsia="宋体" w:cs="宋体"/>
          <w:color w:val="auto"/>
          <w:spacing w:val="4"/>
          <w:sz w:val="21"/>
          <w:szCs w:val="21"/>
          <w:highlight w:val="none"/>
          <w:lang w:val="en-US" w:eastAsia="zh-CN"/>
        </w:rPr>
        <w:t>九</w:t>
      </w:r>
      <w:r>
        <w:rPr>
          <w:rFonts w:ascii="宋体" w:hAnsi="宋体" w:eastAsia="宋体" w:cs="宋体"/>
          <w:color w:val="auto"/>
          <w:spacing w:val="4"/>
          <w:sz w:val="21"/>
          <w:szCs w:val="21"/>
          <w:highlight w:val="none"/>
        </w:rPr>
        <w:t>、科技创新评价(需提供科技创新企业证书或证明</w:t>
      </w:r>
      <w:r>
        <w:rPr>
          <w:rFonts w:ascii="宋体" w:hAnsi="宋体" w:eastAsia="宋体" w:cs="宋体"/>
          <w:color w:val="auto"/>
          <w:sz w:val="21"/>
          <w:szCs w:val="21"/>
          <w:highlight w:val="none"/>
        </w:rPr>
        <w:t>)</w:t>
      </w:r>
    </w:p>
    <w:p>
      <w:pPr>
        <w:spacing w:line="221" w:lineRule="auto"/>
        <w:ind w:left="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二十</w:t>
      </w:r>
      <w:r>
        <w:rPr>
          <w:rFonts w:ascii="宋体" w:hAnsi="宋体" w:eastAsia="宋体" w:cs="宋体"/>
          <w:color w:val="auto"/>
          <w:spacing w:val="-1"/>
          <w:sz w:val="21"/>
          <w:szCs w:val="21"/>
          <w:highlight w:val="none"/>
        </w:rPr>
        <w:t>、其他</w:t>
      </w:r>
    </w:p>
    <w:p>
      <w:pPr>
        <w:spacing w:before="19" w:line="220" w:lineRule="auto"/>
        <w:ind w:left="1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1、近年发生的诉讼及仲裁情况(附 2021 年至今发生的诉讼</w:t>
      </w:r>
      <w:r>
        <w:rPr>
          <w:rFonts w:ascii="宋体" w:hAnsi="宋体" w:eastAsia="宋体" w:cs="宋体"/>
          <w:color w:val="auto"/>
          <w:sz w:val="21"/>
          <w:szCs w:val="21"/>
          <w:highlight w:val="none"/>
        </w:rPr>
        <w:t>及仲裁情况说明)</w:t>
      </w:r>
    </w:p>
    <w:p>
      <w:pPr>
        <w:spacing w:before="21" w:line="220" w:lineRule="auto"/>
        <w:ind w:left="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2、投标单位认为</w:t>
      </w:r>
      <w:r>
        <w:rPr>
          <w:rFonts w:ascii="宋体" w:hAnsi="宋体" w:eastAsia="宋体" w:cs="宋体"/>
          <w:color w:val="auto"/>
          <w:sz w:val="21"/>
          <w:szCs w:val="21"/>
          <w:highlight w:val="none"/>
        </w:rPr>
        <w:t>需提供的其他材料</w:t>
      </w:r>
    </w:p>
    <w:p>
      <w:pPr>
        <w:spacing w:before="21" w:line="220" w:lineRule="auto"/>
        <w:ind w:left="3"/>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备注：1、投标文件所附证书证件均为原件扫描件，并采用单位数字证书，按招标文件要求在相应位置加盖 电子印章。投标文件中需签字或盖章的，应完成签字盖章后扫描上传。</w:t>
      </w:r>
    </w:p>
    <w:p>
      <w:pPr>
        <w:spacing w:before="21" w:line="220" w:lineRule="auto"/>
        <w:ind w:left="3"/>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2、以上资料需编制页码，并对目录生成页码及索引功能。</w:t>
      </w:r>
    </w:p>
    <w:p>
      <w:pPr>
        <w:spacing w:before="21" w:line="220" w:lineRule="auto"/>
        <w:ind w:left="3"/>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3、近年所指的具体时间见投标人须知前附表。</w:t>
      </w:r>
    </w:p>
    <w:p>
      <w:pPr>
        <w:rPr>
          <w:rFonts w:hint="eastAsia"/>
          <w:color w:val="auto"/>
          <w:highlight w:val="none"/>
        </w:rPr>
      </w:pPr>
      <w:r>
        <w:rPr>
          <w:rFonts w:hint="eastAsia"/>
          <w:color w:val="auto"/>
          <w:highlight w:val="none"/>
        </w:rPr>
        <w:br w:type="page"/>
      </w:r>
    </w:p>
    <w:p>
      <w:pPr>
        <w:pStyle w:val="17"/>
        <w:rPr>
          <w:rFonts w:hint="eastAsia"/>
          <w:color w:val="auto"/>
          <w:highlight w:val="none"/>
        </w:rPr>
      </w:pPr>
    </w:p>
    <w:p>
      <w:pPr>
        <w:pStyle w:val="4"/>
        <w:rPr>
          <w:color w:val="auto"/>
          <w:sz w:val="21"/>
          <w:szCs w:val="20"/>
          <w:highlight w:val="none"/>
        </w:rPr>
      </w:pPr>
      <w:r>
        <w:rPr>
          <w:rFonts w:hint="eastAsia"/>
          <w:color w:val="auto"/>
          <w:highlight w:val="none"/>
        </w:rPr>
        <w:t>一、证明书及授权委托书</w:t>
      </w:r>
      <w:bookmarkEnd w:id="2173"/>
      <w:bookmarkEnd w:id="2174"/>
      <w:bookmarkEnd w:id="2175"/>
      <w:bookmarkEnd w:id="2176"/>
      <w:bookmarkEnd w:id="2177"/>
      <w:bookmarkEnd w:id="2178"/>
      <w:bookmarkEnd w:id="2179"/>
      <w:bookmarkEnd w:id="2180"/>
      <w:bookmarkEnd w:id="2181"/>
    </w:p>
    <w:p>
      <w:pPr>
        <w:pStyle w:val="22"/>
        <w:spacing w:line="360" w:lineRule="auto"/>
        <w:jc w:val="center"/>
        <w:rPr>
          <w:rFonts w:hint="eastAsia" w:ascii="宋体" w:hAnsi="宋体"/>
          <w:b/>
          <w:color w:val="auto"/>
          <w:sz w:val="24"/>
          <w:szCs w:val="24"/>
          <w:highlight w:val="none"/>
        </w:rPr>
      </w:pPr>
      <w:r>
        <w:rPr>
          <w:rFonts w:hint="eastAsia" w:ascii="宋体" w:hAnsi="宋体"/>
          <w:b/>
          <w:color w:val="auto"/>
          <w:sz w:val="24"/>
          <w:szCs w:val="24"/>
          <w:highlight w:val="none"/>
        </w:rPr>
        <w:t>（以下内容为打印的纸质版签字及盖章后的扫描件）</w:t>
      </w:r>
    </w:p>
    <w:p>
      <w:pPr>
        <w:keepNext w:val="0"/>
        <w:keepLines w:val="0"/>
        <w:pageBreakBefore w:val="0"/>
        <w:widowControl w:val="0"/>
        <w:kinsoku/>
        <w:overflowPunct/>
        <w:bidi w:val="0"/>
        <w:snapToGrid/>
        <w:spacing w:beforeAutospacing="0" w:afterAutospacing="0" w:line="312" w:lineRule="auto"/>
        <w:ind w:left="0" w:leftChars="0" w:right="0"/>
        <w:jc w:val="center"/>
        <w:textAlignment w:val="auto"/>
        <w:rPr>
          <w:rFonts w:hint="eastAsia" w:ascii="宋体" w:hAnsi="宋体" w:eastAsia="宋体" w:cs="宋体"/>
          <w:b/>
          <w:color w:val="auto"/>
          <w:sz w:val="24"/>
          <w:szCs w:val="24"/>
          <w:highlight w:val="none"/>
        </w:rPr>
      </w:pPr>
    </w:p>
    <w:p>
      <w:pPr>
        <w:keepNext w:val="0"/>
        <w:keepLines w:val="0"/>
        <w:pageBreakBefore w:val="0"/>
        <w:widowControl w:val="0"/>
        <w:kinsoku/>
        <w:overflowPunct/>
        <w:bidi w:val="0"/>
        <w:snapToGrid/>
        <w:spacing w:beforeAutospacing="0" w:afterAutospacing="0" w:line="312" w:lineRule="auto"/>
        <w:ind w:left="0" w:leftChars="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法定代表人证明</w:t>
      </w:r>
    </w:p>
    <w:p>
      <w:pPr>
        <w:keepNext w:val="0"/>
        <w:keepLines w:val="0"/>
        <w:pageBreakBefore w:val="0"/>
        <w:widowControl w:val="0"/>
        <w:kinsoku/>
        <w:overflowPunct/>
        <w:bidi w:val="0"/>
        <w:snapToGrid/>
        <w:spacing w:beforeAutospacing="0" w:afterAutospacing="0" w:line="312" w:lineRule="auto"/>
        <w:ind w:left="0" w:leftChars="0" w:right="0"/>
        <w:textAlignment w:val="auto"/>
        <w:outlineLvl w:val="9"/>
        <w:rPr>
          <w:rFonts w:hint="eastAsia" w:ascii="宋体" w:hAnsi="宋体" w:eastAsia="宋体" w:cs="宋体"/>
          <w:color w:val="auto"/>
          <w:highlight w:val="none"/>
        </w:rPr>
      </w:pPr>
    </w:p>
    <w:p>
      <w:pPr>
        <w:keepNext w:val="0"/>
        <w:keepLines w:val="0"/>
        <w:pageBreakBefore w:val="0"/>
        <w:widowControl w:val="0"/>
        <w:kinsoku/>
        <w:overflowPunct/>
        <w:bidi w:val="0"/>
        <w:snapToGrid/>
        <w:spacing w:beforeAutospacing="0" w:afterAutospacing="0" w:line="312" w:lineRule="auto"/>
        <w:ind w:left="0" w:leftChars="0" w:right="0"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p>
    <w:p>
      <w:pPr>
        <w:keepNext w:val="0"/>
        <w:keepLines w:val="0"/>
        <w:pageBreakBefore w:val="0"/>
        <w:widowControl w:val="0"/>
        <w:kinsoku/>
        <w:overflowPunct/>
        <w:bidi w:val="0"/>
        <w:snapToGrid/>
        <w:spacing w:beforeAutospacing="0" w:afterAutospacing="0" w:line="312"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pPr>
        <w:keepNext w:val="0"/>
        <w:keepLines w:val="0"/>
        <w:pageBreakBefore w:val="0"/>
        <w:widowControl w:val="0"/>
        <w:kinsoku/>
        <w:overflowPunct/>
        <w:bidi w:val="0"/>
        <w:snapToGrid/>
        <w:spacing w:beforeAutospacing="0" w:afterAutospacing="0" w:line="312"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（投标人名称）</w:t>
      </w:r>
      <w:r>
        <w:rPr>
          <w:rFonts w:hint="eastAsia" w:ascii="宋体" w:hAnsi="宋体" w:eastAsia="宋体" w:cs="宋体"/>
          <w:color w:val="auto"/>
          <w:szCs w:val="21"/>
          <w:highlight w:val="none"/>
        </w:rPr>
        <w:t>的法定代表人。</w:t>
      </w:r>
    </w:p>
    <w:p>
      <w:pPr>
        <w:keepNext w:val="0"/>
        <w:keepLines w:val="0"/>
        <w:pageBreakBefore w:val="0"/>
        <w:widowControl w:val="0"/>
        <w:kinsoku/>
        <w:overflowPunct/>
        <w:bidi w:val="0"/>
        <w:snapToGrid/>
        <w:spacing w:beforeAutospacing="0" w:afterAutospacing="0" w:line="312"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pPr>
        <w:keepNext w:val="0"/>
        <w:keepLines w:val="0"/>
        <w:pageBreakBefore w:val="0"/>
        <w:widowControl w:val="0"/>
        <w:kinsoku/>
        <w:overflowPunct/>
        <w:bidi w:val="0"/>
        <w:snapToGrid/>
        <w:spacing w:beforeAutospacing="0" w:afterAutospacing="0" w:line="312" w:lineRule="auto"/>
        <w:ind w:left="0" w:leftChars="0" w:right="0"/>
        <w:textAlignment w:val="auto"/>
        <w:rPr>
          <w:rFonts w:hint="eastAsia" w:ascii="宋体" w:hAnsi="宋体" w:eastAsia="宋体" w:cs="宋体"/>
          <w:color w:val="auto"/>
          <w:highlight w:val="none"/>
        </w:rPr>
      </w:pPr>
    </w:p>
    <w:p>
      <w:pPr>
        <w:keepNext w:val="0"/>
        <w:keepLines w:val="0"/>
        <w:pageBreakBefore w:val="0"/>
        <w:widowControl w:val="0"/>
        <w:kinsoku/>
        <w:overflowPunct/>
        <w:bidi w:val="0"/>
        <w:snapToGrid/>
        <w:spacing w:beforeAutospacing="0" w:afterAutospacing="0" w:line="312"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附：法定代表人身份证复印件。</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4" w:hRule="atLeast"/>
          <w:jc w:val="center"/>
        </w:trPr>
        <w:tc>
          <w:tcPr>
            <w:tcW w:w="4643" w:type="dxa"/>
            <w:noWrap w:val="0"/>
            <w:vAlign w:val="top"/>
          </w:tcPr>
          <w:p>
            <w:pPr>
              <w:pStyle w:val="39"/>
              <w:keepNext w:val="0"/>
              <w:keepLines w:val="0"/>
              <w:pageBreakBefore w:val="0"/>
              <w:widowControl w:val="0"/>
              <w:suppressLineNumbers w:val="0"/>
              <w:kinsoku/>
              <w:overflowPunct/>
              <w:bidi w:val="0"/>
              <w:snapToGrid/>
              <w:spacing w:before="0" w:beforeAutospacing="0" w:after="0" w:afterAutospacing="0" w:line="312" w:lineRule="auto"/>
              <w:ind w:left="0" w:leftChars="0" w:right="0"/>
              <w:textAlignment w:val="auto"/>
              <w:outlineLvl w:val="9"/>
              <w:rPr>
                <w:rFonts w:hint="eastAsia" w:ascii="宋体" w:hAnsi="宋体" w:eastAsia="宋体" w:cs="宋体"/>
                <w:color w:val="auto"/>
                <w:highlight w:val="none"/>
                <w:vertAlign w:val="baseline"/>
              </w:rPr>
            </w:pPr>
          </w:p>
        </w:tc>
        <w:tc>
          <w:tcPr>
            <w:tcW w:w="4643" w:type="dxa"/>
            <w:noWrap w:val="0"/>
            <w:vAlign w:val="top"/>
          </w:tcPr>
          <w:p>
            <w:pPr>
              <w:pStyle w:val="39"/>
              <w:keepNext w:val="0"/>
              <w:keepLines w:val="0"/>
              <w:pageBreakBefore w:val="0"/>
              <w:widowControl w:val="0"/>
              <w:suppressLineNumbers w:val="0"/>
              <w:kinsoku/>
              <w:overflowPunct/>
              <w:bidi w:val="0"/>
              <w:snapToGrid/>
              <w:spacing w:before="0" w:beforeAutospacing="0" w:after="0" w:afterAutospacing="0" w:line="312" w:lineRule="auto"/>
              <w:ind w:left="0" w:leftChars="0" w:right="0"/>
              <w:textAlignment w:val="auto"/>
              <w:outlineLvl w:val="9"/>
              <w:rPr>
                <w:rFonts w:hint="eastAsia" w:ascii="宋体" w:hAnsi="宋体" w:eastAsia="宋体" w:cs="宋体"/>
                <w:color w:val="auto"/>
                <w:highlight w:val="none"/>
                <w:vertAlign w:val="baseline"/>
              </w:rPr>
            </w:pPr>
          </w:p>
        </w:tc>
      </w:tr>
    </w:tbl>
    <w:p>
      <w:pPr>
        <w:keepNext w:val="0"/>
        <w:keepLines w:val="0"/>
        <w:pageBreakBefore w:val="0"/>
        <w:widowControl w:val="0"/>
        <w:kinsoku/>
        <w:overflowPunct/>
        <w:bidi w:val="0"/>
        <w:snapToGrid/>
        <w:spacing w:beforeAutospacing="0" w:afterAutospacing="0" w:line="312" w:lineRule="auto"/>
        <w:ind w:left="0" w:leftChars="0" w:right="0"/>
        <w:textAlignment w:val="auto"/>
        <w:rPr>
          <w:rFonts w:hint="eastAsia" w:ascii="宋体" w:hAnsi="宋体" w:eastAsia="宋体" w:cs="宋体"/>
          <w:color w:val="auto"/>
          <w:highlight w:val="none"/>
        </w:rPr>
      </w:pPr>
    </w:p>
    <w:p>
      <w:pPr>
        <w:keepNext w:val="0"/>
        <w:keepLines w:val="0"/>
        <w:pageBreakBefore w:val="0"/>
        <w:widowControl w:val="0"/>
        <w:kinsoku/>
        <w:wordWrap w:val="0"/>
        <w:overflowPunct/>
        <w:bidi w:val="0"/>
        <w:snapToGrid/>
        <w:spacing w:beforeAutospacing="0" w:afterAutospacing="0" w:line="312" w:lineRule="auto"/>
        <w:ind w:left="0" w:leftChars="0" w:right="0"/>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单位</w:t>
      </w:r>
      <w:r>
        <w:rPr>
          <w:rFonts w:hint="eastAsia" w:ascii="宋体" w:hAnsi="宋体" w:eastAsia="宋体" w:cs="宋体"/>
          <w:color w:val="auto"/>
          <w:szCs w:val="21"/>
          <w:highlight w:val="none"/>
        </w:rPr>
        <w:t>章</w:t>
      </w:r>
      <w:r>
        <w:rPr>
          <w:rFonts w:hint="eastAsia" w:ascii="宋体" w:hAnsi="宋体" w:eastAsia="宋体" w:cs="宋体"/>
          <w:color w:val="auto"/>
          <w:szCs w:val="21"/>
          <w:highlight w:val="none"/>
          <w:lang w:eastAsia="zh-CN"/>
        </w:rPr>
        <w:t>或</w:t>
      </w:r>
      <w:r>
        <w:rPr>
          <w:rFonts w:hint="eastAsia" w:ascii="宋体" w:hAnsi="宋体"/>
          <w:color w:val="auto"/>
          <w:szCs w:val="21"/>
          <w:highlight w:val="none"/>
        </w:rPr>
        <w:t>电子印章</w:t>
      </w:r>
      <w:r>
        <w:rPr>
          <w:rFonts w:hint="eastAsia" w:ascii="宋体" w:hAnsi="宋体" w:eastAsia="宋体" w:cs="宋体"/>
          <w:color w:val="auto"/>
          <w:szCs w:val="21"/>
          <w:highlight w:val="none"/>
        </w:rPr>
        <w:t>）</w:t>
      </w:r>
    </w:p>
    <w:p>
      <w:pPr>
        <w:keepNext w:val="0"/>
        <w:keepLines w:val="0"/>
        <w:pageBreakBefore w:val="0"/>
        <w:widowControl w:val="0"/>
        <w:kinsoku/>
        <w:wordWrap w:val="0"/>
        <w:overflowPunct/>
        <w:bidi w:val="0"/>
        <w:snapToGrid/>
        <w:spacing w:beforeAutospacing="0" w:afterAutospacing="0" w:line="312" w:lineRule="auto"/>
        <w:ind w:left="0" w:leftChars="0" w:right="0"/>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rPr>
          <w:rFonts w:ascii="宋体" w:hAnsi="宋体"/>
          <w:b/>
          <w:vanish/>
          <w:color w:val="auto"/>
          <w:highlight w:val="none"/>
        </w:rPr>
      </w:pPr>
      <w:r>
        <w:rPr>
          <w:rFonts w:ascii="宋体" w:hAnsi="宋体"/>
          <w:b/>
          <w:vanish/>
          <w:color w:val="auto"/>
          <w:highlight w:val="none"/>
        </w:rPr>
        <w:br w:type="page"/>
      </w:r>
    </w:p>
    <w:p>
      <w:pPr>
        <w:pStyle w:val="22"/>
        <w:spacing w:line="360" w:lineRule="auto"/>
        <w:jc w:val="center"/>
        <w:rPr>
          <w:rFonts w:hint="eastAsia" w:ascii="宋体" w:hAnsi="宋体"/>
          <w:b/>
          <w:color w:val="auto"/>
          <w:sz w:val="24"/>
          <w:szCs w:val="24"/>
          <w:highlight w:val="none"/>
        </w:rPr>
      </w:pPr>
      <w:r>
        <w:rPr>
          <w:rFonts w:hint="eastAsia" w:ascii="宋体" w:hAnsi="宋体"/>
          <w:b/>
          <w:color w:val="auto"/>
          <w:sz w:val="24"/>
          <w:szCs w:val="24"/>
          <w:highlight w:val="none"/>
        </w:rPr>
        <w:t>（以下内容为打印的纸质版签字及盖章后的扫描件）</w:t>
      </w:r>
    </w:p>
    <w:p>
      <w:pPr>
        <w:keepNext w:val="0"/>
        <w:keepLines w:val="0"/>
        <w:pageBreakBefore w:val="0"/>
        <w:widowControl w:val="0"/>
        <w:kinsoku/>
        <w:overflowPunct/>
        <w:topLinePunct/>
        <w:bidi w:val="0"/>
        <w:snapToGrid/>
        <w:spacing w:beforeAutospacing="0" w:afterAutospacing="0" w:line="312" w:lineRule="auto"/>
        <w:ind w:left="0" w:leftChars="0" w:right="0"/>
        <w:jc w:val="center"/>
        <w:textAlignment w:val="auto"/>
        <w:rPr>
          <w:rFonts w:hint="eastAsia" w:ascii="宋体" w:hAnsi="宋体" w:eastAsia="宋体" w:cs="宋体"/>
          <w:b/>
          <w:color w:val="auto"/>
          <w:sz w:val="24"/>
          <w:szCs w:val="24"/>
          <w:highlight w:val="none"/>
        </w:rPr>
      </w:pPr>
    </w:p>
    <w:p>
      <w:pPr>
        <w:keepNext w:val="0"/>
        <w:keepLines w:val="0"/>
        <w:pageBreakBefore w:val="0"/>
        <w:widowControl w:val="0"/>
        <w:kinsoku/>
        <w:overflowPunct/>
        <w:topLinePunct/>
        <w:bidi w:val="0"/>
        <w:snapToGrid/>
        <w:spacing w:beforeAutospacing="0" w:afterAutospacing="0" w:line="312" w:lineRule="auto"/>
        <w:ind w:left="0" w:leftChars="0" w:right="0"/>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授权委托书</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如有</w:t>
      </w:r>
      <w:r>
        <w:rPr>
          <w:rFonts w:hint="eastAsia" w:ascii="宋体" w:hAnsi="宋体" w:cs="宋体"/>
          <w:b/>
          <w:color w:val="auto"/>
          <w:sz w:val="24"/>
          <w:szCs w:val="24"/>
          <w:highlight w:val="none"/>
          <w:lang w:eastAsia="zh-CN"/>
        </w:rPr>
        <w:t>）</w:t>
      </w:r>
    </w:p>
    <w:p>
      <w:pPr>
        <w:keepNext w:val="0"/>
        <w:keepLines w:val="0"/>
        <w:pageBreakBefore w:val="0"/>
        <w:widowControl w:val="0"/>
        <w:kinsoku/>
        <w:overflowPunct/>
        <w:bidi w:val="0"/>
        <w:snapToGrid/>
        <w:spacing w:beforeAutospacing="0" w:afterAutospacing="0" w:line="312" w:lineRule="auto"/>
        <w:ind w:left="0" w:leftChars="0" w:right="0"/>
        <w:textAlignment w:val="auto"/>
        <w:outlineLvl w:val="9"/>
        <w:rPr>
          <w:rFonts w:hint="eastAsia" w:ascii="宋体" w:hAnsi="宋体" w:eastAsia="宋体" w:cs="宋体"/>
          <w:color w:val="auto"/>
          <w:highlight w:val="none"/>
        </w:rPr>
      </w:pPr>
    </w:p>
    <w:p>
      <w:pPr>
        <w:keepNext w:val="0"/>
        <w:keepLines w:val="0"/>
        <w:pageBreakBefore w:val="0"/>
        <w:widowControl w:val="0"/>
        <w:kinsoku/>
        <w:overflowPunct/>
        <w:topLinePunct/>
        <w:bidi w:val="0"/>
        <w:snapToGrid/>
        <w:spacing w:beforeAutospacing="0" w:afterAutospacing="0" w:line="312" w:lineRule="auto"/>
        <w:ind w:left="0" w:leftChars="0" w:right="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lang w:val="en-US" w:eastAsia="zh-CN"/>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（姓名）为我方代理人。代理人根据授权，以我方名义签署、澄清</w:t>
      </w:r>
      <w:r>
        <w:rPr>
          <w:rFonts w:hint="eastAsia" w:ascii="宋体" w:hAnsi="宋体" w:eastAsia="宋体" w:cs="宋体"/>
          <w:color w:val="auto"/>
          <w:szCs w:val="21"/>
          <w:highlight w:val="none"/>
          <w:lang w:eastAsia="zh-CN"/>
        </w:rPr>
        <w:t>确认</w:t>
      </w:r>
      <w:r>
        <w:rPr>
          <w:rFonts w:hint="eastAsia" w:ascii="宋体" w:hAnsi="宋体" w:eastAsia="宋体" w:cs="宋体"/>
          <w:color w:val="auto"/>
          <w:szCs w:val="21"/>
          <w:highlight w:val="none"/>
        </w:rPr>
        <w:t>、递交、撤回、修改</w:t>
      </w:r>
      <w:r>
        <w:rPr>
          <w:rFonts w:hint="eastAsia" w:ascii="宋体" w:hAnsi="宋体" w:eastAsia="宋体" w:cs="宋体"/>
          <w:color w:val="auto"/>
          <w:highlight w:val="none"/>
          <w:u w:val="single"/>
          <w:lang w:val="en-US" w:eastAsia="zh-CN"/>
        </w:rPr>
        <w:t xml:space="preserve"> （项目名称）</w:t>
      </w:r>
      <w:r>
        <w:rPr>
          <w:rFonts w:hint="eastAsia" w:ascii="宋体" w:hAnsi="宋体" w:eastAsia="宋体" w:cs="宋体"/>
          <w:b w:val="0"/>
          <w:bCs w:val="0"/>
          <w:color w:val="auto"/>
          <w:highlight w:val="none"/>
          <w:u w:val="single"/>
          <w:lang w:val="en-US" w:eastAsia="zh-CN"/>
        </w:rPr>
        <w:t xml:space="preserve"> </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lang w:eastAsia="zh-CN"/>
        </w:rPr>
        <w:t>文件</w:t>
      </w:r>
      <w:r>
        <w:rPr>
          <w:rFonts w:hint="eastAsia" w:ascii="宋体" w:hAnsi="宋体" w:eastAsia="宋体" w:cs="宋体"/>
          <w:color w:val="auto"/>
          <w:szCs w:val="21"/>
          <w:highlight w:val="none"/>
        </w:rPr>
        <w:t>、签订合同和处理有关事宜，其法律后果由我方承担。</w:t>
      </w:r>
    </w:p>
    <w:p>
      <w:pPr>
        <w:keepNext w:val="0"/>
        <w:keepLines w:val="0"/>
        <w:pageBreakBefore w:val="0"/>
        <w:widowControl w:val="0"/>
        <w:kinsoku/>
        <w:overflowPunct/>
        <w:topLinePunct/>
        <w:bidi w:val="0"/>
        <w:snapToGrid/>
        <w:spacing w:beforeAutospacing="0" w:afterAutospacing="0" w:line="312" w:lineRule="auto"/>
        <w:ind w:left="0" w:leftChars="0" w:right="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u w:val="single"/>
          <w:lang w:eastAsia="zh-CN"/>
        </w:rPr>
        <w:t>自本委托书签署之日起至项目签订采购合同之日止</w:t>
      </w:r>
      <w:r>
        <w:rPr>
          <w:rFonts w:hint="eastAsia" w:ascii="宋体" w:hAnsi="宋体" w:eastAsia="宋体" w:cs="宋体"/>
          <w:color w:val="auto"/>
          <w:szCs w:val="21"/>
          <w:highlight w:val="none"/>
        </w:rPr>
        <w:t>。</w:t>
      </w:r>
    </w:p>
    <w:p>
      <w:pPr>
        <w:keepNext w:val="0"/>
        <w:keepLines w:val="0"/>
        <w:pageBreakBefore w:val="0"/>
        <w:widowControl w:val="0"/>
        <w:kinsoku/>
        <w:overflowPunct/>
        <w:bidi w:val="0"/>
        <w:snapToGrid/>
        <w:spacing w:beforeAutospacing="0" w:afterAutospacing="0" w:line="312"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w:t>
      </w:r>
    </w:p>
    <w:p>
      <w:pPr>
        <w:keepNext w:val="0"/>
        <w:keepLines w:val="0"/>
        <w:pageBreakBefore w:val="0"/>
        <w:widowControl w:val="0"/>
        <w:kinsoku/>
        <w:overflowPunct/>
        <w:bidi w:val="0"/>
        <w:snapToGrid/>
        <w:spacing w:beforeAutospacing="0" w:afterAutospacing="0" w:line="312" w:lineRule="auto"/>
        <w:ind w:left="0" w:leftChars="0" w:right="0" w:firstLine="420" w:firstLineChars="200"/>
        <w:textAlignment w:val="auto"/>
        <w:rPr>
          <w:rFonts w:hint="eastAsia" w:ascii="宋体" w:hAnsi="宋体" w:eastAsia="宋体" w:cs="宋体"/>
          <w:color w:val="auto"/>
          <w:highlight w:val="none"/>
        </w:rPr>
      </w:pPr>
    </w:p>
    <w:p>
      <w:pPr>
        <w:keepNext w:val="0"/>
        <w:keepLines w:val="0"/>
        <w:pageBreakBefore w:val="0"/>
        <w:widowControl w:val="0"/>
        <w:kinsoku/>
        <w:overflowPunct/>
        <w:bidi w:val="0"/>
        <w:snapToGrid/>
        <w:spacing w:beforeAutospacing="0" w:afterAutospacing="0" w:line="312" w:lineRule="auto"/>
        <w:ind w:left="0" w:leftChars="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附：委托代理人身份证复印件。</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4643" w:type="dxa"/>
            <w:noWrap w:val="0"/>
            <w:vAlign w:val="top"/>
          </w:tcPr>
          <w:p>
            <w:pPr>
              <w:pStyle w:val="39"/>
              <w:keepNext w:val="0"/>
              <w:keepLines w:val="0"/>
              <w:pageBreakBefore w:val="0"/>
              <w:widowControl w:val="0"/>
              <w:suppressLineNumbers w:val="0"/>
              <w:kinsoku/>
              <w:overflowPunct/>
              <w:bidi w:val="0"/>
              <w:snapToGrid/>
              <w:spacing w:before="0" w:beforeAutospacing="0" w:after="0" w:afterAutospacing="0" w:line="312" w:lineRule="auto"/>
              <w:ind w:left="0" w:leftChars="0" w:right="0"/>
              <w:textAlignment w:val="auto"/>
              <w:outlineLvl w:val="9"/>
              <w:rPr>
                <w:rFonts w:hint="eastAsia" w:ascii="宋体" w:hAnsi="宋体" w:eastAsia="宋体" w:cs="宋体"/>
                <w:color w:val="auto"/>
                <w:highlight w:val="none"/>
                <w:vertAlign w:val="baseline"/>
              </w:rPr>
            </w:pPr>
          </w:p>
        </w:tc>
        <w:tc>
          <w:tcPr>
            <w:tcW w:w="4643" w:type="dxa"/>
            <w:noWrap w:val="0"/>
            <w:vAlign w:val="top"/>
          </w:tcPr>
          <w:p>
            <w:pPr>
              <w:pStyle w:val="39"/>
              <w:keepNext w:val="0"/>
              <w:keepLines w:val="0"/>
              <w:pageBreakBefore w:val="0"/>
              <w:widowControl w:val="0"/>
              <w:suppressLineNumbers w:val="0"/>
              <w:kinsoku/>
              <w:overflowPunct/>
              <w:bidi w:val="0"/>
              <w:snapToGrid/>
              <w:spacing w:before="0" w:beforeAutospacing="0" w:after="0" w:afterAutospacing="0" w:line="312" w:lineRule="auto"/>
              <w:ind w:left="0" w:leftChars="0" w:right="0"/>
              <w:textAlignment w:val="auto"/>
              <w:outlineLvl w:val="9"/>
              <w:rPr>
                <w:rFonts w:hint="eastAsia" w:ascii="宋体" w:hAnsi="宋体" w:eastAsia="宋体" w:cs="宋体"/>
                <w:color w:val="auto"/>
                <w:highlight w:val="none"/>
                <w:vertAlign w:val="baseline"/>
              </w:rPr>
            </w:pPr>
          </w:p>
        </w:tc>
      </w:tr>
    </w:tbl>
    <w:p>
      <w:pPr>
        <w:keepNext w:val="0"/>
        <w:keepLines w:val="0"/>
        <w:pageBreakBefore w:val="0"/>
        <w:widowControl w:val="0"/>
        <w:kinsoku/>
        <w:overflowPunct/>
        <w:bidi w:val="0"/>
        <w:snapToGrid/>
        <w:spacing w:beforeAutospacing="0" w:afterAutospacing="0" w:line="312" w:lineRule="auto"/>
        <w:ind w:left="0" w:leftChars="0" w:right="0"/>
        <w:textAlignment w:val="auto"/>
        <w:rPr>
          <w:rFonts w:hint="eastAsia" w:ascii="宋体" w:hAnsi="宋体" w:eastAsia="宋体" w:cs="宋体"/>
          <w:color w:val="auto"/>
          <w:highlight w:val="none"/>
        </w:rPr>
      </w:pPr>
    </w:p>
    <w:p>
      <w:pPr>
        <w:keepNext w:val="0"/>
        <w:keepLines w:val="0"/>
        <w:pageBreakBefore w:val="0"/>
        <w:widowControl w:val="0"/>
        <w:kinsoku/>
        <w:overflowPunct/>
        <w:bidi w:val="0"/>
        <w:snapToGrid/>
        <w:spacing w:beforeAutospacing="0" w:afterAutospacing="0" w:line="312" w:lineRule="auto"/>
        <w:ind w:left="0" w:leftChars="0" w:right="0"/>
        <w:textAlignment w:val="auto"/>
        <w:rPr>
          <w:rFonts w:hint="eastAsia" w:ascii="宋体" w:hAnsi="宋体" w:eastAsia="宋体" w:cs="宋体"/>
          <w:color w:val="auto"/>
          <w:szCs w:val="21"/>
          <w:highlight w:val="none"/>
        </w:rPr>
      </w:pPr>
    </w:p>
    <w:p>
      <w:pPr>
        <w:keepNext w:val="0"/>
        <w:keepLines w:val="0"/>
        <w:pageBreakBefore w:val="0"/>
        <w:widowControl w:val="0"/>
        <w:kinsoku/>
        <w:overflowPunct/>
        <w:bidi w:val="0"/>
        <w:snapToGrid/>
        <w:spacing w:beforeAutospacing="0" w:afterAutospacing="0" w:line="312" w:lineRule="auto"/>
        <w:ind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r>
        <w:rPr>
          <w:rFonts w:hint="eastAsia" w:ascii="宋体" w:hAnsi="宋体" w:eastAsia="宋体" w:cs="宋体"/>
          <w:color w:val="auto"/>
          <w:szCs w:val="21"/>
          <w:highlight w:val="none"/>
          <w:lang w:eastAsia="zh-CN"/>
        </w:rPr>
        <w:t>或</w:t>
      </w:r>
      <w:r>
        <w:rPr>
          <w:rFonts w:hint="eastAsia" w:ascii="宋体" w:hAnsi="宋体"/>
          <w:color w:val="auto"/>
          <w:szCs w:val="21"/>
          <w:highlight w:val="none"/>
        </w:rPr>
        <w:t>电子印章</w:t>
      </w:r>
      <w:r>
        <w:rPr>
          <w:rFonts w:hint="eastAsia" w:ascii="宋体" w:hAnsi="宋体" w:eastAsia="宋体" w:cs="宋体"/>
          <w:color w:val="auto"/>
          <w:szCs w:val="21"/>
          <w:highlight w:val="none"/>
        </w:rPr>
        <w:t>）</w:t>
      </w:r>
    </w:p>
    <w:p>
      <w:pPr>
        <w:keepNext w:val="0"/>
        <w:keepLines w:val="0"/>
        <w:pageBreakBefore w:val="0"/>
        <w:widowControl w:val="0"/>
        <w:kinsoku/>
        <w:overflowPunct/>
        <w:bidi w:val="0"/>
        <w:snapToGrid/>
        <w:spacing w:beforeAutospacing="0" w:afterAutospacing="0" w:line="312" w:lineRule="auto"/>
        <w:ind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eastAsia="zh-CN"/>
        </w:rPr>
        <w:t>或签章</w:t>
      </w:r>
      <w:r>
        <w:rPr>
          <w:rFonts w:hint="eastAsia" w:ascii="宋体" w:hAnsi="宋体" w:eastAsia="宋体" w:cs="宋体"/>
          <w:color w:val="auto"/>
          <w:szCs w:val="21"/>
          <w:highlight w:val="none"/>
        </w:rPr>
        <w:t>）</w:t>
      </w:r>
    </w:p>
    <w:p>
      <w:pPr>
        <w:keepNext w:val="0"/>
        <w:keepLines w:val="0"/>
        <w:pageBreakBefore w:val="0"/>
        <w:widowControl w:val="0"/>
        <w:kinsoku/>
        <w:overflowPunct/>
        <w:bidi w:val="0"/>
        <w:snapToGrid/>
        <w:spacing w:beforeAutospacing="0" w:afterAutospacing="0" w:line="312" w:lineRule="auto"/>
        <w:ind w:right="0"/>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pPr>
        <w:spacing w:line="360" w:lineRule="auto"/>
        <w:rPr>
          <w:rFonts w:hint="default" w:eastAsia="宋体"/>
          <w:color w:val="auto"/>
          <w:highlight w:val="none"/>
          <w:lang w:val="en-US" w:eastAsia="zh-CN"/>
        </w:rPr>
      </w:pPr>
      <w:r>
        <w:rPr>
          <w:rFonts w:hint="eastAsia" w:ascii="宋体" w:hAnsi="宋体" w:eastAsia="宋体" w:cs="宋体"/>
          <w:color w:val="auto"/>
          <w:szCs w:val="21"/>
          <w:highlight w:val="none"/>
          <w:lang w:val="en-US" w:eastAsia="zh-CN"/>
        </w:rPr>
        <w:t>电话</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p>
    <w:p>
      <w:pPr>
        <w:keepNext w:val="0"/>
        <w:keepLines w:val="0"/>
        <w:pageBreakBefore w:val="0"/>
        <w:widowControl w:val="0"/>
        <w:kinsoku/>
        <w:overflowPunct/>
        <w:bidi w:val="0"/>
        <w:snapToGrid/>
        <w:spacing w:beforeAutospacing="0" w:afterAutospacing="0" w:line="312" w:lineRule="auto"/>
        <w:ind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eastAsia="zh-CN"/>
        </w:rPr>
        <w:t>或签章</w:t>
      </w:r>
      <w:r>
        <w:rPr>
          <w:rFonts w:hint="eastAsia" w:ascii="宋体" w:hAnsi="宋体" w:eastAsia="宋体" w:cs="宋体"/>
          <w:color w:val="auto"/>
          <w:szCs w:val="21"/>
          <w:highlight w:val="none"/>
        </w:rPr>
        <w:t xml:space="preserve">） </w:t>
      </w:r>
    </w:p>
    <w:p>
      <w:pPr>
        <w:keepNext w:val="0"/>
        <w:keepLines w:val="0"/>
        <w:pageBreakBefore w:val="0"/>
        <w:widowControl w:val="0"/>
        <w:kinsoku/>
        <w:overflowPunct/>
        <w:bidi w:val="0"/>
        <w:snapToGrid/>
        <w:spacing w:beforeAutospacing="0" w:afterAutospacing="0" w:line="312" w:lineRule="auto"/>
        <w:ind w:right="0"/>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pPr>
        <w:spacing w:line="360" w:lineRule="auto"/>
        <w:rPr>
          <w:rFonts w:hint="eastAsia"/>
          <w:color w:val="auto"/>
          <w:highlight w:val="none"/>
        </w:rPr>
      </w:pPr>
      <w:r>
        <w:rPr>
          <w:rFonts w:hint="eastAsia" w:ascii="宋体" w:hAnsi="宋体" w:eastAsia="宋体" w:cs="宋体"/>
          <w:color w:val="auto"/>
          <w:szCs w:val="21"/>
          <w:highlight w:val="none"/>
          <w:lang w:val="en-US" w:eastAsia="zh-CN"/>
        </w:rPr>
        <w:t>电话</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p>
    <w:p>
      <w:pPr>
        <w:keepNext w:val="0"/>
        <w:keepLines w:val="0"/>
        <w:pageBreakBefore w:val="0"/>
        <w:widowControl w:val="0"/>
        <w:kinsoku/>
        <w:overflowPunct/>
        <w:bidi w:val="0"/>
        <w:snapToGrid/>
        <w:spacing w:beforeAutospacing="0" w:afterAutospacing="0" w:line="312" w:lineRule="auto"/>
        <w:ind w:left="0" w:leftChars="0" w:right="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rPr>
          <w:color w:val="auto"/>
          <w:highlight w:val="none"/>
        </w:rPr>
      </w:pPr>
      <w:r>
        <w:rPr>
          <w:color w:val="auto"/>
          <w:highlight w:val="none"/>
        </w:rPr>
        <w:br w:type="page"/>
      </w:r>
    </w:p>
    <w:p>
      <w:pPr>
        <w:pStyle w:val="4"/>
        <w:rPr>
          <w:color w:val="auto"/>
          <w:highlight w:val="none"/>
        </w:rPr>
      </w:pPr>
      <w:bookmarkStart w:id="2182" w:name="_Toc13507"/>
      <w:bookmarkStart w:id="2183" w:name="_Toc31200"/>
      <w:bookmarkStart w:id="2184" w:name="_Toc27255"/>
      <w:bookmarkStart w:id="2185" w:name="_Toc13568"/>
      <w:bookmarkStart w:id="2186" w:name="_Toc9210"/>
      <w:bookmarkStart w:id="2187" w:name="_Toc17980"/>
      <w:bookmarkStart w:id="2188" w:name="_Toc20005"/>
      <w:r>
        <w:rPr>
          <w:rFonts w:hint="eastAsia"/>
          <w:color w:val="auto"/>
          <w:highlight w:val="none"/>
        </w:rPr>
        <w:t>二、投标人关联企业情况声明</w:t>
      </w:r>
      <w:bookmarkEnd w:id="2182"/>
      <w:bookmarkEnd w:id="2183"/>
      <w:bookmarkEnd w:id="2184"/>
      <w:bookmarkEnd w:id="2185"/>
      <w:bookmarkEnd w:id="2186"/>
      <w:bookmarkEnd w:id="2187"/>
      <w:bookmarkEnd w:id="2188"/>
    </w:p>
    <w:p>
      <w:pPr>
        <w:pStyle w:val="22"/>
        <w:spacing w:line="360" w:lineRule="auto"/>
        <w:jc w:val="center"/>
        <w:rPr>
          <w:rFonts w:hint="eastAsia" w:ascii="宋体" w:hAnsi="宋体"/>
          <w:color w:val="auto"/>
          <w:szCs w:val="21"/>
          <w:highlight w:val="none"/>
        </w:rPr>
      </w:pPr>
      <w:r>
        <w:rPr>
          <w:rFonts w:hint="eastAsia" w:ascii="宋体" w:hAnsi="宋体"/>
          <w:b/>
          <w:color w:val="auto"/>
          <w:sz w:val="24"/>
          <w:szCs w:val="24"/>
          <w:highlight w:val="none"/>
        </w:rPr>
        <w:t>（以下内容为打印的纸质版签字及盖章后的扫描件）</w:t>
      </w:r>
    </w:p>
    <w:p>
      <w:pPr>
        <w:spacing w:line="360" w:lineRule="auto"/>
        <w:rPr>
          <w:rFonts w:ascii="宋体" w:hAnsi="宋体"/>
          <w:color w:val="auto"/>
          <w:szCs w:val="21"/>
          <w:highlight w:val="none"/>
        </w:rPr>
      </w:pPr>
      <w:r>
        <w:rPr>
          <w:rFonts w:hint="eastAsia" w:ascii="宋体" w:hAnsi="宋体"/>
          <w:color w:val="auto"/>
          <w:szCs w:val="21"/>
          <w:highlight w:val="none"/>
        </w:rPr>
        <w:t>致招标人</w:t>
      </w:r>
      <w:r>
        <w:rPr>
          <w:rFonts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我公司郑重声明如下：</w:t>
      </w:r>
    </w:p>
    <w:p>
      <w:pPr>
        <w:numPr>
          <w:ilvl w:val="0"/>
          <w:numId w:val="17"/>
        </w:numPr>
        <w:spacing w:line="360" w:lineRule="auto"/>
        <w:ind w:firstLine="48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本公司的母公司及控股公司情况；</w:t>
      </w:r>
    </w:p>
    <w:p>
      <w:pPr>
        <w:numPr>
          <w:ilvl w:val="0"/>
          <w:numId w:val="17"/>
        </w:numPr>
        <w:spacing w:line="360" w:lineRule="auto"/>
        <w:ind w:firstLine="480"/>
        <w:rPr>
          <w:rFonts w:hint="default"/>
          <w:color w:val="auto"/>
          <w:highlight w:val="none"/>
          <w:lang w:val="en-US" w:eastAsia="zh-CN"/>
        </w:rPr>
      </w:pPr>
      <w:r>
        <w:rPr>
          <w:rFonts w:hint="eastAsia"/>
          <w:color w:val="auto"/>
          <w:highlight w:val="none"/>
          <w:lang w:val="en-US" w:eastAsia="zh-CN"/>
        </w:rPr>
        <w:t>属于同一母公司或同一控股公司的其他公司的情况；</w:t>
      </w:r>
    </w:p>
    <w:tbl>
      <w:tblPr>
        <w:tblStyle w:val="43"/>
        <w:tblW w:w="99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1800"/>
        <w:gridCol w:w="1389"/>
        <w:gridCol w:w="70"/>
        <w:gridCol w:w="1781"/>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270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母公司及控股公司</w:t>
            </w:r>
            <w:r>
              <w:rPr>
                <w:rFonts w:hint="eastAsia" w:ascii="宋体" w:hAnsi="宋体"/>
                <w:color w:val="auto"/>
                <w:szCs w:val="21"/>
                <w:highlight w:val="none"/>
              </w:rPr>
              <w:t>名称</w:t>
            </w:r>
          </w:p>
        </w:tc>
        <w:tc>
          <w:tcPr>
            <w:tcW w:w="180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控股（出资）比例(%)</w:t>
            </w:r>
          </w:p>
        </w:tc>
        <w:tc>
          <w:tcPr>
            <w:tcW w:w="1459" w:type="dxa"/>
            <w:gridSpan w:val="2"/>
            <w:vAlign w:val="center"/>
          </w:tcPr>
          <w:p>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法定代表人</w:t>
            </w:r>
          </w:p>
        </w:tc>
        <w:tc>
          <w:tcPr>
            <w:tcW w:w="1781"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联系人及电话</w:t>
            </w:r>
          </w:p>
        </w:tc>
        <w:tc>
          <w:tcPr>
            <w:tcW w:w="216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公司</w:t>
            </w:r>
            <w:r>
              <w:rPr>
                <w:rFonts w:hint="eastAsia" w:ascii="宋体" w:hAnsi="宋体"/>
                <w:color w:val="auto"/>
                <w:szCs w:val="21"/>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Pr>
          <w:p>
            <w:pPr>
              <w:spacing w:line="360" w:lineRule="auto"/>
              <w:rPr>
                <w:rFonts w:ascii="宋体" w:hAnsi="宋体"/>
                <w:color w:val="auto"/>
                <w:szCs w:val="21"/>
                <w:highlight w:val="none"/>
              </w:rPr>
            </w:pPr>
          </w:p>
        </w:tc>
        <w:tc>
          <w:tcPr>
            <w:tcW w:w="1800" w:type="dxa"/>
          </w:tcPr>
          <w:p>
            <w:pPr>
              <w:spacing w:line="360" w:lineRule="auto"/>
              <w:rPr>
                <w:rFonts w:ascii="宋体" w:hAnsi="宋体"/>
                <w:color w:val="auto"/>
                <w:szCs w:val="21"/>
                <w:highlight w:val="none"/>
              </w:rPr>
            </w:pPr>
          </w:p>
        </w:tc>
        <w:tc>
          <w:tcPr>
            <w:tcW w:w="1459" w:type="dxa"/>
            <w:gridSpan w:val="2"/>
          </w:tcPr>
          <w:p>
            <w:pPr>
              <w:spacing w:line="360" w:lineRule="auto"/>
              <w:rPr>
                <w:rFonts w:ascii="宋体" w:hAnsi="宋体"/>
                <w:color w:val="auto"/>
                <w:szCs w:val="21"/>
                <w:highlight w:val="none"/>
              </w:rPr>
            </w:pPr>
          </w:p>
        </w:tc>
        <w:tc>
          <w:tcPr>
            <w:tcW w:w="1781" w:type="dxa"/>
          </w:tcPr>
          <w:p>
            <w:pPr>
              <w:spacing w:line="360" w:lineRule="auto"/>
              <w:rPr>
                <w:rFonts w:ascii="宋体" w:hAnsi="宋体"/>
                <w:color w:val="auto"/>
                <w:szCs w:val="21"/>
                <w:highlight w:val="none"/>
              </w:rPr>
            </w:pPr>
          </w:p>
        </w:tc>
        <w:tc>
          <w:tcPr>
            <w:tcW w:w="2160" w:type="dxa"/>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Pr>
          <w:p>
            <w:pPr>
              <w:spacing w:line="360" w:lineRule="auto"/>
              <w:rPr>
                <w:rFonts w:ascii="宋体" w:hAnsi="宋体"/>
                <w:color w:val="auto"/>
                <w:szCs w:val="21"/>
                <w:highlight w:val="none"/>
              </w:rPr>
            </w:pPr>
          </w:p>
        </w:tc>
        <w:tc>
          <w:tcPr>
            <w:tcW w:w="1800" w:type="dxa"/>
          </w:tcPr>
          <w:p>
            <w:pPr>
              <w:spacing w:line="360" w:lineRule="auto"/>
              <w:rPr>
                <w:rFonts w:ascii="宋体" w:hAnsi="宋体"/>
                <w:color w:val="auto"/>
                <w:szCs w:val="21"/>
                <w:highlight w:val="none"/>
              </w:rPr>
            </w:pPr>
          </w:p>
        </w:tc>
        <w:tc>
          <w:tcPr>
            <w:tcW w:w="1459" w:type="dxa"/>
            <w:gridSpan w:val="2"/>
          </w:tcPr>
          <w:p>
            <w:pPr>
              <w:spacing w:line="360" w:lineRule="auto"/>
              <w:rPr>
                <w:rFonts w:ascii="宋体" w:hAnsi="宋体"/>
                <w:color w:val="auto"/>
                <w:szCs w:val="21"/>
                <w:highlight w:val="none"/>
              </w:rPr>
            </w:pPr>
          </w:p>
        </w:tc>
        <w:tc>
          <w:tcPr>
            <w:tcW w:w="1781" w:type="dxa"/>
          </w:tcPr>
          <w:p>
            <w:pPr>
              <w:spacing w:line="360" w:lineRule="auto"/>
              <w:rPr>
                <w:rFonts w:ascii="宋体" w:hAnsi="宋体"/>
                <w:color w:val="auto"/>
                <w:szCs w:val="21"/>
                <w:highlight w:val="none"/>
              </w:rPr>
            </w:pPr>
          </w:p>
        </w:tc>
        <w:tc>
          <w:tcPr>
            <w:tcW w:w="2160" w:type="dxa"/>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0" w:type="dxa"/>
            <w:gridSpan w:val="6"/>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2700" w:type="dxa"/>
            <w:vAlign w:val="center"/>
          </w:tcPr>
          <w:p>
            <w:pPr>
              <w:spacing w:line="360" w:lineRule="auto"/>
              <w:jc w:val="center"/>
              <w:rPr>
                <w:rFonts w:ascii="宋体" w:hAnsi="宋体"/>
                <w:color w:val="auto"/>
                <w:szCs w:val="21"/>
                <w:highlight w:val="none"/>
              </w:rPr>
            </w:pPr>
            <w:r>
              <w:rPr>
                <w:rFonts w:hint="eastAsia"/>
                <w:color w:val="auto"/>
                <w:highlight w:val="none"/>
                <w:lang w:val="en-US" w:eastAsia="zh-CN"/>
              </w:rPr>
              <w:t>属于同一母公司或同一控股公司的其他公司</w:t>
            </w:r>
            <w:r>
              <w:rPr>
                <w:rFonts w:hint="eastAsia" w:ascii="宋体" w:hAnsi="宋体"/>
                <w:color w:val="auto"/>
                <w:szCs w:val="21"/>
                <w:highlight w:val="none"/>
              </w:rPr>
              <w:t>名称</w:t>
            </w:r>
          </w:p>
        </w:tc>
        <w:tc>
          <w:tcPr>
            <w:tcW w:w="3189" w:type="dxa"/>
            <w:gridSpan w:val="2"/>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法定代表人</w:t>
            </w:r>
          </w:p>
        </w:tc>
        <w:tc>
          <w:tcPr>
            <w:tcW w:w="1851" w:type="dxa"/>
            <w:gridSpan w:val="2"/>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联系人及电话</w:t>
            </w:r>
          </w:p>
        </w:tc>
        <w:tc>
          <w:tcPr>
            <w:tcW w:w="216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公司</w:t>
            </w:r>
            <w:r>
              <w:rPr>
                <w:rFonts w:hint="eastAsia" w:ascii="宋体" w:hAnsi="宋体"/>
                <w:color w:val="auto"/>
                <w:szCs w:val="21"/>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Pr>
          <w:p>
            <w:pPr>
              <w:spacing w:line="360" w:lineRule="auto"/>
              <w:rPr>
                <w:rFonts w:ascii="宋体" w:hAnsi="宋体"/>
                <w:color w:val="auto"/>
                <w:szCs w:val="21"/>
                <w:highlight w:val="none"/>
              </w:rPr>
            </w:pPr>
          </w:p>
        </w:tc>
        <w:tc>
          <w:tcPr>
            <w:tcW w:w="3189" w:type="dxa"/>
            <w:gridSpan w:val="2"/>
          </w:tcPr>
          <w:p>
            <w:pPr>
              <w:spacing w:line="360" w:lineRule="auto"/>
              <w:rPr>
                <w:rFonts w:ascii="宋体" w:hAnsi="宋体"/>
                <w:color w:val="auto"/>
                <w:szCs w:val="21"/>
                <w:highlight w:val="none"/>
              </w:rPr>
            </w:pPr>
          </w:p>
        </w:tc>
        <w:tc>
          <w:tcPr>
            <w:tcW w:w="1851" w:type="dxa"/>
            <w:gridSpan w:val="2"/>
          </w:tcPr>
          <w:p>
            <w:pPr>
              <w:spacing w:line="360" w:lineRule="auto"/>
              <w:rPr>
                <w:rFonts w:ascii="宋体" w:hAnsi="宋体"/>
                <w:color w:val="auto"/>
                <w:szCs w:val="21"/>
                <w:highlight w:val="none"/>
              </w:rPr>
            </w:pPr>
          </w:p>
        </w:tc>
        <w:tc>
          <w:tcPr>
            <w:tcW w:w="2160" w:type="dxa"/>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Pr>
          <w:p>
            <w:pPr>
              <w:spacing w:line="360" w:lineRule="auto"/>
              <w:rPr>
                <w:rFonts w:ascii="宋体" w:hAnsi="宋体"/>
                <w:color w:val="auto"/>
                <w:szCs w:val="21"/>
                <w:highlight w:val="none"/>
              </w:rPr>
            </w:pPr>
          </w:p>
        </w:tc>
        <w:tc>
          <w:tcPr>
            <w:tcW w:w="3189" w:type="dxa"/>
            <w:gridSpan w:val="2"/>
          </w:tcPr>
          <w:p>
            <w:pPr>
              <w:spacing w:line="360" w:lineRule="auto"/>
              <w:rPr>
                <w:rFonts w:ascii="宋体" w:hAnsi="宋体"/>
                <w:color w:val="auto"/>
                <w:szCs w:val="21"/>
                <w:highlight w:val="none"/>
              </w:rPr>
            </w:pPr>
          </w:p>
        </w:tc>
        <w:tc>
          <w:tcPr>
            <w:tcW w:w="1851" w:type="dxa"/>
            <w:gridSpan w:val="2"/>
          </w:tcPr>
          <w:p>
            <w:pPr>
              <w:spacing w:line="360" w:lineRule="auto"/>
              <w:rPr>
                <w:rFonts w:ascii="宋体" w:hAnsi="宋体"/>
                <w:color w:val="auto"/>
                <w:szCs w:val="21"/>
                <w:highlight w:val="none"/>
              </w:rPr>
            </w:pPr>
          </w:p>
        </w:tc>
        <w:tc>
          <w:tcPr>
            <w:tcW w:w="2160" w:type="dxa"/>
          </w:tcPr>
          <w:p>
            <w:pPr>
              <w:spacing w:line="360" w:lineRule="auto"/>
              <w:rPr>
                <w:rFonts w:ascii="宋体" w:hAnsi="宋体"/>
                <w:color w:val="auto"/>
                <w:szCs w:val="21"/>
                <w:highlight w:val="none"/>
              </w:rPr>
            </w:pPr>
          </w:p>
        </w:tc>
      </w:tr>
    </w:tbl>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我公司承诺：如未提供或未如实填写直接上级控股/管理单位和直接下级控股/管理单位，</w:t>
      </w:r>
      <w:r>
        <w:rPr>
          <w:rFonts w:ascii="宋体" w:hAnsi="宋体"/>
          <w:color w:val="auto"/>
          <w:szCs w:val="21"/>
          <w:highlight w:val="none"/>
        </w:rPr>
        <w:t>接受本次投标</w:t>
      </w:r>
      <w:r>
        <w:rPr>
          <w:rFonts w:hint="eastAsia" w:ascii="宋体" w:hAnsi="宋体"/>
          <w:color w:val="auto"/>
          <w:szCs w:val="21"/>
          <w:highlight w:val="none"/>
        </w:rPr>
        <w:t>作为否决投标处理</w:t>
      </w:r>
      <w:r>
        <w:rPr>
          <w:rFonts w:ascii="宋体" w:hAnsi="宋体"/>
          <w:color w:val="auto"/>
          <w:szCs w:val="21"/>
          <w:highlight w:val="none"/>
        </w:rPr>
        <w:t>和按照南方电网公司供应商管理相关规定进行的相应处罚</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授权代表签名</w:t>
      </w:r>
      <w:r>
        <w:rPr>
          <w:rFonts w:hint="eastAsia" w:ascii="宋体" w:hAnsi="宋体"/>
          <w:color w:val="auto"/>
          <w:szCs w:val="21"/>
          <w:highlight w:val="none"/>
          <w:lang w:val="en-US" w:eastAsia="zh-CN"/>
        </w:rPr>
        <w:t>或签章</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盖单位</w:t>
      </w:r>
      <w:r>
        <w:rPr>
          <w:rFonts w:hint="eastAsia" w:ascii="宋体" w:hAnsi="宋体"/>
          <w:color w:val="auto"/>
          <w:szCs w:val="21"/>
          <w:highlight w:val="none"/>
        </w:rPr>
        <w:t>公章或电子印章：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日期：</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说明：若无关联企业，则在上述表格相关</w:t>
      </w:r>
      <w:r>
        <w:rPr>
          <w:rFonts w:ascii="宋体" w:hAnsi="宋体"/>
          <w:color w:val="auto"/>
          <w:szCs w:val="21"/>
          <w:highlight w:val="none"/>
        </w:rPr>
        <w:t>名称栏</w:t>
      </w:r>
      <w:r>
        <w:rPr>
          <w:rFonts w:hint="eastAsia" w:ascii="宋体" w:hAnsi="宋体"/>
          <w:color w:val="auto"/>
          <w:szCs w:val="21"/>
          <w:highlight w:val="none"/>
        </w:rPr>
        <w:t>中填写“无”。</w:t>
      </w:r>
    </w:p>
    <w:p>
      <w:pPr>
        <w:rPr>
          <w:color w:val="auto"/>
          <w:highlight w:val="none"/>
        </w:rPr>
      </w:pPr>
      <w:r>
        <w:rPr>
          <w:color w:val="auto"/>
          <w:highlight w:val="none"/>
        </w:rPr>
        <w:br w:type="page"/>
      </w:r>
    </w:p>
    <w:p>
      <w:pPr>
        <w:pStyle w:val="4"/>
        <w:rPr>
          <w:color w:val="auto"/>
          <w:highlight w:val="none"/>
        </w:rPr>
      </w:pPr>
      <w:bookmarkStart w:id="2189" w:name="_Toc4021"/>
      <w:bookmarkStart w:id="2190" w:name="_Toc9313"/>
      <w:bookmarkStart w:id="2191" w:name="_Toc7890"/>
      <w:bookmarkStart w:id="2192" w:name="_Toc27251"/>
      <w:bookmarkStart w:id="2193" w:name="_Toc20579"/>
      <w:bookmarkStart w:id="2194" w:name="_Toc1705"/>
      <w:bookmarkStart w:id="2195" w:name="_Toc430261280"/>
      <w:r>
        <w:rPr>
          <w:rFonts w:hint="eastAsia"/>
          <w:color w:val="auto"/>
          <w:highlight w:val="none"/>
        </w:rPr>
        <w:t>三、</w:t>
      </w:r>
      <w:bookmarkEnd w:id="2189"/>
      <w:bookmarkEnd w:id="2190"/>
      <w:bookmarkEnd w:id="2191"/>
      <w:bookmarkEnd w:id="2192"/>
      <w:bookmarkEnd w:id="2193"/>
      <w:bookmarkEnd w:id="2194"/>
      <w:r>
        <w:rPr>
          <w:rFonts w:hint="eastAsia"/>
          <w:color w:val="auto"/>
          <w:highlight w:val="none"/>
        </w:rPr>
        <w:t>严格执行“管理规范和技术（规范）标准”的承诺函</w:t>
      </w:r>
    </w:p>
    <w:p>
      <w:pPr>
        <w:pStyle w:val="22"/>
        <w:spacing w:line="480" w:lineRule="auto"/>
        <w:jc w:val="center"/>
        <w:rPr>
          <w:rFonts w:hint="eastAsia" w:ascii="宋体" w:hAnsi="宋体"/>
          <w:b/>
          <w:color w:val="auto"/>
          <w:sz w:val="24"/>
          <w:szCs w:val="24"/>
          <w:highlight w:val="none"/>
        </w:rPr>
      </w:pPr>
      <w:r>
        <w:rPr>
          <w:rFonts w:hint="eastAsia" w:ascii="宋体" w:hAnsi="宋体"/>
          <w:b/>
          <w:color w:val="auto"/>
          <w:sz w:val="24"/>
          <w:szCs w:val="24"/>
          <w:highlight w:val="none"/>
        </w:rPr>
        <w:t>（以下内容为打印的纸质版签字及盖章后的扫描件）</w:t>
      </w:r>
    </w:p>
    <w:p>
      <w:pPr>
        <w:pStyle w:val="22"/>
        <w:spacing w:line="480" w:lineRule="auto"/>
        <w:jc w:val="center"/>
        <w:rPr>
          <w:rFonts w:hint="eastAsia" w:ascii="宋体" w:hAnsi="宋体"/>
          <w:b/>
          <w:color w:val="auto"/>
          <w:sz w:val="24"/>
          <w:szCs w:val="24"/>
          <w:highlight w:val="none"/>
        </w:rPr>
      </w:pPr>
      <w:r>
        <w:rPr>
          <w:rFonts w:hint="eastAsia" w:hAnsi="宋体"/>
          <w:b/>
          <w:color w:val="auto"/>
          <w:sz w:val="24"/>
          <w:szCs w:val="24"/>
          <w:highlight w:val="none"/>
        </w:rPr>
        <w:t>严格执行“管理规范和技术（规范）标准”的承诺函</w:t>
      </w:r>
    </w:p>
    <w:p>
      <w:pPr>
        <w:pStyle w:val="22"/>
        <w:spacing w:line="480" w:lineRule="auto"/>
        <w:rPr>
          <w:rFonts w:hint="eastAsia" w:hAnsi="宋体"/>
          <w:color w:val="auto"/>
          <w:szCs w:val="21"/>
          <w:highlight w:val="none"/>
        </w:rPr>
      </w:pPr>
      <w:r>
        <w:rPr>
          <w:rFonts w:hint="eastAsia" w:hAnsi="宋体"/>
          <w:color w:val="auto"/>
          <w:szCs w:val="21"/>
          <w:highlight w:val="none"/>
        </w:rPr>
        <w:t>致</w:t>
      </w:r>
      <w:r>
        <w:rPr>
          <w:rFonts w:hint="eastAsia" w:hAnsi="宋体"/>
          <w:color w:val="auto"/>
          <w:szCs w:val="21"/>
          <w:highlight w:val="none"/>
          <w:u w:val="single"/>
        </w:rPr>
        <w:t>（招标人名称）</w:t>
      </w:r>
      <w:r>
        <w:rPr>
          <w:rFonts w:hint="eastAsia" w:hAnsi="宋体"/>
          <w:color w:val="auto"/>
          <w:szCs w:val="21"/>
          <w:highlight w:val="none"/>
        </w:rPr>
        <w:t>：</w:t>
      </w:r>
    </w:p>
    <w:p>
      <w:pPr>
        <w:tabs>
          <w:tab w:val="left" w:pos="8100"/>
        </w:tabs>
        <w:adjustRightInd w:val="0"/>
        <w:snapToGrid w:val="0"/>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我单位已认真阅读学习南方电网公司基建管理各项要求，并承诺本项目严格执行现行中华人民共和国以及省、自治区、直辖市或行业的有关法律法规、标准、规范要求，遵守中国南方电网有限责任公司相关管理制度和规定，包括但不限于《招标文件》“管理规范和技术（规范）标准”清单内容。</w:t>
      </w:r>
    </w:p>
    <w:p>
      <w:pPr>
        <w:tabs>
          <w:tab w:val="left" w:pos="8100"/>
        </w:tabs>
        <w:adjustRightInd w:val="0"/>
        <w:snapToGrid w:val="0"/>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我单位自愿</w:t>
      </w:r>
      <w:r>
        <w:rPr>
          <w:rFonts w:ascii="宋体" w:hAnsi="宋体"/>
          <w:color w:val="auto"/>
          <w:szCs w:val="21"/>
          <w:highlight w:val="none"/>
        </w:rPr>
        <w:t>参加</w:t>
      </w:r>
      <w:r>
        <w:rPr>
          <w:rFonts w:hint="eastAsia" w:ascii="宋体" w:hAnsi="宋体"/>
          <w:color w:val="auto"/>
          <w:szCs w:val="21"/>
          <w:highlight w:val="none"/>
        </w:rPr>
        <w:t>中国南方电网有限责任公司安全生产风险管理体系认证</w:t>
      </w:r>
      <w:r>
        <w:rPr>
          <w:rFonts w:ascii="宋体" w:hAnsi="宋体"/>
          <w:color w:val="auto"/>
          <w:szCs w:val="21"/>
          <w:highlight w:val="none"/>
        </w:rPr>
        <w:t>。</w:t>
      </w:r>
    </w:p>
    <w:p>
      <w:pPr>
        <w:tabs>
          <w:tab w:val="left" w:pos="8100"/>
        </w:tabs>
        <w:adjustRightInd w:val="0"/>
        <w:snapToGrid w:val="0"/>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如若违反相关条款，自愿接受上述文件规定的相关处罚。</w:t>
      </w:r>
    </w:p>
    <w:p>
      <w:pPr>
        <w:tabs>
          <w:tab w:val="left" w:pos="8100"/>
        </w:tabs>
        <w:adjustRightInd w:val="0"/>
        <w:snapToGrid w:val="0"/>
        <w:spacing w:line="480" w:lineRule="auto"/>
        <w:ind w:firstLine="420" w:firstLineChars="200"/>
        <w:rPr>
          <w:rFonts w:hint="eastAsia" w:ascii="宋体" w:hAnsi="宋体"/>
          <w:color w:val="auto"/>
          <w:szCs w:val="21"/>
          <w:highlight w:val="none"/>
        </w:rPr>
      </w:pPr>
    </w:p>
    <w:p>
      <w:pPr>
        <w:tabs>
          <w:tab w:val="left" w:pos="8100"/>
        </w:tabs>
        <w:adjustRightInd w:val="0"/>
        <w:snapToGrid w:val="0"/>
        <w:spacing w:line="480" w:lineRule="auto"/>
        <w:ind w:firstLine="420" w:firstLineChars="200"/>
        <w:jc w:val="right"/>
        <w:rPr>
          <w:rFonts w:hint="eastAsia" w:ascii="宋体" w:hAnsi="宋体"/>
          <w:color w:val="auto"/>
          <w:szCs w:val="21"/>
          <w:highlight w:val="none"/>
        </w:rPr>
      </w:pPr>
      <w:r>
        <w:rPr>
          <w:rFonts w:hint="eastAsia" w:ascii="宋体" w:hAnsi="宋体" w:eastAsia="宋体" w:cs="宋体"/>
          <w:color w:val="auto"/>
          <w:sz w:val="21"/>
          <w:szCs w:val="21"/>
          <w:highlight w:val="none"/>
        </w:rPr>
        <w:t>投标人</w:t>
      </w:r>
      <w:r>
        <w:rPr>
          <w:rFonts w:hint="eastAsia" w:ascii="宋体" w:hAnsi="宋体"/>
          <w:color w:val="auto"/>
          <w:szCs w:val="21"/>
          <w:highlight w:val="none"/>
        </w:rPr>
        <w:t>：________________（盖单位公章或电子印章）</w:t>
      </w:r>
    </w:p>
    <w:p>
      <w:pPr>
        <w:tabs>
          <w:tab w:val="left" w:pos="8100"/>
        </w:tabs>
        <w:adjustRightInd w:val="0"/>
        <w:snapToGrid w:val="0"/>
        <w:spacing w:line="480" w:lineRule="auto"/>
        <w:ind w:firstLine="420" w:firstLineChars="200"/>
        <w:jc w:val="right"/>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（签名或签章）</w:t>
      </w:r>
    </w:p>
    <w:p>
      <w:pPr>
        <w:spacing w:line="480" w:lineRule="auto"/>
        <w:jc w:val="center"/>
        <w:rPr>
          <w:rFonts w:ascii="宋体" w:hAnsi="宋体"/>
          <w:b/>
          <w:color w:val="auto"/>
          <w:sz w:val="24"/>
          <w:szCs w:val="24"/>
          <w:highlight w:val="none"/>
        </w:rPr>
      </w:pPr>
      <w:r>
        <w:rPr>
          <w:rFonts w:hint="eastAsia" w:ascii="宋体" w:hAnsi="宋体"/>
          <w:color w:val="auto"/>
          <w:szCs w:val="21"/>
          <w:highlight w:val="none"/>
        </w:rPr>
        <w:t xml:space="preserve">                                                 年    月    日</w:t>
      </w:r>
    </w:p>
    <w:p>
      <w:pPr>
        <w:jc w:val="center"/>
        <w:rPr>
          <w:rFonts w:ascii="宋体" w:hAnsi="宋体"/>
          <w:b/>
          <w:color w:val="auto"/>
          <w:sz w:val="24"/>
          <w:szCs w:val="24"/>
          <w:highlight w:val="none"/>
        </w:rPr>
      </w:pPr>
    </w:p>
    <w:p>
      <w:pPr>
        <w:jc w:val="center"/>
        <w:rPr>
          <w:rFonts w:ascii="宋体" w:hAnsi="宋体"/>
          <w:b/>
          <w:color w:val="auto"/>
          <w:sz w:val="24"/>
          <w:szCs w:val="24"/>
          <w:highlight w:val="none"/>
        </w:rPr>
      </w:pPr>
    </w:p>
    <w:p>
      <w:pPr>
        <w:jc w:val="center"/>
        <w:rPr>
          <w:rFonts w:ascii="宋体" w:hAnsi="宋体"/>
          <w:b/>
          <w:color w:val="auto"/>
          <w:sz w:val="24"/>
          <w:szCs w:val="24"/>
          <w:highlight w:val="none"/>
        </w:rPr>
      </w:pPr>
    </w:p>
    <w:p>
      <w:pPr>
        <w:jc w:val="center"/>
        <w:rPr>
          <w:rFonts w:ascii="宋体" w:hAnsi="宋体"/>
          <w:b/>
          <w:color w:val="auto"/>
          <w:sz w:val="24"/>
          <w:szCs w:val="24"/>
          <w:highlight w:val="none"/>
        </w:rPr>
      </w:pPr>
    </w:p>
    <w:p>
      <w:pPr>
        <w:jc w:val="center"/>
        <w:rPr>
          <w:rFonts w:ascii="宋体" w:hAnsi="宋体"/>
          <w:b/>
          <w:color w:val="auto"/>
          <w:sz w:val="24"/>
          <w:szCs w:val="24"/>
          <w:highlight w:val="none"/>
        </w:rPr>
      </w:pPr>
    </w:p>
    <w:p>
      <w:pPr>
        <w:jc w:val="center"/>
        <w:rPr>
          <w:rFonts w:ascii="宋体" w:hAnsi="宋体"/>
          <w:b/>
          <w:color w:val="auto"/>
          <w:sz w:val="24"/>
          <w:szCs w:val="24"/>
          <w:highlight w:val="none"/>
        </w:rPr>
      </w:pPr>
    </w:p>
    <w:p>
      <w:pPr>
        <w:jc w:val="center"/>
        <w:rPr>
          <w:rFonts w:ascii="宋体" w:hAnsi="宋体"/>
          <w:b/>
          <w:color w:val="auto"/>
          <w:sz w:val="24"/>
          <w:szCs w:val="24"/>
          <w:highlight w:val="none"/>
        </w:rPr>
      </w:pPr>
    </w:p>
    <w:p>
      <w:pPr>
        <w:jc w:val="center"/>
        <w:rPr>
          <w:rFonts w:ascii="宋体" w:hAnsi="宋体"/>
          <w:b/>
          <w:color w:val="auto"/>
          <w:sz w:val="24"/>
          <w:szCs w:val="24"/>
          <w:highlight w:val="none"/>
        </w:rPr>
      </w:pPr>
    </w:p>
    <w:p>
      <w:pPr>
        <w:rPr>
          <w:color w:val="auto"/>
          <w:highlight w:val="none"/>
        </w:rPr>
      </w:pPr>
      <w:r>
        <w:rPr>
          <w:color w:val="auto"/>
          <w:highlight w:val="none"/>
        </w:rPr>
        <w:br w:type="page"/>
      </w:r>
    </w:p>
    <w:p>
      <w:pPr>
        <w:pStyle w:val="4"/>
        <w:numPr>
          <w:ilvl w:val="0"/>
          <w:numId w:val="3"/>
        </w:numPr>
        <w:ind w:left="0" w:leftChars="0" w:firstLine="608" w:firstLineChars="202"/>
        <w:rPr>
          <w:rFonts w:hint="eastAsia"/>
          <w:color w:val="auto"/>
          <w:highlight w:val="none"/>
        </w:rPr>
      </w:pPr>
      <w:bookmarkStart w:id="2196" w:name="_Toc30003"/>
      <w:bookmarkStart w:id="2197" w:name="_Toc1355"/>
      <w:bookmarkStart w:id="2198" w:name="_Toc26460"/>
      <w:bookmarkStart w:id="2199" w:name="_Toc14452"/>
      <w:bookmarkStart w:id="2200" w:name="_Toc3946"/>
      <w:bookmarkStart w:id="2201" w:name="_Toc5953"/>
      <w:bookmarkStart w:id="2202" w:name="_Toc30777"/>
      <w:r>
        <w:rPr>
          <w:rFonts w:hint="eastAsia"/>
          <w:color w:val="auto"/>
          <w:highlight w:val="none"/>
        </w:rPr>
        <w:t>投标保证金证明扫描件</w:t>
      </w:r>
    </w:p>
    <w:p>
      <w:pPr>
        <w:pStyle w:val="22"/>
        <w:ind w:firstLine="420"/>
        <w:jc w:val="left"/>
        <w:rPr>
          <w:rFonts w:hAnsi="宋体"/>
          <w:color w:val="auto"/>
          <w:highlight w:val="none"/>
          <w:u w:val="single"/>
        </w:rPr>
      </w:pPr>
      <w:r>
        <w:rPr>
          <w:rFonts w:hint="eastAsia" w:hAnsi="宋体" w:cs="宋体"/>
          <w:color w:val="auto"/>
          <w:szCs w:val="21"/>
          <w:highlight w:val="none"/>
        </w:rPr>
        <w:fldChar w:fldCharType="begin"/>
      </w:r>
      <w:r>
        <w:rPr>
          <w:rFonts w:hint="eastAsia" w:hAnsi="宋体" w:cs="宋体"/>
          <w:color w:val="auto"/>
          <w:szCs w:val="21"/>
          <w:highlight w:val="none"/>
        </w:rPr>
        <w:instrText xml:space="preserve"> eq \o\ac(</w:instrText>
      </w:r>
      <w:r>
        <w:rPr>
          <w:rFonts w:hint="eastAsia" w:hAnsi="宋体" w:cs="宋体"/>
          <w:color w:val="auto"/>
          <w:position w:val="-3"/>
          <w:szCs w:val="21"/>
          <w:highlight w:val="none"/>
        </w:rPr>
        <w:instrText xml:space="preserve">□</w:instrText>
      </w:r>
      <w:r>
        <w:rPr>
          <w:rFonts w:hint="eastAsia" w:hAnsi="宋体" w:cs="宋体"/>
          <w:color w:val="auto"/>
          <w:szCs w:val="21"/>
          <w:highlight w:val="none"/>
        </w:rPr>
        <w:instrText xml:space="preserve">)</w:instrText>
      </w:r>
      <w:r>
        <w:rPr>
          <w:rFonts w:hint="eastAsia" w:hAnsi="宋体" w:cs="宋体"/>
          <w:color w:val="auto"/>
          <w:szCs w:val="21"/>
          <w:highlight w:val="none"/>
        </w:rPr>
        <w:fldChar w:fldCharType="end"/>
      </w:r>
      <w:r>
        <w:rPr>
          <w:rFonts w:hint="eastAsia" w:hAnsi="宋体"/>
          <w:color w:val="auto"/>
          <w:highlight w:val="none"/>
          <w:u w:val="single"/>
        </w:rPr>
        <w:t>格式一</w:t>
      </w:r>
    </w:p>
    <w:p>
      <w:pPr>
        <w:jc w:val="center"/>
        <w:rPr>
          <w:rFonts w:ascii="宋体" w:hAnsi="宋体"/>
          <w:b/>
          <w:color w:val="auto"/>
          <w:sz w:val="24"/>
          <w:szCs w:val="24"/>
          <w:highlight w:val="none"/>
          <w:u w:val="single"/>
        </w:rPr>
      </w:pPr>
      <w:r>
        <w:rPr>
          <w:rFonts w:hint="eastAsia" w:ascii="宋体" w:hAnsi="宋体"/>
          <w:b/>
          <w:color w:val="auto"/>
          <w:sz w:val="24"/>
          <w:szCs w:val="24"/>
          <w:highlight w:val="none"/>
          <w:u w:val="single"/>
        </w:rPr>
        <w:t>银行保函（或采用银行的规定格式）</w:t>
      </w:r>
    </w:p>
    <w:p>
      <w:pPr>
        <w:pStyle w:val="22"/>
        <w:jc w:val="center"/>
        <w:rPr>
          <w:rFonts w:hint="eastAsia" w:hAnsi="宋体"/>
          <w:color w:val="auto"/>
          <w:highlight w:val="none"/>
        </w:rPr>
      </w:pPr>
      <w:r>
        <w:rPr>
          <w:rFonts w:hint="eastAsia" w:hAnsi="宋体"/>
          <w:b/>
          <w:color w:val="auto"/>
          <w:highlight w:val="none"/>
        </w:rPr>
        <w:t xml:space="preserve"> </w:t>
      </w:r>
    </w:p>
    <w:p>
      <w:pPr>
        <w:rPr>
          <w:rFonts w:hint="eastAsia" w:ascii="宋体" w:hAnsi="宋体"/>
          <w:color w:val="auto"/>
          <w:szCs w:val="21"/>
          <w:highlight w:val="none"/>
        </w:rPr>
      </w:pPr>
      <w:r>
        <w:rPr>
          <w:rFonts w:hint="eastAsia" w:ascii="宋体" w:hAnsi="宋体" w:cs="宋体"/>
          <w:color w:val="auto"/>
          <w:szCs w:val="21"/>
          <w:highlight w:val="none"/>
          <w:u w:val="single"/>
          <w:lang w:val="en-US" w:eastAsia="zh-CN"/>
        </w:rPr>
        <w:t>招标人</w:t>
      </w:r>
      <w:r>
        <w:rPr>
          <w:rFonts w:ascii="宋体" w:hAnsi="宋体"/>
          <w:color w:val="auto"/>
          <w:szCs w:val="21"/>
          <w:highlight w:val="none"/>
        </w:rPr>
        <w:t>：</w:t>
      </w:r>
    </w:p>
    <w:p>
      <w:pPr>
        <w:rPr>
          <w:rFonts w:ascii="宋体" w:hAnsi="宋体"/>
          <w:color w:val="auto"/>
          <w:szCs w:val="21"/>
          <w:highlight w:val="none"/>
        </w:rPr>
      </w:pPr>
    </w:p>
    <w:p>
      <w:pPr>
        <w:ind w:firstLine="420" w:firstLineChars="200"/>
        <w:rPr>
          <w:rFonts w:ascii="宋体" w:hAnsi="宋体"/>
          <w:color w:val="auto"/>
          <w:szCs w:val="21"/>
          <w:highlight w:val="none"/>
        </w:rPr>
      </w:pPr>
      <w:r>
        <w:rPr>
          <w:rFonts w:ascii="宋体" w:hAnsi="宋体"/>
          <w:color w:val="auto"/>
          <w:szCs w:val="21"/>
          <w:highlight w:val="none"/>
        </w:rPr>
        <w:t>鉴于</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（投标人名称）（以下称“投标人”）于</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日参加</w:t>
      </w:r>
      <w:r>
        <w:rPr>
          <w:rFonts w:ascii="宋体" w:hAnsi="宋体"/>
          <w:color w:val="auto"/>
          <w:szCs w:val="21"/>
          <w:highlight w:val="none"/>
          <w:u w:val="single"/>
        </w:rPr>
        <w:t xml:space="preserve">   </w:t>
      </w:r>
      <w:r>
        <w:rPr>
          <w:rFonts w:hAnsi="宋体"/>
          <w:color w:val="auto"/>
          <w:szCs w:val="21"/>
          <w:highlight w:val="none"/>
          <w:u w:val="single"/>
        </w:rPr>
        <w:t xml:space="preserve">（项目名称） </w:t>
      </w:r>
      <w:r>
        <w:rPr>
          <w:rFonts w:ascii="宋体" w:hAnsi="宋体"/>
          <w:color w:val="auto"/>
          <w:szCs w:val="21"/>
          <w:highlight w:val="none"/>
          <w:u w:val="single"/>
        </w:rPr>
        <w:t xml:space="preserve">    </w:t>
      </w:r>
      <w:r>
        <w:rPr>
          <w:rFonts w:hint="eastAsia" w:ascii="宋体" w:hAnsi="宋体"/>
          <w:color w:val="auto"/>
          <w:szCs w:val="21"/>
          <w:highlight w:val="none"/>
        </w:rPr>
        <w:t>施工</w:t>
      </w:r>
      <w:r>
        <w:rPr>
          <w:rFonts w:ascii="宋体" w:hAnsi="宋体"/>
          <w:color w:val="auto"/>
          <w:szCs w:val="21"/>
          <w:highlight w:val="none"/>
        </w:rPr>
        <w:t>的投标，</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highlight w:val="none"/>
        </w:rPr>
        <w:t>银行</w:t>
      </w:r>
      <w:r>
        <w:rPr>
          <w:rFonts w:ascii="宋体" w:hAnsi="宋体"/>
          <w:color w:val="auto"/>
          <w:szCs w:val="21"/>
          <w:highlight w:val="none"/>
        </w:rPr>
        <w:t>名称，以下简称“</w:t>
      </w:r>
      <w:r>
        <w:rPr>
          <w:rFonts w:hint="eastAsia" w:ascii="宋体" w:hAnsi="宋体"/>
          <w:color w:val="auto"/>
          <w:szCs w:val="21"/>
          <w:highlight w:val="none"/>
        </w:rPr>
        <w:t>我方</w:t>
      </w:r>
      <w:r>
        <w:rPr>
          <w:rFonts w:ascii="宋体" w:hAnsi="宋体"/>
          <w:color w:val="auto"/>
          <w:szCs w:val="21"/>
          <w:highlight w:val="none"/>
        </w:rPr>
        <w:t>”）无条件地、不可撤销地保证：投标人在规定的投标文件有效期内撤销或修改其投标文件的，或者投标人在收到中标通知书后无正当理由拒签合同或拒交规定履约担保的，</w:t>
      </w:r>
      <w:r>
        <w:rPr>
          <w:rFonts w:hint="eastAsia" w:ascii="宋体" w:hAnsi="宋体"/>
          <w:color w:val="auto"/>
          <w:szCs w:val="21"/>
          <w:highlight w:val="none"/>
        </w:rPr>
        <w:t>我方</w:t>
      </w:r>
      <w:r>
        <w:rPr>
          <w:rFonts w:ascii="宋体" w:hAnsi="宋体"/>
          <w:color w:val="auto"/>
          <w:szCs w:val="21"/>
          <w:highlight w:val="none"/>
        </w:rPr>
        <w:t>承担保证责任。收到你方书面通知后，</w:t>
      </w:r>
      <w:r>
        <w:rPr>
          <w:rFonts w:hint="eastAsia" w:ascii="宋体" w:hAnsi="宋体"/>
          <w:color w:val="auto"/>
          <w:szCs w:val="21"/>
          <w:highlight w:val="none"/>
        </w:rPr>
        <w:t>在7日内无条件</w:t>
      </w:r>
      <w:r>
        <w:rPr>
          <w:rFonts w:ascii="宋体" w:hAnsi="宋体"/>
          <w:color w:val="auto"/>
          <w:szCs w:val="21"/>
          <w:highlight w:val="none"/>
        </w:rPr>
        <w:t>向你方支付人民币（大写）</w:t>
      </w:r>
      <w:r>
        <w:rPr>
          <w:rFonts w:ascii="宋体" w:hAnsi="宋体"/>
          <w:color w:val="auto"/>
          <w:szCs w:val="21"/>
          <w:highlight w:val="none"/>
          <w:u w:val="single"/>
        </w:rPr>
        <w:t xml:space="preserve">         </w:t>
      </w:r>
      <w:r>
        <w:rPr>
          <w:rFonts w:hint="eastAsia" w:ascii="宋体" w:hAnsi="宋体"/>
          <w:color w:val="auto"/>
          <w:szCs w:val="21"/>
          <w:highlight w:val="none"/>
        </w:rPr>
        <w:t>万</w:t>
      </w:r>
      <w:r>
        <w:rPr>
          <w:rFonts w:ascii="宋体" w:hAnsi="宋体"/>
          <w:color w:val="auto"/>
          <w:szCs w:val="21"/>
          <w:highlight w:val="none"/>
        </w:rPr>
        <w:t>元。</w:t>
      </w:r>
    </w:p>
    <w:p>
      <w:pPr>
        <w:ind w:firstLine="420" w:firstLineChars="200"/>
        <w:rPr>
          <w:rFonts w:ascii="宋体" w:hAnsi="宋体"/>
          <w:color w:val="auto"/>
          <w:szCs w:val="21"/>
          <w:highlight w:val="none"/>
        </w:rPr>
      </w:pPr>
      <w:r>
        <w:rPr>
          <w:rFonts w:hint="eastAsia" w:ascii="宋体" w:hAnsi="宋体"/>
          <w:color w:val="auto"/>
          <w:highlight w:val="none"/>
        </w:rPr>
        <w:t>本保函自投标截止日起生效，投标有效期后30天自动失效。</w:t>
      </w:r>
      <w:r>
        <w:rPr>
          <w:rFonts w:ascii="宋体" w:hAnsi="宋体"/>
          <w:color w:val="auto"/>
          <w:szCs w:val="21"/>
          <w:highlight w:val="none"/>
        </w:rPr>
        <w:t>要求</w:t>
      </w:r>
      <w:r>
        <w:rPr>
          <w:rFonts w:hint="eastAsia" w:ascii="宋体" w:hAnsi="宋体"/>
          <w:color w:val="auto"/>
          <w:szCs w:val="21"/>
          <w:highlight w:val="none"/>
        </w:rPr>
        <w:t>我方</w:t>
      </w:r>
      <w:r>
        <w:rPr>
          <w:rFonts w:ascii="宋体" w:hAnsi="宋体"/>
          <w:color w:val="auto"/>
          <w:szCs w:val="21"/>
          <w:highlight w:val="none"/>
        </w:rPr>
        <w:t>承担保证责任的通知应在有效期内送达</w:t>
      </w:r>
      <w:r>
        <w:rPr>
          <w:rFonts w:hint="eastAsia" w:ascii="宋体" w:hAnsi="宋体"/>
          <w:color w:val="auto"/>
          <w:szCs w:val="21"/>
          <w:highlight w:val="none"/>
        </w:rPr>
        <w:t>我方</w:t>
      </w:r>
      <w:r>
        <w:rPr>
          <w:rFonts w:ascii="宋体" w:hAnsi="宋体"/>
          <w:color w:val="auto"/>
          <w:szCs w:val="21"/>
          <w:highlight w:val="none"/>
        </w:rPr>
        <w:t>。</w:t>
      </w:r>
    </w:p>
    <w:p>
      <w:pPr>
        <w:ind w:firstLine="3885" w:firstLineChars="1850"/>
        <w:rPr>
          <w:rFonts w:hint="eastAsia" w:ascii="宋体" w:hAnsi="宋体"/>
          <w:color w:val="auto"/>
          <w:highlight w:val="none"/>
        </w:rPr>
      </w:pPr>
    </w:p>
    <w:p>
      <w:pPr>
        <w:ind w:firstLine="3885" w:firstLineChars="1850"/>
        <w:rPr>
          <w:rFonts w:ascii="宋体" w:hAnsi="宋体"/>
          <w:color w:val="auto"/>
          <w:szCs w:val="21"/>
          <w:highlight w:val="none"/>
        </w:rPr>
      </w:pPr>
      <w:r>
        <w:rPr>
          <w:rFonts w:hint="eastAsia" w:ascii="宋体" w:hAnsi="宋体"/>
          <w:color w:val="auto"/>
          <w:highlight w:val="none"/>
        </w:rPr>
        <w:t>银行</w:t>
      </w:r>
      <w:r>
        <w:rPr>
          <w:rFonts w:ascii="宋体" w:hAnsi="宋体"/>
          <w:color w:val="auto"/>
          <w:szCs w:val="21"/>
          <w:highlight w:val="none"/>
        </w:rPr>
        <w:t>名称：</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盖单位公章或电子印章</w:t>
      </w:r>
      <w:r>
        <w:rPr>
          <w:rFonts w:ascii="宋体" w:hAnsi="宋体"/>
          <w:color w:val="auto"/>
          <w:szCs w:val="21"/>
          <w:highlight w:val="none"/>
        </w:rPr>
        <w:t>）</w:t>
      </w:r>
    </w:p>
    <w:p>
      <w:pPr>
        <w:ind w:firstLine="3838" w:firstLineChars="1828"/>
        <w:rPr>
          <w:rFonts w:ascii="宋体" w:hAnsi="宋体"/>
          <w:color w:val="auto"/>
          <w:szCs w:val="21"/>
          <w:highlight w:val="none"/>
        </w:rPr>
      </w:pPr>
      <w:r>
        <w:rPr>
          <w:rFonts w:ascii="宋体" w:hAnsi="宋体"/>
          <w:color w:val="auto"/>
          <w:szCs w:val="21"/>
          <w:highlight w:val="none"/>
        </w:rPr>
        <w:t>法定代表人或</w:t>
      </w:r>
      <w:r>
        <w:rPr>
          <w:rFonts w:hint="eastAsia" w:ascii="宋体" w:hAnsi="宋体"/>
          <w:color w:val="auto"/>
          <w:szCs w:val="21"/>
          <w:highlight w:val="none"/>
        </w:rPr>
        <w:t>其委托代理</w:t>
      </w:r>
      <w:r>
        <w:rPr>
          <w:rFonts w:ascii="宋体" w:hAnsi="宋体"/>
          <w:color w:val="auto"/>
          <w:szCs w:val="21"/>
          <w:highlight w:val="none"/>
        </w:rPr>
        <w:t>人：</w:t>
      </w:r>
      <w:r>
        <w:rPr>
          <w:rFonts w:ascii="宋体" w:hAnsi="宋体"/>
          <w:color w:val="auto"/>
          <w:szCs w:val="21"/>
          <w:highlight w:val="none"/>
          <w:u w:val="single"/>
        </w:rPr>
        <w:t xml:space="preserve">                  </w:t>
      </w:r>
      <w:r>
        <w:rPr>
          <w:rFonts w:ascii="宋体" w:hAnsi="宋体"/>
          <w:color w:val="auto"/>
          <w:szCs w:val="21"/>
          <w:highlight w:val="none"/>
        </w:rPr>
        <w:t>（签字）</w:t>
      </w:r>
    </w:p>
    <w:p>
      <w:pPr>
        <w:ind w:firstLine="3838" w:firstLineChars="1828"/>
        <w:rPr>
          <w:rFonts w:hint="eastAsia" w:ascii="宋体" w:hAnsi="宋体"/>
          <w:color w:val="auto"/>
          <w:szCs w:val="21"/>
          <w:highlight w:val="none"/>
        </w:rPr>
      </w:pPr>
      <w:r>
        <w:rPr>
          <w:rFonts w:ascii="宋体" w:hAnsi="宋体"/>
          <w:color w:val="auto"/>
          <w:szCs w:val="21"/>
          <w:highlight w:val="none"/>
        </w:rPr>
        <w:t>地    址：</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p>
    <w:p>
      <w:pPr>
        <w:ind w:firstLine="3838" w:firstLineChars="1828"/>
        <w:rPr>
          <w:rFonts w:ascii="宋体" w:hAnsi="宋体"/>
          <w:color w:val="auto"/>
          <w:szCs w:val="21"/>
          <w:highlight w:val="none"/>
          <w:u w:val="single"/>
        </w:rPr>
      </w:pPr>
      <w:r>
        <w:rPr>
          <w:rFonts w:ascii="宋体" w:hAnsi="宋体"/>
          <w:color w:val="auto"/>
          <w:szCs w:val="21"/>
          <w:highlight w:val="none"/>
        </w:rPr>
        <w:t>邮政编码：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p>
    <w:p>
      <w:pPr>
        <w:ind w:firstLine="3838" w:firstLineChars="1828"/>
        <w:rPr>
          <w:rFonts w:hint="eastAsia" w:ascii="宋体" w:hAnsi="宋体"/>
          <w:color w:val="auto"/>
          <w:szCs w:val="21"/>
          <w:highlight w:val="none"/>
          <w:u w:val="single"/>
        </w:rPr>
      </w:pPr>
      <w:r>
        <w:rPr>
          <w:rFonts w:ascii="宋体" w:hAnsi="宋体"/>
          <w:color w:val="auto"/>
          <w:szCs w:val="21"/>
          <w:highlight w:val="none"/>
        </w:rPr>
        <w:t>电    话：</w:t>
      </w:r>
      <w:r>
        <w:rPr>
          <w:rFonts w:ascii="宋体" w:hAnsi="宋体"/>
          <w:color w:val="auto"/>
          <w:szCs w:val="21"/>
          <w:highlight w:val="none"/>
          <w:u w:val="single"/>
        </w:rPr>
        <w:t xml:space="preserve">                                   </w:t>
      </w:r>
    </w:p>
    <w:p>
      <w:pPr>
        <w:ind w:firstLine="3838" w:firstLineChars="1828"/>
        <w:rPr>
          <w:rFonts w:hint="eastAsia" w:ascii="宋体" w:hAnsi="宋体"/>
          <w:color w:val="auto"/>
          <w:szCs w:val="21"/>
          <w:highlight w:val="none"/>
        </w:rPr>
      </w:pPr>
      <w:r>
        <w:rPr>
          <w:rFonts w:hint="eastAsia" w:ascii="宋体" w:hAnsi="宋体"/>
          <w:color w:val="auto"/>
          <w:szCs w:val="21"/>
          <w:highlight w:val="none"/>
        </w:rPr>
        <w:t>传    真</w:t>
      </w:r>
      <w:r>
        <w:rPr>
          <w:rFonts w:ascii="宋体" w:hAnsi="宋体"/>
          <w:color w:val="auto"/>
          <w:szCs w:val="21"/>
          <w:highlight w:val="none"/>
        </w:rPr>
        <w:t>：</w:t>
      </w:r>
      <w:r>
        <w:rPr>
          <w:rFonts w:ascii="宋体" w:hAnsi="宋体"/>
          <w:color w:val="auto"/>
          <w:szCs w:val="21"/>
          <w:highlight w:val="none"/>
          <w:u w:val="single"/>
        </w:rPr>
        <w:t xml:space="preserve">                                   </w:t>
      </w:r>
    </w:p>
    <w:p>
      <w:pPr>
        <w:jc w:val="right"/>
        <w:rPr>
          <w:rFonts w:ascii="宋体" w:hAnsi="宋体"/>
          <w:color w:val="auto"/>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r>
        <w:rPr>
          <w:rFonts w:hint="eastAsia" w:ascii="宋体" w:hAnsi="宋体"/>
          <w:color w:val="auto"/>
          <w:szCs w:val="21"/>
          <w:highlight w:val="none"/>
        </w:rPr>
        <w:br w:type="page"/>
      </w:r>
    </w:p>
    <w:p>
      <w:pPr>
        <w:rPr>
          <w:rFonts w:hint="eastAsia" w:ascii="宋体" w:hAnsi="宋体"/>
          <w:color w:val="auto"/>
          <w:szCs w:val="21"/>
          <w:highlight w:val="none"/>
        </w:rPr>
      </w:pPr>
    </w:p>
    <w:p>
      <w:pPr>
        <w:pStyle w:val="22"/>
        <w:ind w:firstLine="420"/>
        <w:jc w:val="left"/>
        <w:rPr>
          <w:rFonts w:hAnsi="宋体"/>
          <w:color w:val="auto"/>
          <w:highlight w:val="none"/>
          <w:u w:val="single"/>
        </w:rPr>
      </w:pPr>
      <w:r>
        <w:rPr>
          <w:rFonts w:hint="eastAsia" w:hAnsi="宋体" w:cs="宋体"/>
          <w:color w:val="auto"/>
          <w:szCs w:val="21"/>
          <w:highlight w:val="none"/>
        </w:rPr>
        <w:fldChar w:fldCharType="begin"/>
      </w:r>
      <w:r>
        <w:rPr>
          <w:rFonts w:hint="eastAsia" w:hAnsi="宋体" w:cs="宋体"/>
          <w:color w:val="auto"/>
          <w:szCs w:val="21"/>
          <w:highlight w:val="none"/>
        </w:rPr>
        <w:instrText xml:space="preserve"> eq \o\ac(</w:instrText>
      </w:r>
      <w:r>
        <w:rPr>
          <w:rFonts w:hint="eastAsia" w:hAnsi="宋体" w:cs="宋体"/>
          <w:color w:val="auto"/>
          <w:position w:val="-3"/>
          <w:szCs w:val="21"/>
          <w:highlight w:val="none"/>
        </w:rPr>
        <w:instrText xml:space="preserve">□</w:instrText>
      </w:r>
      <w:r>
        <w:rPr>
          <w:rFonts w:hint="eastAsia" w:hAnsi="宋体" w:cs="宋体"/>
          <w:color w:val="auto"/>
          <w:szCs w:val="21"/>
          <w:highlight w:val="none"/>
        </w:rPr>
        <w:instrText xml:space="preserve">,√)</w:instrText>
      </w:r>
      <w:r>
        <w:rPr>
          <w:rFonts w:hint="eastAsia" w:hAnsi="宋体" w:cs="宋体"/>
          <w:color w:val="auto"/>
          <w:szCs w:val="21"/>
          <w:highlight w:val="none"/>
        </w:rPr>
        <w:fldChar w:fldCharType="end"/>
      </w:r>
      <w:r>
        <w:rPr>
          <w:rFonts w:hint="eastAsia" w:hAnsi="宋体"/>
          <w:color w:val="auto"/>
          <w:highlight w:val="none"/>
          <w:u w:val="single"/>
        </w:rPr>
        <w:t>格式二</w:t>
      </w:r>
    </w:p>
    <w:p>
      <w:pPr>
        <w:pStyle w:val="22"/>
        <w:ind w:firstLine="420"/>
        <w:jc w:val="left"/>
        <w:rPr>
          <w:rFonts w:hint="eastAsia" w:hAnsi="宋体"/>
          <w:b/>
          <w:color w:val="auto"/>
          <w:sz w:val="24"/>
          <w:szCs w:val="24"/>
          <w:highlight w:val="none"/>
        </w:rPr>
      </w:pPr>
    </w:p>
    <w:p>
      <w:pPr>
        <w:pStyle w:val="22"/>
        <w:ind w:firstLine="420"/>
        <w:jc w:val="center"/>
        <w:rPr>
          <w:rFonts w:hAnsi="宋体"/>
          <w:color w:val="auto"/>
          <w:highlight w:val="none"/>
          <w:u w:val="single"/>
        </w:rPr>
      </w:pPr>
      <w:r>
        <w:rPr>
          <w:rFonts w:hint="eastAsia" w:hAnsi="宋体"/>
          <w:b/>
          <w:color w:val="auto"/>
          <w:sz w:val="24"/>
          <w:szCs w:val="24"/>
          <w:highlight w:val="none"/>
          <w:u w:val="single"/>
        </w:rPr>
        <w:t>广州公共资源交易中心投标保证金缴纳回执</w:t>
      </w:r>
    </w:p>
    <w:p>
      <w:pPr>
        <w:rPr>
          <w:rFonts w:hint="eastAsia" w:ascii="宋体" w:hAnsi="宋体"/>
          <w:color w:val="auto"/>
          <w:szCs w:val="21"/>
          <w:highlight w:val="none"/>
        </w:rPr>
      </w:pPr>
    </w:p>
    <w:p>
      <w:pPr>
        <w:jc w:val="center"/>
        <w:rPr>
          <w:rFonts w:ascii="宋体" w:hAnsi="宋体"/>
          <w:b/>
          <w:color w:val="auto"/>
          <w:sz w:val="24"/>
          <w:szCs w:val="24"/>
          <w:highlight w:val="none"/>
        </w:rPr>
      </w:pPr>
    </w:p>
    <w:p>
      <w:pPr>
        <w:pStyle w:val="41"/>
        <w:ind w:firstLine="241"/>
        <w:rPr>
          <w:rFonts w:ascii="宋体" w:hAnsi="宋体"/>
          <w:b/>
          <w:color w:val="auto"/>
          <w:sz w:val="24"/>
          <w:szCs w:val="24"/>
          <w:highlight w:val="none"/>
        </w:rPr>
      </w:pPr>
    </w:p>
    <w:p>
      <w:pPr>
        <w:pStyle w:val="22"/>
        <w:ind w:firstLine="420"/>
        <w:jc w:val="left"/>
        <w:rPr>
          <w:rFonts w:hint="eastAsia" w:hAnsi="宋体"/>
          <w:color w:val="auto"/>
          <w:highlight w:val="none"/>
          <w:u w:val="single"/>
        </w:rPr>
      </w:pPr>
    </w:p>
    <w:p>
      <w:pPr>
        <w:pStyle w:val="22"/>
        <w:ind w:firstLine="420"/>
        <w:jc w:val="left"/>
        <w:rPr>
          <w:rFonts w:hint="eastAsia" w:hAnsi="宋体"/>
          <w:color w:val="auto"/>
          <w:highlight w:val="none"/>
          <w:u w:val="single"/>
        </w:rPr>
      </w:pPr>
      <w:r>
        <w:rPr>
          <w:rFonts w:hint="eastAsia" w:hAnsi="宋体" w:cs="宋体"/>
          <w:color w:val="auto"/>
          <w:szCs w:val="21"/>
          <w:highlight w:val="none"/>
        </w:rPr>
        <w:fldChar w:fldCharType="begin"/>
      </w:r>
      <w:r>
        <w:rPr>
          <w:rFonts w:hint="eastAsia" w:hAnsi="宋体" w:cs="宋体"/>
          <w:color w:val="auto"/>
          <w:szCs w:val="21"/>
          <w:highlight w:val="none"/>
        </w:rPr>
        <w:instrText xml:space="preserve"> eq \o\ac(</w:instrText>
      </w:r>
      <w:r>
        <w:rPr>
          <w:rFonts w:hint="eastAsia" w:hAnsi="宋体" w:cs="宋体"/>
          <w:color w:val="auto"/>
          <w:position w:val="-3"/>
          <w:szCs w:val="21"/>
          <w:highlight w:val="none"/>
        </w:rPr>
        <w:instrText xml:space="preserve">□</w:instrText>
      </w:r>
      <w:r>
        <w:rPr>
          <w:rFonts w:hint="eastAsia" w:hAnsi="宋体" w:cs="宋体"/>
          <w:color w:val="auto"/>
          <w:szCs w:val="21"/>
          <w:highlight w:val="none"/>
        </w:rPr>
        <w:instrText xml:space="preserve">,√)</w:instrText>
      </w:r>
      <w:r>
        <w:rPr>
          <w:rFonts w:hint="eastAsia" w:hAnsi="宋体" w:cs="宋体"/>
          <w:color w:val="auto"/>
          <w:szCs w:val="21"/>
          <w:highlight w:val="none"/>
        </w:rPr>
        <w:fldChar w:fldCharType="end"/>
      </w:r>
      <w:r>
        <w:rPr>
          <w:rFonts w:hint="eastAsia" w:hAnsi="宋体"/>
          <w:color w:val="auto"/>
          <w:highlight w:val="none"/>
          <w:u w:val="single"/>
        </w:rPr>
        <w:t>格式三</w:t>
      </w:r>
    </w:p>
    <w:p>
      <w:pPr>
        <w:pStyle w:val="22"/>
        <w:ind w:firstLine="420"/>
        <w:jc w:val="left"/>
        <w:rPr>
          <w:rFonts w:hint="eastAsia" w:hAnsi="宋体"/>
          <w:color w:val="auto"/>
          <w:highlight w:val="none"/>
          <w:u w:val="single"/>
        </w:rPr>
      </w:pPr>
    </w:p>
    <w:p>
      <w:pPr>
        <w:pStyle w:val="22"/>
        <w:ind w:firstLine="420"/>
        <w:jc w:val="center"/>
        <w:rPr>
          <w:rFonts w:hint="eastAsia" w:ascii="宋体" w:hAnsi="宋体" w:eastAsia="宋体" w:cs="Times New Roman"/>
          <w:b/>
          <w:color w:val="auto"/>
          <w:sz w:val="24"/>
          <w:szCs w:val="24"/>
          <w:highlight w:val="none"/>
          <w:u w:val="single"/>
        </w:rPr>
      </w:pPr>
      <w:bookmarkStart w:id="2203" w:name="_Toc16865"/>
      <w:r>
        <w:rPr>
          <w:rFonts w:hint="eastAsia" w:ascii="宋体" w:hAnsi="宋体" w:eastAsia="宋体" w:cs="Times New Roman"/>
          <w:b/>
          <w:color w:val="auto"/>
          <w:sz w:val="24"/>
          <w:szCs w:val="24"/>
          <w:highlight w:val="none"/>
          <w:u w:val="single"/>
        </w:rPr>
        <w:t>投标保证保险扫描件</w:t>
      </w:r>
      <w:bookmarkEnd w:id="2203"/>
    </w:p>
    <w:p>
      <w:pPr>
        <w:jc w:val="center"/>
        <w:rPr>
          <w:rFonts w:ascii="宋体" w:hAnsi="宋体"/>
          <w:b/>
          <w:color w:val="auto"/>
          <w:sz w:val="24"/>
          <w:szCs w:val="24"/>
          <w:highlight w:val="none"/>
        </w:rPr>
      </w:pPr>
    </w:p>
    <w:p>
      <w:pPr>
        <w:jc w:val="center"/>
        <w:rPr>
          <w:rFonts w:ascii="宋体" w:hAnsi="宋体"/>
          <w:b/>
          <w:color w:val="auto"/>
          <w:sz w:val="24"/>
          <w:szCs w:val="24"/>
          <w:highlight w:val="none"/>
        </w:rPr>
      </w:pPr>
    </w:p>
    <w:p>
      <w:pPr>
        <w:jc w:val="center"/>
        <w:rPr>
          <w:rFonts w:ascii="宋体" w:hAnsi="宋体"/>
          <w:b/>
          <w:color w:val="auto"/>
          <w:sz w:val="24"/>
          <w:szCs w:val="24"/>
          <w:highlight w:val="none"/>
        </w:rPr>
      </w:pPr>
    </w:p>
    <w:p>
      <w:pPr>
        <w:rPr>
          <w:rFonts w:ascii="宋体" w:hAnsi="宋体"/>
          <w:b/>
          <w:color w:val="auto"/>
          <w:sz w:val="24"/>
          <w:szCs w:val="24"/>
          <w:highlight w:val="none"/>
        </w:rPr>
      </w:pPr>
      <w:r>
        <w:rPr>
          <w:rFonts w:ascii="宋体" w:hAnsi="宋体"/>
          <w:b/>
          <w:color w:val="auto"/>
          <w:sz w:val="24"/>
          <w:szCs w:val="24"/>
          <w:highlight w:val="none"/>
        </w:rPr>
        <w:br w:type="page"/>
      </w:r>
    </w:p>
    <w:p>
      <w:pPr>
        <w:pStyle w:val="4"/>
        <w:numPr>
          <w:ilvl w:val="0"/>
          <w:numId w:val="3"/>
        </w:numPr>
        <w:ind w:left="0" w:leftChars="0" w:firstLine="608" w:firstLineChars="202"/>
        <w:rPr>
          <w:rFonts w:hint="eastAsia"/>
          <w:color w:val="auto"/>
          <w:szCs w:val="24"/>
          <w:highlight w:val="none"/>
          <w:lang w:val="en-US" w:eastAsia="zh-CN"/>
        </w:rPr>
      </w:pPr>
      <w:r>
        <w:rPr>
          <w:rFonts w:hint="eastAsia"/>
          <w:color w:val="auto"/>
          <w:szCs w:val="24"/>
          <w:highlight w:val="none"/>
          <w:lang w:val="en-US" w:eastAsia="zh-CN"/>
        </w:rPr>
        <w:t>投标人廉洁承诺书</w:t>
      </w:r>
    </w:p>
    <w:p>
      <w:pPr>
        <w:pStyle w:val="41"/>
        <w:ind w:firstLine="241"/>
        <w:jc w:val="center"/>
        <w:rPr>
          <w:rFonts w:hint="eastAsia" w:ascii="宋体" w:hAnsi="宋体"/>
          <w:b/>
          <w:color w:val="auto"/>
          <w:sz w:val="24"/>
          <w:szCs w:val="24"/>
          <w:highlight w:val="none"/>
        </w:rPr>
      </w:pPr>
      <w:r>
        <w:rPr>
          <w:rFonts w:hint="eastAsia" w:ascii="宋体" w:hAnsi="宋体"/>
          <w:b/>
          <w:color w:val="auto"/>
          <w:sz w:val="24"/>
          <w:szCs w:val="24"/>
          <w:highlight w:val="none"/>
        </w:rPr>
        <w:t>（以下内容为打印的纸质版签字及盖章后的扫描件）</w:t>
      </w:r>
    </w:p>
    <w:p>
      <w:pPr>
        <w:pStyle w:val="41"/>
        <w:ind w:firstLine="241"/>
        <w:jc w:val="center"/>
        <w:rPr>
          <w:rFonts w:hint="eastAsia" w:ascii="宋体" w:hAnsi="宋体"/>
          <w:b/>
          <w:color w:val="auto"/>
          <w:sz w:val="24"/>
          <w:szCs w:val="24"/>
          <w:highlight w:val="none"/>
        </w:rPr>
      </w:pPr>
      <w:r>
        <w:rPr>
          <w:rFonts w:hint="eastAsia" w:ascii="宋体" w:hAnsi="宋体"/>
          <w:b/>
          <w:color w:val="auto"/>
          <w:sz w:val="24"/>
          <w:szCs w:val="24"/>
          <w:highlight w:val="none"/>
        </w:rPr>
        <w:t>投标人廉洁承诺书</w:t>
      </w:r>
    </w:p>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广州公交集团新能源发展有限责任公司</w:t>
      </w:r>
      <w:r>
        <w:rPr>
          <w:rFonts w:hint="eastAsia" w:ascii="宋体" w:hAnsi="宋体" w:cs="宋体"/>
          <w:color w:val="auto"/>
          <w:szCs w:val="21"/>
          <w:highlight w:val="none"/>
        </w:rPr>
        <w:t>：</w:t>
      </w:r>
    </w:p>
    <w:p>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为了积极配合贵单位进行的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招标名称）招标工作，有效遏制不公平竞争和违规违纪行为的发生，确保招标工作的公平、公正、公开、有序进行，我们保证认真贯彻执行《招标投标法》《招标投标法实施条例》等法律法规以及与廉洁有关的规章制度，特向贵单位承诺如下事项：</w:t>
      </w:r>
    </w:p>
    <w:p>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一、自觉遵守国家有关法律法规及廉洁规定。</w:t>
      </w:r>
    </w:p>
    <w:p>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二、不与招标单位工作人员串通投标，损害国家利益、企业利益以及他人的合法利益；不与其他投标人相互串通投标报价，不排挤其他投标人，不损害招标人或其他投标人的合法权益。</w:t>
      </w:r>
    </w:p>
    <w:p>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三、不以任何名义为参与招标、评标工作的有关人员报销应由参与招标、评标工作的有关人员支付的任何费用；</w:t>
      </w:r>
    </w:p>
    <w:p>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四、不以任何名义向参与招标、评标工作的有关人员赠送回扣、红包、礼金、购物卡、有价证券、贵重物品和好处费、感谢费等；</w:t>
      </w:r>
    </w:p>
    <w:p>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五、不以任何名义向参与招标、评标工作的有关人员提供高消费宴请及娱乐活动；</w:t>
      </w:r>
    </w:p>
    <w:p>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六、不以谋取非正当利益为目的，擅自与参与招标、评标工作的有关人员就业务问题进行私下商谈或者达成利益默契；</w:t>
      </w:r>
    </w:p>
    <w:p>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七、不以任何名义接受或暗示为参与招标、评标工作的有关人员装修住房、婚丧嫁取、配偶子女的工作安排以及境内外旅游等提供方便；</w:t>
      </w:r>
    </w:p>
    <w:p>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贵单位既可根据国家有关单位的判决、裁定等有效文书认定我单位是否违反承诺，也有权通过对贵单位相关人员的调查来认定我单位是否违反承诺（我单位不会以任何理由否定贵单位的调查结果）。如违反以上承诺，我单位自愿接受中国南方电网有限责任公司依据《中国南方电网有限责任公司供应链监督管理办法》等有关规定对我单位进行严肃处理（包括但不限于实施市场禁入、取消投、中标资格以及终止合同等），给贵单位造成损失的，予以赔偿。我单位的委托人、代理人或与我单位有销售、劳务或服务关系的其他主体在参加贵公司系统的招投标活动或经济往来等过程中发生行贿行为的，视同我单位行为。</w:t>
      </w:r>
    </w:p>
    <w:p>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本廉洁承诺书为我单位应答此次采购项目正式文件的附件，与其他投标文件具有同等法律效力，经我单位法定代表人或其授权委托人签字盖章后立即生效。</w:t>
      </w:r>
    </w:p>
    <w:p>
      <w:pPr>
        <w:spacing w:line="420" w:lineRule="exact"/>
        <w:ind w:firstLine="3307" w:firstLineChars="1575"/>
        <w:rPr>
          <w:rFonts w:ascii="宋体" w:hAnsi="宋体"/>
          <w:color w:val="auto"/>
          <w:szCs w:val="21"/>
          <w:highlight w:val="none"/>
        </w:rPr>
      </w:pPr>
      <w:r>
        <w:rPr>
          <w:rFonts w:hint="eastAsia" w:ascii="宋体" w:hAnsi="宋体" w:eastAsia="宋体" w:cs="宋体"/>
          <w:color w:val="auto"/>
          <w:sz w:val="21"/>
          <w:szCs w:val="21"/>
          <w:highlight w:val="none"/>
        </w:rPr>
        <w:t>投标人</w:t>
      </w:r>
      <w:r>
        <w:rPr>
          <w:rFonts w:hint="eastAsia" w:ascii="宋体" w:hAnsi="宋体"/>
          <w:color w:val="auto"/>
          <w:szCs w:val="21"/>
          <w:highlight w:val="none"/>
        </w:rPr>
        <w:t>（盖单位公章或电子印章）：</w:t>
      </w:r>
    </w:p>
    <w:p>
      <w:pPr>
        <w:spacing w:line="420" w:lineRule="exact"/>
        <w:ind w:firstLine="3307" w:firstLineChars="1575"/>
        <w:rPr>
          <w:rFonts w:ascii="宋体" w:hAnsi="宋体"/>
          <w:color w:val="auto"/>
          <w:szCs w:val="21"/>
          <w:highlight w:val="none"/>
        </w:rPr>
      </w:pPr>
      <w:r>
        <w:rPr>
          <w:rFonts w:hint="eastAsia" w:ascii="宋体" w:hAnsi="宋体"/>
          <w:color w:val="auto"/>
          <w:szCs w:val="21"/>
          <w:highlight w:val="none"/>
        </w:rPr>
        <w:t>法定代表人或授权代理人</w:t>
      </w:r>
      <w:r>
        <w:rPr>
          <w:rFonts w:hint="eastAsia" w:ascii="宋体" w:hAnsi="宋体"/>
          <w:color w:val="auto"/>
          <w:szCs w:val="21"/>
          <w:highlight w:val="none"/>
          <w:lang w:eastAsia="zh-CN"/>
        </w:rPr>
        <w:t>（</w:t>
      </w:r>
      <w:r>
        <w:rPr>
          <w:rFonts w:hint="eastAsia" w:ascii="宋体" w:hAnsi="宋体"/>
          <w:color w:val="auto"/>
          <w:szCs w:val="21"/>
          <w:highlight w:val="none"/>
        </w:rPr>
        <w:t>签名或签章</w:t>
      </w:r>
      <w:r>
        <w:rPr>
          <w:rFonts w:hint="eastAsia" w:ascii="宋体" w:hAnsi="宋体"/>
          <w:color w:val="auto"/>
          <w:szCs w:val="21"/>
          <w:highlight w:val="none"/>
          <w:lang w:eastAsia="zh-CN"/>
        </w:rPr>
        <w:t>）</w:t>
      </w:r>
      <w:r>
        <w:rPr>
          <w:rFonts w:hint="eastAsia" w:ascii="宋体" w:hAnsi="宋体"/>
          <w:color w:val="auto"/>
          <w:szCs w:val="21"/>
          <w:highlight w:val="none"/>
        </w:rPr>
        <w:t>：</w:t>
      </w:r>
    </w:p>
    <w:p>
      <w:pPr>
        <w:pStyle w:val="22"/>
        <w:widowControl/>
        <w:ind w:right="420"/>
        <w:jc w:val="right"/>
        <w:rPr>
          <w:rFonts w:hint="eastAsia" w:hAnsi="宋体"/>
          <w:color w:val="auto"/>
          <w:szCs w:val="21"/>
          <w:highlight w:val="none"/>
        </w:rPr>
      </w:pPr>
      <w:r>
        <w:rPr>
          <w:rFonts w:hint="eastAsia" w:hAnsi="宋体"/>
          <w:color w:val="auto"/>
          <w:szCs w:val="21"/>
          <w:highlight w:val="none"/>
        </w:rPr>
        <w:t>年</w:t>
      </w:r>
      <w:r>
        <w:rPr>
          <w:rFonts w:hAnsi="宋体"/>
          <w:color w:val="auto"/>
          <w:szCs w:val="21"/>
          <w:highlight w:val="none"/>
        </w:rPr>
        <w:t xml:space="preserve">   </w:t>
      </w:r>
      <w:r>
        <w:rPr>
          <w:rFonts w:hint="eastAsia" w:hAnsi="宋体"/>
          <w:color w:val="auto"/>
          <w:szCs w:val="21"/>
          <w:highlight w:val="none"/>
        </w:rPr>
        <w:t>月</w:t>
      </w:r>
      <w:r>
        <w:rPr>
          <w:rFonts w:hAnsi="宋体"/>
          <w:color w:val="auto"/>
          <w:szCs w:val="21"/>
          <w:highlight w:val="none"/>
        </w:rPr>
        <w:t xml:space="preserve">   </w:t>
      </w:r>
      <w:r>
        <w:rPr>
          <w:rFonts w:hint="eastAsia" w:hAnsi="宋体"/>
          <w:color w:val="auto"/>
          <w:szCs w:val="21"/>
          <w:highlight w:val="none"/>
        </w:rPr>
        <w:t>日</w:t>
      </w:r>
    </w:p>
    <w:p>
      <w:pPr>
        <w:pStyle w:val="4"/>
        <w:numPr>
          <w:ilvl w:val="0"/>
          <w:numId w:val="3"/>
        </w:numPr>
        <w:ind w:left="0" w:leftChars="0" w:firstLine="608" w:firstLineChars="202"/>
        <w:rPr>
          <w:rFonts w:hint="eastAsia"/>
          <w:color w:val="auto"/>
          <w:szCs w:val="24"/>
          <w:highlight w:val="none"/>
          <w:lang w:val="en-US" w:eastAsia="zh-CN"/>
        </w:rPr>
      </w:pPr>
      <w:r>
        <w:rPr>
          <w:rFonts w:hint="eastAsia"/>
          <w:color w:val="auto"/>
          <w:szCs w:val="24"/>
          <w:highlight w:val="none"/>
          <w:lang w:val="en-US" w:eastAsia="zh-CN"/>
        </w:rPr>
        <w:t>企业近年工程质量、安全情况承诺函</w:t>
      </w:r>
    </w:p>
    <w:p>
      <w:pPr>
        <w:jc w:val="center"/>
        <w:rPr>
          <w:rFonts w:hint="eastAsia" w:ascii="宋体" w:hAnsi="宋体"/>
          <w:b/>
          <w:color w:val="auto"/>
          <w:sz w:val="24"/>
          <w:szCs w:val="24"/>
          <w:highlight w:val="none"/>
        </w:rPr>
      </w:pPr>
      <w:r>
        <w:rPr>
          <w:rFonts w:hint="eastAsia" w:ascii="宋体" w:hAnsi="宋体"/>
          <w:b/>
          <w:color w:val="auto"/>
          <w:sz w:val="24"/>
          <w:szCs w:val="24"/>
          <w:highlight w:val="none"/>
        </w:rPr>
        <w:t>（以下内容为打印的纸质版签字及盖章后的扫描件）</w:t>
      </w:r>
    </w:p>
    <w:p>
      <w:pPr>
        <w:jc w:val="center"/>
        <w:rPr>
          <w:rFonts w:ascii="宋体" w:hAnsi="宋体"/>
          <w:color w:val="auto"/>
          <w:szCs w:val="21"/>
          <w:highlight w:val="none"/>
        </w:rPr>
      </w:pPr>
      <w:r>
        <w:rPr>
          <w:rFonts w:hint="eastAsia" w:ascii="宋体" w:hAnsi="宋体"/>
          <w:b/>
          <w:color w:val="auto"/>
          <w:sz w:val="24"/>
          <w:szCs w:val="24"/>
          <w:highlight w:val="none"/>
        </w:rPr>
        <w:t>企业近年工程质量、安全情况承诺函</w:t>
      </w:r>
    </w:p>
    <w:p>
      <w:pPr>
        <w:rPr>
          <w:rFonts w:ascii="宋体" w:hAnsi="宋体"/>
          <w:color w:val="auto"/>
          <w:szCs w:val="21"/>
          <w:highlight w:val="none"/>
        </w:rPr>
      </w:pPr>
    </w:p>
    <w:p>
      <w:pPr>
        <w:pStyle w:val="22"/>
        <w:spacing w:line="360" w:lineRule="auto"/>
        <w:rPr>
          <w:rFonts w:hAnsi="宋体"/>
          <w:color w:val="auto"/>
          <w:szCs w:val="21"/>
          <w:highlight w:val="none"/>
        </w:rPr>
      </w:pPr>
      <w:r>
        <w:rPr>
          <w:rFonts w:hint="eastAsia" w:hAnsi="宋体"/>
          <w:color w:val="auto"/>
          <w:szCs w:val="21"/>
          <w:highlight w:val="none"/>
        </w:rPr>
        <w:t>招标人:</w:t>
      </w:r>
      <w:r>
        <w:rPr>
          <w:rFonts w:hint="eastAsia" w:hAnsi="宋体"/>
          <w:color w:val="auto"/>
          <w:szCs w:val="21"/>
          <w:highlight w:val="none"/>
          <w:u w:val="single"/>
        </w:rPr>
        <w:t>广州公交集团新能源发展有限责任公司</w:t>
      </w:r>
    </w:p>
    <w:p>
      <w:pPr>
        <w:pStyle w:val="22"/>
        <w:spacing w:line="360" w:lineRule="auto"/>
        <w:ind w:firstLine="420" w:firstLineChars="200"/>
        <w:rPr>
          <w:rFonts w:hAnsi="宋体"/>
          <w:color w:val="auto"/>
          <w:szCs w:val="21"/>
          <w:highlight w:val="none"/>
        </w:rPr>
      </w:pPr>
      <w:r>
        <w:rPr>
          <w:rFonts w:hint="eastAsia" w:hAnsi="宋体"/>
          <w:color w:val="auto"/>
          <w:szCs w:val="21"/>
          <w:highlight w:val="none"/>
        </w:rPr>
        <w:t>我公司近年</w:t>
      </w:r>
      <w:r>
        <w:rPr>
          <w:rFonts w:hAnsi="宋体"/>
          <w:color w:val="auto"/>
          <w:szCs w:val="21"/>
          <w:highlight w:val="none"/>
        </w:rPr>
        <w:t>在项目建设过程中</w:t>
      </w:r>
      <w:r>
        <w:rPr>
          <w:rFonts w:hint="eastAsia" w:hAnsi="宋体"/>
          <w:color w:val="auto"/>
          <w:szCs w:val="21"/>
          <w:highlight w:val="none"/>
        </w:rPr>
        <w:t>的</w:t>
      </w:r>
      <w:r>
        <w:rPr>
          <w:rFonts w:hAnsi="宋体"/>
          <w:color w:val="auto"/>
          <w:szCs w:val="21"/>
          <w:highlight w:val="none"/>
        </w:rPr>
        <w:t>质量、安全情况如下：</w:t>
      </w:r>
    </w:p>
    <w:p>
      <w:pPr>
        <w:pStyle w:val="22"/>
        <w:spacing w:line="360" w:lineRule="auto"/>
        <w:ind w:firstLine="420" w:firstLineChars="200"/>
        <w:rPr>
          <w:rFonts w:hAnsi="宋体"/>
          <w:color w:val="auto"/>
          <w:szCs w:val="21"/>
          <w:highlight w:val="none"/>
          <w:u w:val="single"/>
        </w:rPr>
      </w:pPr>
      <w:r>
        <w:rPr>
          <w:rFonts w:hint="eastAsia" w:hAnsi="宋体"/>
          <w:color w:val="auto"/>
          <w:szCs w:val="21"/>
          <w:highlight w:val="none"/>
          <w:u w:val="single"/>
        </w:rPr>
        <w:t>2020年至今没有发生过一般及以上事故、无重大设备、重大质量事故。</w:t>
      </w:r>
    </w:p>
    <w:p>
      <w:pPr>
        <w:pStyle w:val="22"/>
        <w:spacing w:line="360" w:lineRule="auto"/>
        <w:ind w:firstLine="420" w:firstLineChars="200"/>
        <w:rPr>
          <w:rFonts w:hAnsi="宋体"/>
          <w:color w:val="auto"/>
          <w:szCs w:val="21"/>
          <w:highlight w:val="none"/>
          <w:u w:val="single"/>
        </w:rPr>
      </w:pPr>
      <w:r>
        <w:rPr>
          <w:rFonts w:hint="eastAsia" w:hAnsi="宋体"/>
          <w:color w:val="auto"/>
          <w:szCs w:val="21"/>
          <w:highlight w:val="none"/>
          <w:u w:val="single"/>
        </w:rPr>
        <w:t>2020年至今没有发生过一般及以上事故、无重大安全事故。</w:t>
      </w:r>
    </w:p>
    <w:p>
      <w:pPr>
        <w:spacing w:line="360" w:lineRule="auto"/>
        <w:rPr>
          <w:rFonts w:ascii="宋体" w:hAnsi="宋体"/>
          <w:color w:val="auto"/>
          <w:szCs w:val="21"/>
          <w:highlight w:val="none"/>
        </w:rPr>
      </w:pPr>
      <w:r>
        <w:rPr>
          <w:rFonts w:hint="eastAsia" w:ascii="宋体" w:hAnsi="宋体"/>
          <w:color w:val="auto"/>
          <w:szCs w:val="21"/>
          <w:highlight w:val="none"/>
        </w:rPr>
        <w:t>如</w:t>
      </w:r>
      <w:r>
        <w:rPr>
          <w:rFonts w:ascii="宋体" w:hAnsi="宋体"/>
          <w:color w:val="auto"/>
          <w:szCs w:val="21"/>
          <w:highlight w:val="none"/>
        </w:rPr>
        <w:t>发生过</w:t>
      </w:r>
      <w:r>
        <w:rPr>
          <w:rFonts w:hint="eastAsia" w:ascii="宋体" w:hAnsi="宋体"/>
          <w:color w:val="auto"/>
          <w:szCs w:val="21"/>
          <w:highlight w:val="none"/>
        </w:rPr>
        <w:t>，</w:t>
      </w:r>
      <w:r>
        <w:rPr>
          <w:rFonts w:ascii="宋体" w:hAnsi="宋体"/>
          <w:color w:val="auto"/>
          <w:szCs w:val="21"/>
          <w:highlight w:val="none"/>
        </w:rPr>
        <w:t>简述如下</w:t>
      </w:r>
      <w:r>
        <w:rPr>
          <w:rFonts w:hint="eastAsia" w:ascii="宋体" w:hAnsi="宋体"/>
          <w:color w:val="auto"/>
          <w:szCs w:val="21"/>
          <w:highlight w:val="none"/>
        </w:rPr>
        <w:t>:</w:t>
      </w:r>
    </w:p>
    <w:p>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spacing w:line="360" w:lineRule="auto"/>
        <w:rPr>
          <w:rFonts w:hint="eastAsia" w:ascii="宋体" w:hAnsi="宋体"/>
          <w:color w:val="auto"/>
          <w:szCs w:val="21"/>
          <w:highlight w:val="none"/>
        </w:rPr>
      </w:pPr>
    </w:p>
    <w:p>
      <w:pPr>
        <w:pStyle w:val="22"/>
        <w:spacing w:line="360" w:lineRule="auto"/>
        <w:ind w:firstLine="420" w:firstLineChars="200"/>
        <w:rPr>
          <w:rFonts w:hAnsi="宋体"/>
          <w:color w:val="auto"/>
          <w:szCs w:val="21"/>
          <w:highlight w:val="none"/>
        </w:rPr>
      </w:pPr>
      <w:r>
        <w:rPr>
          <w:rFonts w:hint="eastAsia" w:hAnsi="宋体"/>
          <w:color w:val="auto"/>
          <w:szCs w:val="21"/>
          <w:highlight w:val="none"/>
        </w:rPr>
        <w:t>我公司承诺以上</w:t>
      </w:r>
      <w:r>
        <w:rPr>
          <w:rFonts w:hAnsi="宋体"/>
          <w:color w:val="auto"/>
          <w:szCs w:val="21"/>
          <w:highlight w:val="none"/>
        </w:rPr>
        <w:t>情况属实，</w:t>
      </w:r>
      <w:r>
        <w:rPr>
          <w:rFonts w:hint="eastAsia" w:hAnsi="宋体"/>
          <w:color w:val="auto"/>
          <w:szCs w:val="21"/>
          <w:highlight w:val="none"/>
        </w:rPr>
        <w:t>如弄虚作假，我公司自愿接受南方电网公司承包商管理的相关</w:t>
      </w:r>
      <w:r>
        <w:rPr>
          <w:rFonts w:hAnsi="宋体"/>
          <w:color w:val="auto"/>
          <w:szCs w:val="21"/>
          <w:highlight w:val="none"/>
        </w:rPr>
        <w:t>处罚。</w:t>
      </w:r>
    </w:p>
    <w:p>
      <w:pPr>
        <w:pStyle w:val="22"/>
        <w:spacing w:line="360" w:lineRule="auto"/>
        <w:rPr>
          <w:rFonts w:hAnsi="宋体"/>
          <w:color w:val="auto"/>
          <w:szCs w:val="21"/>
          <w:highlight w:val="none"/>
        </w:rPr>
      </w:pPr>
    </w:p>
    <w:p>
      <w:pPr>
        <w:pStyle w:val="22"/>
        <w:spacing w:line="360" w:lineRule="auto"/>
        <w:rPr>
          <w:rFonts w:hAnsi="宋体"/>
          <w:color w:val="auto"/>
          <w:szCs w:val="21"/>
          <w:highlight w:val="none"/>
        </w:rPr>
      </w:pPr>
      <w:r>
        <w:rPr>
          <w:rFonts w:hint="eastAsia" w:hAnsi="宋体"/>
          <w:color w:val="auto"/>
          <w:szCs w:val="21"/>
          <w:highlight w:val="none"/>
        </w:rPr>
        <w:t xml:space="preserve">                              投标人:       (盖单位公章或电子印章)</w:t>
      </w:r>
    </w:p>
    <w:p>
      <w:pPr>
        <w:pStyle w:val="22"/>
        <w:spacing w:line="360" w:lineRule="auto"/>
        <w:ind w:firstLine="1050" w:firstLineChars="500"/>
        <w:rPr>
          <w:rFonts w:hAnsi="宋体"/>
          <w:color w:val="auto"/>
          <w:szCs w:val="21"/>
          <w:highlight w:val="none"/>
        </w:rPr>
      </w:pPr>
      <w:r>
        <w:rPr>
          <w:rFonts w:hint="eastAsia" w:hAnsi="宋体"/>
          <w:color w:val="auto"/>
          <w:szCs w:val="21"/>
          <w:highlight w:val="none"/>
        </w:rPr>
        <w:t xml:space="preserve">                    法定代表人或者其委托的代理人:</w:t>
      </w:r>
      <w:r>
        <w:rPr>
          <w:rFonts w:hint="eastAsia" w:hAnsi="宋体"/>
          <w:color w:val="auto"/>
          <w:szCs w:val="21"/>
          <w:highlight w:val="none"/>
          <w:u w:val="single"/>
        </w:rPr>
        <w:t xml:space="preserve">              </w:t>
      </w:r>
      <w:r>
        <w:rPr>
          <w:rFonts w:hint="eastAsia" w:hAnsi="宋体"/>
          <w:color w:val="auto"/>
          <w:szCs w:val="21"/>
          <w:highlight w:val="none"/>
        </w:rPr>
        <w:t>(签字或盖章)</w:t>
      </w:r>
    </w:p>
    <w:p>
      <w:pPr>
        <w:pStyle w:val="22"/>
        <w:spacing w:line="360" w:lineRule="auto"/>
        <w:rPr>
          <w:rFonts w:hAnsi="宋体"/>
          <w:color w:val="auto"/>
          <w:szCs w:val="21"/>
          <w:highlight w:val="none"/>
        </w:rPr>
      </w:pPr>
      <w:r>
        <w:rPr>
          <w:rFonts w:hint="eastAsia" w:hAnsi="宋体"/>
          <w:color w:val="auto"/>
          <w:szCs w:val="21"/>
          <w:highlight w:val="none"/>
        </w:rPr>
        <w:t xml:space="preserve">                              单位地址:</w:t>
      </w:r>
      <w:r>
        <w:rPr>
          <w:rFonts w:hint="eastAsia" w:hAnsi="宋体"/>
          <w:color w:val="auto"/>
          <w:szCs w:val="21"/>
          <w:highlight w:val="none"/>
          <w:u w:val="single"/>
        </w:rPr>
        <w:t xml:space="preserve">                              </w:t>
      </w:r>
    </w:p>
    <w:p>
      <w:pPr>
        <w:pStyle w:val="22"/>
        <w:spacing w:line="360" w:lineRule="auto"/>
        <w:rPr>
          <w:rFonts w:hAnsi="宋体"/>
          <w:color w:val="auto"/>
          <w:szCs w:val="21"/>
          <w:highlight w:val="none"/>
          <w:u w:val="single"/>
        </w:rPr>
      </w:pPr>
      <w:r>
        <w:rPr>
          <w:rFonts w:hint="eastAsia" w:hAnsi="宋体"/>
          <w:color w:val="auto"/>
          <w:szCs w:val="21"/>
          <w:highlight w:val="none"/>
        </w:rPr>
        <w:t xml:space="preserve">                              邮政编码:    </w:t>
      </w:r>
      <w:r>
        <w:rPr>
          <w:rFonts w:hint="eastAsia" w:hAnsi="宋体"/>
          <w:color w:val="auto"/>
          <w:szCs w:val="21"/>
          <w:highlight w:val="none"/>
          <w:u w:val="single"/>
        </w:rPr>
        <w:t xml:space="preserve">             </w:t>
      </w:r>
    </w:p>
    <w:p>
      <w:pPr>
        <w:pStyle w:val="22"/>
        <w:spacing w:line="360" w:lineRule="auto"/>
        <w:rPr>
          <w:rFonts w:hAnsi="宋体"/>
          <w:color w:val="auto"/>
          <w:szCs w:val="21"/>
          <w:highlight w:val="none"/>
          <w:u w:val="single"/>
        </w:rPr>
      </w:pPr>
      <w:r>
        <w:rPr>
          <w:rFonts w:hint="eastAsia" w:hAnsi="宋体"/>
          <w:color w:val="auto"/>
          <w:szCs w:val="21"/>
          <w:highlight w:val="none"/>
        </w:rPr>
        <w:t xml:space="preserve">                              电    话:    </w:t>
      </w:r>
      <w:r>
        <w:rPr>
          <w:rFonts w:hint="eastAsia" w:hAnsi="宋体"/>
          <w:color w:val="auto"/>
          <w:szCs w:val="21"/>
          <w:highlight w:val="none"/>
          <w:u w:val="single"/>
        </w:rPr>
        <w:t xml:space="preserve">             </w:t>
      </w:r>
    </w:p>
    <w:p>
      <w:pPr>
        <w:pStyle w:val="22"/>
        <w:spacing w:line="360" w:lineRule="auto"/>
        <w:rPr>
          <w:rFonts w:hAnsi="宋体"/>
          <w:color w:val="auto"/>
          <w:szCs w:val="21"/>
          <w:highlight w:val="none"/>
          <w:u w:val="single"/>
        </w:rPr>
      </w:pPr>
      <w:r>
        <w:rPr>
          <w:rFonts w:hint="eastAsia" w:hAnsi="宋体"/>
          <w:color w:val="auto"/>
          <w:szCs w:val="21"/>
          <w:highlight w:val="none"/>
        </w:rPr>
        <w:t xml:space="preserve">                              传    真:    </w:t>
      </w:r>
      <w:r>
        <w:rPr>
          <w:rFonts w:hint="eastAsia" w:hAnsi="宋体"/>
          <w:color w:val="auto"/>
          <w:szCs w:val="21"/>
          <w:highlight w:val="none"/>
          <w:u w:val="single"/>
        </w:rPr>
        <w:t xml:space="preserve">             </w:t>
      </w:r>
    </w:p>
    <w:p>
      <w:pPr>
        <w:tabs>
          <w:tab w:val="left" w:pos="8100"/>
        </w:tabs>
        <w:adjustRightInd w:val="0"/>
        <w:snapToGrid w:val="0"/>
        <w:spacing w:line="360" w:lineRule="auto"/>
        <w:ind w:firstLine="3150" w:firstLineChars="1500"/>
        <w:jc w:val="both"/>
        <w:rPr>
          <w:rFonts w:ascii="宋体" w:hAnsi="宋体"/>
          <w:color w:val="auto"/>
          <w:szCs w:val="21"/>
          <w:highlight w:val="none"/>
        </w:rPr>
      </w:pPr>
      <w:r>
        <w:rPr>
          <w:rFonts w:hint="eastAsia" w:ascii="宋体" w:hAnsi="宋体"/>
          <w:color w:val="auto"/>
          <w:szCs w:val="21"/>
          <w:highlight w:val="none"/>
        </w:rPr>
        <w:t>日</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rPr>
          <w:rFonts w:hint="eastAsia"/>
          <w:color w:val="auto"/>
          <w:highlight w:val="none"/>
          <w:lang w:val="en-US" w:eastAsia="zh-CN"/>
        </w:rPr>
      </w:pPr>
      <w:r>
        <w:rPr>
          <w:rFonts w:hint="eastAsia"/>
          <w:color w:val="auto"/>
          <w:highlight w:val="none"/>
          <w:lang w:val="en-US" w:eastAsia="zh-CN"/>
        </w:rPr>
        <w:br w:type="page"/>
      </w:r>
    </w:p>
    <w:p>
      <w:pPr>
        <w:pStyle w:val="4"/>
        <w:numPr>
          <w:ilvl w:val="0"/>
          <w:numId w:val="3"/>
        </w:numPr>
        <w:ind w:left="0" w:leftChars="0" w:firstLine="608" w:firstLineChars="202"/>
        <w:rPr>
          <w:rFonts w:hint="eastAsia"/>
          <w:color w:val="auto"/>
          <w:szCs w:val="24"/>
          <w:highlight w:val="none"/>
          <w:lang w:val="en-US" w:eastAsia="zh-CN"/>
        </w:rPr>
      </w:pPr>
      <w:r>
        <w:rPr>
          <w:rFonts w:hint="eastAsia"/>
          <w:color w:val="auto"/>
          <w:szCs w:val="24"/>
          <w:highlight w:val="none"/>
          <w:lang w:val="en-US" w:eastAsia="zh-CN"/>
        </w:rPr>
        <w:t>企业诚信承诺书</w:t>
      </w:r>
    </w:p>
    <w:p>
      <w:pPr>
        <w:jc w:val="center"/>
        <w:rPr>
          <w:rFonts w:hint="eastAsia" w:ascii="宋体" w:hAnsi="宋体"/>
          <w:b/>
          <w:color w:val="auto"/>
          <w:sz w:val="24"/>
          <w:szCs w:val="24"/>
          <w:highlight w:val="none"/>
        </w:rPr>
      </w:pPr>
      <w:r>
        <w:rPr>
          <w:rFonts w:hint="eastAsia" w:ascii="宋体" w:hAnsi="宋体"/>
          <w:b/>
          <w:color w:val="auto"/>
          <w:sz w:val="24"/>
          <w:szCs w:val="24"/>
          <w:highlight w:val="none"/>
        </w:rPr>
        <w:t>（以下内容为打印的纸质版签字及盖章后的扫描件）</w:t>
      </w:r>
    </w:p>
    <w:p>
      <w:pPr>
        <w:jc w:val="center"/>
        <w:rPr>
          <w:rFonts w:hint="eastAsia" w:ascii="宋体" w:hAnsi="宋体"/>
          <w:b/>
          <w:color w:val="auto"/>
          <w:sz w:val="24"/>
          <w:szCs w:val="24"/>
          <w:highlight w:val="none"/>
        </w:rPr>
      </w:pPr>
      <w:r>
        <w:rPr>
          <w:rFonts w:hint="eastAsia" w:ascii="宋体" w:hAnsi="宋体"/>
          <w:b/>
          <w:color w:val="auto"/>
          <w:sz w:val="24"/>
          <w:szCs w:val="24"/>
          <w:highlight w:val="none"/>
        </w:rPr>
        <w:t>企业诚信承诺书</w:t>
      </w:r>
    </w:p>
    <w:p>
      <w:pPr>
        <w:pStyle w:val="42"/>
        <w:rPr>
          <w:rFonts w:hint="eastAsia"/>
          <w:color w:val="auto"/>
          <w:highlight w:val="none"/>
        </w:rPr>
      </w:pPr>
    </w:p>
    <w:p>
      <w:pPr>
        <w:rPr>
          <w:rFonts w:hint="eastAsia" w:ascii="宋体" w:hAnsi="宋体"/>
          <w:color w:val="auto"/>
          <w:szCs w:val="21"/>
          <w:highlight w:val="none"/>
          <w:u w:val="single"/>
        </w:rPr>
      </w:pPr>
      <w:r>
        <w:rPr>
          <w:rFonts w:hint="eastAsia" w:ascii="宋体" w:hAnsi="宋体"/>
          <w:color w:val="auto"/>
          <w:szCs w:val="21"/>
          <w:highlight w:val="none"/>
        </w:rPr>
        <w:t>招标人：</w:t>
      </w:r>
      <w:r>
        <w:rPr>
          <w:rFonts w:hint="eastAsia" w:hAnsi="宋体"/>
          <w:color w:val="auto"/>
          <w:szCs w:val="21"/>
          <w:highlight w:val="none"/>
          <w:u w:val="single"/>
        </w:rPr>
        <w:t>广州公交集团新能源发展有限责任公司</w:t>
      </w:r>
    </w:p>
    <w:p>
      <w:pPr>
        <w:rPr>
          <w:rFonts w:hint="eastAsia" w:ascii="宋体" w:hAnsi="宋体"/>
          <w:color w:val="auto"/>
          <w:szCs w:val="21"/>
          <w:highlight w:val="none"/>
        </w:rPr>
      </w:pPr>
      <w:r>
        <w:rPr>
          <w:rFonts w:hint="eastAsia" w:ascii="宋体" w:hAnsi="宋体"/>
          <w:color w:val="auto"/>
          <w:szCs w:val="21"/>
          <w:highlight w:val="none"/>
        </w:rPr>
        <w:t xml:space="preserve">    </w:t>
      </w:r>
    </w:p>
    <w:p>
      <w:pPr>
        <w:rPr>
          <w:rFonts w:hint="eastAsia" w:ascii="宋体" w:hAnsi="宋体"/>
          <w:color w:val="auto"/>
          <w:szCs w:val="21"/>
          <w:highlight w:val="none"/>
        </w:rPr>
      </w:pPr>
      <w:r>
        <w:rPr>
          <w:rFonts w:hint="eastAsia" w:ascii="宋体" w:hAnsi="宋体"/>
          <w:color w:val="auto"/>
          <w:szCs w:val="21"/>
          <w:highlight w:val="none"/>
        </w:rPr>
        <w:t>我单位参与</w:t>
      </w:r>
      <w:r>
        <w:rPr>
          <w:rFonts w:hint="eastAsia" w:ascii="宋体" w:hAnsi="宋体"/>
          <w:color w:val="auto"/>
          <w:szCs w:val="21"/>
          <w:highlight w:val="none"/>
          <w:u w:val="single"/>
        </w:rPr>
        <w:t>（项目名称）</w:t>
      </w:r>
      <w:r>
        <w:rPr>
          <w:rFonts w:hint="eastAsia" w:ascii="宋体" w:hAnsi="宋体"/>
          <w:color w:val="auto"/>
          <w:szCs w:val="21"/>
          <w:highlight w:val="none"/>
        </w:rPr>
        <w:t>的投标，同时在此郑重承诺：</w:t>
      </w:r>
    </w:p>
    <w:p>
      <w:pPr>
        <w:ind w:firstLine="420" w:firstLineChars="200"/>
        <w:jc w:val="left"/>
        <w:rPr>
          <w:rFonts w:ascii="宋体" w:hAnsi="宋体"/>
          <w:color w:val="auto"/>
          <w:szCs w:val="21"/>
          <w:highlight w:val="none"/>
        </w:rPr>
      </w:pPr>
      <w:r>
        <w:rPr>
          <w:rFonts w:hint="eastAsia" w:ascii="宋体" w:hAnsi="宋体"/>
          <w:color w:val="auto"/>
          <w:szCs w:val="21"/>
          <w:highlight w:val="none"/>
        </w:rPr>
        <w:t>1、按要求递交的有关证件为本单位真实拥有，营业执照、资质资格证书</w:t>
      </w:r>
      <w:r>
        <w:rPr>
          <w:rFonts w:hint="eastAsia" w:ascii="宋体" w:hAnsi="宋体"/>
          <w:color w:val="auto"/>
          <w:szCs w:val="21"/>
          <w:highlight w:val="none"/>
          <w:lang w:eastAsia="zh-CN"/>
        </w:rPr>
        <w:t>扫描</w:t>
      </w:r>
      <w:r>
        <w:rPr>
          <w:rFonts w:hint="eastAsia" w:ascii="宋体" w:hAnsi="宋体"/>
          <w:color w:val="auto"/>
          <w:szCs w:val="21"/>
          <w:highlight w:val="none"/>
        </w:rPr>
        <w:t>件与原件完全一致，不存在伪造、变造、涂改等弄虚作假行为。</w:t>
      </w:r>
    </w:p>
    <w:p>
      <w:pPr>
        <w:ind w:firstLine="420" w:firstLineChars="200"/>
        <w:jc w:val="left"/>
        <w:rPr>
          <w:rFonts w:hint="eastAsia" w:ascii="宋体" w:hAnsi="宋体"/>
          <w:color w:val="auto"/>
          <w:szCs w:val="21"/>
          <w:highlight w:val="none"/>
        </w:rPr>
      </w:pPr>
      <w:r>
        <w:rPr>
          <w:rFonts w:hint="eastAsia" w:ascii="宋体" w:hAnsi="宋体"/>
          <w:color w:val="auto"/>
          <w:szCs w:val="21"/>
          <w:highlight w:val="none"/>
        </w:rPr>
        <w:t>2、我单位严格遵守《中华人民共和国招标投标法》、《中华人民共和国招标投标法实施条例》及本项目招标监管部门的规定。</w:t>
      </w:r>
    </w:p>
    <w:p>
      <w:pPr>
        <w:ind w:firstLine="420" w:firstLineChars="200"/>
        <w:jc w:val="left"/>
        <w:rPr>
          <w:rFonts w:hint="eastAsia" w:ascii="宋体" w:hAnsi="宋体"/>
          <w:color w:val="auto"/>
          <w:szCs w:val="21"/>
          <w:highlight w:val="none"/>
        </w:rPr>
      </w:pPr>
      <w:r>
        <w:rPr>
          <w:rFonts w:hint="eastAsia" w:ascii="宋体" w:hAnsi="宋体"/>
          <w:color w:val="auto"/>
          <w:szCs w:val="21"/>
          <w:highlight w:val="none"/>
        </w:rPr>
        <w:t>3、我单位不存在以下情形之一：</w:t>
      </w:r>
    </w:p>
    <w:p>
      <w:pPr>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（1）为招标人不具有独立法人资格的附属机构（单位）；</w:t>
      </w:r>
    </w:p>
    <w:p>
      <w:pPr>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（2）与招标人存在利害关系且可能影响招标公正性；</w:t>
      </w:r>
    </w:p>
    <w:p>
      <w:pPr>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（3）为本标段前期准备提供设计或咨询服务的；</w:t>
      </w:r>
    </w:p>
    <w:p>
      <w:pPr>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（4）为本标段的监理人；</w:t>
      </w:r>
    </w:p>
    <w:p>
      <w:pPr>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（5）为本标段的代建人；</w:t>
      </w:r>
    </w:p>
    <w:p>
      <w:pPr>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（6）为本标段提供招标代理服务的；</w:t>
      </w:r>
    </w:p>
    <w:p>
      <w:pPr>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（7）与本标段的监理人或代建人或招标代理机构同为一个法定代表人的；</w:t>
      </w:r>
    </w:p>
    <w:p>
      <w:pPr>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（8）与本标段的监理人或代建人或招标代理机构存在控股或参股关系；</w:t>
      </w:r>
    </w:p>
    <w:p>
      <w:pPr>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（9）与本标段的监理人或代建人或招标代理机构有员工相互任职或工作的；</w:t>
      </w:r>
    </w:p>
    <w:p>
      <w:pPr>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（10）与本标段的其他投标人为同一个单位负责人；</w:t>
      </w:r>
    </w:p>
    <w:p>
      <w:pPr>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（11）与本标段的其他投标人存在控股、管理关系；</w:t>
      </w:r>
    </w:p>
    <w:p>
      <w:pPr>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（12）被依法暂停或者取消投标资格；</w:t>
      </w:r>
    </w:p>
    <w:p>
      <w:pPr>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（13）财产被接管或冻结的；</w:t>
      </w:r>
    </w:p>
    <w:p>
      <w:pPr>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（14）在最近三年内有骗取中标或严重违约或重大工程质量问题的；</w:t>
      </w:r>
    </w:p>
    <w:p>
      <w:pPr>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（15）在工程所在地政府或中国南方电网有限责任公司或广东电网有限责任公司或广州市公共交通集团有限公司处于限制投标期内的；</w:t>
      </w:r>
      <w:bookmarkStart w:id="2251" w:name="_GoBack"/>
      <w:bookmarkEnd w:id="2251"/>
    </w:p>
    <w:p>
      <w:pPr>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（16）被责令停产停业、暂扣或者吊销许可证、暂扣或者吊销执照；</w:t>
      </w:r>
    </w:p>
    <w:p>
      <w:pPr>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（17）进入清算程序，或被宣告破产，或其他丧失履约能力的情形；</w:t>
      </w:r>
    </w:p>
    <w:p>
      <w:pPr>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（18）被工商行政管理机关在国家企业信用信息公示系统中列入严重违法失信企业名单；</w:t>
      </w:r>
    </w:p>
    <w:p>
      <w:pPr>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（19）被“信用中国”网站（www.creditchina.gov.cn）或各级信用信息共享平台中列入失信被执行人名单；</w:t>
      </w:r>
    </w:p>
    <w:p>
      <w:pPr>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（20）在近三年内投标人或其法定代表人、拟委任的项目负责人有行贿犯罪行为的；</w:t>
      </w:r>
    </w:p>
    <w:p>
      <w:pPr>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（21）已放弃中标的单位重新参与此标段重新招标的投标；</w:t>
      </w:r>
    </w:p>
    <w:p>
      <w:pPr>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（22）法律、行政法规规定的其他条件。</w:t>
      </w:r>
    </w:p>
    <w:p>
      <w:pPr>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4、我单位递交的有关证件如有虚假或存在上述第3条所列情形的，一经查实，我单位自愿退出该项目投标，并接受贵单位相关处罚。                     </w:t>
      </w:r>
    </w:p>
    <w:p>
      <w:pPr>
        <w:pStyle w:val="42"/>
        <w:ind w:left="0" w:leftChars="0" w:firstLine="0" w:firstLineChars="0"/>
        <w:rPr>
          <w:rFonts w:hint="eastAsia"/>
          <w:color w:val="auto"/>
          <w:highlight w:val="none"/>
        </w:rPr>
      </w:pPr>
    </w:p>
    <w:p>
      <w:pPr>
        <w:ind w:left="0" w:leftChars="0" w:firstLine="4838" w:firstLineChars="2304"/>
        <w:rPr>
          <w:rFonts w:hint="eastAsia" w:ascii="宋体" w:hAnsi="宋体"/>
          <w:color w:val="auto"/>
          <w:szCs w:val="21"/>
          <w:highlight w:val="none"/>
        </w:rPr>
      </w:pPr>
      <w:r>
        <w:rPr>
          <w:rFonts w:hint="eastAsia" w:hAnsi="宋体"/>
          <w:color w:val="auto"/>
          <w:szCs w:val="21"/>
          <w:highlight w:val="none"/>
        </w:rPr>
        <w:t>投标人</w:t>
      </w:r>
      <w:r>
        <w:rPr>
          <w:rFonts w:hint="eastAsia" w:ascii="宋体" w:hAnsi="宋体"/>
          <w:color w:val="auto"/>
          <w:szCs w:val="21"/>
          <w:highlight w:val="none"/>
        </w:rPr>
        <w:t>：（盖单位公章或电子印章）</w:t>
      </w:r>
    </w:p>
    <w:p>
      <w:pPr>
        <w:tabs>
          <w:tab w:val="left" w:pos="8100"/>
        </w:tabs>
        <w:adjustRightInd w:val="0"/>
        <w:snapToGrid w:val="0"/>
        <w:ind w:left="0" w:leftChars="0" w:firstLine="4838" w:firstLineChars="2304"/>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（签名或签章）</w:t>
      </w:r>
    </w:p>
    <w:p>
      <w:pPr>
        <w:ind w:left="0" w:leftChars="0" w:firstLine="4838" w:firstLineChars="2304"/>
        <w:rPr>
          <w:rFonts w:hint="eastAsia"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numPr>
          <w:ilvl w:val="0"/>
          <w:numId w:val="0"/>
        </w:numPr>
        <w:rPr>
          <w:rFonts w:hint="eastAsia"/>
          <w:color w:val="auto"/>
          <w:highlight w:val="none"/>
          <w:lang w:val="en-US" w:eastAsia="zh-CN"/>
        </w:rPr>
      </w:pPr>
    </w:p>
    <w:p>
      <w:pPr>
        <w:pStyle w:val="4"/>
        <w:numPr>
          <w:ilvl w:val="0"/>
          <w:numId w:val="3"/>
        </w:numPr>
        <w:ind w:left="0" w:leftChars="0" w:firstLine="608" w:firstLineChars="202"/>
        <w:rPr>
          <w:rFonts w:hint="eastAsia"/>
          <w:color w:val="auto"/>
          <w:szCs w:val="24"/>
          <w:highlight w:val="none"/>
          <w:lang w:val="en-US" w:eastAsia="zh-CN"/>
        </w:rPr>
      </w:pPr>
      <w:r>
        <w:rPr>
          <w:rFonts w:hint="eastAsia"/>
          <w:color w:val="auto"/>
          <w:szCs w:val="24"/>
          <w:highlight w:val="none"/>
          <w:lang w:val="en-US" w:eastAsia="zh-CN"/>
        </w:rPr>
        <w:t>近三年的无行贿犯罪记录承诺书</w:t>
      </w:r>
    </w:p>
    <w:p>
      <w:pPr>
        <w:bidi w:val="0"/>
        <w:jc w:val="center"/>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（以下</w:t>
      </w:r>
      <w:r>
        <w:rPr>
          <w:rFonts w:ascii="宋体" w:hAnsi="宋体" w:eastAsia="宋体" w:cs="Times New Roman"/>
          <w:b/>
          <w:color w:val="auto"/>
          <w:sz w:val="24"/>
          <w:szCs w:val="24"/>
          <w:highlight w:val="none"/>
        </w:rPr>
        <w:t>内容为</w:t>
      </w:r>
      <w:r>
        <w:rPr>
          <w:rFonts w:hint="eastAsia" w:ascii="宋体" w:hAnsi="宋体" w:eastAsia="宋体" w:cs="Times New Roman"/>
          <w:b/>
          <w:color w:val="auto"/>
          <w:sz w:val="24"/>
          <w:szCs w:val="24"/>
          <w:highlight w:val="none"/>
        </w:rPr>
        <w:t>打印的</w:t>
      </w:r>
      <w:r>
        <w:rPr>
          <w:rFonts w:ascii="宋体" w:hAnsi="宋体" w:eastAsia="宋体" w:cs="Times New Roman"/>
          <w:b/>
          <w:color w:val="auto"/>
          <w:sz w:val="24"/>
          <w:szCs w:val="24"/>
          <w:highlight w:val="none"/>
        </w:rPr>
        <w:t>纸质</w:t>
      </w:r>
      <w:r>
        <w:rPr>
          <w:rFonts w:hint="eastAsia" w:ascii="宋体" w:hAnsi="宋体" w:eastAsia="宋体" w:cs="Times New Roman"/>
          <w:b/>
          <w:color w:val="auto"/>
          <w:sz w:val="24"/>
          <w:szCs w:val="24"/>
          <w:highlight w:val="none"/>
        </w:rPr>
        <w:t>版签字及</w:t>
      </w:r>
      <w:r>
        <w:rPr>
          <w:rFonts w:ascii="宋体" w:hAnsi="宋体" w:eastAsia="宋体" w:cs="Times New Roman"/>
          <w:b/>
          <w:color w:val="auto"/>
          <w:sz w:val="24"/>
          <w:szCs w:val="24"/>
          <w:highlight w:val="none"/>
        </w:rPr>
        <w:t>盖章后的扫描件</w:t>
      </w:r>
      <w:r>
        <w:rPr>
          <w:rFonts w:hint="eastAsia" w:ascii="宋体" w:hAnsi="宋体" w:eastAsia="宋体" w:cs="Times New Roman"/>
          <w:b/>
          <w:color w:val="auto"/>
          <w:sz w:val="24"/>
          <w:szCs w:val="24"/>
          <w:highlight w:val="none"/>
        </w:rPr>
        <w:t>）</w:t>
      </w:r>
    </w:p>
    <w:p>
      <w:pPr>
        <w:bidi w:val="0"/>
        <w:jc w:val="center"/>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近三年的无行贿犯罪记录承诺书</w:t>
      </w:r>
    </w:p>
    <w:p>
      <w:pPr>
        <w:pStyle w:val="41"/>
        <w:ind w:firstLine="0" w:firstLineChars="0"/>
        <w:rPr>
          <w:rFonts w:hint="eastAsia"/>
          <w:color w:val="auto"/>
          <w:highlight w:val="none"/>
        </w:rPr>
      </w:pPr>
    </w:p>
    <w:p>
      <w:pPr>
        <w:ind w:firstLine="480" w:firstLineChars="200"/>
        <w:rPr>
          <w:rFonts w:hint="eastAsia" w:ascii="宋体" w:hAnsi="宋体"/>
          <w:bCs/>
          <w:color w:val="auto"/>
          <w:sz w:val="24"/>
          <w:szCs w:val="24"/>
          <w:highlight w:val="none"/>
        </w:rPr>
      </w:pP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本公司</w:t>
      </w:r>
      <w:r>
        <w:rPr>
          <w:rFonts w:ascii="宋体" w:hAnsi="宋体" w:cs="宋体"/>
          <w:color w:val="auto"/>
          <w:kern w:val="0"/>
          <w:szCs w:val="21"/>
          <w:highlight w:val="none"/>
          <w:lang w:bidi="ar"/>
        </w:rPr>
        <w:t>及公司</w:t>
      </w:r>
      <w:r>
        <w:rPr>
          <w:rFonts w:hint="eastAsia" w:ascii="宋体" w:hAnsi="宋体" w:eastAsia="宋体" w:cs="Times New Roman"/>
          <w:bCs/>
          <w:color w:val="auto"/>
          <w:szCs w:val="21"/>
          <w:highlight w:val="none"/>
        </w:rPr>
        <w:t>法定</w:t>
      </w:r>
      <w:r>
        <w:rPr>
          <w:rFonts w:ascii="宋体" w:hAnsi="宋体" w:cs="宋体"/>
          <w:color w:val="auto"/>
          <w:kern w:val="0"/>
          <w:szCs w:val="21"/>
          <w:highlight w:val="none"/>
          <w:lang w:bidi="ar"/>
        </w:rPr>
        <w:t>代表人、</w:t>
      </w:r>
      <w:r>
        <w:rPr>
          <w:rFonts w:hint="eastAsia" w:ascii="宋体" w:hAnsi="宋体" w:cs="宋体"/>
          <w:color w:val="auto"/>
          <w:kern w:val="0"/>
          <w:szCs w:val="21"/>
          <w:highlight w:val="none"/>
          <w:lang w:bidi="ar"/>
        </w:rPr>
        <w:t>拟委任的</w:t>
      </w:r>
      <w:r>
        <w:rPr>
          <w:rFonts w:ascii="宋体" w:hAnsi="宋体" w:cs="宋体"/>
          <w:color w:val="auto"/>
          <w:kern w:val="0"/>
          <w:szCs w:val="21"/>
          <w:highlight w:val="none"/>
          <w:lang w:bidi="ar"/>
        </w:rPr>
        <w:t>项目负责人</w:t>
      </w:r>
      <w:r>
        <w:rPr>
          <w:rFonts w:hint="eastAsia" w:ascii="宋体" w:hAnsi="宋体"/>
          <w:bCs/>
          <w:color w:val="auto"/>
          <w:szCs w:val="21"/>
          <w:highlight w:val="none"/>
        </w:rPr>
        <w:t>近三年无行贿犯罪行为，愿意接受社会各界监督。</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本公司若有违反承诺内容的行为，自愿接受取消投标资格、记入信用档案、取消中标资格、没收投标保证金等有关处理，愿意承担法律责任，给招标人造成损失的依法承担赔偿责任。</w:t>
      </w:r>
    </w:p>
    <w:p>
      <w:pPr>
        <w:rPr>
          <w:rFonts w:hint="eastAsia" w:ascii="宋体" w:hAnsi="宋体"/>
          <w:b/>
          <w:color w:val="auto"/>
          <w:sz w:val="24"/>
          <w:szCs w:val="24"/>
          <w:highlight w:val="none"/>
        </w:rPr>
      </w:pPr>
    </w:p>
    <w:p>
      <w:pPr>
        <w:jc w:val="right"/>
        <w:rPr>
          <w:rFonts w:hint="eastAsia" w:ascii="宋体" w:hAnsi="宋体"/>
          <w:b/>
          <w:color w:val="auto"/>
          <w:sz w:val="24"/>
          <w:szCs w:val="24"/>
          <w:highlight w:val="none"/>
        </w:rPr>
      </w:pPr>
    </w:p>
    <w:p>
      <w:pPr>
        <w:spacing w:line="360" w:lineRule="auto"/>
        <w:jc w:val="right"/>
        <w:rPr>
          <w:rFonts w:ascii="宋体" w:hAnsi="宋体"/>
          <w:color w:val="auto"/>
          <w:highlight w:val="none"/>
        </w:rPr>
      </w:pPr>
      <w:r>
        <w:rPr>
          <w:rFonts w:hint="eastAsia" w:ascii="宋体" w:hAnsi="宋体"/>
          <w:color w:val="auto"/>
          <w:highlight w:val="none"/>
        </w:rPr>
        <w:t xml:space="preserve">投标人: </w:t>
      </w:r>
      <w:r>
        <w:rPr>
          <w:rFonts w:hint="eastAsia" w:ascii="宋体" w:hAnsi="宋体"/>
          <w:color w:val="auto"/>
          <w:highlight w:val="none"/>
          <w:u w:val="single"/>
        </w:rPr>
        <w:t xml:space="preserve">             </w:t>
      </w:r>
      <w:r>
        <w:rPr>
          <w:rFonts w:hint="eastAsia" w:ascii="宋体" w:hAnsi="宋体"/>
          <w:color w:val="auto"/>
          <w:highlight w:val="none"/>
        </w:rPr>
        <w:t>(盖单位公章或电子印章)</w:t>
      </w:r>
    </w:p>
    <w:p>
      <w:pPr>
        <w:spacing w:line="360" w:lineRule="auto"/>
        <w:ind w:firstLine="1050" w:firstLineChars="500"/>
        <w:jc w:val="right"/>
        <w:rPr>
          <w:rFonts w:ascii="宋体" w:hAnsi="宋体"/>
          <w:color w:val="auto"/>
          <w:highlight w:val="none"/>
        </w:rPr>
      </w:pPr>
      <w:r>
        <w:rPr>
          <w:rFonts w:hint="eastAsia" w:ascii="宋体" w:hAnsi="宋体"/>
          <w:color w:val="auto"/>
          <w:highlight w:val="none"/>
        </w:rPr>
        <w:t xml:space="preserve">                    法定代表人或者其委托的代理人:</w:t>
      </w:r>
      <w:r>
        <w:rPr>
          <w:rFonts w:hint="eastAsia" w:ascii="宋体" w:hAnsi="宋体"/>
          <w:color w:val="auto"/>
          <w:highlight w:val="none"/>
          <w:u w:val="single"/>
        </w:rPr>
        <w:t xml:space="preserve">              </w:t>
      </w:r>
      <w:r>
        <w:rPr>
          <w:rFonts w:hint="eastAsia" w:ascii="宋体" w:hAnsi="宋体"/>
          <w:color w:val="auto"/>
          <w:highlight w:val="none"/>
        </w:rPr>
        <w:t>(</w:t>
      </w:r>
      <w:r>
        <w:rPr>
          <w:rFonts w:hint="eastAsia" w:ascii="宋体" w:hAnsi="宋体"/>
          <w:color w:val="auto"/>
          <w:szCs w:val="21"/>
          <w:highlight w:val="none"/>
        </w:rPr>
        <w:t>签名或签章</w:t>
      </w:r>
      <w:r>
        <w:rPr>
          <w:rFonts w:hint="eastAsia" w:ascii="宋体" w:hAnsi="宋体"/>
          <w:color w:val="auto"/>
          <w:highlight w:val="none"/>
        </w:rPr>
        <w:t>)</w:t>
      </w:r>
    </w:p>
    <w:p>
      <w:pPr>
        <w:tabs>
          <w:tab w:val="left" w:pos="8100"/>
        </w:tabs>
        <w:adjustRightInd w:val="0"/>
        <w:snapToGrid w:val="0"/>
        <w:spacing w:line="360" w:lineRule="auto"/>
        <w:ind w:firstLine="3150" w:firstLineChars="1500"/>
        <w:jc w:val="right"/>
        <w:rPr>
          <w:rFonts w:hint="eastAsia" w:ascii="宋体" w:hAnsi="宋体"/>
          <w:color w:val="auto"/>
          <w:highlight w:val="none"/>
        </w:rPr>
      </w:pPr>
      <w:r>
        <w:rPr>
          <w:rFonts w:hint="eastAsia" w:ascii="宋体" w:hAnsi="宋体"/>
          <w:color w:val="auto"/>
          <w:highlight w:val="none"/>
        </w:rPr>
        <w:t>日    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rPr>
          <w:rFonts w:hint="default"/>
          <w:color w:val="auto"/>
          <w:highlight w:val="none"/>
          <w:lang w:val="en-US" w:eastAsia="zh-CN"/>
        </w:rPr>
      </w:pPr>
      <w:r>
        <w:rPr>
          <w:rFonts w:hint="default"/>
          <w:color w:val="auto"/>
          <w:highlight w:val="none"/>
          <w:lang w:val="en-US" w:eastAsia="zh-CN"/>
        </w:rPr>
        <w:br w:type="page"/>
      </w:r>
    </w:p>
    <w:p>
      <w:pPr>
        <w:pStyle w:val="4"/>
        <w:numPr>
          <w:ilvl w:val="0"/>
          <w:numId w:val="3"/>
        </w:numPr>
        <w:ind w:left="0" w:leftChars="0" w:firstLine="608" w:firstLineChars="202"/>
        <w:rPr>
          <w:rFonts w:hint="eastAsia"/>
          <w:color w:val="auto"/>
          <w:szCs w:val="24"/>
          <w:highlight w:val="none"/>
          <w:lang w:val="en-US" w:eastAsia="zh-CN"/>
        </w:rPr>
      </w:pPr>
      <w:r>
        <w:rPr>
          <w:rFonts w:hint="eastAsia"/>
          <w:color w:val="auto"/>
          <w:szCs w:val="24"/>
          <w:highlight w:val="none"/>
          <w:lang w:val="en-US" w:eastAsia="zh-CN"/>
        </w:rPr>
        <w:t>交纳采购代理服务费承诺书</w:t>
      </w:r>
    </w:p>
    <w:p>
      <w:pPr>
        <w:tabs>
          <w:tab w:val="left" w:pos="8100"/>
        </w:tabs>
        <w:adjustRightInd w:val="0"/>
        <w:snapToGrid w:val="0"/>
        <w:spacing w:line="360" w:lineRule="auto"/>
        <w:ind w:firstLine="482" w:firstLineChars="200"/>
        <w:jc w:val="center"/>
        <w:rPr>
          <w:rFonts w:hint="eastAsia" w:ascii="宋体" w:hAnsi="宋体"/>
          <w:b/>
          <w:color w:val="auto"/>
          <w:sz w:val="30"/>
          <w:szCs w:val="30"/>
          <w:highlight w:val="none"/>
        </w:rPr>
      </w:pPr>
      <w:r>
        <w:rPr>
          <w:rFonts w:hint="eastAsia" w:ascii="宋体" w:hAnsi="宋体"/>
          <w:b/>
          <w:color w:val="auto"/>
          <w:sz w:val="24"/>
          <w:szCs w:val="24"/>
          <w:highlight w:val="none"/>
        </w:rPr>
        <w:t>（以下</w:t>
      </w:r>
      <w:r>
        <w:rPr>
          <w:rFonts w:ascii="宋体" w:hAnsi="宋体"/>
          <w:b/>
          <w:color w:val="auto"/>
          <w:sz w:val="24"/>
          <w:szCs w:val="24"/>
          <w:highlight w:val="none"/>
        </w:rPr>
        <w:t>内容为</w:t>
      </w:r>
      <w:r>
        <w:rPr>
          <w:rFonts w:hint="eastAsia" w:ascii="宋体" w:hAnsi="宋体"/>
          <w:b/>
          <w:color w:val="auto"/>
          <w:sz w:val="24"/>
          <w:szCs w:val="24"/>
          <w:highlight w:val="none"/>
        </w:rPr>
        <w:t>打印的</w:t>
      </w:r>
      <w:r>
        <w:rPr>
          <w:rFonts w:ascii="宋体" w:hAnsi="宋体"/>
          <w:b/>
          <w:color w:val="auto"/>
          <w:sz w:val="24"/>
          <w:szCs w:val="24"/>
          <w:highlight w:val="none"/>
        </w:rPr>
        <w:t>纸质</w:t>
      </w:r>
      <w:r>
        <w:rPr>
          <w:rFonts w:hint="eastAsia" w:ascii="宋体" w:hAnsi="宋体"/>
          <w:b/>
          <w:color w:val="auto"/>
          <w:sz w:val="24"/>
          <w:szCs w:val="24"/>
          <w:highlight w:val="none"/>
        </w:rPr>
        <w:t>版签字及</w:t>
      </w:r>
      <w:r>
        <w:rPr>
          <w:rFonts w:ascii="宋体" w:hAnsi="宋体"/>
          <w:b/>
          <w:color w:val="auto"/>
          <w:sz w:val="24"/>
          <w:szCs w:val="24"/>
          <w:highlight w:val="none"/>
        </w:rPr>
        <w:t>盖章后的扫描件</w:t>
      </w:r>
      <w:r>
        <w:rPr>
          <w:rFonts w:hint="eastAsia" w:ascii="宋体" w:hAnsi="宋体"/>
          <w:b/>
          <w:color w:val="auto"/>
          <w:sz w:val="24"/>
          <w:szCs w:val="24"/>
          <w:highlight w:val="none"/>
        </w:rPr>
        <w:t>）</w:t>
      </w:r>
    </w:p>
    <w:p>
      <w:pPr>
        <w:spacing w:line="440" w:lineRule="exact"/>
        <w:jc w:val="center"/>
        <w:rPr>
          <w:rFonts w:hint="eastAsia" w:ascii="宋体" w:hAnsi="宋体"/>
          <w:b/>
          <w:bCs/>
          <w:color w:val="auto"/>
          <w:sz w:val="24"/>
          <w:szCs w:val="24"/>
          <w:highlight w:val="none"/>
        </w:rPr>
      </w:pPr>
      <w:r>
        <w:rPr>
          <w:rFonts w:hint="eastAsia" w:ascii="宋体" w:hAnsi="宋体"/>
          <w:b/>
          <w:bCs/>
          <w:color w:val="auto"/>
          <w:sz w:val="24"/>
          <w:szCs w:val="24"/>
          <w:highlight w:val="none"/>
        </w:rPr>
        <w:t>交纳采购代理服务费承诺书</w:t>
      </w:r>
    </w:p>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致：广州竣盛工程造价咨询有限公司</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ascii="宋体" w:hAnsi="宋体" w:eastAsia="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我司自愿参与贵司组织的</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lang w:val="en-US" w:eastAsia="zh-CN"/>
        </w:rPr>
        <w:t>项目的招标（非招标）投标活动，并已详细阅读采购代理服务费的收费标准且理解该标准的内容，若我司在该项目中中标，保证按照招标文件约定的采购代理服务费的收费标准准时、足额交纳采购代理服务费。若违反本承诺，招标人有权根据《中国南方电网有限责任公司供应商失信扣分管理细则》有关内容对我方进行处罚，我方愿承担由此导致的不利信用评价风险。</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特此承诺！</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536" w:firstLineChars="2160"/>
        <w:textAlignment w:val="auto"/>
        <w:outlineLvl w:val="9"/>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536" w:firstLineChars="2160"/>
        <w:jc w:val="both"/>
        <w:textAlignment w:val="auto"/>
        <w:outlineLvl w:val="9"/>
        <w:rPr>
          <w:rFonts w:hint="eastAsia" w:ascii="宋体" w:hAnsi="宋体"/>
          <w:b w:val="0"/>
          <w:bCs w:val="0"/>
          <w:color w:val="auto"/>
          <w:sz w:val="21"/>
          <w:szCs w:val="21"/>
          <w:highlight w:val="none"/>
          <w:lang w:val="en-US" w:eastAsia="zh-CN"/>
        </w:rPr>
      </w:pPr>
      <w:r>
        <w:rPr>
          <w:rFonts w:hint="eastAsia" w:ascii="宋体" w:hAnsi="宋体"/>
          <w:b w:val="0"/>
          <w:bCs w:val="0"/>
          <w:color w:val="auto"/>
          <w:sz w:val="21"/>
          <w:szCs w:val="21"/>
          <w:highlight w:val="none"/>
        </w:rPr>
        <w:t xml:space="preserve"> </w:t>
      </w:r>
      <w:r>
        <w:rPr>
          <w:rFonts w:hint="eastAsia" w:ascii="宋体" w:hAnsi="宋体"/>
          <w:b w:val="0"/>
          <w:bCs w:val="0"/>
          <w:color w:val="auto"/>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620" w:firstLineChars="2200"/>
        <w:jc w:val="both"/>
        <w:textAlignment w:val="auto"/>
        <w:outlineLvl w:val="9"/>
        <w:rPr>
          <w:rFonts w:hint="eastAsia" w:ascii="宋体" w:hAnsi="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供应商名称（单位公章或经授权的电子签章）：</w:t>
      </w:r>
    </w:p>
    <w:p>
      <w:pPr>
        <w:spacing w:line="440" w:lineRule="exact"/>
        <w:ind w:left="0" w:leftChars="0" w:firstLine="4620" w:firstLineChars="2200"/>
        <w:jc w:val="left"/>
        <w:rPr>
          <w:rFonts w:hint="eastAsia" w:ascii="宋体" w:hAnsi="宋体" w:eastAsia="宋体" w:cs="宋体"/>
          <w:color w:val="auto"/>
          <w:sz w:val="21"/>
          <w:szCs w:val="21"/>
          <w:highlight w:val="none"/>
        </w:rPr>
      </w:pPr>
      <w:r>
        <w:rPr>
          <w:rFonts w:hint="eastAsia" w:ascii="宋体" w:hAnsi="宋体"/>
          <w:b w:val="0"/>
          <w:bCs w:val="0"/>
          <w:color w:val="auto"/>
          <w:sz w:val="21"/>
          <w:szCs w:val="21"/>
          <w:highlight w:val="none"/>
          <w:lang w:val="en-US" w:eastAsia="zh-CN"/>
        </w:rPr>
        <w:t>日期：     年   月   日</w:t>
      </w:r>
    </w:p>
    <w:p>
      <w:pPr>
        <w:rPr>
          <w:rFonts w:hint="default"/>
          <w:color w:val="auto"/>
          <w:highlight w:val="none"/>
          <w:lang w:val="en-US" w:eastAsia="zh-CN"/>
        </w:rPr>
      </w:pPr>
      <w:r>
        <w:rPr>
          <w:rFonts w:hint="default"/>
          <w:color w:val="auto"/>
          <w:highlight w:val="none"/>
          <w:lang w:val="en-US" w:eastAsia="zh-CN"/>
        </w:rPr>
        <w:br w:type="page"/>
      </w:r>
    </w:p>
    <w:p>
      <w:pPr>
        <w:pStyle w:val="4"/>
        <w:numPr>
          <w:ilvl w:val="0"/>
          <w:numId w:val="3"/>
        </w:numPr>
        <w:ind w:left="0" w:leftChars="0" w:firstLine="608" w:firstLineChars="202"/>
        <w:rPr>
          <w:rFonts w:hint="eastAsia"/>
          <w:color w:val="auto"/>
          <w:szCs w:val="24"/>
          <w:highlight w:val="none"/>
          <w:lang w:val="en-US" w:eastAsia="zh-CN"/>
        </w:rPr>
      </w:pPr>
      <w:r>
        <w:rPr>
          <w:rFonts w:hint="eastAsia"/>
          <w:color w:val="auto"/>
          <w:szCs w:val="24"/>
          <w:highlight w:val="none"/>
          <w:lang w:val="en-US" w:eastAsia="zh-CN"/>
        </w:rPr>
        <w:t>投标保证保险承诺函（如有）</w:t>
      </w:r>
    </w:p>
    <w:p>
      <w:pPr>
        <w:spacing w:line="440" w:lineRule="exact"/>
        <w:jc w:val="center"/>
        <w:rPr>
          <w:color w:val="auto"/>
          <w:szCs w:val="21"/>
          <w:highlight w:val="none"/>
        </w:rPr>
      </w:pPr>
      <w:r>
        <w:rPr>
          <w:rFonts w:hint="eastAsia"/>
          <w:color w:val="auto"/>
          <w:szCs w:val="21"/>
          <w:highlight w:val="none"/>
        </w:rPr>
        <w:t>[本承诺书以下内容为打印的纸质版加盖投标人公章并签字后，扫描上传至电子招标投标交易平台，再采用投标人（或联合体中牵头人）单位数字证书（USBkey）加盖电子印章]</w:t>
      </w:r>
    </w:p>
    <w:p>
      <w:pPr>
        <w:jc w:val="center"/>
        <w:rPr>
          <w:rFonts w:hint="eastAsia" w:ascii="宋体" w:hAnsi="宋体"/>
          <w:b/>
          <w:color w:val="auto"/>
          <w:szCs w:val="32"/>
          <w:highlight w:val="none"/>
        </w:rPr>
      </w:pPr>
    </w:p>
    <w:p>
      <w:pPr>
        <w:jc w:val="center"/>
        <w:rPr>
          <w:rFonts w:hint="eastAsia" w:ascii="宋体" w:hAnsi="宋体"/>
          <w:b/>
          <w:color w:val="auto"/>
          <w:sz w:val="24"/>
          <w:szCs w:val="24"/>
          <w:highlight w:val="none"/>
        </w:rPr>
      </w:pPr>
      <w:r>
        <w:rPr>
          <w:rFonts w:hint="eastAsia" w:ascii="宋体" w:hAnsi="宋体"/>
          <w:b/>
          <w:color w:val="auto"/>
          <w:sz w:val="24"/>
          <w:szCs w:val="24"/>
          <w:highlight w:val="none"/>
        </w:rPr>
        <w:t>投标保证保险承诺函</w:t>
      </w:r>
    </w:p>
    <w:p>
      <w:pPr>
        <w:rPr>
          <w:color w:val="auto"/>
          <w:highlight w:val="none"/>
        </w:rPr>
      </w:pPr>
    </w:p>
    <w:p>
      <w:pPr>
        <w:spacing w:line="44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b w:val="0"/>
          <w:bCs w:val="0"/>
          <w:color w:val="auto"/>
          <w:sz w:val="21"/>
          <w:szCs w:val="21"/>
          <w:highlight w:val="none"/>
        </w:rPr>
        <w:t>广州竣盛工程造价咨询有限公司</w:t>
      </w:r>
      <w:r>
        <w:rPr>
          <w:rFonts w:hint="eastAsia" w:ascii="宋体" w:hAnsi="宋体"/>
          <w:color w:val="auto"/>
          <w:szCs w:val="21"/>
          <w:highlight w:val="none"/>
        </w:rPr>
        <w:t xml:space="preserve"> </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我司承诺，本项目（项目编号：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）投标保证保险事宜系由我司自行办理，如与实际不符，我司愿承担投标保证保险未按要求办理、围标串标等法律责任并赔偿贵司因此造成的全部损失。 </w:t>
      </w:r>
    </w:p>
    <w:p>
      <w:pPr>
        <w:spacing w:line="500" w:lineRule="exact"/>
        <w:jc w:val="center"/>
        <w:rPr>
          <w:rFonts w:hint="eastAsia" w:ascii="宋体" w:hAnsi="宋体"/>
          <w:color w:val="auto"/>
          <w:szCs w:val="21"/>
          <w:highlight w:val="none"/>
        </w:rPr>
      </w:pPr>
    </w:p>
    <w:p>
      <w:pPr>
        <w:spacing w:line="440" w:lineRule="exact"/>
        <w:ind w:firstLine="4200" w:firstLineChars="2000"/>
        <w:rPr>
          <w:rFonts w:hint="eastAsia" w:ascii="宋体" w:hAnsi="宋体"/>
          <w:color w:val="auto"/>
          <w:szCs w:val="21"/>
          <w:highlight w:val="none"/>
        </w:rPr>
      </w:pPr>
      <w:r>
        <w:rPr>
          <w:rFonts w:hint="eastAsia" w:ascii="宋体" w:hAnsi="宋体" w:eastAsia="宋体" w:cs="宋体"/>
          <w:color w:val="auto"/>
          <w:sz w:val="21"/>
          <w:szCs w:val="21"/>
          <w:highlight w:val="none"/>
        </w:rPr>
        <w:t>投标人</w:t>
      </w:r>
      <w:r>
        <w:rPr>
          <w:rFonts w:hint="eastAsia" w:ascii="宋体" w:hAnsi="宋体"/>
          <w:color w:val="auto"/>
          <w:szCs w:val="21"/>
          <w:highlight w:val="none"/>
        </w:rPr>
        <w:t>（盖公章）：</w:t>
      </w:r>
    </w:p>
    <w:p>
      <w:pPr>
        <w:spacing w:line="440" w:lineRule="exact"/>
        <w:ind w:firstLine="4200" w:firstLineChars="2000"/>
        <w:rPr>
          <w:rFonts w:hint="eastAsia" w:ascii="宋体" w:hAnsi="宋体"/>
          <w:color w:val="auto"/>
          <w:szCs w:val="21"/>
          <w:highlight w:val="none"/>
        </w:rPr>
      </w:pPr>
      <w:r>
        <w:rPr>
          <w:rFonts w:hint="eastAsia" w:ascii="宋体" w:hAnsi="宋体"/>
          <w:color w:val="auto"/>
          <w:szCs w:val="21"/>
          <w:highlight w:val="none"/>
        </w:rPr>
        <w:t>日期：     年     月    日</w:t>
      </w:r>
    </w:p>
    <w:p>
      <w:pPr>
        <w:rPr>
          <w:rFonts w:hint="default"/>
          <w:color w:val="auto"/>
          <w:highlight w:val="none"/>
          <w:lang w:val="en-US" w:eastAsia="zh-CN"/>
        </w:rPr>
      </w:pPr>
      <w:r>
        <w:rPr>
          <w:rFonts w:hint="default"/>
          <w:color w:val="auto"/>
          <w:highlight w:val="none"/>
          <w:lang w:val="en-US" w:eastAsia="zh-CN"/>
        </w:rPr>
        <w:br w:type="page"/>
      </w:r>
    </w:p>
    <w:bookmarkEnd w:id="2195"/>
    <w:bookmarkEnd w:id="2196"/>
    <w:bookmarkEnd w:id="2197"/>
    <w:bookmarkEnd w:id="2198"/>
    <w:bookmarkEnd w:id="2199"/>
    <w:bookmarkEnd w:id="2200"/>
    <w:bookmarkEnd w:id="2201"/>
    <w:bookmarkEnd w:id="2202"/>
    <w:p>
      <w:pPr>
        <w:pStyle w:val="4"/>
        <w:rPr>
          <w:color w:val="auto"/>
          <w:highlight w:val="none"/>
        </w:rPr>
      </w:pPr>
      <w:bookmarkStart w:id="2204" w:name="_Toc22728"/>
      <w:bookmarkStart w:id="2205" w:name="_Toc482803127"/>
      <w:bookmarkStart w:id="2206" w:name="_Toc484792240"/>
      <w:bookmarkStart w:id="2207" w:name="_Toc24088"/>
      <w:bookmarkStart w:id="2208" w:name="_Toc1764"/>
      <w:bookmarkStart w:id="2209" w:name="_Toc4583"/>
      <w:bookmarkStart w:id="2210" w:name="_Toc32260"/>
      <w:bookmarkStart w:id="2211" w:name="_Toc18665"/>
      <w:bookmarkStart w:id="2212" w:name="_Toc1403"/>
      <w:r>
        <w:rPr>
          <w:rFonts w:hint="eastAsia"/>
          <w:color w:val="auto"/>
          <w:highlight w:val="none"/>
          <w:lang w:val="en-US" w:eastAsia="zh-CN"/>
        </w:rPr>
        <w:t>十一</w:t>
      </w:r>
      <w:r>
        <w:rPr>
          <w:rFonts w:hint="eastAsia"/>
          <w:color w:val="auto"/>
          <w:highlight w:val="none"/>
        </w:rPr>
        <w:t>、企业基本情况</w:t>
      </w:r>
      <w:bookmarkEnd w:id="2204"/>
      <w:bookmarkEnd w:id="2205"/>
      <w:bookmarkEnd w:id="2206"/>
      <w:bookmarkEnd w:id="2207"/>
      <w:bookmarkEnd w:id="2208"/>
      <w:bookmarkEnd w:id="2209"/>
      <w:bookmarkEnd w:id="2210"/>
      <w:bookmarkEnd w:id="2211"/>
      <w:bookmarkEnd w:id="2212"/>
    </w:p>
    <w:p>
      <w:pPr>
        <w:keepNext/>
        <w:keepLines/>
        <w:pageBreakBefore w:val="0"/>
        <w:widowControl w:val="0"/>
        <w:kinsoku/>
        <w:wordWrap/>
        <w:overflowPunct/>
        <w:topLinePunct w:val="0"/>
        <w:autoSpaceDE/>
        <w:autoSpaceDN/>
        <w:bidi w:val="0"/>
        <w:adjustRightInd/>
        <w:snapToGrid/>
        <w:textAlignment w:val="auto"/>
        <w:outlineLvl w:val="9"/>
        <w:rPr>
          <w:color w:val="auto"/>
          <w:highlight w:val="none"/>
        </w:rPr>
      </w:pPr>
      <w:r>
        <w:rPr>
          <w:rFonts w:hint="eastAsia"/>
          <w:color w:val="auto"/>
          <w:highlight w:val="none"/>
        </w:rPr>
        <w:t>投标人基本情况表（格式）</w:t>
      </w:r>
    </w:p>
    <w:tbl>
      <w:tblPr>
        <w:tblStyle w:val="43"/>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982"/>
        <w:gridCol w:w="1265"/>
        <w:gridCol w:w="1265"/>
        <w:gridCol w:w="1265"/>
        <w:gridCol w:w="1265"/>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r>
              <w:rPr>
                <w:rFonts w:hint="eastAsia" w:hAnsi="宋体"/>
                <w:color w:val="auto"/>
                <w:sz w:val="21"/>
                <w:szCs w:val="21"/>
                <w:highlight w:val="none"/>
              </w:rPr>
              <w:t>投标人名称</w:t>
            </w:r>
          </w:p>
        </w:tc>
        <w:tc>
          <w:tcPr>
            <w:tcW w:w="8010" w:type="dxa"/>
            <w:gridSpan w:val="6"/>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r>
              <w:rPr>
                <w:rFonts w:hint="eastAsia" w:hAnsi="宋体"/>
                <w:color w:val="auto"/>
                <w:sz w:val="21"/>
                <w:szCs w:val="21"/>
                <w:highlight w:val="none"/>
              </w:rPr>
              <w:t>注册地址</w:t>
            </w:r>
          </w:p>
        </w:tc>
        <w:tc>
          <w:tcPr>
            <w:tcW w:w="3512" w:type="dxa"/>
            <w:gridSpan w:val="3"/>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r>
              <w:rPr>
                <w:rFonts w:hint="eastAsia" w:hAnsi="宋体"/>
                <w:color w:val="auto"/>
                <w:sz w:val="21"/>
                <w:szCs w:val="21"/>
                <w:highlight w:val="none"/>
              </w:rPr>
              <w:t>邮政编码</w:t>
            </w:r>
          </w:p>
        </w:tc>
        <w:tc>
          <w:tcPr>
            <w:tcW w:w="3233" w:type="dxa"/>
            <w:gridSpan w:val="2"/>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8" w:type="dxa"/>
            <w:vMerge w:val="restart"/>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r>
              <w:rPr>
                <w:rFonts w:hint="eastAsia" w:hAnsi="宋体"/>
                <w:color w:val="auto"/>
                <w:sz w:val="21"/>
                <w:szCs w:val="21"/>
                <w:highlight w:val="none"/>
              </w:rPr>
              <w:t>联系方式</w:t>
            </w:r>
          </w:p>
        </w:tc>
        <w:tc>
          <w:tcPr>
            <w:tcW w:w="982"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r>
              <w:rPr>
                <w:rFonts w:hint="eastAsia" w:hAnsi="宋体" w:cs="Times New Roman"/>
                <w:color w:val="auto"/>
                <w:sz w:val="21"/>
                <w:szCs w:val="21"/>
                <w:highlight w:val="none"/>
              </w:rPr>
              <w:t>联系人</w:t>
            </w:r>
          </w:p>
        </w:tc>
        <w:tc>
          <w:tcPr>
            <w:tcW w:w="2530" w:type="dxa"/>
            <w:gridSpan w:val="2"/>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r>
              <w:rPr>
                <w:rFonts w:hint="eastAsia" w:hAnsi="宋体" w:cs="Times New Roman"/>
                <w:color w:val="auto"/>
                <w:sz w:val="21"/>
                <w:szCs w:val="21"/>
                <w:highlight w:val="none"/>
              </w:rPr>
              <w:t>电话</w:t>
            </w:r>
          </w:p>
        </w:tc>
        <w:tc>
          <w:tcPr>
            <w:tcW w:w="3233" w:type="dxa"/>
            <w:gridSpan w:val="2"/>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auto"/>
                <w:kern w:val="0"/>
                <w:szCs w:val="21"/>
                <w:highlight w:val="none"/>
              </w:rPr>
            </w:pPr>
          </w:p>
        </w:tc>
        <w:tc>
          <w:tcPr>
            <w:tcW w:w="982"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r>
              <w:rPr>
                <w:rFonts w:hint="eastAsia" w:hAnsi="宋体" w:cs="Times New Roman"/>
                <w:color w:val="auto"/>
                <w:sz w:val="21"/>
                <w:szCs w:val="21"/>
                <w:highlight w:val="none"/>
              </w:rPr>
              <w:t>传真</w:t>
            </w:r>
          </w:p>
        </w:tc>
        <w:tc>
          <w:tcPr>
            <w:tcW w:w="2530" w:type="dxa"/>
            <w:gridSpan w:val="2"/>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r>
              <w:rPr>
                <w:rFonts w:hint="eastAsia" w:hAnsi="宋体" w:cs="Times New Roman"/>
                <w:color w:val="auto"/>
                <w:sz w:val="21"/>
                <w:szCs w:val="21"/>
                <w:highlight w:val="none"/>
              </w:rPr>
              <w:t>网址</w:t>
            </w:r>
          </w:p>
        </w:tc>
        <w:tc>
          <w:tcPr>
            <w:tcW w:w="3233" w:type="dxa"/>
            <w:gridSpan w:val="2"/>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r>
              <w:rPr>
                <w:rFonts w:hint="eastAsia" w:hAnsi="宋体" w:cs="Times New Roman"/>
                <w:color w:val="auto"/>
                <w:sz w:val="21"/>
                <w:szCs w:val="21"/>
                <w:highlight w:val="none"/>
              </w:rPr>
              <w:t>组织结构</w:t>
            </w:r>
          </w:p>
        </w:tc>
        <w:tc>
          <w:tcPr>
            <w:tcW w:w="8010" w:type="dxa"/>
            <w:gridSpan w:val="6"/>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r>
              <w:rPr>
                <w:rFonts w:hint="eastAsia" w:hAnsi="宋体" w:cs="Times New Roman"/>
                <w:color w:val="auto"/>
                <w:sz w:val="21"/>
                <w:szCs w:val="21"/>
                <w:highlight w:val="none"/>
              </w:rPr>
              <w:t>法定代表人</w:t>
            </w:r>
          </w:p>
        </w:tc>
        <w:tc>
          <w:tcPr>
            <w:tcW w:w="982"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r>
              <w:rPr>
                <w:rFonts w:hint="eastAsia" w:hAnsi="宋体" w:cs="Times New Roman"/>
                <w:color w:val="auto"/>
                <w:sz w:val="21"/>
                <w:szCs w:val="21"/>
                <w:highlight w:val="none"/>
              </w:rPr>
              <w:t>姓名</w:t>
            </w:r>
          </w:p>
        </w:tc>
        <w:tc>
          <w:tcPr>
            <w:tcW w:w="1265"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r>
              <w:rPr>
                <w:rFonts w:hint="eastAsia" w:hAnsi="宋体" w:cs="Times New Roman"/>
                <w:color w:val="auto"/>
                <w:sz w:val="21"/>
                <w:szCs w:val="21"/>
                <w:highlight w:val="none"/>
              </w:rPr>
              <w:t>技术职称</w:t>
            </w:r>
          </w:p>
        </w:tc>
        <w:tc>
          <w:tcPr>
            <w:tcW w:w="1265"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r>
              <w:rPr>
                <w:rFonts w:hint="eastAsia" w:hAnsi="宋体" w:cs="Times New Roman"/>
                <w:color w:val="auto"/>
                <w:sz w:val="21"/>
                <w:szCs w:val="21"/>
                <w:highlight w:val="none"/>
              </w:rPr>
              <w:t>电话</w:t>
            </w:r>
          </w:p>
        </w:tc>
        <w:tc>
          <w:tcPr>
            <w:tcW w:w="1968"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r>
              <w:rPr>
                <w:rFonts w:hint="eastAsia" w:hAnsi="宋体" w:cs="Times New Roman"/>
                <w:color w:val="auto"/>
                <w:sz w:val="21"/>
                <w:szCs w:val="21"/>
                <w:highlight w:val="none"/>
              </w:rPr>
              <w:t>技术负责人</w:t>
            </w:r>
          </w:p>
        </w:tc>
        <w:tc>
          <w:tcPr>
            <w:tcW w:w="982"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r>
              <w:rPr>
                <w:rFonts w:hint="eastAsia" w:hAnsi="宋体" w:cs="Times New Roman"/>
                <w:color w:val="auto"/>
                <w:sz w:val="21"/>
                <w:szCs w:val="21"/>
                <w:highlight w:val="none"/>
              </w:rPr>
              <w:t>姓名</w:t>
            </w:r>
          </w:p>
        </w:tc>
        <w:tc>
          <w:tcPr>
            <w:tcW w:w="1265"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r>
              <w:rPr>
                <w:rFonts w:hint="eastAsia" w:hAnsi="宋体" w:cs="Times New Roman"/>
                <w:color w:val="auto"/>
                <w:sz w:val="21"/>
                <w:szCs w:val="21"/>
                <w:highlight w:val="none"/>
              </w:rPr>
              <w:t>技术职称</w:t>
            </w:r>
          </w:p>
        </w:tc>
        <w:tc>
          <w:tcPr>
            <w:tcW w:w="1265"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r>
              <w:rPr>
                <w:rFonts w:hint="eastAsia" w:hAnsi="宋体" w:cs="Times New Roman"/>
                <w:color w:val="auto"/>
                <w:sz w:val="21"/>
                <w:szCs w:val="21"/>
                <w:highlight w:val="none"/>
              </w:rPr>
              <w:t>电话</w:t>
            </w:r>
          </w:p>
        </w:tc>
        <w:tc>
          <w:tcPr>
            <w:tcW w:w="1968"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r>
              <w:rPr>
                <w:rFonts w:hint="eastAsia" w:hAnsi="宋体" w:cs="Times New Roman"/>
                <w:color w:val="auto"/>
                <w:sz w:val="21"/>
                <w:szCs w:val="21"/>
                <w:highlight w:val="none"/>
              </w:rPr>
              <w:t>成立时间</w:t>
            </w:r>
          </w:p>
        </w:tc>
        <w:tc>
          <w:tcPr>
            <w:tcW w:w="2247" w:type="dxa"/>
            <w:gridSpan w:val="2"/>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p>
        </w:tc>
        <w:tc>
          <w:tcPr>
            <w:tcW w:w="5763" w:type="dxa"/>
            <w:gridSpan w:val="4"/>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r>
              <w:rPr>
                <w:rFonts w:hint="eastAsia" w:hAnsi="宋体" w:cs="Times New Roman"/>
                <w:color w:val="auto"/>
                <w:sz w:val="21"/>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r>
              <w:rPr>
                <w:rFonts w:hint="eastAsia" w:hAnsi="宋体" w:cs="Times New Roman"/>
                <w:color w:val="auto"/>
                <w:sz w:val="21"/>
                <w:szCs w:val="21"/>
                <w:highlight w:val="none"/>
              </w:rPr>
              <w:t>企业资质等级</w:t>
            </w:r>
          </w:p>
        </w:tc>
        <w:tc>
          <w:tcPr>
            <w:tcW w:w="2247" w:type="dxa"/>
            <w:gridSpan w:val="2"/>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p>
        </w:tc>
        <w:tc>
          <w:tcPr>
            <w:tcW w:w="1265" w:type="dxa"/>
            <w:vMerge w:val="restart"/>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r>
              <w:rPr>
                <w:rFonts w:hint="eastAsia" w:hAnsi="宋体" w:cs="Times New Roman"/>
                <w:color w:val="auto"/>
                <w:sz w:val="21"/>
                <w:szCs w:val="21"/>
                <w:highlight w:val="none"/>
              </w:rPr>
              <w:t>其中</w:t>
            </w:r>
          </w:p>
        </w:tc>
        <w:tc>
          <w:tcPr>
            <w:tcW w:w="2530" w:type="dxa"/>
            <w:gridSpan w:val="2"/>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r>
              <w:rPr>
                <w:rFonts w:hint="eastAsia" w:hAnsi="宋体" w:cs="Times New Roman"/>
                <w:color w:val="auto"/>
                <w:sz w:val="21"/>
                <w:szCs w:val="21"/>
                <w:highlight w:val="none"/>
              </w:rPr>
              <w:t>高级职称人员</w:t>
            </w:r>
          </w:p>
        </w:tc>
        <w:tc>
          <w:tcPr>
            <w:tcW w:w="1968"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r>
              <w:rPr>
                <w:rFonts w:hint="eastAsia" w:hAnsi="宋体" w:cs="Times New Roman"/>
                <w:color w:val="auto"/>
                <w:sz w:val="21"/>
                <w:szCs w:val="21"/>
                <w:highlight w:val="none"/>
              </w:rPr>
              <w:t>营业执照号</w:t>
            </w:r>
          </w:p>
        </w:tc>
        <w:tc>
          <w:tcPr>
            <w:tcW w:w="2247" w:type="dxa"/>
            <w:gridSpan w:val="2"/>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p>
        </w:tc>
        <w:tc>
          <w:tcPr>
            <w:tcW w:w="12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auto"/>
                <w:kern w:val="0"/>
                <w:szCs w:val="21"/>
                <w:highlight w:val="none"/>
              </w:rPr>
            </w:pPr>
          </w:p>
        </w:tc>
        <w:tc>
          <w:tcPr>
            <w:tcW w:w="2530" w:type="dxa"/>
            <w:gridSpan w:val="2"/>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r>
              <w:rPr>
                <w:rFonts w:hint="eastAsia" w:hAnsi="宋体" w:cs="Times New Roman"/>
                <w:color w:val="auto"/>
                <w:sz w:val="21"/>
                <w:szCs w:val="21"/>
                <w:highlight w:val="none"/>
              </w:rPr>
              <w:t>中级职称人员</w:t>
            </w:r>
          </w:p>
        </w:tc>
        <w:tc>
          <w:tcPr>
            <w:tcW w:w="1968"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r>
              <w:rPr>
                <w:rFonts w:hint="eastAsia" w:hAnsi="宋体" w:cs="Times New Roman"/>
                <w:color w:val="auto"/>
                <w:sz w:val="21"/>
                <w:szCs w:val="21"/>
                <w:highlight w:val="none"/>
              </w:rPr>
              <w:t>注册资金</w:t>
            </w:r>
          </w:p>
        </w:tc>
        <w:tc>
          <w:tcPr>
            <w:tcW w:w="2247" w:type="dxa"/>
            <w:gridSpan w:val="2"/>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p>
        </w:tc>
        <w:tc>
          <w:tcPr>
            <w:tcW w:w="12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auto"/>
                <w:kern w:val="0"/>
                <w:szCs w:val="21"/>
                <w:highlight w:val="none"/>
              </w:rPr>
            </w:pPr>
          </w:p>
        </w:tc>
        <w:tc>
          <w:tcPr>
            <w:tcW w:w="2530" w:type="dxa"/>
            <w:gridSpan w:val="2"/>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r>
              <w:rPr>
                <w:rFonts w:hint="eastAsia" w:hAnsi="宋体" w:cs="Times New Roman"/>
                <w:color w:val="auto"/>
                <w:sz w:val="21"/>
                <w:szCs w:val="21"/>
                <w:highlight w:val="none"/>
              </w:rPr>
              <w:t>初级职称人员</w:t>
            </w:r>
          </w:p>
        </w:tc>
        <w:tc>
          <w:tcPr>
            <w:tcW w:w="1968"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r>
              <w:rPr>
                <w:rFonts w:hint="eastAsia" w:hAnsi="宋体" w:cs="Times New Roman"/>
                <w:color w:val="auto"/>
                <w:sz w:val="21"/>
                <w:szCs w:val="21"/>
                <w:highlight w:val="none"/>
              </w:rPr>
              <w:t>开户银行</w:t>
            </w:r>
          </w:p>
        </w:tc>
        <w:tc>
          <w:tcPr>
            <w:tcW w:w="2247" w:type="dxa"/>
            <w:gridSpan w:val="2"/>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p>
        </w:tc>
        <w:tc>
          <w:tcPr>
            <w:tcW w:w="12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auto"/>
                <w:kern w:val="0"/>
                <w:szCs w:val="21"/>
                <w:highlight w:val="none"/>
              </w:rPr>
            </w:pPr>
          </w:p>
        </w:tc>
        <w:tc>
          <w:tcPr>
            <w:tcW w:w="2530" w:type="dxa"/>
            <w:gridSpan w:val="2"/>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r>
              <w:rPr>
                <w:rFonts w:hint="eastAsia" w:hAnsi="宋体" w:cs="Times New Roman"/>
                <w:color w:val="auto"/>
                <w:sz w:val="21"/>
                <w:szCs w:val="21"/>
                <w:highlight w:val="none"/>
              </w:rPr>
              <w:t>技工</w:t>
            </w:r>
          </w:p>
        </w:tc>
        <w:tc>
          <w:tcPr>
            <w:tcW w:w="1968"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r>
              <w:rPr>
                <w:rFonts w:hint="eastAsia" w:hAnsi="宋体" w:cs="Times New Roman"/>
                <w:color w:val="auto"/>
                <w:sz w:val="21"/>
                <w:szCs w:val="21"/>
                <w:highlight w:val="none"/>
              </w:rPr>
              <w:t>账号</w:t>
            </w:r>
          </w:p>
        </w:tc>
        <w:tc>
          <w:tcPr>
            <w:tcW w:w="2247" w:type="dxa"/>
            <w:gridSpan w:val="2"/>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p>
        </w:tc>
        <w:tc>
          <w:tcPr>
            <w:tcW w:w="12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auto"/>
                <w:kern w:val="0"/>
                <w:szCs w:val="21"/>
                <w:highlight w:val="none"/>
              </w:rPr>
            </w:pPr>
          </w:p>
        </w:tc>
        <w:tc>
          <w:tcPr>
            <w:tcW w:w="2530" w:type="dxa"/>
            <w:gridSpan w:val="2"/>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r>
              <w:rPr>
                <w:rFonts w:hint="eastAsia" w:hAnsi="宋体" w:cs="Times New Roman"/>
                <w:color w:val="auto"/>
                <w:sz w:val="21"/>
                <w:szCs w:val="21"/>
                <w:highlight w:val="none"/>
              </w:rPr>
              <w:t>其他</w:t>
            </w:r>
          </w:p>
        </w:tc>
        <w:tc>
          <w:tcPr>
            <w:tcW w:w="1968"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r>
              <w:rPr>
                <w:rFonts w:hint="eastAsia" w:hAnsi="宋体" w:cs="Times New Roman"/>
                <w:color w:val="auto"/>
                <w:sz w:val="21"/>
                <w:szCs w:val="21"/>
                <w:highlight w:val="none"/>
              </w:rPr>
              <w:t>经营范围</w:t>
            </w:r>
          </w:p>
        </w:tc>
        <w:tc>
          <w:tcPr>
            <w:tcW w:w="8010" w:type="dxa"/>
            <w:gridSpan w:val="6"/>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r>
              <w:rPr>
                <w:rFonts w:hint="eastAsia" w:hAnsi="宋体" w:cs="Times New Roman"/>
                <w:color w:val="auto"/>
                <w:sz w:val="21"/>
                <w:szCs w:val="21"/>
                <w:highlight w:val="none"/>
              </w:rPr>
              <w:t>备注</w:t>
            </w:r>
          </w:p>
        </w:tc>
        <w:tc>
          <w:tcPr>
            <w:tcW w:w="8010" w:type="dxa"/>
            <w:gridSpan w:val="6"/>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hAnsi="宋体" w:cs="Times New Roman"/>
                <w:color w:val="auto"/>
                <w:sz w:val="21"/>
                <w:szCs w:val="21"/>
                <w:highlight w:val="none"/>
              </w:rPr>
            </w:pPr>
          </w:p>
        </w:tc>
      </w:tr>
    </w:tbl>
    <w:p>
      <w:pPr>
        <w:spacing w:line="360" w:lineRule="auto"/>
        <w:rPr>
          <w:rFonts w:hint="eastAsia" w:ascii="宋体" w:hAnsi="宋体"/>
          <w:color w:val="auto"/>
          <w:highlight w:val="none"/>
        </w:rPr>
      </w:pPr>
    </w:p>
    <w:p>
      <w:pPr>
        <w:spacing w:line="360" w:lineRule="auto"/>
        <w:rPr>
          <w:rFonts w:ascii="宋体" w:hAnsi="宋体"/>
          <w:color w:val="auto"/>
          <w:highlight w:val="none"/>
        </w:rPr>
      </w:pPr>
      <w:r>
        <w:rPr>
          <w:rFonts w:hint="eastAsia" w:ascii="宋体" w:hAnsi="宋体"/>
          <w:color w:val="auto"/>
          <w:highlight w:val="none"/>
        </w:rPr>
        <w:t>注：应附投标人营业执照副本及其相关有效证明材料、资质证书和安全生产许可证等材料的扫描件。</w:t>
      </w:r>
    </w:p>
    <w:p>
      <w:pPr>
        <w:widowControl/>
        <w:jc w:val="left"/>
        <w:rPr>
          <w:rFonts w:ascii="宋体" w:hAnsi="宋体"/>
          <w:color w:val="auto"/>
          <w:highlight w:val="none"/>
        </w:rPr>
      </w:pPr>
      <w:r>
        <w:rPr>
          <w:rFonts w:ascii="宋体" w:hAnsi="宋体"/>
          <w:color w:val="auto"/>
          <w:highlight w:val="none"/>
        </w:rPr>
        <w:br w:type="page"/>
      </w:r>
    </w:p>
    <w:p>
      <w:pPr>
        <w:pStyle w:val="4"/>
        <w:numPr>
          <w:ilvl w:val="0"/>
          <w:numId w:val="0"/>
        </w:numPr>
        <w:jc w:val="center"/>
        <w:rPr>
          <w:rFonts w:hint="eastAsia"/>
          <w:color w:val="auto"/>
          <w:highlight w:val="none"/>
          <w:lang w:eastAsia="zh-CN"/>
        </w:rPr>
      </w:pPr>
      <w:bookmarkStart w:id="2213" w:name="_Toc25747"/>
      <w:bookmarkStart w:id="2214" w:name="_Toc3560"/>
      <w:bookmarkStart w:id="2215" w:name="_Toc6309"/>
      <w:bookmarkStart w:id="2216" w:name="_Toc6513"/>
      <w:r>
        <w:rPr>
          <w:rFonts w:hint="eastAsia"/>
          <w:color w:val="auto"/>
          <w:highlight w:val="none"/>
          <w:lang w:val="en-US" w:eastAsia="zh-CN"/>
        </w:rPr>
        <w:t>十二、纳税信用情况(需提供国家税务总局网页相关截图，同时必须提供查询网址，年份要求详见商务评分标准。)</w:t>
      </w:r>
    </w:p>
    <w:p>
      <w:pPr>
        <w:rPr>
          <w:rFonts w:hint="eastAsia"/>
          <w:color w:val="auto"/>
          <w:highlight w:val="none"/>
          <w:lang w:val="zh-CN"/>
        </w:rPr>
      </w:pPr>
      <w:r>
        <w:rPr>
          <w:rFonts w:hint="eastAsia"/>
          <w:color w:val="auto"/>
          <w:highlight w:val="none"/>
          <w:lang w:val="zh-CN"/>
        </w:rPr>
        <w:br w:type="page"/>
      </w:r>
    </w:p>
    <w:p>
      <w:pPr>
        <w:pStyle w:val="4"/>
        <w:numPr>
          <w:ilvl w:val="0"/>
          <w:numId w:val="0"/>
        </w:numPr>
        <w:jc w:val="center"/>
        <w:rPr>
          <w:rFonts w:hint="eastAsia"/>
          <w:color w:val="auto"/>
          <w:highlight w:val="none"/>
        </w:rPr>
      </w:pPr>
      <w:bookmarkStart w:id="2217" w:name="_Toc9817"/>
      <w:bookmarkStart w:id="2218" w:name="_Toc17982"/>
      <w:bookmarkStart w:id="2219" w:name="_Toc8633"/>
      <w:r>
        <w:rPr>
          <w:rFonts w:hint="eastAsia"/>
          <w:color w:val="auto"/>
          <w:highlight w:val="none"/>
          <w:lang w:val="en-US" w:eastAsia="zh-CN"/>
        </w:rPr>
        <w:t>十三、</w:t>
      </w:r>
      <w:bookmarkEnd w:id="2217"/>
      <w:r>
        <w:rPr>
          <w:rFonts w:hint="eastAsia"/>
          <w:color w:val="auto"/>
          <w:highlight w:val="none"/>
        </w:rPr>
        <w:t>企业信用情况(需提供证书的官方网页截图或原件扫描件，年份要求详见商务评分标准。)</w:t>
      </w: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r>
        <w:rPr>
          <w:rFonts w:hint="default"/>
          <w:color w:val="auto"/>
          <w:highlight w:val="none"/>
          <w:lang w:val="en-US" w:eastAsia="zh-CN"/>
        </w:rPr>
        <w:br w:type="page"/>
      </w:r>
    </w:p>
    <w:p>
      <w:pPr>
        <w:pStyle w:val="4"/>
        <w:numPr>
          <w:ilvl w:val="0"/>
          <w:numId w:val="0"/>
        </w:numPr>
        <w:jc w:val="center"/>
        <w:rPr>
          <w:rFonts w:hint="eastAsia"/>
          <w:color w:val="auto"/>
          <w:highlight w:val="none"/>
        </w:rPr>
      </w:pPr>
      <w:r>
        <w:rPr>
          <w:rFonts w:hint="eastAsia"/>
          <w:color w:val="auto"/>
          <w:highlight w:val="none"/>
          <w:lang w:val="en-US" w:eastAsia="zh-CN"/>
        </w:rPr>
        <w:t>十四、</w:t>
      </w:r>
      <w:r>
        <w:rPr>
          <w:rFonts w:hint="eastAsia"/>
          <w:color w:val="auto"/>
          <w:highlight w:val="none"/>
        </w:rPr>
        <w:t>工程项目经理（项目负责人）及施工队伍综合素质评价</w:t>
      </w:r>
    </w:p>
    <w:p>
      <w:pPr>
        <w:jc w:val="center"/>
        <w:rPr>
          <w:rFonts w:hint="eastAsia" w:ascii="宋体" w:hAnsi="宋体" w:eastAsia="宋体" w:cs="Times New Roman"/>
          <w:b/>
          <w:color w:val="auto"/>
          <w:sz w:val="24"/>
          <w:szCs w:val="24"/>
          <w:highlight w:val="none"/>
        </w:rPr>
      </w:pPr>
      <w:bookmarkStart w:id="2220" w:name="_Toc24021"/>
      <w:r>
        <w:rPr>
          <w:rFonts w:hint="eastAsia" w:ascii="宋体" w:hAnsi="宋体" w:eastAsia="宋体" w:cs="Times New Roman"/>
          <w:b/>
          <w:color w:val="auto"/>
          <w:sz w:val="24"/>
          <w:szCs w:val="24"/>
          <w:highlight w:val="none"/>
        </w:rPr>
        <w:t>附表2、拟派本项目项目经理（项目负责人）情况一览表</w:t>
      </w:r>
      <w:bookmarkEnd w:id="2220"/>
    </w:p>
    <w:tbl>
      <w:tblPr>
        <w:tblStyle w:val="4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1785"/>
        <w:gridCol w:w="867"/>
        <w:gridCol w:w="1817"/>
        <w:gridCol w:w="886"/>
        <w:gridCol w:w="157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color w:val="auto"/>
                <w:highlight w:val="none"/>
              </w:rPr>
            </w:pPr>
            <w:r>
              <w:rPr>
                <w:rFonts w:hint="eastAsia" w:ascii="宋体" w:hAnsi="宋体"/>
                <w:color w:val="auto"/>
                <w:highlight w:val="none"/>
              </w:rPr>
              <w:t>姓名</w:t>
            </w:r>
          </w:p>
        </w:tc>
        <w:tc>
          <w:tcPr>
            <w:tcW w:w="1785" w:type="dxa"/>
            <w:noWrap w:val="0"/>
            <w:vAlign w:val="center"/>
          </w:tcPr>
          <w:p>
            <w:pPr>
              <w:jc w:val="center"/>
              <w:rPr>
                <w:rFonts w:ascii="宋体" w:hAnsi="宋体"/>
                <w:color w:val="auto"/>
                <w:highlight w:val="none"/>
              </w:rPr>
            </w:pPr>
          </w:p>
        </w:tc>
        <w:tc>
          <w:tcPr>
            <w:tcW w:w="867" w:type="dxa"/>
            <w:noWrap w:val="0"/>
            <w:vAlign w:val="center"/>
          </w:tcPr>
          <w:p>
            <w:pPr>
              <w:jc w:val="center"/>
              <w:rPr>
                <w:rFonts w:ascii="宋体" w:hAnsi="宋体"/>
                <w:color w:val="auto"/>
                <w:highlight w:val="none"/>
              </w:rPr>
            </w:pPr>
            <w:r>
              <w:rPr>
                <w:rFonts w:hint="eastAsia" w:ascii="宋体" w:hAnsi="宋体"/>
                <w:color w:val="auto"/>
                <w:highlight w:val="none"/>
              </w:rPr>
              <w:t>性别</w:t>
            </w:r>
          </w:p>
        </w:tc>
        <w:tc>
          <w:tcPr>
            <w:tcW w:w="1817" w:type="dxa"/>
            <w:noWrap w:val="0"/>
            <w:vAlign w:val="center"/>
          </w:tcPr>
          <w:p>
            <w:pPr>
              <w:jc w:val="center"/>
              <w:rPr>
                <w:rFonts w:ascii="宋体" w:hAnsi="宋体"/>
                <w:color w:val="auto"/>
                <w:highlight w:val="none"/>
              </w:rPr>
            </w:pPr>
          </w:p>
        </w:tc>
        <w:tc>
          <w:tcPr>
            <w:tcW w:w="886" w:type="dxa"/>
            <w:noWrap w:val="0"/>
            <w:vAlign w:val="center"/>
          </w:tcPr>
          <w:p>
            <w:pPr>
              <w:jc w:val="center"/>
              <w:rPr>
                <w:rFonts w:ascii="宋体" w:hAnsi="宋体"/>
                <w:color w:val="auto"/>
                <w:highlight w:val="none"/>
              </w:rPr>
            </w:pPr>
            <w:r>
              <w:rPr>
                <w:rFonts w:hint="eastAsia" w:ascii="宋体" w:hAnsi="宋体"/>
                <w:color w:val="auto"/>
                <w:highlight w:val="none"/>
              </w:rPr>
              <w:t>年龄</w:t>
            </w:r>
          </w:p>
        </w:tc>
        <w:tc>
          <w:tcPr>
            <w:tcW w:w="1575" w:type="dxa"/>
            <w:noWrap w:val="0"/>
            <w:vAlign w:val="center"/>
          </w:tcPr>
          <w:p>
            <w:pPr>
              <w:jc w:val="center"/>
              <w:rPr>
                <w:rFonts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color w:val="auto"/>
                <w:highlight w:val="none"/>
              </w:rPr>
            </w:pPr>
            <w:r>
              <w:rPr>
                <w:rFonts w:hint="eastAsia" w:ascii="宋体" w:hAnsi="宋体"/>
                <w:color w:val="auto"/>
                <w:highlight w:val="none"/>
              </w:rPr>
              <w:t>职称</w:t>
            </w:r>
          </w:p>
        </w:tc>
        <w:tc>
          <w:tcPr>
            <w:tcW w:w="2652" w:type="dxa"/>
            <w:gridSpan w:val="2"/>
            <w:noWrap w:val="0"/>
            <w:vAlign w:val="center"/>
          </w:tcPr>
          <w:p>
            <w:pPr>
              <w:jc w:val="center"/>
              <w:rPr>
                <w:rFonts w:ascii="宋体" w:hAnsi="宋体"/>
                <w:color w:val="auto"/>
                <w:highlight w:val="none"/>
              </w:rPr>
            </w:pPr>
          </w:p>
        </w:tc>
        <w:tc>
          <w:tcPr>
            <w:tcW w:w="1817" w:type="dxa"/>
            <w:noWrap w:val="0"/>
            <w:vAlign w:val="center"/>
          </w:tcPr>
          <w:p>
            <w:pPr>
              <w:jc w:val="center"/>
              <w:rPr>
                <w:rFonts w:ascii="宋体" w:hAnsi="宋体"/>
                <w:color w:val="auto"/>
                <w:highlight w:val="none"/>
              </w:rPr>
            </w:pPr>
            <w:r>
              <w:rPr>
                <w:rFonts w:hint="eastAsia" w:ascii="宋体" w:hAnsi="宋体"/>
                <w:color w:val="auto"/>
                <w:highlight w:val="none"/>
              </w:rPr>
              <w:t>所学专业</w:t>
            </w:r>
          </w:p>
        </w:tc>
        <w:tc>
          <w:tcPr>
            <w:tcW w:w="2461" w:type="dxa"/>
            <w:gridSpan w:val="2"/>
            <w:noWrap w:val="0"/>
            <w:vAlign w:val="center"/>
          </w:tcPr>
          <w:p>
            <w:pPr>
              <w:jc w:val="center"/>
              <w:rPr>
                <w:rFonts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color w:val="auto"/>
                <w:highlight w:val="none"/>
              </w:rPr>
            </w:pPr>
            <w:r>
              <w:rPr>
                <w:rFonts w:hint="eastAsia" w:ascii="宋体" w:hAnsi="宋体"/>
                <w:color w:val="auto"/>
                <w:highlight w:val="none"/>
              </w:rPr>
              <w:t>毕业学校</w:t>
            </w:r>
          </w:p>
        </w:tc>
        <w:tc>
          <w:tcPr>
            <w:tcW w:w="2652" w:type="dxa"/>
            <w:gridSpan w:val="2"/>
            <w:noWrap w:val="0"/>
            <w:vAlign w:val="center"/>
          </w:tcPr>
          <w:p>
            <w:pPr>
              <w:jc w:val="center"/>
              <w:rPr>
                <w:rFonts w:ascii="宋体" w:hAnsi="宋体"/>
                <w:color w:val="auto"/>
                <w:highlight w:val="none"/>
              </w:rPr>
            </w:pPr>
          </w:p>
        </w:tc>
        <w:tc>
          <w:tcPr>
            <w:tcW w:w="1817" w:type="dxa"/>
            <w:noWrap w:val="0"/>
            <w:vAlign w:val="center"/>
          </w:tcPr>
          <w:p>
            <w:pPr>
              <w:jc w:val="center"/>
              <w:rPr>
                <w:rFonts w:ascii="宋体" w:hAnsi="宋体"/>
                <w:color w:val="auto"/>
                <w:highlight w:val="none"/>
              </w:rPr>
            </w:pPr>
            <w:r>
              <w:rPr>
                <w:rFonts w:hint="eastAsia" w:ascii="宋体" w:hAnsi="宋体"/>
                <w:color w:val="auto"/>
                <w:highlight w:val="none"/>
              </w:rPr>
              <w:t>毕业时间</w:t>
            </w:r>
          </w:p>
        </w:tc>
        <w:tc>
          <w:tcPr>
            <w:tcW w:w="2461" w:type="dxa"/>
            <w:gridSpan w:val="2"/>
            <w:noWrap w:val="0"/>
            <w:vAlign w:val="center"/>
          </w:tcPr>
          <w:p>
            <w:pPr>
              <w:jc w:val="center"/>
              <w:rPr>
                <w:rFonts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color w:val="auto"/>
                <w:highlight w:val="none"/>
              </w:rPr>
            </w:pPr>
            <w:r>
              <w:rPr>
                <w:rFonts w:hint="eastAsia" w:ascii="宋体" w:hAnsi="宋体"/>
                <w:color w:val="auto"/>
                <w:highlight w:val="none"/>
              </w:rPr>
              <w:t>注册建造师证书编号</w:t>
            </w:r>
          </w:p>
        </w:tc>
        <w:tc>
          <w:tcPr>
            <w:tcW w:w="2652" w:type="dxa"/>
            <w:gridSpan w:val="2"/>
            <w:noWrap w:val="0"/>
            <w:vAlign w:val="center"/>
          </w:tcPr>
          <w:p>
            <w:pPr>
              <w:jc w:val="center"/>
              <w:rPr>
                <w:rFonts w:ascii="宋体" w:hAnsi="宋体"/>
                <w:color w:val="auto"/>
                <w:highlight w:val="none"/>
              </w:rPr>
            </w:pPr>
          </w:p>
        </w:tc>
        <w:tc>
          <w:tcPr>
            <w:tcW w:w="1817" w:type="dxa"/>
            <w:noWrap w:val="0"/>
            <w:vAlign w:val="center"/>
          </w:tcPr>
          <w:p>
            <w:pPr>
              <w:jc w:val="center"/>
              <w:rPr>
                <w:rFonts w:ascii="宋体" w:hAnsi="宋体"/>
                <w:color w:val="auto"/>
                <w:highlight w:val="none"/>
              </w:rPr>
            </w:pPr>
            <w:r>
              <w:rPr>
                <w:rFonts w:hint="eastAsia" w:ascii="宋体" w:hAnsi="宋体"/>
                <w:color w:val="auto"/>
                <w:highlight w:val="none"/>
              </w:rPr>
              <w:t>项目经理（项目负责人）B证证书编号</w:t>
            </w:r>
          </w:p>
        </w:tc>
        <w:tc>
          <w:tcPr>
            <w:tcW w:w="2461" w:type="dxa"/>
            <w:gridSpan w:val="2"/>
            <w:noWrap w:val="0"/>
            <w:vAlign w:val="center"/>
          </w:tcPr>
          <w:p>
            <w:pPr>
              <w:jc w:val="center"/>
              <w:rPr>
                <w:rFonts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color w:val="auto"/>
                <w:highlight w:val="none"/>
              </w:rPr>
            </w:pPr>
            <w:r>
              <w:rPr>
                <w:rFonts w:hint="eastAsia" w:ascii="宋体" w:hAnsi="宋体"/>
                <w:color w:val="auto"/>
                <w:highlight w:val="none"/>
              </w:rPr>
              <w:t>项目经理（项目负责人）级别</w:t>
            </w:r>
          </w:p>
        </w:tc>
        <w:tc>
          <w:tcPr>
            <w:tcW w:w="2652" w:type="dxa"/>
            <w:gridSpan w:val="2"/>
            <w:noWrap w:val="0"/>
            <w:vAlign w:val="center"/>
          </w:tcPr>
          <w:p>
            <w:pPr>
              <w:jc w:val="center"/>
              <w:rPr>
                <w:rFonts w:ascii="宋体" w:hAnsi="宋体"/>
                <w:color w:val="auto"/>
                <w:highlight w:val="none"/>
              </w:rPr>
            </w:pPr>
          </w:p>
        </w:tc>
        <w:tc>
          <w:tcPr>
            <w:tcW w:w="1817" w:type="dxa"/>
            <w:noWrap w:val="0"/>
            <w:vAlign w:val="center"/>
          </w:tcPr>
          <w:p>
            <w:pPr>
              <w:jc w:val="center"/>
              <w:rPr>
                <w:rFonts w:ascii="宋体" w:hAnsi="宋体"/>
                <w:color w:val="auto"/>
                <w:highlight w:val="none"/>
              </w:rPr>
            </w:pPr>
            <w:r>
              <w:rPr>
                <w:rFonts w:hint="eastAsia" w:ascii="宋体" w:hAnsi="宋体"/>
                <w:color w:val="auto"/>
                <w:highlight w:val="none"/>
              </w:rPr>
              <w:t>联系电话</w:t>
            </w:r>
          </w:p>
        </w:tc>
        <w:tc>
          <w:tcPr>
            <w:tcW w:w="2461" w:type="dxa"/>
            <w:gridSpan w:val="2"/>
            <w:noWrap w:val="0"/>
            <w:vAlign w:val="center"/>
          </w:tcPr>
          <w:p>
            <w:pPr>
              <w:jc w:val="center"/>
              <w:rPr>
                <w:rFonts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610" w:type="dxa"/>
            <w:gridSpan w:val="6"/>
            <w:noWrap w:val="0"/>
            <w:vAlign w:val="center"/>
          </w:tcPr>
          <w:p>
            <w:pPr>
              <w:jc w:val="center"/>
              <w:rPr>
                <w:rFonts w:ascii="宋体" w:hAnsi="宋体"/>
                <w:color w:val="auto"/>
                <w:highlight w:val="none"/>
              </w:rPr>
            </w:pPr>
            <w:r>
              <w:rPr>
                <w:rFonts w:hint="eastAsia" w:ascii="宋体" w:hAnsi="宋体"/>
                <w:color w:val="auto"/>
                <w:highlight w:val="none"/>
              </w:rPr>
              <w:t>近年曾担任项目经理（项目负责人）的同类工程项目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8610" w:type="dxa"/>
            <w:gridSpan w:val="6"/>
            <w:noWrap w:val="0"/>
            <w:vAlign w:val="top"/>
          </w:tcPr>
          <w:p>
            <w:pPr>
              <w:jc w:val="center"/>
              <w:rPr>
                <w:rFonts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610" w:type="dxa"/>
            <w:gridSpan w:val="6"/>
            <w:noWrap w:val="0"/>
            <w:vAlign w:val="center"/>
          </w:tcPr>
          <w:p>
            <w:pPr>
              <w:jc w:val="center"/>
              <w:rPr>
                <w:rFonts w:ascii="宋体" w:hAnsi="宋体"/>
                <w:color w:val="auto"/>
                <w:highlight w:val="none"/>
              </w:rPr>
            </w:pPr>
            <w:r>
              <w:rPr>
                <w:rFonts w:hint="eastAsia" w:ascii="宋体" w:hAnsi="宋体"/>
                <w:color w:val="auto"/>
                <w:highlight w:val="none"/>
              </w:rPr>
              <w:t>近年来的主要工作业绩及担任的主要工作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8610" w:type="dxa"/>
            <w:gridSpan w:val="6"/>
            <w:noWrap w:val="0"/>
            <w:vAlign w:val="center"/>
          </w:tcPr>
          <w:p>
            <w:pPr>
              <w:jc w:val="both"/>
              <w:rPr>
                <w:rFonts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610" w:type="dxa"/>
            <w:gridSpan w:val="6"/>
            <w:noWrap w:val="0"/>
            <w:vAlign w:val="top"/>
          </w:tcPr>
          <w:p>
            <w:pPr>
              <w:rPr>
                <w:rFonts w:hint="eastAsia"/>
                <w:color w:val="auto"/>
                <w:highlight w:val="none"/>
              </w:rPr>
            </w:pPr>
            <w:r>
              <w:rPr>
                <w:rFonts w:hint="eastAsia"/>
                <w:color w:val="auto"/>
                <w:highlight w:val="none"/>
              </w:rPr>
              <w:t>注：</w:t>
            </w:r>
          </w:p>
          <w:p>
            <w:pPr>
              <w:rPr>
                <w:rFonts w:hint="eastAsia" w:ascii="Times New Roman" w:hAnsi="Times New Roman" w:eastAsia="宋体" w:cs="Times New Roman"/>
                <w:color w:val="auto"/>
                <w:highlight w:val="none"/>
              </w:rPr>
            </w:pPr>
            <w:r>
              <w:rPr>
                <w:rFonts w:hint="eastAsia"/>
                <w:color w:val="auto"/>
                <w:highlight w:val="none"/>
              </w:rPr>
              <w:t>1、附本工程项目经理（项目负责人）的注册建造师资格证书</w:t>
            </w:r>
            <w:r>
              <w:rPr>
                <w:rFonts w:hint="eastAsia"/>
                <w:color w:val="auto"/>
                <w:highlight w:val="none"/>
                <w:lang w:eastAsia="zh-CN"/>
              </w:rPr>
              <w:t>及</w:t>
            </w:r>
            <w:r>
              <w:rPr>
                <w:rFonts w:hint="eastAsia"/>
                <w:color w:val="auto"/>
                <w:highlight w:val="none"/>
              </w:rPr>
              <w:t>注册证书</w:t>
            </w:r>
            <w:r>
              <w:rPr>
                <w:rFonts w:hint="eastAsia"/>
                <w:color w:val="auto"/>
                <w:highlight w:val="none"/>
                <w:lang w:eastAsia="zh-CN"/>
              </w:rPr>
              <w:t>（相关证书均在有效期内）</w:t>
            </w:r>
            <w:r>
              <w:rPr>
                <w:rFonts w:hint="eastAsia"/>
                <w:color w:val="auto"/>
                <w:highlight w:val="none"/>
              </w:rPr>
              <w:t>（根据《住房和城乡建设部办公厅关于全面实行一级建造师电子注册证书的通知》的要求，一级及二级建造师均须提供新版注册证书电</w:t>
            </w:r>
            <w:r>
              <w:rPr>
                <w:rFonts w:hint="eastAsia" w:ascii="Times New Roman" w:hAnsi="Times New Roman" w:eastAsia="宋体" w:cs="Times New Roman"/>
                <w:color w:val="auto"/>
                <w:highlight w:val="none"/>
              </w:rPr>
              <w:t>子证照）及项目经理安全生产考核合格证（B类）、职称证书；</w:t>
            </w:r>
          </w:p>
          <w:p>
            <w:pPr>
              <w:rPr>
                <w:rFonts w:hint="eastAsia" w:ascii="Times New Roman" w:hAnsi="Times New Roman" w:eastAsia="宋体" w:cs="Times New Roman"/>
                <w:color w:val="auto"/>
                <w:highlight w:val="none"/>
              </w:rPr>
            </w:pPr>
            <w:bookmarkStart w:id="2221" w:name="_Toc6292"/>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附在本单位投标截止日期前半年内连续3个月的社保证明的扫描件。</w:t>
            </w:r>
            <w:bookmarkEnd w:id="2221"/>
          </w:p>
          <w:p>
            <w:pP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项目经理未担任其他在施（包括已中标未开工、已建成未竣工）建设工程项目的项目经理。</w:t>
            </w:r>
          </w:p>
          <w:p>
            <w:pPr>
              <w:rPr>
                <w:rFonts w:hint="eastAsia" w:eastAsia="宋体"/>
                <w:color w:val="auto"/>
                <w:highlight w:val="none"/>
                <w:lang w:val="en-US" w:eastAsia="zh-CN"/>
              </w:rPr>
            </w:pPr>
            <w:r>
              <w:rPr>
                <w:rFonts w:hint="eastAsia" w:ascii="Times New Roman" w:hAnsi="Times New Roman" w:eastAsia="宋体" w:cs="Times New Roman"/>
                <w:color w:val="auto"/>
                <w:highlight w:val="none"/>
                <w:lang w:val="en-US" w:eastAsia="zh-CN"/>
              </w:rPr>
              <w:t>4、</w:t>
            </w:r>
            <w:r>
              <w:rPr>
                <w:rFonts w:hint="eastAsia" w:ascii="宋体" w:hAnsi="宋体" w:eastAsia="宋体" w:cs="宋体"/>
                <w:color w:val="auto"/>
                <w:sz w:val="21"/>
                <w:szCs w:val="21"/>
                <w:highlight w:val="none"/>
              </w:rPr>
              <w:t>拟担任本工程项目经理（项目负责人）须是本企业在广州公共资源交易中心的企业信息登记在册人员。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提供相关截图证明材料</w:t>
            </w:r>
            <w:r>
              <w:rPr>
                <w:rFonts w:hint="eastAsia" w:ascii="宋体" w:hAnsi="宋体" w:eastAsia="宋体" w:cs="宋体"/>
                <w:color w:val="auto"/>
                <w:sz w:val="21"/>
                <w:szCs w:val="21"/>
                <w:highlight w:val="none"/>
                <w:lang w:eastAsia="zh-CN"/>
              </w:rPr>
              <w:t>）</w:t>
            </w:r>
          </w:p>
        </w:tc>
      </w:tr>
    </w:tbl>
    <w:p>
      <w:pPr>
        <w:pStyle w:val="41"/>
        <w:ind w:firstLine="210"/>
        <w:rPr>
          <w:rFonts w:hint="eastAsia"/>
          <w:color w:val="auto"/>
          <w:highlight w:val="none"/>
          <w:lang w:val="en-US" w:eastAsia="zh-CN"/>
        </w:rPr>
      </w:pPr>
    </w:p>
    <w:p>
      <w:pPr>
        <w:pStyle w:val="4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lang w:val="en-US" w:eastAsia="zh-CN"/>
        </w:rPr>
        <w:t>注：</w:t>
      </w:r>
      <w:r>
        <w:rPr>
          <w:rFonts w:hint="eastAsia"/>
          <w:color w:val="auto"/>
          <w:highlight w:val="none"/>
        </w:rPr>
        <w:t>项目经理（项目负责人）情况一览表</w:t>
      </w:r>
      <w:r>
        <w:rPr>
          <w:rFonts w:hint="eastAsia"/>
          <w:color w:val="auto"/>
          <w:highlight w:val="none"/>
          <w:lang w:val="en-US" w:eastAsia="zh-CN"/>
        </w:rPr>
        <w:t>后需</w:t>
      </w:r>
      <w:r>
        <w:rPr>
          <w:rFonts w:hint="eastAsia" w:ascii="Times New Roman" w:hAnsi="Times New Roman" w:eastAsia="宋体" w:cs="Times New Roman"/>
          <w:color w:val="auto"/>
          <w:highlight w:val="none"/>
          <w:lang w:val="en-US" w:eastAsia="zh-CN"/>
        </w:rPr>
        <w:t>附《</w:t>
      </w:r>
      <w:r>
        <w:rPr>
          <w:rFonts w:hint="eastAsia" w:ascii="Times New Roman" w:hAnsi="Times New Roman" w:eastAsia="宋体" w:cs="Times New Roman"/>
          <w:color w:val="auto"/>
          <w:highlight w:val="none"/>
        </w:rPr>
        <w:t>项目经理任职声明</w:t>
      </w:r>
      <w:r>
        <w:rPr>
          <w:rFonts w:hint="eastAsia" w:ascii="Times New Roman" w:hAnsi="Times New Roman" w:eastAsia="宋体" w:cs="Times New Roman"/>
          <w:color w:val="auto"/>
          <w:highlight w:val="none"/>
          <w:lang w:eastAsia="zh-CN"/>
        </w:rPr>
        <w:t>》</w:t>
      </w:r>
    </w:p>
    <w:p>
      <w:pPr>
        <w:bidi w:val="0"/>
        <w:rPr>
          <w:rFonts w:hint="eastAsia"/>
          <w:color w:val="auto"/>
          <w:highlight w:val="none"/>
          <w:lang w:eastAsia="zh-CN"/>
        </w:rPr>
      </w:pPr>
      <w:r>
        <w:rPr>
          <w:rFonts w:hint="eastAsia"/>
          <w:color w:val="auto"/>
          <w:highlight w:val="none"/>
        </w:rPr>
        <w:br w:type="page"/>
      </w:r>
    </w:p>
    <w:p>
      <w:pPr>
        <w:pageBreakBefore w:val="0"/>
        <w:kinsoku/>
        <w:wordWrap w:val="0"/>
        <w:overflowPunct/>
        <w:topLinePunct w:val="0"/>
        <w:bidi w:val="0"/>
        <w:adjustRightInd w:val="0"/>
        <w:snapToGrid w:val="0"/>
        <w:spacing w:line="288" w:lineRule="auto"/>
        <w:jc w:val="center"/>
        <w:rPr>
          <w:rFonts w:hAnsi="宋体" w:cs="宋体"/>
          <w:b/>
          <w:snapToGrid w:val="0"/>
          <w:color w:val="auto"/>
          <w:kern w:val="0"/>
          <w:sz w:val="24"/>
          <w:szCs w:val="24"/>
          <w:highlight w:val="none"/>
        </w:rPr>
      </w:pPr>
      <w:r>
        <w:rPr>
          <w:rFonts w:hint="eastAsia" w:ascii="宋体" w:hAnsi="宋体"/>
          <w:b/>
          <w:color w:val="auto"/>
          <w:sz w:val="24"/>
          <w:szCs w:val="24"/>
          <w:highlight w:val="none"/>
        </w:rPr>
        <w:t>（以下</w:t>
      </w:r>
      <w:r>
        <w:rPr>
          <w:rFonts w:ascii="宋体" w:hAnsi="宋体"/>
          <w:b/>
          <w:color w:val="auto"/>
          <w:sz w:val="24"/>
          <w:szCs w:val="24"/>
          <w:highlight w:val="none"/>
        </w:rPr>
        <w:t>内容为</w:t>
      </w:r>
      <w:r>
        <w:rPr>
          <w:rFonts w:hint="eastAsia" w:ascii="宋体" w:hAnsi="宋体"/>
          <w:b/>
          <w:color w:val="auto"/>
          <w:sz w:val="24"/>
          <w:szCs w:val="24"/>
          <w:highlight w:val="none"/>
        </w:rPr>
        <w:t>打印的</w:t>
      </w:r>
      <w:r>
        <w:rPr>
          <w:rFonts w:ascii="宋体" w:hAnsi="宋体"/>
          <w:b/>
          <w:color w:val="auto"/>
          <w:sz w:val="24"/>
          <w:szCs w:val="24"/>
          <w:highlight w:val="none"/>
        </w:rPr>
        <w:t>纸质</w:t>
      </w:r>
      <w:r>
        <w:rPr>
          <w:rFonts w:hint="eastAsia" w:ascii="宋体" w:hAnsi="宋体"/>
          <w:b/>
          <w:color w:val="auto"/>
          <w:sz w:val="24"/>
          <w:szCs w:val="24"/>
          <w:highlight w:val="none"/>
        </w:rPr>
        <w:t>版签字及</w:t>
      </w:r>
      <w:r>
        <w:rPr>
          <w:rFonts w:ascii="宋体" w:hAnsi="宋体"/>
          <w:b/>
          <w:color w:val="auto"/>
          <w:sz w:val="24"/>
          <w:szCs w:val="24"/>
          <w:highlight w:val="none"/>
        </w:rPr>
        <w:t>盖章后的扫描件</w:t>
      </w:r>
      <w:r>
        <w:rPr>
          <w:rFonts w:hint="eastAsia" w:ascii="宋体" w:hAnsi="宋体"/>
          <w:b/>
          <w:color w:val="auto"/>
          <w:sz w:val="24"/>
          <w:szCs w:val="24"/>
          <w:highlight w:val="none"/>
        </w:rPr>
        <w:t>）</w:t>
      </w:r>
    </w:p>
    <w:p>
      <w:pPr>
        <w:pageBreakBefore w:val="0"/>
        <w:kinsoku/>
        <w:wordWrap w:val="0"/>
        <w:overflowPunct/>
        <w:topLinePunct w:val="0"/>
        <w:bidi w:val="0"/>
        <w:adjustRightInd w:val="0"/>
        <w:snapToGrid w:val="0"/>
        <w:spacing w:line="288" w:lineRule="auto"/>
        <w:jc w:val="center"/>
        <w:rPr>
          <w:rFonts w:hAnsi="宋体" w:cs="宋体"/>
          <w:snapToGrid w:val="0"/>
          <w:color w:val="auto"/>
          <w:kern w:val="0"/>
          <w:sz w:val="24"/>
          <w:szCs w:val="24"/>
          <w:highlight w:val="none"/>
        </w:rPr>
      </w:pPr>
      <w:r>
        <w:rPr>
          <w:rFonts w:hAnsi="宋体" w:cs="宋体"/>
          <w:b/>
          <w:snapToGrid w:val="0"/>
          <w:color w:val="auto"/>
          <w:kern w:val="0"/>
          <w:sz w:val="24"/>
          <w:szCs w:val="24"/>
          <w:highlight w:val="none"/>
        </w:rPr>
        <w:t>项目经理任职声明</w:t>
      </w:r>
    </w:p>
    <w:p>
      <w:pPr>
        <w:pageBreakBefore w:val="0"/>
        <w:kinsoku/>
        <w:wordWrap w:val="0"/>
        <w:overflowPunct/>
        <w:topLinePunct w:val="0"/>
        <w:bidi w:val="0"/>
        <w:adjustRightInd w:val="0"/>
        <w:snapToGrid w:val="0"/>
        <w:spacing w:line="288" w:lineRule="auto"/>
        <w:jc w:val="center"/>
        <w:rPr>
          <w:rFonts w:hAnsi="宋体" w:cs="宋体"/>
          <w:snapToGrid w:val="0"/>
          <w:color w:val="auto"/>
          <w:kern w:val="0"/>
          <w:szCs w:val="28"/>
          <w:highlight w:val="none"/>
        </w:rPr>
      </w:pPr>
    </w:p>
    <w:p>
      <w:pPr>
        <w:pageBreakBefore w:val="0"/>
        <w:kinsoku/>
        <w:wordWrap w:val="0"/>
        <w:overflowPunct/>
        <w:topLinePunct w:val="0"/>
        <w:bidi w:val="0"/>
        <w:adjustRightInd w:val="0"/>
        <w:snapToGrid w:val="0"/>
        <w:spacing w:line="480" w:lineRule="auto"/>
        <w:rPr>
          <w:rFonts w:hAnsi="宋体" w:cs="宋体"/>
          <w:snapToGrid w:val="0"/>
          <w:color w:val="auto"/>
          <w:kern w:val="0"/>
          <w:szCs w:val="28"/>
          <w:highlight w:val="none"/>
        </w:rPr>
      </w:pPr>
      <w:r>
        <w:rPr>
          <w:rFonts w:hAnsi="宋体" w:cs="宋体"/>
          <w:snapToGrid w:val="0"/>
          <w:color w:val="auto"/>
          <w:kern w:val="0"/>
          <w:szCs w:val="28"/>
          <w:highlight w:val="none"/>
        </w:rPr>
        <w:t>致：</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（招标人名称）：</w:t>
      </w:r>
    </w:p>
    <w:p>
      <w:pPr>
        <w:pageBreakBefore w:val="0"/>
        <w:kinsoku/>
        <w:wordWrap w:val="0"/>
        <w:overflowPunct/>
        <w:topLinePunct w:val="0"/>
        <w:bidi w:val="0"/>
        <w:adjustRightInd w:val="0"/>
        <w:snapToGrid w:val="0"/>
        <w:spacing w:line="480" w:lineRule="auto"/>
        <w:rPr>
          <w:rFonts w:hAnsi="宋体" w:cs="宋体"/>
          <w:snapToGrid w:val="0"/>
          <w:color w:val="auto"/>
          <w:kern w:val="0"/>
          <w:szCs w:val="28"/>
          <w:highlight w:val="none"/>
        </w:rPr>
      </w:pPr>
      <w:r>
        <w:rPr>
          <w:rFonts w:hAnsi="宋体" w:cs="宋体"/>
          <w:snapToGrid w:val="0"/>
          <w:color w:val="auto"/>
          <w:kern w:val="0"/>
          <w:szCs w:val="28"/>
          <w:highlight w:val="none"/>
        </w:rPr>
        <w:t>　　我方在此声明，我方拟派往____________（工程名称）的项目经理</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（项目经理姓名）现阶段没有担任任何在施（包括已中标未开工、已</w:t>
      </w:r>
      <w:r>
        <w:rPr>
          <w:rFonts w:hint="eastAsia" w:hAnsi="宋体" w:cs="宋体"/>
          <w:snapToGrid w:val="0"/>
          <w:color w:val="auto"/>
          <w:kern w:val="0"/>
          <w:szCs w:val="28"/>
          <w:highlight w:val="none"/>
          <w:lang w:eastAsia="zh-CN"/>
        </w:rPr>
        <w:t>建成</w:t>
      </w:r>
      <w:r>
        <w:rPr>
          <w:rFonts w:hAnsi="宋体" w:cs="宋体"/>
          <w:snapToGrid w:val="0"/>
          <w:color w:val="auto"/>
          <w:kern w:val="0"/>
          <w:szCs w:val="28"/>
          <w:highlight w:val="none"/>
        </w:rPr>
        <w:t>未竣工）建设工程项目的项目经理。</w:t>
      </w:r>
    </w:p>
    <w:p>
      <w:pPr>
        <w:pageBreakBefore w:val="0"/>
        <w:kinsoku/>
        <w:wordWrap w:val="0"/>
        <w:overflowPunct/>
        <w:topLinePunct w:val="0"/>
        <w:bidi w:val="0"/>
        <w:adjustRightInd w:val="0"/>
        <w:snapToGrid w:val="0"/>
        <w:spacing w:line="480" w:lineRule="auto"/>
        <w:ind w:firstLine="480"/>
        <w:rPr>
          <w:rFonts w:hAnsi="宋体" w:cs="宋体"/>
          <w:snapToGrid w:val="0"/>
          <w:color w:val="auto"/>
          <w:kern w:val="0"/>
          <w:szCs w:val="28"/>
          <w:highlight w:val="none"/>
        </w:rPr>
      </w:pPr>
      <w:r>
        <w:rPr>
          <w:rFonts w:hAnsi="宋体" w:cs="宋体"/>
          <w:snapToGrid w:val="0"/>
          <w:color w:val="auto"/>
          <w:kern w:val="0"/>
          <w:szCs w:val="28"/>
          <w:highlight w:val="none"/>
        </w:rPr>
        <w:t>我方保证上述信息的真实和准确，并愿意承担因我方就此弄虚作假所引起的一切法律后果。</w:t>
      </w:r>
    </w:p>
    <w:p>
      <w:pPr>
        <w:pageBreakBefore w:val="0"/>
        <w:kinsoku/>
        <w:wordWrap w:val="0"/>
        <w:overflowPunct/>
        <w:topLinePunct w:val="0"/>
        <w:bidi w:val="0"/>
        <w:adjustRightInd w:val="0"/>
        <w:snapToGrid w:val="0"/>
        <w:spacing w:line="480" w:lineRule="auto"/>
        <w:ind w:firstLine="480"/>
        <w:rPr>
          <w:rFonts w:hAnsi="宋体" w:cs="宋体"/>
          <w:snapToGrid w:val="0"/>
          <w:color w:val="auto"/>
          <w:kern w:val="0"/>
          <w:szCs w:val="28"/>
          <w:highlight w:val="none"/>
        </w:rPr>
      </w:pPr>
      <w:r>
        <w:rPr>
          <w:rFonts w:hAnsi="宋体" w:cs="宋体"/>
          <w:snapToGrid w:val="0"/>
          <w:color w:val="auto"/>
          <w:kern w:val="0"/>
          <w:szCs w:val="28"/>
          <w:highlight w:val="none"/>
        </w:rPr>
        <w:t>特此承诺</w:t>
      </w:r>
      <w:r>
        <w:rPr>
          <w:rFonts w:hint="eastAsia" w:hAnsi="宋体" w:cs="宋体"/>
          <w:snapToGrid w:val="0"/>
          <w:color w:val="auto"/>
          <w:kern w:val="0"/>
          <w:szCs w:val="28"/>
          <w:highlight w:val="none"/>
          <w:lang w:eastAsia="zh-CN"/>
        </w:rPr>
        <w:t>。</w:t>
      </w:r>
    </w:p>
    <w:p>
      <w:pPr>
        <w:pageBreakBefore w:val="0"/>
        <w:kinsoku/>
        <w:wordWrap w:val="0"/>
        <w:overflowPunct/>
        <w:topLinePunct w:val="0"/>
        <w:bidi w:val="0"/>
        <w:adjustRightInd w:val="0"/>
        <w:snapToGrid w:val="0"/>
        <w:spacing w:line="288" w:lineRule="auto"/>
        <w:ind w:left="0" w:leftChars="0" w:firstLine="2940" w:firstLineChars="1400"/>
        <w:jc w:val="both"/>
        <w:rPr>
          <w:rFonts w:hAnsi="宋体" w:cs="宋体"/>
          <w:snapToGrid w:val="0"/>
          <w:color w:val="auto"/>
          <w:kern w:val="0"/>
          <w:szCs w:val="28"/>
          <w:highlight w:val="none"/>
        </w:rPr>
      </w:pPr>
    </w:p>
    <w:p>
      <w:pPr>
        <w:pageBreakBefore w:val="0"/>
        <w:kinsoku/>
        <w:wordWrap w:val="0"/>
        <w:overflowPunct/>
        <w:topLinePunct w:val="0"/>
        <w:bidi w:val="0"/>
        <w:adjustRightInd w:val="0"/>
        <w:snapToGrid w:val="0"/>
        <w:spacing w:line="288" w:lineRule="auto"/>
        <w:ind w:left="0" w:leftChars="0" w:firstLine="2940" w:firstLineChars="1400"/>
        <w:jc w:val="both"/>
        <w:rPr>
          <w:rFonts w:hAnsi="宋体" w:cs="宋体"/>
          <w:snapToGrid w:val="0"/>
          <w:color w:val="auto"/>
          <w:kern w:val="0"/>
          <w:szCs w:val="28"/>
          <w:highlight w:val="none"/>
        </w:rPr>
      </w:pPr>
      <w:r>
        <w:rPr>
          <w:rFonts w:hAnsi="宋体" w:cs="宋体"/>
          <w:snapToGrid w:val="0"/>
          <w:color w:val="auto"/>
          <w:kern w:val="0"/>
          <w:szCs w:val="28"/>
          <w:highlight w:val="none"/>
        </w:rPr>
        <w:t>投标人：</w:t>
      </w:r>
      <w:r>
        <w:rPr>
          <w:rFonts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(盖单位公章或电子印章)</w:t>
      </w:r>
    </w:p>
    <w:p>
      <w:pPr>
        <w:bidi w:val="0"/>
        <w:ind w:left="0" w:leftChars="0" w:firstLine="2940" w:firstLineChars="1400"/>
        <w:rPr>
          <w:color w:val="auto"/>
          <w:highlight w:val="none"/>
        </w:rPr>
      </w:pPr>
    </w:p>
    <w:p>
      <w:pPr>
        <w:pageBreakBefore w:val="0"/>
        <w:kinsoku/>
        <w:wordWrap w:val="0"/>
        <w:overflowPunct/>
        <w:topLinePunct w:val="0"/>
        <w:bidi w:val="0"/>
        <w:adjustRightInd w:val="0"/>
        <w:snapToGrid w:val="0"/>
        <w:spacing w:line="288" w:lineRule="auto"/>
        <w:ind w:left="0" w:leftChars="0" w:firstLine="2940" w:firstLineChars="1400"/>
        <w:jc w:val="both"/>
        <w:rPr>
          <w:rFonts w:hAnsi="宋体" w:cs="宋体"/>
          <w:snapToGrid w:val="0"/>
          <w:color w:val="auto"/>
          <w:kern w:val="0"/>
          <w:szCs w:val="28"/>
          <w:highlight w:val="none"/>
        </w:rPr>
      </w:pPr>
      <w:r>
        <w:rPr>
          <w:rFonts w:hAnsi="宋体" w:cs="宋体"/>
          <w:snapToGrid w:val="0"/>
          <w:color w:val="auto"/>
          <w:kern w:val="0"/>
          <w:szCs w:val="28"/>
          <w:highlight w:val="none"/>
        </w:rPr>
        <w:t>法定代表人或其委托代理人：</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（签字或盖章）</w:t>
      </w:r>
    </w:p>
    <w:p>
      <w:pPr>
        <w:pageBreakBefore w:val="0"/>
        <w:kinsoku/>
        <w:wordWrap w:val="0"/>
        <w:overflowPunct/>
        <w:topLinePunct w:val="0"/>
        <w:bidi w:val="0"/>
        <w:adjustRightInd w:val="0"/>
        <w:snapToGrid w:val="0"/>
        <w:spacing w:line="288" w:lineRule="auto"/>
        <w:ind w:left="0" w:leftChars="0" w:firstLine="2940" w:firstLineChars="1400"/>
        <w:jc w:val="both"/>
        <w:rPr>
          <w:rFonts w:hint="eastAsia" w:ascii="宋体" w:hAnsi="宋体" w:eastAsia="宋体" w:cs="宋体"/>
          <w:snapToGrid w:val="0"/>
          <w:color w:val="auto"/>
          <w:kern w:val="0"/>
          <w:szCs w:val="28"/>
          <w:highlight w:val="none"/>
          <w:u w:val="single"/>
          <w:lang w:val="en-US" w:eastAsia="zh-CN"/>
        </w:rPr>
      </w:pPr>
    </w:p>
    <w:p>
      <w:pPr>
        <w:pageBreakBefore w:val="0"/>
        <w:kinsoku/>
        <w:wordWrap w:val="0"/>
        <w:overflowPunct/>
        <w:topLinePunct w:val="0"/>
        <w:bidi w:val="0"/>
        <w:adjustRightInd w:val="0"/>
        <w:snapToGrid w:val="0"/>
        <w:spacing w:line="288" w:lineRule="auto"/>
        <w:ind w:left="0" w:leftChars="0" w:firstLine="2940" w:firstLineChars="1400"/>
        <w:jc w:val="both"/>
        <w:rPr>
          <w:rFonts w:hAnsi="宋体" w:cs="宋体"/>
          <w:snapToGrid w:val="0"/>
          <w:color w:val="auto"/>
          <w:kern w:val="0"/>
          <w:szCs w:val="28"/>
          <w:highlight w:val="none"/>
        </w:rPr>
      </w:pPr>
      <w:r>
        <w:rPr>
          <w:rFonts w:hint="eastAsia" w:ascii="宋体" w:hAnsi="宋体" w:eastAsia="宋体" w:cs="宋体"/>
          <w:snapToGrid w:val="0"/>
          <w:color w:val="auto"/>
          <w:kern w:val="0"/>
          <w:szCs w:val="28"/>
          <w:highlight w:val="none"/>
          <w:u w:val="none"/>
          <w:lang w:val="en-US" w:eastAsia="zh-CN"/>
        </w:rPr>
        <w:t>日期：</w:t>
      </w:r>
      <w:r>
        <w:rPr>
          <w:rFonts w:hint="eastAsia" w:ascii="宋体" w:hAnsi="宋体" w:eastAsia="宋体" w:cs="宋体"/>
          <w:snapToGrid w:val="0"/>
          <w:color w:val="auto"/>
          <w:kern w:val="0"/>
          <w:szCs w:val="28"/>
          <w:highlight w:val="none"/>
          <w:u w:val="single"/>
          <w:lang w:val="en-US" w:eastAsia="zh-CN"/>
        </w:rPr>
        <w:t xml:space="preserve">      </w:t>
      </w:r>
      <w:r>
        <w:rPr>
          <w:rFonts w:hAnsi="宋体" w:cs="宋体"/>
          <w:snapToGrid w:val="0"/>
          <w:color w:val="auto"/>
          <w:kern w:val="0"/>
          <w:szCs w:val="28"/>
          <w:highlight w:val="none"/>
        </w:rPr>
        <w:t>年</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月</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日</w:t>
      </w:r>
    </w:p>
    <w:p>
      <w:pPr>
        <w:jc w:val="center"/>
        <w:rPr>
          <w:rFonts w:hint="eastAsia"/>
          <w:color w:val="auto"/>
          <w:highlight w:val="none"/>
        </w:rPr>
      </w:pPr>
    </w:p>
    <w:p>
      <w:pPr>
        <w:jc w:val="center"/>
        <w:rPr>
          <w:rFonts w:hint="eastAsia" w:ascii="宋体" w:hAnsi="宋体"/>
          <w:b/>
          <w:color w:val="auto"/>
          <w:sz w:val="24"/>
          <w:szCs w:val="24"/>
          <w:highlight w:val="none"/>
        </w:rPr>
      </w:pPr>
    </w:p>
    <w:p>
      <w:pPr>
        <w:rPr>
          <w:color w:val="auto"/>
          <w:highlight w:val="none"/>
          <w:lang w:val="zh-CN"/>
        </w:rPr>
      </w:pPr>
      <w:r>
        <w:rPr>
          <w:color w:val="auto"/>
          <w:highlight w:val="none"/>
          <w:lang w:val="zh-CN"/>
        </w:rPr>
        <w:br w:type="page"/>
      </w:r>
    </w:p>
    <w:p>
      <w:pPr>
        <w:jc w:val="center"/>
        <w:rPr>
          <w:rFonts w:hint="eastAsia" w:ascii="宋体" w:hAnsi="宋体" w:eastAsia="宋体"/>
          <w:b/>
          <w:color w:val="auto"/>
          <w:sz w:val="24"/>
          <w:szCs w:val="24"/>
          <w:highlight w:val="none"/>
          <w:lang w:eastAsia="zh-CN"/>
        </w:rPr>
      </w:pPr>
      <w:r>
        <w:rPr>
          <w:rFonts w:hint="eastAsia" w:ascii="宋体" w:hAnsi="宋体"/>
          <w:b/>
          <w:color w:val="auto"/>
          <w:sz w:val="24"/>
          <w:szCs w:val="24"/>
          <w:highlight w:val="none"/>
        </w:rPr>
        <w:t>附表3、本项目施工队伍人员汇总</w:t>
      </w:r>
      <w:r>
        <w:rPr>
          <w:rFonts w:hint="eastAsia" w:ascii="宋体" w:hAnsi="宋体" w:eastAsia="宋体" w:cs="Times New Roman"/>
          <w:b/>
          <w:color w:val="auto"/>
          <w:sz w:val="24"/>
          <w:szCs w:val="24"/>
          <w:highlight w:val="none"/>
          <w:lang w:eastAsia="zh-CN"/>
        </w:rPr>
        <w:t>表</w:t>
      </w:r>
    </w:p>
    <w:p>
      <w:pPr>
        <w:jc w:val="center"/>
        <w:rPr>
          <w:rFonts w:hint="eastAsia" w:ascii="宋体" w:hAnsi="宋体" w:eastAsia="宋体" w:cs="Times New Roman"/>
          <w:b/>
          <w:color w:val="auto"/>
          <w:sz w:val="24"/>
          <w:szCs w:val="24"/>
          <w:highlight w:val="none"/>
          <w:lang w:eastAsia="zh-CN"/>
        </w:rPr>
      </w:pPr>
    </w:p>
    <w:p>
      <w:pPr>
        <w:pStyle w:val="42"/>
        <w:ind w:left="0" w:leftChars="0" w:firstLine="0" w:firstLineChars="0"/>
        <w:rPr>
          <w:rFonts w:hint="eastAsia"/>
          <w:color w:val="auto"/>
          <w:highlight w:val="none"/>
          <w:lang w:eastAsia="zh-CN"/>
        </w:rPr>
      </w:pPr>
    </w:p>
    <w:tbl>
      <w:tblPr>
        <w:tblStyle w:val="43"/>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06"/>
        <w:gridCol w:w="1381"/>
        <w:gridCol w:w="1381"/>
        <w:gridCol w:w="1658"/>
        <w:gridCol w:w="1667"/>
        <w:gridCol w:w="1253"/>
        <w:gridCol w:w="1512"/>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6" w:type="dxa"/>
            <w:vMerge w:val="restart"/>
            <w:tcBorders>
              <w:top w:val="single" w:color="000000" w:sz="4" w:space="0"/>
              <w:left w:val="single" w:color="000000" w:sz="4" w:space="0"/>
              <w:right w:val="single" w:color="000000" w:sz="4" w:space="0"/>
            </w:tcBorders>
            <w:noWrap w:val="0"/>
            <w:vAlign w:val="center"/>
          </w:tcPr>
          <w:p>
            <w:pPr>
              <w:pStyle w:val="22"/>
              <w:jc w:val="center"/>
              <w:rPr>
                <w:rFonts w:hAnsi="宋体"/>
                <w:color w:val="auto"/>
                <w:szCs w:val="21"/>
                <w:highlight w:val="none"/>
              </w:rPr>
            </w:pPr>
            <w:r>
              <w:rPr>
                <w:rFonts w:hAnsi="宋体"/>
                <w:color w:val="auto"/>
                <w:szCs w:val="21"/>
                <w:highlight w:val="none"/>
              </w:rPr>
              <w:t>序号</w:t>
            </w:r>
          </w:p>
        </w:tc>
        <w:tc>
          <w:tcPr>
            <w:tcW w:w="1381" w:type="dxa"/>
            <w:vMerge w:val="restart"/>
            <w:tcBorders>
              <w:top w:val="single" w:color="000000" w:sz="4" w:space="0"/>
              <w:left w:val="single" w:color="000000" w:sz="4" w:space="0"/>
              <w:right w:val="single" w:color="000000" w:sz="4" w:space="0"/>
            </w:tcBorders>
            <w:noWrap w:val="0"/>
            <w:vAlign w:val="center"/>
          </w:tcPr>
          <w:p>
            <w:pPr>
              <w:pStyle w:val="22"/>
              <w:jc w:val="center"/>
              <w:rPr>
                <w:rFonts w:hAnsi="宋体"/>
                <w:color w:val="auto"/>
                <w:szCs w:val="21"/>
                <w:highlight w:val="none"/>
              </w:rPr>
            </w:pPr>
            <w:r>
              <w:rPr>
                <w:rFonts w:hAnsi="宋体"/>
                <w:color w:val="auto"/>
                <w:szCs w:val="21"/>
                <w:highlight w:val="none"/>
              </w:rPr>
              <w:t>姓名</w:t>
            </w:r>
          </w:p>
        </w:tc>
        <w:tc>
          <w:tcPr>
            <w:tcW w:w="1381" w:type="dxa"/>
            <w:vMerge w:val="restart"/>
            <w:tcBorders>
              <w:top w:val="single" w:color="000000" w:sz="4" w:space="0"/>
              <w:left w:val="single" w:color="000000" w:sz="4" w:space="0"/>
              <w:right w:val="single" w:color="000000" w:sz="4" w:space="0"/>
            </w:tcBorders>
            <w:noWrap w:val="0"/>
            <w:vAlign w:val="center"/>
          </w:tcPr>
          <w:p>
            <w:pPr>
              <w:pStyle w:val="22"/>
              <w:jc w:val="center"/>
              <w:rPr>
                <w:rFonts w:hAnsi="宋体"/>
                <w:color w:val="auto"/>
                <w:szCs w:val="21"/>
                <w:highlight w:val="none"/>
              </w:rPr>
            </w:pPr>
            <w:r>
              <w:rPr>
                <w:rFonts w:hAnsi="宋体"/>
                <w:color w:val="auto"/>
                <w:szCs w:val="21"/>
                <w:highlight w:val="none"/>
              </w:rPr>
              <w:t>工作岗位</w:t>
            </w:r>
          </w:p>
        </w:tc>
        <w:tc>
          <w:tcPr>
            <w:tcW w:w="1658" w:type="dxa"/>
            <w:vMerge w:val="restart"/>
            <w:tcBorders>
              <w:top w:val="single" w:color="000000" w:sz="4" w:space="0"/>
              <w:left w:val="single" w:color="000000" w:sz="4" w:space="0"/>
              <w:right w:val="single" w:color="000000" w:sz="4" w:space="0"/>
            </w:tcBorders>
            <w:noWrap w:val="0"/>
            <w:vAlign w:val="center"/>
          </w:tcPr>
          <w:p>
            <w:pPr>
              <w:pStyle w:val="22"/>
              <w:jc w:val="center"/>
              <w:rPr>
                <w:rFonts w:hAnsi="宋体"/>
                <w:color w:val="auto"/>
                <w:szCs w:val="21"/>
                <w:highlight w:val="none"/>
              </w:rPr>
            </w:pPr>
            <w:r>
              <w:rPr>
                <w:rFonts w:hAnsi="宋体"/>
                <w:color w:val="auto"/>
                <w:szCs w:val="21"/>
                <w:highlight w:val="none"/>
              </w:rPr>
              <w:t>执业资格</w:t>
            </w:r>
          </w:p>
          <w:p>
            <w:pPr>
              <w:pStyle w:val="22"/>
              <w:jc w:val="center"/>
              <w:rPr>
                <w:rFonts w:hAnsi="宋体"/>
                <w:color w:val="auto"/>
                <w:szCs w:val="21"/>
                <w:highlight w:val="none"/>
              </w:rPr>
            </w:pPr>
            <w:r>
              <w:rPr>
                <w:rFonts w:hAnsi="宋体"/>
                <w:color w:val="auto"/>
                <w:szCs w:val="21"/>
                <w:highlight w:val="none"/>
              </w:rPr>
              <w:t>及证书号</w:t>
            </w:r>
          </w:p>
        </w:tc>
        <w:tc>
          <w:tcPr>
            <w:tcW w:w="443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2"/>
              <w:jc w:val="center"/>
              <w:rPr>
                <w:rFonts w:hAnsi="宋体"/>
                <w:color w:val="auto"/>
                <w:szCs w:val="21"/>
                <w:highlight w:val="none"/>
              </w:rPr>
            </w:pPr>
            <w:r>
              <w:rPr>
                <w:rFonts w:hAnsi="宋体"/>
                <w:color w:val="auto"/>
                <w:szCs w:val="21"/>
                <w:highlight w:val="none"/>
              </w:rPr>
              <w:t>职业资格/技术职务</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olor w:val="auto"/>
                <w:szCs w:val="21"/>
                <w:highlight w:val="none"/>
              </w:rPr>
            </w:pPr>
          </w:p>
        </w:tc>
        <w:tc>
          <w:tcPr>
            <w:tcW w:w="1381" w:type="dxa"/>
            <w:vMerge w:val="continue"/>
            <w:tcBorders>
              <w:left w:val="single" w:color="000000" w:sz="4" w:space="0"/>
              <w:bottom w:val="single" w:color="000000" w:sz="4" w:space="0"/>
              <w:right w:val="single" w:color="000000" w:sz="4" w:space="0"/>
            </w:tcBorders>
            <w:noWrap w:val="0"/>
            <w:vAlign w:val="center"/>
          </w:tcPr>
          <w:p>
            <w:pPr>
              <w:pStyle w:val="22"/>
              <w:jc w:val="center"/>
              <w:rPr>
                <w:rFonts w:hAnsi="宋体"/>
                <w:color w:val="auto"/>
                <w:szCs w:val="21"/>
                <w:highlight w:val="none"/>
              </w:rPr>
            </w:pPr>
          </w:p>
        </w:tc>
        <w:tc>
          <w:tcPr>
            <w:tcW w:w="1381" w:type="dxa"/>
            <w:vMerge w:val="continue"/>
            <w:tcBorders>
              <w:left w:val="single" w:color="000000" w:sz="4" w:space="0"/>
              <w:bottom w:val="single" w:color="000000" w:sz="4" w:space="0"/>
              <w:right w:val="single" w:color="000000" w:sz="4" w:space="0"/>
            </w:tcBorders>
            <w:noWrap w:val="0"/>
            <w:vAlign w:val="center"/>
          </w:tcPr>
          <w:p>
            <w:pPr>
              <w:pStyle w:val="22"/>
              <w:jc w:val="center"/>
              <w:rPr>
                <w:rFonts w:hAnsi="宋体"/>
                <w:color w:val="auto"/>
                <w:szCs w:val="21"/>
                <w:highlight w:val="none"/>
              </w:rPr>
            </w:pPr>
          </w:p>
        </w:tc>
        <w:tc>
          <w:tcPr>
            <w:tcW w:w="1658" w:type="dxa"/>
            <w:vMerge w:val="continue"/>
            <w:tcBorders>
              <w:left w:val="single" w:color="000000" w:sz="4" w:space="0"/>
              <w:bottom w:val="single" w:color="000000" w:sz="4" w:space="0"/>
              <w:right w:val="single" w:color="000000" w:sz="4" w:space="0"/>
            </w:tcBorders>
            <w:noWrap w:val="0"/>
            <w:vAlign w:val="center"/>
          </w:tcPr>
          <w:p>
            <w:pPr>
              <w:pStyle w:val="22"/>
              <w:jc w:val="center"/>
              <w:rPr>
                <w:rFonts w:hAnsi="宋体"/>
                <w:color w:val="auto"/>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pPr>
              <w:pStyle w:val="22"/>
              <w:jc w:val="center"/>
              <w:rPr>
                <w:rFonts w:hAnsi="宋体"/>
                <w:color w:val="auto"/>
                <w:szCs w:val="21"/>
                <w:highlight w:val="none"/>
              </w:rPr>
            </w:pPr>
            <w:r>
              <w:rPr>
                <w:rFonts w:hAnsi="宋体"/>
                <w:color w:val="auto"/>
                <w:szCs w:val="21"/>
                <w:highlight w:val="none"/>
              </w:rPr>
              <w:t>职称</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pStyle w:val="22"/>
              <w:jc w:val="center"/>
              <w:rPr>
                <w:rFonts w:hAnsi="宋体"/>
                <w:color w:val="auto"/>
                <w:szCs w:val="21"/>
                <w:highlight w:val="none"/>
              </w:rPr>
            </w:pPr>
            <w:r>
              <w:rPr>
                <w:rFonts w:hAnsi="宋体"/>
                <w:color w:val="auto"/>
                <w:szCs w:val="21"/>
                <w:highlight w:val="none"/>
              </w:rPr>
              <w:t>专业</w:t>
            </w:r>
            <w:r>
              <w:rPr>
                <w:rFonts w:hint="eastAsia" w:hAnsi="宋体"/>
                <w:color w:val="auto"/>
                <w:szCs w:val="21"/>
                <w:highlight w:val="none"/>
              </w:rPr>
              <w:t>/工种</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pStyle w:val="22"/>
              <w:jc w:val="center"/>
              <w:rPr>
                <w:rFonts w:hAnsi="宋体"/>
                <w:color w:val="auto"/>
                <w:szCs w:val="21"/>
                <w:highlight w:val="none"/>
              </w:rPr>
            </w:pPr>
            <w:r>
              <w:rPr>
                <w:rFonts w:hAnsi="宋体"/>
                <w:color w:val="auto"/>
                <w:szCs w:val="21"/>
                <w:highlight w:val="none"/>
              </w:rPr>
              <w:t>证书号</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22"/>
              <w:jc w:val="center"/>
              <w:rPr>
                <w:rFonts w:hAnsi="宋体"/>
                <w:color w:val="auto"/>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22"/>
              <w:jc w:val="center"/>
              <w:rPr>
                <w:rFonts w:hAnsi="宋体"/>
                <w:color w:val="auto"/>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pPr>
              <w:pStyle w:val="22"/>
              <w:jc w:val="center"/>
              <w:rPr>
                <w:rFonts w:hAnsi="宋体"/>
                <w:color w:val="auto"/>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pPr>
              <w:pStyle w:val="22"/>
              <w:jc w:val="center"/>
              <w:rPr>
                <w:rFonts w:hAnsi="宋体"/>
                <w:color w:val="auto"/>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pPr>
              <w:pStyle w:val="22"/>
              <w:jc w:val="center"/>
              <w:rPr>
                <w:rFonts w:hAnsi="宋体"/>
                <w:color w:val="auto"/>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pPr>
              <w:pStyle w:val="22"/>
              <w:jc w:val="center"/>
              <w:rPr>
                <w:rFonts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22"/>
              <w:jc w:val="center"/>
              <w:rPr>
                <w:rFonts w:hAnsi="宋体"/>
                <w:color w:val="auto"/>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22"/>
              <w:jc w:val="center"/>
              <w:rPr>
                <w:rFonts w:hAnsi="宋体"/>
                <w:color w:val="auto"/>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pPr>
              <w:pStyle w:val="22"/>
              <w:jc w:val="center"/>
              <w:rPr>
                <w:rFonts w:hAnsi="宋体"/>
                <w:color w:val="auto"/>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pPr>
              <w:pStyle w:val="22"/>
              <w:jc w:val="center"/>
              <w:rPr>
                <w:rFonts w:hAnsi="宋体"/>
                <w:color w:val="auto"/>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pPr>
              <w:pStyle w:val="22"/>
              <w:jc w:val="center"/>
              <w:rPr>
                <w:rFonts w:hAnsi="宋体"/>
                <w:color w:val="auto"/>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pPr>
              <w:pStyle w:val="22"/>
              <w:jc w:val="center"/>
              <w:rPr>
                <w:rFonts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22"/>
              <w:jc w:val="center"/>
              <w:rPr>
                <w:rFonts w:hAnsi="宋体"/>
                <w:color w:val="auto"/>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22"/>
              <w:jc w:val="center"/>
              <w:rPr>
                <w:rFonts w:hAnsi="宋体"/>
                <w:color w:val="auto"/>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pPr>
              <w:pStyle w:val="22"/>
              <w:jc w:val="center"/>
              <w:rPr>
                <w:rFonts w:hAnsi="宋体"/>
                <w:color w:val="auto"/>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pPr>
              <w:pStyle w:val="22"/>
              <w:jc w:val="center"/>
              <w:rPr>
                <w:rFonts w:hAnsi="宋体"/>
                <w:color w:val="auto"/>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pPr>
              <w:pStyle w:val="22"/>
              <w:jc w:val="center"/>
              <w:rPr>
                <w:rFonts w:hAnsi="宋体"/>
                <w:color w:val="auto"/>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pPr>
              <w:pStyle w:val="22"/>
              <w:jc w:val="center"/>
              <w:rPr>
                <w:rFonts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22"/>
              <w:jc w:val="center"/>
              <w:rPr>
                <w:rFonts w:hAnsi="宋体"/>
                <w:color w:val="auto"/>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22"/>
              <w:jc w:val="center"/>
              <w:rPr>
                <w:rFonts w:hAnsi="宋体"/>
                <w:color w:val="auto"/>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pPr>
              <w:pStyle w:val="22"/>
              <w:jc w:val="center"/>
              <w:rPr>
                <w:rFonts w:hAnsi="宋体"/>
                <w:color w:val="auto"/>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pPr>
              <w:pStyle w:val="22"/>
              <w:jc w:val="center"/>
              <w:rPr>
                <w:rFonts w:hAnsi="宋体"/>
                <w:color w:val="auto"/>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pPr>
              <w:pStyle w:val="22"/>
              <w:jc w:val="center"/>
              <w:rPr>
                <w:rFonts w:hAnsi="宋体"/>
                <w:color w:val="auto"/>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pPr>
              <w:pStyle w:val="22"/>
              <w:jc w:val="center"/>
              <w:rPr>
                <w:rFonts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Cs w:val="21"/>
                <w:highlight w:val="none"/>
              </w:rPr>
            </w:pPr>
            <w:r>
              <w:rPr>
                <w:rFonts w:ascii="宋体" w:hAnsi="宋体"/>
                <w:color w:val="auto"/>
                <w:szCs w:val="21"/>
                <w:highlight w:val="none"/>
              </w:rPr>
              <w:t>…</w:t>
            </w: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22"/>
              <w:jc w:val="center"/>
              <w:rPr>
                <w:rFonts w:hAnsi="宋体"/>
                <w:color w:val="auto"/>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22"/>
              <w:jc w:val="center"/>
              <w:rPr>
                <w:rFonts w:hAnsi="宋体"/>
                <w:color w:val="auto"/>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pPr>
              <w:pStyle w:val="22"/>
              <w:jc w:val="center"/>
              <w:rPr>
                <w:rFonts w:hAnsi="宋体"/>
                <w:color w:val="auto"/>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pPr>
              <w:pStyle w:val="22"/>
              <w:jc w:val="center"/>
              <w:rPr>
                <w:rFonts w:hAnsi="宋体"/>
                <w:color w:val="auto"/>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pPr>
              <w:pStyle w:val="22"/>
              <w:jc w:val="center"/>
              <w:rPr>
                <w:rFonts w:hAnsi="宋体"/>
                <w:color w:val="auto"/>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pPr>
              <w:pStyle w:val="22"/>
              <w:jc w:val="center"/>
              <w:rPr>
                <w:rFonts w:hAnsi="宋体"/>
                <w:color w:val="auto"/>
                <w:szCs w:val="21"/>
                <w:highlight w:val="none"/>
              </w:rPr>
            </w:pPr>
          </w:p>
        </w:tc>
      </w:tr>
    </w:tbl>
    <w:p>
      <w:pPr>
        <w:jc w:val="left"/>
        <w:rPr>
          <w:rFonts w:hint="eastAsia" w:ascii="宋体" w:hAnsi="宋体"/>
          <w:color w:val="auto"/>
          <w:szCs w:val="21"/>
          <w:highlight w:val="none"/>
        </w:rPr>
      </w:pPr>
      <w:r>
        <w:rPr>
          <w:rFonts w:hint="eastAsia" w:ascii="宋体" w:hAnsi="宋体"/>
          <w:color w:val="auto"/>
          <w:szCs w:val="21"/>
          <w:highlight w:val="none"/>
        </w:rPr>
        <w:t>注：</w:t>
      </w:r>
    </w:p>
    <w:p>
      <w:pPr>
        <w:jc w:val="left"/>
        <w:rPr>
          <w:rFonts w:ascii="宋体" w:hAnsi="宋体"/>
          <w:color w:val="auto"/>
          <w:szCs w:val="21"/>
          <w:highlight w:val="none"/>
        </w:rPr>
      </w:pPr>
      <w:r>
        <w:rPr>
          <w:rFonts w:hint="eastAsia" w:ascii="宋体" w:hAnsi="宋体"/>
          <w:color w:val="auto"/>
          <w:szCs w:val="21"/>
          <w:highlight w:val="none"/>
        </w:rPr>
        <w:t>1、施工管理人员（包括但不限于：技术负责人、安全负责人、质量负责人、造价负责人等）。</w:t>
      </w:r>
    </w:p>
    <w:p>
      <w:pPr>
        <w:jc w:val="left"/>
        <w:rPr>
          <w:rFonts w:hint="eastAsia" w:ascii="宋体" w:hAnsi="宋体" w:eastAsia="宋体" w:cs="Times New Roman"/>
          <w:color w:val="auto"/>
          <w:szCs w:val="21"/>
          <w:highlight w:val="none"/>
        </w:rPr>
      </w:pPr>
      <w:r>
        <w:rPr>
          <w:rFonts w:hint="eastAsia" w:ascii="宋体" w:hAnsi="宋体"/>
          <w:color w:val="auto"/>
          <w:szCs w:val="21"/>
          <w:highlight w:val="none"/>
        </w:rPr>
        <w:t>2、须提供以下证明材料：①按上述要求提供人员的注册证书或职称证书等相关证书（包括身份证）的扫描件；②拟派本项目管理人员须提供在本单位投标截止日期前半年内连续3个月的社保证明</w:t>
      </w:r>
      <w:r>
        <w:rPr>
          <w:rFonts w:hint="eastAsia" w:ascii="宋体" w:hAnsi="宋体" w:eastAsia="宋体" w:cs="Times New Roman"/>
          <w:color w:val="auto"/>
          <w:szCs w:val="21"/>
          <w:highlight w:val="none"/>
        </w:rPr>
        <w:t>；</w:t>
      </w:r>
    </w:p>
    <w:p>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职称证书应以人社部门或者在人社部门核准备案的职称评审委员会或人社部门授权具备颁发资格的机构（或单位）颁发的为准。</w:t>
      </w:r>
    </w:p>
    <w:p>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br w:type="page"/>
      </w:r>
    </w:p>
    <w:p>
      <w:pPr>
        <w:pStyle w:val="4"/>
        <w:numPr>
          <w:ilvl w:val="0"/>
          <w:numId w:val="0"/>
        </w:numPr>
        <w:jc w:val="center"/>
        <w:rPr>
          <w:rFonts w:hint="default"/>
          <w:color w:val="auto"/>
          <w:highlight w:val="none"/>
          <w:lang w:val="en-US"/>
        </w:rPr>
      </w:pPr>
      <w:bookmarkStart w:id="2222" w:name="_Toc9533"/>
      <w:r>
        <w:rPr>
          <w:rFonts w:hint="eastAsia"/>
          <w:color w:val="auto"/>
          <w:highlight w:val="none"/>
          <w:lang w:val="en-US" w:eastAsia="zh-CN"/>
        </w:rPr>
        <w:t>十五、</w:t>
      </w:r>
      <w:bookmarkEnd w:id="2222"/>
      <w:r>
        <w:rPr>
          <w:rFonts w:hint="eastAsia"/>
          <w:color w:val="auto"/>
          <w:highlight w:val="none"/>
          <w:lang w:val="en-US" w:eastAsia="zh-CN"/>
        </w:rPr>
        <w:t>企业业绩</w:t>
      </w:r>
    </w:p>
    <w:p>
      <w:pPr>
        <w:rPr>
          <w:color w:val="auto"/>
          <w:highlight w:val="none"/>
          <w:lang w:val="zh-CN"/>
        </w:rPr>
      </w:pPr>
      <w:r>
        <w:rPr>
          <w:rFonts w:hint="eastAsia"/>
          <w:color w:val="auto"/>
          <w:highlight w:val="none"/>
          <w:lang w:val="zh-CN"/>
        </w:rPr>
        <w:t>附表 4、2020年至投标截止日前完成的同类(指房屋建筑或电力建筑工程等施工项目</w:t>
      </w:r>
      <w:r>
        <w:rPr>
          <w:rFonts w:hint="eastAsia" w:ascii="宋体" w:hAnsi="宋体" w:cs="宋体"/>
          <w:color w:val="auto"/>
          <w:spacing w:val="4"/>
          <w:sz w:val="21"/>
          <w:szCs w:val="21"/>
          <w:highlight w:val="none"/>
          <w:lang w:val="en-US" w:eastAsia="zh-CN"/>
        </w:rPr>
        <w:t>且</w:t>
      </w:r>
      <w:r>
        <w:rPr>
          <w:rFonts w:ascii="宋体" w:hAnsi="宋体" w:cs="宋体"/>
          <w:color w:val="auto"/>
          <w:kern w:val="0"/>
          <w:szCs w:val="21"/>
          <w:highlight w:val="none"/>
        </w:rPr>
        <w:t>合同造价为2000万元或以上</w:t>
      </w:r>
      <w:r>
        <w:rPr>
          <w:rFonts w:hint="eastAsia"/>
          <w:color w:val="auto"/>
          <w:highlight w:val="none"/>
          <w:lang w:val="zh-CN"/>
        </w:rPr>
        <w:t>，不含专业分包工程)项目汇总表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160"/>
        <w:gridCol w:w="1161"/>
        <w:gridCol w:w="1161"/>
        <w:gridCol w:w="1161"/>
        <w:gridCol w:w="1161"/>
        <w:gridCol w:w="116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160" w:type="dxa"/>
            <w:vAlign w:val="top"/>
          </w:tcPr>
          <w:p>
            <w:pPr>
              <w:spacing w:before="307" w:line="222" w:lineRule="auto"/>
              <w:ind w:left="165" w:leftChars="0"/>
              <w:rPr>
                <w:color w:val="auto"/>
                <w:highlight w:val="none"/>
                <w:vertAlign w:val="baseline"/>
                <w:lang w:val="zh-CN"/>
              </w:rPr>
            </w:pPr>
            <w:r>
              <w:rPr>
                <w:rFonts w:ascii="宋体" w:hAnsi="宋体" w:eastAsia="宋体" w:cs="宋体"/>
                <w:color w:val="auto"/>
                <w:spacing w:val="-2"/>
                <w:sz w:val="21"/>
                <w:szCs w:val="21"/>
                <w:highlight w:val="none"/>
              </w:rPr>
              <w:t>序</w:t>
            </w:r>
            <w:r>
              <w:rPr>
                <w:rFonts w:ascii="宋体" w:hAnsi="宋体" w:eastAsia="宋体" w:cs="宋体"/>
                <w:color w:val="auto"/>
                <w:spacing w:val="-1"/>
                <w:sz w:val="21"/>
                <w:szCs w:val="21"/>
                <w:highlight w:val="none"/>
              </w:rPr>
              <w:t>号</w:t>
            </w:r>
          </w:p>
        </w:tc>
        <w:tc>
          <w:tcPr>
            <w:tcW w:w="1160" w:type="dxa"/>
            <w:vAlign w:val="top"/>
          </w:tcPr>
          <w:p>
            <w:pPr>
              <w:spacing w:before="308" w:line="221" w:lineRule="auto"/>
              <w:rPr>
                <w:color w:val="auto"/>
                <w:highlight w:val="none"/>
                <w:vertAlign w:val="baseline"/>
                <w:lang w:val="zh-CN"/>
              </w:rPr>
            </w:pPr>
            <w:r>
              <w:rPr>
                <w:rFonts w:ascii="宋体" w:hAnsi="宋体" w:eastAsia="宋体" w:cs="宋体"/>
                <w:color w:val="auto"/>
                <w:spacing w:val="-3"/>
                <w:sz w:val="21"/>
                <w:szCs w:val="21"/>
                <w:highlight w:val="none"/>
              </w:rPr>
              <w:t>项</w:t>
            </w:r>
            <w:r>
              <w:rPr>
                <w:rFonts w:ascii="宋体" w:hAnsi="宋体" w:eastAsia="宋体" w:cs="宋体"/>
                <w:color w:val="auto"/>
                <w:spacing w:val="-2"/>
                <w:sz w:val="21"/>
                <w:szCs w:val="21"/>
                <w:highlight w:val="none"/>
              </w:rPr>
              <w:t>目名称</w:t>
            </w:r>
          </w:p>
        </w:tc>
        <w:tc>
          <w:tcPr>
            <w:tcW w:w="1161" w:type="dxa"/>
            <w:vAlign w:val="top"/>
          </w:tcPr>
          <w:p>
            <w:pPr>
              <w:spacing w:before="307" w:line="222" w:lineRule="auto"/>
              <w:rPr>
                <w:color w:val="auto"/>
                <w:highlight w:val="none"/>
                <w:vertAlign w:val="baseline"/>
                <w:lang w:val="zh-CN"/>
              </w:rPr>
            </w:pPr>
            <w:r>
              <w:rPr>
                <w:rFonts w:ascii="宋体" w:hAnsi="宋体" w:eastAsia="宋体" w:cs="宋体"/>
                <w:color w:val="auto"/>
                <w:spacing w:val="-2"/>
                <w:sz w:val="21"/>
                <w:szCs w:val="21"/>
                <w:highlight w:val="none"/>
              </w:rPr>
              <w:t>建设地点</w:t>
            </w:r>
          </w:p>
        </w:tc>
        <w:tc>
          <w:tcPr>
            <w:tcW w:w="1161" w:type="dxa"/>
            <w:vAlign w:val="top"/>
          </w:tcPr>
          <w:p>
            <w:pPr>
              <w:spacing w:before="308" w:line="221" w:lineRule="auto"/>
              <w:rPr>
                <w:color w:val="auto"/>
                <w:highlight w:val="none"/>
                <w:vertAlign w:val="baseline"/>
                <w:lang w:val="zh-CN"/>
              </w:rPr>
            </w:pPr>
            <w:r>
              <w:rPr>
                <w:rFonts w:ascii="宋体" w:hAnsi="宋体" w:eastAsia="宋体" w:cs="宋体"/>
                <w:color w:val="auto"/>
                <w:spacing w:val="-2"/>
                <w:sz w:val="21"/>
                <w:szCs w:val="21"/>
                <w:highlight w:val="none"/>
              </w:rPr>
              <w:t>建设单位</w:t>
            </w:r>
          </w:p>
        </w:tc>
        <w:tc>
          <w:tcPr>
            <w:tcW w:w="1161" w:type="dxa"/>
            <w:vAlign w:val="top"/>
          </w:tcPr>
          <w:p>
            <w:pPr>
              <w:spacing w:before="307" w:line="221" w:lineRule="auto"/>
              <w:rPr>
                <w:color w:val="auto"/>
                <w:highlight w:val="none"/>
                <w:vertAlign w:val="baseline"/>
                <w:lang w:val="zh-CN"/>
              </w:rPr>
            </w:pPr>
            <w:r>
              <w:rPr>
                <w:rFonts w:ascii="宋体" w:hAnsi="宋体" w:eastAsia="宋体" w:cs="宋体"/>
                <w:color w:val="auto"/>
                <w:spacing w:val="-2"/>
                <w:sz w:val="21"/>
                <w:szCs w:val="21"/>
                <w:highlight w:val="none"/>
              </w:rPr>
              <w:t>合同</w:t>
            </w:r>
            <w:r>
              <w:rPr>
                <w:rFonts w:ascii="宋体" w:hAnsi="宋体" w:eastAsia="宋体" w:cs="宋体"/>
                <w:color w:val="auto"/>
                <w:spacing w:val="-1"/>
                <w:sz w:val="21"/>
                <w:szCs w:val="21"/>
                <w:highlight w:val="none"/>
              </w:rPr>
              <w:t>金额</w:t>
            </w:r>
          </w:p>
        </w:tc>
        <w:tc>
          <w:tcPr>
            <w:tcW w:w="1161" w:type="dxa"/>
            <w:vAlign w:val="top"/>
          </w:tcPr>
          <w:p>
            <w:pPr>
              <w:spacing w:before="308" w:line="221" w:lineRule="auto"/>
              <w:rPr>
                <w:color w:val="auto"/>
                <w:highlight w:val="none"/>
                <w:vertAlign w:val="baseline"/>
                <w:lang w:val="zh-CN"/>
              </w:rPr>
            </w:pPr>
            <w:r>
              <w:rPr>
                <w:rFonts w:ascii="宋体" w:hAnsi="宋体" w:eastAsia="宋体" w:cs="宋体"/>
                <w:color w:val="auto"/>
                <w:spacing w:val="-2"/>
                <w:sz w:val="21"/>
                <w:szCs w:val="21"/>
                <w:highlight w:val="none"/>
              </w:rPr>
              <w:t>建筑面积</w:t>
            </w:r>
          </w:p>
        </w:tc>
        <w:tc>
          <w:tcPr>
            <w:tcW w:w="1161" w:type="dxa"/>
            <w:vAlign w:val="top"/>
          </w:tcPr>
          <w:p>
            <w:pPr>
              <w:spacing w:before="307" w:line="221" w:lineRule="auto"/>
              <w:rPr>
                <w:color w:val="auto"/>
                <w:highlight w:val="none"/>
                <w:vertAlign w:val="baseline"/>
                <w:lang w:val="zh-CN"/>
              </w:rPr>
            </w:pPr>
            <w:r>
              <w:rPr>
                <w:rFonts w:ascii="宋体" w:hAnsi="宋体" w:eastAsia="宋体" w:cs="宋体"/>
                <w:color w:val="auto"/>
                <w:spacing w:val="-2"/>
                <w:sz w:val="21"/>
                <w:szCs w:val="21"/>
                <w:highlight w:val="none"/>
              </w:rPr>
              <w:t>投产日期</w:t>
            </w:r>
          </w:p>
        </w:tc>
        <w:tc>
          <w:tcPr>
            <w:tcW w:w="1161" w:type="dxa"/>
            <w:vAlign w:val="top"/>
          </w:tcPr>
          <w:p>
            <w:pPr>
              <w:spacing w:before="35" w:line="249" w:lineRule="auto"/>
              <w:ind w:right="78" w:rightChars="0"/>
              <w:rPr>
                <w:color w:val="auto"/>
                <w:highlight w:val="none"/>
                <w:vertAlign w:val="baseline"/>
                <w:lang w:val="zh-CN"/>
              </w:rPr>
            </w:pPr>
            <w:r>
              <w:rPr>
                <w:rFonts w:ascii="宋体" w:hAnsi="宋体" w:eastAsia="宋体" w:cs="宋体"/>
                <w:color w:val="auto"/>
                <w:spacing w:val="-4"/>
                <w:sz w:val="21"/>
                <w:szCs w:val="21"/>
                <w:highlight w:val="none"/>
              </w:rPr>
              <w:t>项</w:t>
            </w:r>
            <w:r>
              <w:rPr>
                <w:rFonts w:ascii="宋体" w:hAnsi="宋体" w:eastAsia="宋体" w:cs="宋体"/>
                <w:color w:val="auto"/>
                <w:spacing w:val="-3"/>
                <w:sz w:val="21"/>
                <w:szCs w:val="21"/>
                <w:highlight w:val="none"/>
              </w:rPr>
              <w:t>目</w:t>
            </w:r>
            <w:r>
              <w:rPr>
                <w:rFonts w:ascii="宋体" w:hAnsi="宋体" w:eastAsia="宋体" w:cs="宋体"/>
                <w:color w:val="auto"/>
                <w:spacing w:val="-2"/>
                <w:sz w:val="21"/>
                <w:szCs w:val="21"/>
                <w:highlight w:val="none"/>
              </w:rPr>
              <w:t>经</w:t>
            </w:r>
            <w:r>
              <w:rPr>
                <w:rFonts w:ascii="宋体" w:hAnsi="宋体" w:eastAsia="宋体" w:cs="宋体"/>
                <w:color w:val="auto"/>
                <w:spacing w:val="4"/>
                <w:sz w:val="21"/>
                <w:szCs w:val="21"/>
                <w:highlight w:val="none"/>
              </w:rPr>
              <w:t>理(项</w:t>
            </w:r>
            <w:r>
              <w:rPr>
                <w:rFonts w:ascii="宋体" w:hAnsi="宋体" w:eastAsia="宋体" w:cs="宋体"/>
                <w:color w:val="auto"/>
                <w:spacing w:val="3"/>
                <w:sz w:val="21"/>
                <w:szCs w:val="21"/>
                <w:highlight w:val="none"/>
              </w:rPr>
              <w:t>目</w:t>
            </w:r>
            <w:r>
              <w:rPr>
                <w:rFonts w:ascii="宋体" w:hAnsi="宋体" w:eastAsia="宋体" w:cs="宋体"/>
                <w:color w:val="auto"/>
                <w:spacing w:val="-8"/>
                <w:sz w:val="21"/>
                <w:szCs w:val="21"/>
                <w:highlight w:val="none"/>
              </w:rPr>
              <w:t>负</w:t>
            </w:r>
            <w:r>
              <w:rPr>
                <w:rFonts w:ascii="宋体" w:hAnsi="宋体" w:eastAsia="宋体" w:cs="宋体"/>
                <w:color w:val="auto"/>
                <w:spacing w:val="-5"/>
                <w:sz w:val="21"/>
                <w:szCs w:val="21"/>
                <w:highlight w:val="none"/>
              </w:rPr>
              <w:t>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60" w:type="dxa"/>
          </w:tcPr>
          <w:p>
            <w:pPr>
              <w:rPr>
                <w:color w:val="auto"/>
                <w:highlight w:val="none"/>
                <w:vertAlign w:val="baseline"/>
                <w:lang w:val="zh-CN"/>
              </w:rPr>
            </w:pPr>
          </w:p>
        </w:tc>
        <w:tc>
          <w:tcPr>
            <w:tcW w:w="1160" w:type="dxa"/>
          </w:tcPr>
          <w:p>
            <w:pPr>
              <w:rPr>
                <w:color w:val="auto"/>
                <w:highlight w:val="none"/>
                <w:vertAlign w:val="baseline"/>
                <w:lang w:val="zh-CN"/>
              </w:rPr>
            </w:pPr>
          </w:p>
        </w:tc>
        <w:tc>
          <w:tcPr>
            <w:tcW w:w="1161" w:type="dxa"/>
          </w:tcPr>
          <w:p>
            <w:pPr>
              <w:rPr>
                <w:color w:val="auto"/>
                <w:highlight w:val="none"/>
                <w:vertAlign w:val="baseline"/>
                <w:lang w:val="zh-CN"/>
              </w:rPr>
            </w:pPr>
          </w:p>
        </w:tc>
        <w:tc>
          <w:tcPr>
            <w:tcW w:w="1161" w:type="dxa"/>
          </w:tcPr>
          <w:p>
            <w:pPr>
              <w:rPr>
                <w:color w:val="auto"/>
                <w:highlight w:val="none"/>
                <w:vertAlign w:val="baseline"/>
                <w:lang w:val="zh-CN"/>
              </w:rPr>
            </w:pPr>
          </w:p>
        </w:tc>
        <w:tc>
          <w:tcPr>
            <w:tcW w:w="1161" w:type="dxa"/>
          </w:tcPr>
          <w:p>
            <w:pPr>
              <w:rPr>
                <w:color w:val="auto"/>
                <w:highlight w:val="none"/>
                <w:vertAlign w:val="baseline"/>
                <w:lang w:val="zh-CN"/>
              </w:rPr>
            </w:pPr>
          </w:p>
        </w:tc>
        <w:tc>
          <w:tcPr>
            <w:tcW w:w="1161" w:type="dxa"/>
          </w:tcPr>
          <w:p>
            <w:pPr>
              <w:rPr>
                <w:color w:val="auto"/>
                <w:highlight w:val="none"/>
                <w:vertAlign w:val="baseline"/>
                <w:lang w:val="zh-CN"/>
              </w:rPr>
            </w:pPr>
          </w:p>
        </w:tc>
        <w:tc>
          <w:tcPr>
            <w:tcW w:w="1161" w:type="dxa"/>
          </w:tcPr>
          <w:p>
            <w:pPr>
              <w:rPr>
                <w:color w:val="auto"/>
                <w:highlight w:val="none"/>
                <w:vertAlign w:val="baseline"/>
                <w:lang w:val="zh-CN"/>
              </w:rPr>
            </w:pPr>
          </w:p>
        </w:tc>
        <w:tc>
          <w:tcPr>
            <w:tcW w:w="1161" w:type="dxa"/>
          </w:tcPr>
          <w:p>
            <w:pPr>
              <w:rPr>
                <w:color w:val="auto"/>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60" w:type="dxa"/>
          </w:tcPr>
          <w:p>
            <w:pPr>
              <w:rPr>
                <w:color w:val="auto"/>
                <w:highlight w:val="none"/>
                <w:vertAlign w:val="baseline"/>
                <w:lang w:val="zh-CN"/>
              </w:rPr>
            </w:pPr>
          </w:p>
        </w:tc>
        <w:tc>
          <w:tcPr>
            <w:tcW w:w="1160" w:type="dxa"/>
          </w:tcPr>
          <w:p>
            <w:pPr>
              <w:rPr>
                <w:color w:val="auto"/>
                <w:highlight w:val="none"/>
                <w:vertAlign w:val="baseline"/>
                <w:lang w:val="zh-CN"/>
              </w:rPr>
            </w:pPr>
          </w:p>
        </w:tc>
        <w:tc>
          <w:tcPr>
            <w:tcW w:w="1161" w:type="dxa"/>
          </w:tcPr>
          <w:p>
            <w:pPr>
              <w:rPr>
                <w:color w:val="auto"/>
                <w:highlight w:val="none"/>
                <w:vertAlign w:val="baseline"/>
                <w:lang w:val="zh-CN"/>
              </w:rPr>
            </w:pPr>
          </w:p>
        </w:tc>
        <w:tc>
          <w:tcPr>
            <w:tcW w:w="1161" w:type="dxa"/>
          </w:tcPr>
          <w:p>
            <w:pPr>
              <w:rPr>
                <w:color w:val="auto"/>
                <w:highlight w:val="none"/>
                <w:vertAlign w:val="baseline"/>
                <w:lang w:val="zh-CN"/>
              </w:rPr>
            </w:pPr>
          </w:p>
        </w:tc>
        <w:tc>
          <w:tcPr>
            <w:tcW w:w="1161" w:type="dxa"/>
          </w:tcPr>
          <w:p>
            <w:pPr>
              <w:rPr>
                <w:color w:val="auto"/>
                <w:highlight w:val="none"/>
                <w:vertAlign w:val="baseline"/>
                <w:lang w:val="zh-CN"/>
              </w:rPr>
            </w:pPr>
          </w:p>
        </w:tc>
        <w:tc>
          <w:tcPr>
            <w:tcW w:w="1161" w:type="dxa"/>
          </w:tcPr>
          <w:p>
            <w:pPr>
              <w:rPr>
                <w:color w:val="auto"/>
                <w:highlight w:val="none"/>
                <w:vertAlign w:val="baseline"/>
                <w:lang w:val="zh-CN"/>
              </w:rPr>
            </w:pPr>
          </w:p>
        </w:tc>
        <w:tc>
          <w:tcPr>
            <w:tcW w:w="1161" w:type="dxa"/>
          </w:tcPr>
          <w:p>
            <w:pPr>
              <w:rPr>
                <w:color w:val="auto"/>
                <w:highlight w:val="none"/>
                <w:vertAlign w:val="baseline"/>
                <w:lang w:val="zh-CN"/>
              </w:rPr>
            </w:pPr>
          </w:p>
        </w:tc>
        <w:tc>
          <w:tcPr>
            <w:tcW w:w="1161" w:type="dxa"/>
          </w:tcPr>
          <w:p>
            <w:pPr>
              <w:rPr>
                <w:color w:val="auto"/>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60" w:type="dxa"/>
          </w:tcPr>
          <w:p>
            <w:pPr>
              <w:rPr>
                <w:color w:val="auto"/>
                <w:highlight w:val="none"/>
                <w:vertAlign w:val="baseline"/>
                <w:lang w:val="zh-CN"/>
              </w:rPr>
            </w:pPr>
          </w:p>
        </w:tc>
        <w:tc>
          <w:tcPr>
            <w:tcW w:w="1160" w:type="dxa"/>
          </w:tcPr>
          <w:p>
            <w:pPr>
              <w:rPr>
                <w:color w:val="auto"/>
                <w:highlight w:val="none"/>
                <w:vertAlign w:val="baseline"/>
                <w:lang w:val="zh-CN"/>
              </w:rPr>
            </w:pPr>
          </w:p>
        </w:tc>
        <w:tc>
          <w:tcPr>
            <w:tcW w:w="1161" w:type="dxa"/>
          </w:tcPr>
          <w:p>
            <w:pPr>
              <w:rPr>
                <w:color w:val="auto"/>
                <w:highlight w:val="none"/>
                <w:vertAlign w:val="baseline"/>
                <w:lang w:val="zh-CN"/>
              </w:rPr>
            </w:pPr>
          </w:p>
        </w:tc>
        <w:tc>
          <w:tcPr>
            <w:tcW w:w="1161" w:type="dxa"/>
          </w:tcPr>
          <w:p>
            <w:pPr>
              <w:rPr>
                <w:color w:val="auto"/>
                <w:highlight w:val="none"/>
                <w:vertAlign w:val="baseline"/>
                <w:lang w:val="zh-CN"/>
              </w:rPr>
            </w:pPr>
          </w:p>
        </w:tc>
        <w:tc>
          <w:tcPr>
            <w:tcW w:w="1161" w:type="dxa"/>
          </w:tcPr>
          <w:p>
            <w:pPr>
              <w:rPr>
                <w:color w:val="auto"/>
                <w:highlight w:val="none"/>
                <w:vertAlign w:val="baseline"/>
                <w:lang w:val="zh-CN"/>
              </w:rPr>
            </w:pPr>
          </w:p>
        </w:tc>
        <w:tc>
          <w:tcPr>
            <w:tcW w:w="1161" w:type="dxa"/>
          </w:tcPr>
          <w:p>
            <w:pPr>
              <w:rPr>
                <w:color w:val="auto"/>
                <w:highlight w:val="none"/>
                <w:vertAlign w:val="baseline"/>
                <w:lang w:val="zh-CN"/>
              </w:rPr>
            </w:pPr>
          </w:p>
        </w:tc>
        <w:tc>
          <w:tcPr>
            <w:tcW w:w="1161" w:type="dxa"/>
          </w:tcPr>
          <w:p>
            <w:pPr>
              <w:rPr>
                <w:color w:val="auto"/>
                <w:highlight w:val="none"/>
                <w:vertAlign w:val="baseline"/>
                <w:lang w:val="zh-CN"/>
              </w:rPr>
            </w:pPr>
          </w:p>
        </w:tc>
        <w:tc>
          <w:tcPr>
            <w:tcW w:w="1161" w:type="dxa"/>
          </w:tcPr>
          <w:p>
            <w:pPr>
              <w:rPr>
                <w:color w:val="auto"/>
                <w:highlight w:val="none"/>
                <w:vertAlign w:val="baseline"/>
                <w:lang w:val="zh-CN"/>
              </w:rPr>
            </w:pPr>
          </w:p>
        </w:tc>
      </w:tr>
    </w:tbl>
    <w:p>
      <w:pPr>
        <w:rPr>
          <w:color w:val="auto"/>
          <w:highlight w:val="none"/>
          <w:lang w:val="zh-CN"/>
        </w:rPr>
      </w:pPr>
    </w:p>
    <w:p>
      <w:pPr>
        <w:rPr>
          <w:rFonts w:hint="eastAsia"/>
          <w:color w:val="auto"/>
          <w:highlight w:val="none"/>
          <w:lang w:val="zh-CN"/>
        </w:rPr>
      </w:pPr>
      <w:r>
        <w:rPr>
          <w:rFonts w:hint="eastAsia"/>
          <w:color w:val="auto"/>
          <w:highlight w:val="none"/>
          <w:lang w:val="zh-CN"/>
        </w:rPr>
        <w:t>附表 5、2020年至投标截止日前完成的同类(指房屋建筑或电力建筑工程等施工项目</w:t>
      </w:r>
      <w:r>
        <w:rPr>
          <w:rFonts w:hint="eastAsia" w:ascii="宋体" w:hAnsi="宋体" w:cs="宋体"/>
          <w:color w:val="auto"/>
          <w:spacing w:val="4"/>
          <w:sz w:val="21"/>
          <w:szCs w:val="21"/>
          <w:highlight w:val="none"/>
          <w:lang w:val="en-US" w:eastAsia="zh-CN"/>
        </w:rPr>
        <w:t>且</w:t>
      </w:r>
      <w:r>
        <w:rPr>
          <w:rFonts w:ascii="宋体" w:hAnsi="宋体" w:cs="宋体"/>
          <w:color w:val="auto"/>
          <w:kern w:val="0"/>
          <w:szCs w:val="21"/>
          <w:highlight w:val="none"/>
        </w:rPr>
        <w:t>合同造价为2000万元或以上</w:t>
      </w:r>
      <w:r>
        <w:rPr>
          <w:rFonts w:hint="eastAsia"/>
          <w:color w:val="auto"/>
          <w:highlight w:val="none"/>
          <w:lang w:val="zh-CN"/>
        </w:rPr>
        <w:t>，不含专业分包工程)工程情况表</w:t>
      </w:r>
    </w:p>
    <w:p>
      <w:pPr>
        <w:pStyle w:val="16"/>
        <w:rPr>
          <w:rFonts w:hint="default" w:eastAsia="宋体"/>
          <w:color w:val="auto"/>
          <w:highlight w:val="none"/>
          <w:lang w:val="en-US" w:eastAsia="zh-CN"/>
        </w:rPr>
      </w:pPr>
      <w:r>
        <w:rPr>
          <w:rFonts w:hint="eastAsia"/>
          <w:color w:val="auto"/>
          <w:highlight w:val="none"/>
          <w:lang w:val="en-US" w:eastAsia="zh-CN"/>
        </w:rPr>
        <w:t>项目序号：</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8"/>
        <w:gridCol w:w="7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vAlign w:val="top"/>
          </w:tcPr>
          <w:p>
            <w:pPr>
              <w:spacing w:before="68" w:line="221" w:lineRule="auto"/>
              <w:ind w:left="119" w:leftChars="0"/>
              <w:rPr>
                <w:color w:val="auto"/>
                <w:highlight w:val="none"/>
                <w:vertAlign w:val="baseline"/>
                <w:lang w:val="zh-CN"/>
              </w:rPr>
            </w:pPr>
            <w:r>
              <w:rPr>
                <w:rFonts w:ascii="宋体" w:hAnsi="宋体" w:eastAsia="宋体" w:cs="宋体"/>
                <w:color w:val="auto"/>
                <w:spacing w:val="-3"/>
                <w:sz w:val="21"/>
                <w:szCs w:val="21"/>
                <w:highlight w:val="none"/>
              </w:rPr>
              <w:t>项</w:t>
            </w:r>
            <w:r>
              <w:rPr>
                <w:rFonts w:ascii="宋体" w:hAnsi="宋体" w:eastAsia="宋体" w:cs="宋体"/>
                <w:color w:val="auto"/>
                <w:spacing w:val="-2"/>
                <w:sz w:val="21"/>
                <w:szCs w:val="21"/>
                <w:highlight w:val="none"/>
              </w:rPr>
              <w:t>目名称</w:t>
            </w:r>
          </w:p>
        </w:tc>
        <w:tc>
          <w:tcPr>
            <w:tcW w:w="7458" w:type="dxa"/>
          </w:tcPr>
          <w:p>
            <w:pPr>
              <w:pStyle w:val="16"/>
              <w:rPr>
                <w:color w:val="auto"/>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8" w:type="dxa"/>
            <w:vAlign w:val="top"/>
          </w:tcPr>
          <w:p>
            <w:pPr>
              <w:spacing w:before="64" w:line="221" w:lineRule="auto"/>
              <w:ind w:left="119" w:leftChars="0"/>
              <w:rPr>
                <w:color w:val="auto"/>
                <w:highlight w:val="none"/>
                <w:vertAlign w:val="baseline"/>
                <w:lang w:val="zh-CN"/>
              </w:rPr>
            </w:pPr>
            <w:r>
              <w:rPr>
                <w:rFonts w:ascii="宋体" w:hAnsi="宋体" w:eastAsia="宋体" w:cs="宋体"/>
                <w:color w:val="auto"/>
                <w:spacing w:val="-2"/>
                <w:sz w:val="21"/>
                <w:szCs w:val="21"/>
                <w:highlight w:val="none"/>
              </w:rPr>
              <w:t>项目所</w:t>
            </w:r>
            <w:r>
              <w:rPr>
                <w:rFonts w:ascii="宋体" w:hAnsi="宋体" w:eastAsia="宋体" w:cs="宋体"/>
                <w:color w:val="auto"/>
                <w:spacing w:val="-1"/>
                <w:sz w:val="21"/>
                <w:szCs w:val="21"/>
                <w:highlight w:val="none"/>
              </w:rPr>
              <w:t>在地</w:t>
            </w:r>
          </w:p>
        </w:tc>
        <w:tc>
          <w:tcPr>
            <w:tcW w:w="7458" w:type="dxa"/>
          </w:tcPr>
          <w:p>
            <w:pPr>
              <w:pStyle w:val="16"/>
              <w:rPr>
                <w:color w:val="auto"/>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vAlign w:val="top"/>
          </w:tcPr>
          <w:p>
            <w:pPr>
              <w:spacing w:before="64" w:line="221" w:lineRule="auto"/>
              <w:ind w:left="119" w:leftChars="0"/>
              <w:rPr>
                <w:color w:val="auto"/>
                <w:highlight w:val="none"/>
                <w:vertAlign w:val="baseline"/>
                <w:lang w:val="zh-CN"/>
              </w:rPr>
            </w:pPr>
            <w:r>
              <w:rPr>
                <w:rFonts w:ascii="宋体" w:hAnsi="宋体" w:eastAsia="宋体" w:cs="宋体"/>
                <w:color w:val="auto"/>
                <w:spacing w:val="-2"/>
                <w:sz w:val="21"/>
                <w:szCs w:val="21"/>
                <w:highlight w:val="none"/>
              </w:rPr>
              <w:t>发包人</w:t>
            </w:r>
            <w:r>
              <w:rPr>
                <w:rFonts w:ascii="宋体" w:hAnsi="宋体" w:eastAsia="宋体" w:cs="宋体"/>
                <w:color w:val="auto"/>
                <w:spacing w:val="-1"/>
                <w:sz w:val="21"/>
                <w:szCs w:val="21"/>
                <w:highlight w:val="none"/>
              </w:rPr>
              <w:t>名称</w:t>
            </w:r>
          </w:p>
        </w:tc>
        <w:tc>
          <w:tcPr>
            <w:tcW w:w="7458" w:type="dxa"/>
          </w:tcPr>
          <w:p>
            <w:pPr>
              <w:pStyle w:val="16"/>
              <w:rPr>
                <w:color w:val="auto"/>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8" w:type="dxa"/>
            <w:vAlign w:val="top"/>
          </w:tcPr>
          <w:p>
            <w:pPr>
              <w:spacing w:before="64" w:line="221" w:lineRule="auto"/>
              <w:ind w:left="119" w:leftChars="0"/>
              <w:rPr>
                <w:color w:val="auto"/>
                <w:highlight w:val="none"/>
                <w:vertAlign w:val="baseline"/>
                <w:lang w:val="zh-CN"/>
              </w:rPr>
            </w:pPr>
            <w:r>
              <w:rPr>
                <w:rFonts w:ascii="宋体" w:hAnsi="宋体" w:eastAsia="宋体" w:cs="宋体"/>
                <w:color w:val="auto"/>
                <w:spacing w:val="-2"/>
                <w:sz w:val="21"/>
                <w:szCs w:val="21"/>
                <w:highlight w:val="none"/>
              </w:rPr>
              <w:t>发包人</w:t>
            </w:r>
            <w:r>
              <w:rPr>
                <w:rFonts w:ascii="宋体" w:hAnsi="宋体" w:eastAsia="宋体" w:cs="宋体"/>
                <w:color w:val="auto"/>
                <w:spacing w:val="-1"/>
                <w:sz w:val="21"/>
                <w:szCs w:val="21"/>
                <w:highlight w:val="none"/>
              </w:rPr>
              <w:t>地址</w:t>
            </w:r>
          </w:p>
        </w:tc>
        <w:tc>
          <w:tcPr>
            <w:tcW w:w="7458" w:type="dxa"/>
          </w:tcPr>
          <w:p>
            <w:pPr>
              <w:pStyle w:val="16"/>
              <w:rPr>
                <w:color w:val="auto"/>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8" w:type="dxa"/>
            <w:vAlign w:val="top"/>
          </w:tcPr>
          <w:p>
            <w:pPr>
              <w:spacing w:before="67" w:line="221" w:lineRule="auto"/>
              <w:ind w:left="119" w:leftChars="0"/>
              <w:rPr>
                <w:color w:val="auto"/>
                <w:highlight w:val="none"/>
                <w:vertAlign w:val="baseline"/>
                <w:lang w:val="zh-CN"/>
              </w:rPr>
            </w:pPr>
            <w:r>
              <w:rPr>
                <w:rFonts w:ascii="宋体" w:hAnsi="宋体" w:eastAsia="宋体" w:cs="宋体"/>
                <w:color w:val="auto"/>
                <w:spacing w:val="-2"/>
                <w:sz w:val="21"/>
                <w:szCs w:val="21"/>
                <w:highlight w:val="none"/>
              </w:rPr>
              <w:t>发包人</w:t>
            </w:r>
            <w:r>
              <w:rPr>
                <w:rFonts w:ascii="宋体" w:hAnsi="宋体" w:eastAsia="宋体" w:cs="宋体"/>
                <w:color w:val="auto"/>
                <w:spacing w:val="-1"/>
                <w:sz w:val="21"/>
                <w:szCs w:val="21"/>
                <w:highlight w:val="none"/>
              </w:rPr>
              <w:t>电话</w:t>
            </w:r>
          </w:p>
        </w:tc>
        <w:tc>
          <w:tcPr>
            <w:tcW w:w="7458" w:type="dxa"/>
          </w:tcPr>
          <w:p>
            <w:pPr>
              <w:pStyle w:val="16"/>
              <w:rPr>
                <w:color w:val="auto"/>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vAlign w:val="top"/>
          </w:tcPr>
          <w:p>
            <w:pPr>
              <w:spacing w:before="67" w:line="219" w:lineRule="auto"/>
              <w:ind w:left="116" w:leftChars="0"/>
              <w:rPr>
                <w:color w:val="auto"/>
                <w:highlight w:val="none"/>
                <w:vertAlign w:val="baseline"/>
                <w:lang w:val="zh-CN"/>
              </w:rPr>
            </w:pPr>
            <w:r>
              <w:rPr>
                <w:rFonts w:ascii="宋体" w:hAnsi="宋体" w:eastAsia="宋体" w:cs="宋体"/>
                <w:color w:val="auto"/>
                <w:spacing w:val="-2"/>
                <w:sz w:val="21"/>
                <w:szCs w:val="21"/>
                <w:highlight w:val="none"/>
              </w:rPr>
              <w:t>合同</w:t>
            </w:r>
            <w:r>
              <w:rPr>
                <w:rFonts w:ascii="宋体" w:hAnsi="宋体" w:eastAsia="宋体" w:cs="宋体"/>
                <w:color w:val="auto"/>
                <w:spacing w:val="-1"/>
                <w:sz w:val="21"/>
                <w:szCs w:val="21"/>
                <w:highlight w:val="none"/>
              </w:rPr>
              <w:t>价格</w:t>
            </w:r>
          </w:p>
        </w:tc>
        <w:tc>
          <w:tcPr>
            <w:tcW w:w="7458" w:type="dxa"/>
          </w:tcPr>
          <w:p>
            <w:pPr>
              <w:pStyle w:val="16"/>
              <w:rPr>
                <w:color w:val="auto"/>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vAlign w:val="top"/>
          </w:tcPr>
          <w:p>
            <w:pPr>
              <w:spacing w:before="65" w:line="221" w:lineRule="auto"/>
              <w:ind w:left="116" w:leftChars="0"/>
              <w:rPr>
                <w:color w:val="auto"/>
                <w:highlight w:val="none"/>
                <w:vertAlign w:val="baseline"/>
                <w:lang w:val="zh-CN"/>
              </w:rPr>
            </w:pPr>
            <w:r>
              <w:rPr>
                <w:rFonts w:ascii="宋体" w:hAnsi="宋体" w:eastAsia="宋体" w:cs="宋体"/>
                <w:color w:val="auto"/>
                <w:spacing w:val="-2"/>
                <w:sz w:val="21"/>
                <w:szCs w:val="21"/>
                <w:highlight w:val="none"/>
              </w:rPr>
              <w:t>开工</w:t>
            </w:r>
            <w:r>
              <w:rPr>
                <w:rFonts w:ascii="宋体" w:hAnsi="宋体" w:eastAsia="宋体" w:cs="宋体"/>
                <w:color w:val="auto"/>
                <w:spacing w:val="-1"/>
                <w:sz w:val="21"/>
                <w:szCs w:val="21"/>
                <w:highlight w:val="none"/>
              </w:rPr>
              <w:t>日期</w:t>
            </w:r>
          </w:p>
        </w:tc>
        <w:tc>
          <w:tcPr>
            <w:tcW w:w="7458" w:type="dxa"/>
          </w:tcPr>
          <w:p>
            <w:pPr>
              <w:pStyle w:val="16"/>
              <w:rPr>
                <w:color w:val="auto"/>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8" w:type="dxa"/>
            <w:vAlign w:val="top"/>
          </w:tcPr>
          <w:p>
            <w:pPr>
              <w:spacing w:before="65" w:line="221" w:lineRule="auto"/>
              <w:ind w:left="116" w:leftChars="0"/>
              <w:rPr>
                <w:color w:val="auto"/>
                <w:highlight w:val="none"/>
                <w:vertAlign w:val="baseline"/>
                <w:lang w:val="zh-CN"/>
              </w:rPr>
            </w:pPr>
            <w:r>
              <w:rPr>
                <w:rFonts w:ascii="宋体" w:hAnsi="宋体" w:eastAsia="宋体" w:cs="宋体"/>
                <w:color w:val="auto"/>
                <w:spacing w:val="-2"/>
                <w:sz w:val="21"/>
                <w:szCs w:val="21"/>
                <w:highlight w:val="none"/>
              </w:rPr>
              <w:t>竣工</w:t>
            </w:r>
            <w:r>
              <w:rPr>
                <w:rFonts w:ascii="宋体" w:hAnsi="宋体" w:eastAsia="宋体" w:cs="宋体"/>
                <w:color w:val="auto"/>
                <w:spacing w:val="-1"/>
                <w:sz w:val="21"/>
                <w:szCs w:val="21"/>
                <w:highlight w:val="none"/>
              </w:rPr>
              <w:t>日期</w:t>
            </w:r>
          </w:p>
        </w:tc>
        <w:tc>
          <w:tcPr>
            <w:tcW w:w="7458" w:type="dxa"/>
          </w:tcPr>
          <w:p>
            <w:pPr>
              <w:pStyle w:val="16"/>
              <w:rPr>
                <w:color w:val="auto"/>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8" w:type="dxa"/>
            <w:vAlign w:val="top"/>
          </w:tcPr>
          <w:p>
            <w:pPr>
              <w:spacing w:before="65" w:line="221" w:lineRule="auto"/>
              <w:ind w:left="116" w:leftChars="0"/>
              <w:rPr>
                <w:color w:val="auto"/>
                <w:highlight w:val="none"/>
                <w:vertAlign w:val="baseline"/>
                <w:lang w:val="zh-CN"/>
              </w:rPr>
            </w:pPr>
            <w:r>
              <w:rPr>
                <w:rFonts w:ascii="宋体" w:hAnsi="宋体" w:eastAsia="宋体" w:cs="宋体"/>
                <w:color w:val="auto"/>
                <w:spacing w:val="-1"/>
                <w:sz w:val="21"/>
                <w:szCs w:val="21"/>
                <w:highlight w:val="none"/>
              </w:rPr>
              <w:t>承担的工作</w:t>
            </w:r>
          </w:p>
        </w:tc>
        <w:tc>
          <w:tcPr>
            <w:tcW w:w="7458" w:type="dxa"/>
          </w:tcPr>
          <w:p>
            <w:pPr>
              <w:pStyle w:val="16"/>
              <w:rPr>
                <w:color w:val="auto"/>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vAlign w:val="top"/>
          </w:tcPr>
          <w:p>
            <w:pPr>
              <w:spacing w:before="66" w:line="221" w:lineRule="auto"/>
              <w:ind w:left="118" w:leftChars="0"/>
              <w:rPr>
                <w:color w:val="auto"/>
                <w:highlight w:val="none"/>
                <w:vertAlign w:val="baseline"/>
                <w:lang w:val="zh-CN"/>
              </w:rPr>
            </w:pPr>
            <w:r>
              <w:rPr>
                <w:rFonts w:ascii="宋体" w:hAnsi="宋体" w:eastAsia="宋体" w:cs="宋体"/>
                <w:color w:val="auto"/>
                <w:spacing w:val="-2"/>
                <w:sz w:val="21"/>
                <w:szCs w:val="21"/>
                <w:highlight w:val="none"/>
              </w:rPr>
              <w:t>工程质量</w:t>
            </w:r>
          </w:p>
        </w:tc>
        <w:tc>
          <w:tcPr>
            <w:tcW w:w="7458" w:type="dxa"/>
          </w:tcPr>
          <w:p>
            <w:pPr>
              <w:pStyle w:val="16"/>
              <w:rPr>
                <w:color w:val="auto"/>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8" w:type="dxa"/>
            <w:vAlign w:val="top"/>
          </w:tcPr>
          <w:p>
            <w:pPr>
              <w:spacing w:before="68" w:line="221" w:lineRule="auto"/>
              <w:ind w:left="119" w:leftChars="0"/>
              <w:rPr>
                <w:color w:val="auto"/>
                <w:highlight w:val="none"/>
                <w:vertAlign w:val="baseline"/>
                <w:lang w:val="zh-CN"/>
              </w:rPr>
            </w:pPr>
            <w:r>
              <w:rPr>
                <w:rFonts w:ascii="宋体" w:hAnsi="宋体" w:eastAsia="宋体" w:cs="宋体"/>
                <w:color w:val="auto"/>
                <w:spacing w:val="8"/>
                <w:sz w:val="21"/>
                <w:szCs w:val="21"/>
                <w:highlight w:val="none"/>
              </w:rPr>
              <w:t>项目经理(项目负责人</w:t>
            </w:r>
            <w:r>
              <w:rPr>
                <w:rFonts w:ascii="宋体" w:hAnsi="宋体" w:eastAsia="宋体" w:cs="宋体"/>
                <w:color w:val="auto"/>
                <w:spacing w:val="7"/>
                <w:sz w:val="21"/>
                <w:szCs w:val="21"/>
                <w:highlight w:val="none"/>
              </w:rPr>
              <w:t>)</w:t>
            </w:r>
          </w:p>
        </w:tc>
        <w:tc>
          <w:tcPr>
            <w:tcW w:w="7458" w:type="dxa"/>
          </w:tcPr>
          <w:p>
            <w:pPr>
              <w:pStyle w:val="16"/>
              <w:rPr>
                <w:color w:val="auto"/>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vAlign w:val="top"/>
          </w:tcPr>
          <w:p>
            <w:pPr>
              <w:spacing w:before="69" w:line="221" w:lineRule="auto"/>
              <w:ind w:left="116" w:leftChars="0"/>
              <w:rPr>
                <w:color w:val="auto"/>
                <w:highlight w:val="none"/>
                <w:vertAlign w:val="baseline"/>
                <w:lang w:val="zh-CN"/>
              </w:rPr>
            </w:pPr>
            <w:r>
              <w:rPr>
                <w:rFonts w:ascii="宋体" w:hAnsi="宋体" w:eastAsia="宋体" w:cs="宋体"/>
                <w:color w:val="auto"/>
                <w:spacing w:val="-2"/>
                <w:sz w:val="21"/>
                <w:szCs w:val="21"/>
                <w:highlight w:val="none"/>
              </w:rPr>
              <w:t>技</w:t>
            </w:r>
            <w:r>
              <w:rPr>
                <w:rFonts w:ascii="宋体" w:hAnsi="宋体" w:eastAsia="宋体" w:cs="宋体"/>
                <w:color w:val="auto"/>
                <w:spacing w:val="-1"/>
                <w:sz w:val="21"/>
                <w:szCs w:val="21"/>
                <w:highlight w:val="none"/>
              </w:rPr>
              <w:t>术负责人</w:t>
            </w:r>
          </w:p>
        </w:tc>
        <w:tc>
          <w:tcPr>
            <w:tcW w:w="7458" w:type="dxa"/>
          </w:tcPr>
          <w:p>
            <w:pPr>
              <w:pStyle w:val="16"/>
              <w:rPr>
                <w:color w:val="auto"/>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vAlign w:val="top"/>
          </w:tcPr>
          <w:p>
            <w:pPr>
              <w:spacing w:before="67" w:line="221" w:lineRule="auto"/>
              <w:ind w:left="118" w:leftChars="0"/>
              <w:rPr>
                <w:color w:val="auto"/>
                <w:highlight w:val="none"/>
                <w:vertAlign w:val="baseline"/>
                <w:lang w:val="zh-CN"/>
              </w:rPr>
            </w:pPr>
            <w:r>
              <w:rPr>
                <w:rFonts w:ascii="宋体" w:hAnsi="宋体" w:eastAsia="宋体" w:cs="宋体"/>
                <w:color w:val="auto"/>
                <w:spacing w:val="-1"/>
                <w:sz w:val="21"/>
                <w:szCs w:val="21"/>
                <w:highlight w:val="none"/>
              </w:rPr>
              <w:t>总监理工程师及</w:t>
            </w:r>
            <w:r>
              <w:rPr>
                <w:rFonts w:ascii="宋体" w:hAnsi="宋体" w:eastAsia="宋体" w:cs="宋体"/>
                <w:color w:val="auto"/>
                <w:sz w:val="21"/>
                <w:szCs w:val="21"/>
                <w:highlight w:val="none"/>
              </w:rPr>
              <w:t>电话</w:t>
            </w:r>
          </w:p>
        </w:tc>
        <w:tc>
          <w:tcPr>
            <w:tcW w:w="7458" w:type="dxa"/>
          </w:tcPr>
          <w:p>
            <w:pPr>
              <w:pStyle w:val="16"/>
              <w:rPr>
                <w:color w:val="auto"/>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vAlign w:val="top"/>
          </w:tcPr>
          <w:p>
            <w:pPr>
              <w:spacing w:before="68" w:line="221" w:lineRule="auto"/>
              <w:ind w:left="119" w:leftChars="0"/>
              <w:rPr>
                <w:color w:val="auto"/>
                <w:highlight w:val="none"/>
                <w:vertAlign w:val="baseline"/>
                <w:lang w:val="zh-CN"/>
              </w:rPr>
            </w:pPr>
            <w:r>
              <w:rPr>
                <w:rFonts w:ascii="宋体" w:hAnsi="宋体" w:eastAsia="宋体" w:cs="宋体"/>
                <w:color w:val="auto"/>
                <w:spacing w:val="-3"/>
                <w:sz w:val="21"/>
                <w:szCs w:val="21"/>
                <w:highlight w:val="none"/>
              </w:rPr>
              <w:t>项</w:t>
            </w:r>
            <w:r>
              <w:rPr>
                <w:rFonts w:ascii="宋体" w:hAnsi="宋体" w:eastAsia="宋体" w:cs="宋体"/>
                <w:color w:val="auto"/>
                <w:spacing w:val="-2"/>
                <w:sz w:val="21"/>
                <w:szCs w:val="21"/>
                <w:highlight w:val="none"/>
              </w:rPr>
              <w:t>目描述</w:t>
            </w:r>
          </w:p>
        </w:tc>
        <w:tc>
          <w:tcPr>
            <w:tcW w:w="7458" w:type="dxa"/>
          </w:tcPr>
          <w:p>
            <w:pPr>
              <w:pStyle w:val="16"/>
              <w:rPr>
                <w:color w:val="auto"/>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8" w:type="dxa"/>
            <w:vAlign w:val="top"/>
          </w:tcPr>
          <w:p>
            <w:pPr>
              <w:spacing w:before="68" w:line="222" w:lineRule="auto"/>
              <w:ind w:left="118" w:leftChars="0"/>
              <w:rPr>
                <w:color w:val="auto"/>
                <w:highlight w:val="none"/>
                <w:vertAlign w:val="baseline"/>
                <w:lang w:val="zh-CN"/>
              </w:rPr>
            </w:pPr>
            <w:r>
              <w:rPr>
                <w:rFonts w:ascii="宋体" w:hAnsi="宋体" w:eastAsia="宋体" w:cs="宋体"/>
                <w:color w:val="auto"/>
                <w:spacing w:val="-3"/>
                <w:sz w:val="21"/>
                <w:szCs w:val="21"/>
                <w:highlight w:val="none"/>
              </w:rPr>
              <w:t>备</w:t>
            </w:r>
            <w:r>
              <w:rPr>
                <w:rFonts w:ascii="宋体" w:hAnsi="宋体" w:eastAsia="宋体" w:cs="宋体"/>
                <w:color w:val="auto"/>
                <w:spacing w:val="-2"/>
                <w:sz w:val="21"/>
                <w:szCs w:val="21"/>
                <w:highlight w:val="none"/>
              </w:rPr>
              <w:t>注</w:t>
            </w:r>
          </w:p>
        </w:tc>
        <w:tc>
          <w:tcPr>
            <w:tcW w:w="7458" w:type="dxa"/>
          </w:tcPr>
          <w:p>
            <w:pPr>
              <w:pStyle w:val="16"/>
              <w:rPr>
                <w:color w:val="auto"/>
                <w:highlight w:val="none"/>
                <w:vertAlign w:val="baseline"/>
                <w:lang w:val="zh-CN"/>
              </w:rPr>
            </w:pPr>
          </w:p>
        </w:tc>
      </w:tr>
    </w:tbl>
    <w:p>
      <w:pPr>
        <w:pStyle w:val="16"/>
        <w:rPr>
          <w:color w:val="auto"/>
          <w:highlight w:val="none"/>
          <w:lang w:val="zh-CN"/>
        </w:rPr>
      </w:pPr>
      <w:r>
        <w:rPr>
          <w:rFonts w:hint="eastAsia"/>
          <w:color w:val="auto"/>
          <w:highlight w:val="none"/>
          <w:lang w:val="zh-CN"/>
        </w:rPr>
        <w:t>注：业绩须提供</w:t>
      </w:r>
      <w:r>
        <w:rPr>
          <w:rFonts w:hint="eastAsia"/>
          <w:color w:val="auto"/>
          <w:highlight w:val="none"/>
          <w:lang w:val="en-US" w:eastAsia="zh-CN"/>
        </w:rPr>
        <w:t>合同关键页、</w:t>
      </w:r>
      <w:r>
        <w:rPr>
          <w:rFonts w:hint="eastAsia"/>
          <w:color w:val="auto"/>
          <w:highlight w:val="none"/>
          <w:lang w:val="zh-CN"/>
        </w:rPr>
        <w:t>工程竣工验收报告（或竣工验收备案证明），以工程竣工验收报告或竣工验收备案证明的时间为准，否则不得分。</w:t>
      </w:r>
    </w:p>
    <w:p>
      <w:pPr>
        <w:rPr>
          <w:color w:val="auto"/>
          <w:highlight w:val="none"/>
          <w:lang w:val="zh-CN"/>
        </w:rPr>
      </w:pPr>
      <w:r>
        <w:rPr>
          <w:color w:val="auto"/>
          <w:highlight w:val="none"/>
          <w:lang w:val="zh-CN"/>
        </w:rPr>
        <w:br w:type="page"/>
      </w:r>
    </w:p>
    <w:bookmarkEnd w:id="2213"/>
    <w:bookmarkEnd w:id="2214"/>
    <w:bookmarkEnd w:id="2215"/>
    <w:bookmarkEnd w:id="2216"/>
    <w:bookmarkEnd w:id="2218"/>
    <w:bookmarkEnd w:id="2219"/>
    <w:p>
      <w:pPr>
        <w:pStyle w:val="4"/>
        <w:numPr>
          <w:ilvl w:val="0"/>
          <w:numId w:val="0"/>
        </w:numPr>
        <w:jc w:val="both"/>
        <w:rPr>
          <w:color w:val="auto"/>
          <w:highlight w:val="none"/>
        </w:rPr>
      </w:pPr>
      <w:bookmarkStart w:id="2223" w:name="_Toc18470"/>
      <w:r>
        <w:rPr>
          <w:rFonts w:hint="eastAsia" w:cs="Times New Roman"/>
          <w:b/>
          <w:bCs/>
          <w:color w:val="auto"/>
          <w:kern w:val="2"/>
          <w:sz w:val="30"/>
          <w:szCs w:val="32"/>
          <w:highlight w:val="none"/>
          <w:lang w:val="en-US" w:eastAsia="zh-CN" w:bidi="ar-SA"/>
        </w:rPr>
        <w:t>十六、2019年至投标截止日前同类(指房屋建筑或电力建筑工程等)工程获奖情况(如有)</w:t>
      </w:r>
      <w:bookmarkEnd w:id="2223"/>
    </w:p>
    <w:p>
      <w:pPr>
        <w:rPr>
          <w:rFonts w:hint="eastAsia"/>
          <w:color w:val="auto"/>
          <w:highlight w:val="none"/>
          <w:lang w:val="zh-CN"/>
        </w:rPr>
      </w:pPr>
      <w:r>
        <w:rPr>
          <w:rFonts w:hint="eastAsia"/>
          <w:color w:val="auto"/>
          <w:highlight w:val="none"/>
          <w:lang w:val="zh-CN"/>
        </w:rPr>
        <w:t>附表 6、2019 年至投标截止日前同类(指房屋建筑或电力建筑工程等)工程获奖汇总表</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1545"/>
        <w:gridCol w:w="1548"/>
        <w:gridCol w:w="1548"/>
        <w:gridCol w:w="1548"/>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32" w:type="pct"/>
            <w:vAlign w:val="top"/>
          </w:tcPr>
          <w:p>
            <w:pPr>
              <w:spacing w:before="307" w:line="222" w:lineRule="auto"/>
              <w:ind w:left="165" w:leftChars="0"/>
              <w:rPr>
                <w:color w:val="auto"/>
                <w:highlight w:val="none"/>
                <w:vertAlign w:val="baseline"/>
                <w:lang w:val="zh-CN"/>
              </w:rPr>
            </w:pPr>
            <w:r>
              <w:rPr>
                <w:rFonts w:ascii="宋体" w:hAnsi="宋体" w:eastAsia="宋体" w:cs="宋体"/>
                <w:color w:val="auto"/>
                <w:spacing w:val="-2"/>
                <w:sz w:val="21"/>
                <w:szCs w:val="21"/>
                <w:highlight w:val="none"/>
              </w:rPr>
              <w:t>序</w:t>
            </w:r>
            <w:r>
              <w:rPr>
                <w:rFonts w:ascii="宋体" w:hAnsi="宋体" w:eastAsia="宋体" w:cs="宋体"/>
                <w:color w:val="auto"/>
                <w:spacing w:val="-1"/>
                <w:sz w:val="21"/>
                <w:szCs w:val="21"/>
                <w:highlight w:val="none"/>
              </w:rPr>
              <w:t>号</w:t>
            </w:r>
          </w:p>
        </w:tc>
        <w:tc>
          <w:tcPr>
            <w:tcW w:w="832" w:type="pct"/>
            <w:vAlign w:val="top"/>
          </w:tcPr>
          <w:p>
            <w:pPr>
              <w:spacing w:before="308" w:line="221" w:lineRule="auto"/>
              <w:rPr>
                <w:color w:val="auto"/>
                <w:highlight w:val="none"/>
                <w:vertAlign w:val="baseline"/>
                <w:lang w:val="zh-CN"/>
              </w:rPr>
            </w:pPr>
            <w:r>
              <w:rPr>
                <w:rFonts w:ascii="宋体" w:hAnsi="宋体" w:eastAsia="宋体" w:cs="宋体"/>
                <w:color w:val="auto"/>
                <w:spacing w:val="-3"/>
                <w:sz w:val="21"/>
                <w:szCs w:val="21"/>
                <w:highlight w:val="none"/>
              </w:rPr>
              <w:t>项</w:t>
            </w:r>
            <w:r>
              <w:rPr>
                <w:rFonts w:ascii="宋体" w:hAnsi="宋体" w:eastAsia="宋体" w:cs="宋体"/>
                <w:color w:val="auto"/>
                <w:spacing w:val="-2"/>
                <w:sz w:val="21"/>
                <w:szCs w:val="21"/>
                <w:highlight w:val="none"/>
              </w:rPr>
              <w:t>目名称</w:t>
            </w:r>
          </w:p>
        </w:tc>
        <w:tc>
          <w:tcPr>
            <w:tcW w:w="833" w:type="pct"/>
            <w:vAlign w:val="top"/>
          </w:tcPr>
          <w:p>
            <w:pPr>
              <w:spacing w:before="307" w:line="222" w:lineRule="auto"/>
              <w:rPr>
                <w:rFonts w:hint="default" w:eastAsia="宋体"/>
                <w:color w:val="auto"/>
                <w:highlight w:val="none"/>
                <w:vertAlign w:val="baseline"/>
                <w:lang w:val="en-US" w:eastAsia="zh-CN"/>
              </w:rPr>
            </w:pPr>
            <w:r>
              <w:rPr>
                <w:rFonts w:hint="eastAsia" w:ascii="宋体" w:hAnsi="宋体" w:cs="宋体"/>
                <w:color w:val="auto"/>
                <w:spacing w:val="-2"/>
                <w:sz w:val="21"/>
                <w:szCs w:val="21"/>
                <w:highlight w:val="none"/>
                <w:lang w:val="en-US" w:eastAsia="zh-CN"/>
              </w:rPr>
              <w:t>奖项名称</w:t>
            </w:r>
          </w:p>
        </w:tc>
        <w:tc>
          <w:tcPr>
            <w:tcW w:w="833" w:type="pct"/>
            <w:vAlign w:val="top"/>
          </w:tcPr>
          <w:p>
            <w:pPr>
              <w:spacing w:before="308" w:line="221" w:lineRule="auto"/>
              <w:rPr>
                <w:rFonts w:hint="default" w:eastAsia="宋体"/>
                <w:color w:val="auto"/>
                <w:highlight w:val="none"/>
                <w:vertAlign w:val="baseline"/>
                <w:lang w:val="en-US" w:eastAsia="zh-CN"/>
              </w:rPr>
            </w:pPr>
            <w:r>
              <w:rPr>
                <w:rFonts w:hint="eastAsia" w:ascii="宋体" w:hAnsi="宋体" w:cs="宋体"/>
                <w:color w:val="auto"/>
                <w:spacing w:val="-2"/>
                <w:sz w:val="21"/>
                <w:szCs w:val="21"/>
                <w:highlight w:val="none"/>
                <w:lang w:val="en-US" w:eastAsia="zh-CN"/>
              </w:rPr>
              <w:t>颁发单位</w:t>
            </w:r>
          </w:p>
        </w:tc>
        <w:tc>
          <w:tcPr>
            <w:tcW w:w="833" w:type="pct"/>
            <w:vAlign w:val="top"/>
          </w:tcPr>
          <w:p>
            <w:pPr>
              <w:spacing w:before="307" w:line="221" w:lineRule="auto"/>
              <w:rPr>
                <w:rFonts w:hint="default" w:eastAsia="宋体"/>
                <w:color w:val="auto"/>
                <w:highlight w:val="none"/>
                <w:vertAlign w:val="baseline"/>
                <w:lang w:val="en-US" w:eastAsia="zh-CN"/>
              </w:rPr>
            </w:pPr>
            <w:r>
              <w:rPr>
                <w:rFonts w:hint="eastAsia" w:ascii="宋体" w:hAnsi="宋体" w:cs="宋体"/>
                <w:color w:val="auto"/>
                <w:spacing w:val="-2"/>
                <w:sz w:val="21"/>
                <w:szCs w:val="21"/>
                <w:highlight w:val="none"/>
                <w:lang w:val="en-US" w:eastAsia="zh-CN"/>
              </w:rPr>
              <w:t>获奖时间</w:t>
            </w:r>
          </w:p>
        </w:tc>
        <w:tc>
          <w:tcPr>
            <w:tcW w:w="833" w:type="pct"/>
            <w:vAlign w:val="top"/>
          </w:tcPr>
          <w:p>
            <w:pPr>
              <w:spacing w:before="308" w:line="221" w:lineRule="auto"/>
              <w:rPr>
                <w:rFonts w:hint="eastAsia" w:eastAsia="宋体"/>
                <w:color w:val="auto"/>
                <w:highlight w:val="none"/>
                <w:vertAlign w:val="baseline"/>
                <w:lang w:val="zh-CN" w:eastAsia="zh-CN"/>
              </w:rPr>
            </w:pPr>
            <w:r>
              <w:rPr>
                <w:rFonts w:hint="eastAsia" w:ascii="宋体" w:hAnsi="宋体" w:cs="宋体"/>
                <w:color w:val="auto"/>
                <w:spacing w:val="-2"/>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32" w:type="pct"/>
          </w:tcPr>
          <w:p>
            <w:pPr>
              <w:rPr>
                <w:color w:val="auto"/>
                <w:highlight w:val="none"/>
                <w:vertAlign w:val="baseline"/>
                <w:lang w:val="zh-CN"/>
              </w:rPr>
            </w:pPr>
          </w:p>
        </w:tc>
        <w:tc>
          <w:tcPr>
            <w:tcW w:w="832" w:type="pct"/>
          </w:tcPr>
          <w:p>
            <w:pPr>
              <w:rPr>
                <w:color w:val="auto"/>
                <w:highlight w:val="none"/>
                <w:vertAlign w:val="baseline"/>
                <w:lang w:val="zh-CN"/>
              </w:rPr>
            </w:pPr>
          </w:p>
        </w:tc>
        <w:tc>
          <w:tcPr>
            <w:tcW w:w="833" w:type="pct"/>
          </w:tcPr>
          <w:p>
            <w:pPr>
              <w:rPr>
                <w:color w:val="auto"/>
                <w:highlight w:val="none"/>
                <w:vertAlign w:val="baseline"/>
                <w:lang w:val="zh-CN"/>
              </w:rPr>
            </w:pPr>
          </w:p>
        </w:tc>
        <w:tc>
          <w:tcPr>
            <w:tcW w:w="833" w:type="pct"/>
          </w:tcPr>
          <w:p>
            <w:pPr>
              <w:rPr>
                <w:color w:val="auto"/>
                <w:highlight w:val="none"/>
                <w:vertAlign w:val="baseline"/>
                <w:lang w:val="zh-CN"/>
              </w:rPr>
            </w:pPr>
          </w:p>
        </w:tc>
        <w:tc>
          <w:tcPr>
            <w:tcW w:w="833" w:type="pct"/>
          </w:tcPr>
          <w:p>
            <w:pPr>
              <w:rPr>
                <w:color w:val="auto"/>
                <w:highlight w:val="none"/>
                <w:vertAlign w:val="baseline"/>
                <w:lang w:val="zh-CN"/>
              </w:rPr>
            </w:pPr>
          </w:p>
        </w:tc>
        <w:tc>
          <w:tcPr>
            <w:tcW w:w="833" w:type="pct"/>
          </w:tcPr>
          <w:p>
            <w:pPr>
              <w:rPr>
                <w:color w:val="auto"/>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32" w:type="pct"/>
          </w:tcPr>
          <w:p>
            <w:pPr>
              <w:rPr>
                <w:color w:val="auto"/>
                <w:highlight w:val="none"/>
                <w:vertAlign w:val="baseline"/>
                <w:lang w:val="zh-CN"/>
              </w:rPr>
            </w:pPr>
          </w:p>
        </w:tc>
        <w:tc>
          <w:tcPr>
            <w:tcW w:w="832" w:type="pct"/>
          </w:tcPr>
          <w:p>
            <w:pPr>
              <w:rPr>
                <w:color w:val="auto"/>
                <w:highlight w:val="none"/>
                <w:vertAlign w:val="baseline"/>
                <w:lang w:val="zh-CN"/>
              </w:rPr>
            </w:pPr>
          </w:p>
        </w:tc>
        <w:tc>
          <w:tcPr>
            <w:tcW w:w="833" w:type="pct"/>
          </w:tcPr>
          <w:p>
            <w:pPr>
              <w:rPr>
                <w:color w:val="auto"/>
                <w:highlight w:val="none"/>
                <w:vertAlign w:val="baseline"/>
                <w:lang w:val="zh-CN"/>
              </w:rPr>
            </w:pPr>
          </w:p>
        </w:tc>
        <w:tc>
          <w:tcPr>
            <w:tcW w:w="833" w:type="pct"/>
          </w:tcPr>
          <w:p>
            <w:pPr>
              <w:rPr>
                <w:color w:val="auto"/>
                <w:highlight w:val="none"/>
                <w:vertAlign w:val="baseline"/>
                <w:lang w:val="zh-CN"/>
              </w:rPr>
            </w:pPr>
          </w:p>
        </w:tc>
        <w:tc>
          <w:tcPr>
            <w:tcW w:w="833" w:type="pct"/>
          </w:tcPr>
          <w:p>
            <w:pPr>
              <w:rPr>
                <w:color w:val="auto"/>
                <w:highlight w:val="none"/>
                <w:vertAlign w:val="baseline"/>
                <w:lang w:val="zh-CN"/>
              </w:rPr>
            </w:pPr>
          </w:p>
        </w:tc>
        <w:tc>
          <w:tcPr>
            <w:tcW w:w="833" w:type="pct"/>
          </w:tcPr>
          <w:p>
            <w:pPr>
              <w:rPr>
                <w:color w:val="auto"/>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32" w:type="pct"/>
          </w:tcPr>
          <w:p>
            <w:pPr>
              <w:rPr>
                <w:color w:val="auto"/>
                <w:highlight w:val="none"/>
                <w:vertAlign w:val="baseline"/>
                <w:lang w:val="zh-CN"/>
              </w:rPr>
            </w:pPr>
          </w:p>
        </w:tc>
        <w:tc>
          <w:tcPr>
            <w:tcW w:w="832" w:type="pct"/>
          </w:tcPr>
          <w:p>
            <w:pPr>
              <w:rPr>
                <w:color w:val="auto"/>
                <w:highlight w:val="none"/>
                <w:vertAlign w:val="baseline"/>
                <w:lang w:val="zh-CN"/>
              </w:rPr>
            </w:pPr>
          </w:p>
        </w:tc>
        <w:tc>
          <w:tcPr>
            <w:tcW w:w="833" w:type="pct"/>
          </w:tcPr>
          <w:p>
            <w:pPr>
              <w:rPr>
                <w:color w:val="auto"/>
                <w:highlight w:val="none"/>
                <w:vertAlign w:val="baseline"/>
                <w:lang w:val="zh-CN"/>
              </w:rPr>
            </w:pPr>
          </w:p>
        </w:tc>
        <w:tc>
          <w:tcPr>
            <w:tcW w:w="833" w:type="pct"/>
          </w:tcPr>
          <w:p>
            <w:pPr>
              <w:rPr>
                <w:color w:val="auto"/>
                <w:highlight w:val="none"/>
                <w:vertAlign w:val="baseline"/>
                <w:lang w:val="zh-CN"/>
              </w:rPr>
            </w:pPr>
          </w:p>
        </w:tc>
        <w:tc>
          <w:tcPr>
            <w:tcW w:w="833" w:type="pct"/>
          </w:tcPr>
          <w:p>
            <w:pPr>
              <w:rPr>
                <w:color w:val="auto"/>
                <w:highlight w:val="none"/>
                <w:vertAlign w:val="baseline"/>
                <w:lang w:val="zh-CN"/>
              </w:rPr>
            </w:pPr>
          </w:p>
        </w:tc>
        <w:tc>
          <w:tcPr>
            <w:tcW w:w="833" w:type="pct"/>
          </w:tcPr>
          <w:p>
            <w:pPr>
              <w:rPr>
                <w:color w:val="auto"/>
                <w:highlight w:val="none"/>
                <w:vertAlign w:val="baseline"/>
                <w:lang w:val="zh-CN"/>
              </w:rPr>
            </w:pPr>
          </w:p>
        </w:tc>
      </w:tr>
    </w:tbl>
    <w:p>
      <w:pPr>
        <w:rPr>
          <w:rFonts w:hint="eastAsia"/>
          <w:color w:val="auto"/>
          <w:highlight w:val="none"/>
          <w:lang w:val="zh-CN"/>
        </w:rPr>
      </w:pPr>
      <w:r>
        <w:rPr>
          <w:rFonts w:hint="eastAsia"/>
          <w:color w:val="auto"/>
          <w:highlight w:val="none"/>
          <w:lang w:val="zh-CN"/>
        </w:rPr>
        <w:t>注：</w:t>
      </w:r>
    </w:p>
    <w:p>
      <w:pPr>
        <w:pStyle w:val="16"/>
        <w:rPr>
          <w:rFonts w:hint="eastAsia"/>
          <w:color w:val="auto"/>
          <w:highlight w:val="none"/>
          <w:lang w:val="zh-CN"/>
        </w:rPr>
      </w:pPr>
      <w:r>
        <w:rPr>
          <w:rFonts w:hint="eastAsia"/>
          <w:color w:val="auto"/>
          <w:highlight w:val="none"/>
          <w:lang w:val="zh-CN"/>
        </w:rPr>
        <w:t>1.国家级奖项(指国务院、住建部、中国建筑业协会、中国土木工程学会、中国施工企业管理协会颁发的质量奖项)：包括国家优质工程金奖和国家优质工程奖、中国土木工程詹天佑奖、鲁班奖(不包括专业类奖项)；省级奖项指省级人民政府、省级住建部门、省级建筑业协会(安全协会)、省级建筑业联合会、中国电力建设企业协会颁发的优质工程质量奖项、中国电力优质工程奖(不包括专业类奖项)；地市级奖项指地市级人民政府、地市级住建部门、地市级建筑业协会、地市级建筑业联合会颁发的优质工程质量奖项(不包括专业类奖项)。</w:t>
      </w:r>
    </w:p>
    <w:p>
      <w:pPr>
        <w:pStyle w:val="17"/>
        <w:ind w:left="0" w:leftChars="0" w:firstLine="0" w:firstLineChars="0"/>
        <w:rPr>
          <w:rFonts w:hint="default" w:eastAsia="宋体"/>
          <w:color w:val="auto"/>
          <w:highlight w:val="none"/>
          <w:lang w:val="en-US" w:eastAsia="zh-CN"/>
        </w:rPr>
      </w:pPr>
      <w:r>
        <w:rPr>
          <w:rFonts w:hint="eastAsia"/>
          <w:color w:val="auto"/>
          <w:highlight w:val="none"/>
          <w:lang w:val="en-US" w:eastAsia="zh-CN"/>
        </w:rPr>
        <w:t>2.获奖证书或获奖文件以国家、省、市人民政府或行业行政主管部门或经民政部门批准成立的相关行业协会颁发的为准，需提供相关获奖证书或正式获奖公示文件的扫描件并加盖投标人公章；正式获奖公示文件可以是获奖公示名单或网站查询页(或截图)；正在公示期间的奖项不予认可。如提供相关行业协会颁发的获奖证书或获奖正式文件，则须同时提供该行业协会在国家(或省)社会组织网的查询路径和登记信息查询结果截图，获奖日期以证书颁发或官网发布的日期为准，否则不得分。</w:t>
      </w:r>
    </w:p>
    <w:p>
      <w:pPr>
        <w:tabs>
          <w:tab w:val="left" w:pos="8100"/>
        </w:tabs>
        <w:adjustRightInd w:val="0"/>
        <w:snapToGrid w:val="0"/>
        <w:spacing w:line="360" w:lineRule="auto"/>
        <w:jc w:val="both"/>
        <w:rPr>
          <w:rFonts w:ascii="宋体" w:hAnsi="宋体"/>
          <w:color w:val="auto"/>
          <w:szCs w:val="32"/>
          <w:highlight w:val="none"/>
        </w:rPr>
      </w:pPr>
    </w:p>
    <w:p>
      <w:pPr>
        <w:tabs>
          <w:tab w:val="left" w:pos="8100"/>
        </w:tabs>
        <w:adjustRightInd w:val="0"/>
        <w:snapToGrid w:val="0"/>
        <w:spacing w:line="360" w:lineRule="auto"/>
        <w:ind w:firstLine="420" w:firstLineChars="200"/>
        <w:jc w:val="center"/>
        <w:rPr>
          <w:rFonts w:ascii="宋体" w:hAnsi="宋体"/>
          <w:color w:val="auto"/>
          <w:szCs w:val="32"/>
          <w:highlight w:val="none"/>
        </w:rPr>
      </w:pPr>
      <w:r>
        <w:rPr>
          <w:rFonts w:ascii="宋体" w:hAnsi="宋体"/>
          <w:color w:val="auto"/>
          <w:szCs w:val="32"/>
          <w:highlight w:val="none"/>
        </w:rPr>
        <w:br w:type="page"/>
      </w:r>
    </w:p>
    <w:p>
      <w:pPr>
        <w:pStyle w:val="4"/>
        <w:numPr>
          <w:ilvl w:val="0"/>
          <w:numId w:val="0"/>
        </w:numPr>
        <w:jc w:val="both"/>
        <w:rPr>
          <w:rFonts w:hint="default"/>
          <w:color w:val="auto"/>
          <w:highlight w:val="none"/>
          <w:lang w:val="en-US"/>
        </w:rPr>
      </w:pPr>
      <w:r>
        <w:rPr>
          <w:rFonts w:hint="eastAsia" w:cs="Times New Roman"/>
          <w:b/>
          <w:bCs/>
          <w:color w:val="auto"/>
          <w:kern w:val="2"/>
          <w:sz w:val="30"/>
          <w:szCs w:val="32"/>
          <w:highlight w:val="none"/>
          <w:lang w:val="en-US" w:eastAsia="zh-CN" w:bidi="ar-SA"/>
        </w:rPr>
        <w:t>十七、近年财务状况</w:t>
      </w:r>
    </w:p>
    <w:p>
      <w:pPr>
        <w:widowControl w:val="0"/>
        <w:shd w:val="clear"/>
        <w:kinsoku/>
        <w:overflowPunct/>
        <w:bidi w:val="0"/>
        <w:spacing w:line="360" w:lineRule="auto"/>
        <w:jc w:val="center"/>
        <w:rPr>
          <w:rFonts w:ascii="宋体" w:hAnsi="宋体"/>
          <w:b/>
          <w:bCs/>
          <w:color w:val="auto"/>
          <w:kern w:val="2"/>
          <w:sz w:val="28"/>
          <w:szCs w:val="28"/>
          <w:highlight w:val="none"/>
          <w:lang w:eastAsia="zh-CN" w:bidi="ar-SA"/>
        </w:rPr>
      </w:pPr>
      <w:r>
        <w:rPr>
          <w:rFonts w:hint="eastAsia" w:ascii="宋体" w:hAnsi="宋体"/>
          <w:b/>
          <w:bCs/>
          <w:color w:val="auto"/>
          <w:kern w:val="2"/>
          <w:sz w:val="28"/>
          <w:szCs w:val="28"/>
          <w:highlight w:val="none"/>
          <w:lang w:eastAsia="zh-CN" w:bidi="ar-SA"/>
        </w:rPr>
        <w:t>财务数据汇总表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1700"/>
        <w:gridCol w:w="1710"/>
        <w:gridCol w:w="1620"/>
        <w:gridCol w:w="157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223"/>
              <w:shd w:val="clear"/>
              <w:kinsoku/>
              <w:overflowPunct/>
              <w:bidi w:val="0"/>
              <w:spacing w:line="360" w:lineRule="auto"/>
              <w:jc w:val="center"/>
              <w:rPr>
                <w:color w:val="auto"/>
                <w:kern w:val="2"/>
                <w:szCs w:val="24"/>
                <w:highlight w:val="none"/>
              </w:rPr>
            </w:pPr>
            <w:bookmarkStart w:id="2224" w:name="_Toc242770779"/>
            <w:r>
              <w:rPr>
                <w:rFonts w:hint="eastAsia"/>
                <w:color w:val="auto"/>
                <w:kern w:val="2"/>
                <w:szCs w:val="24"/>
                <w:highlight w:val="none"/>
              </w:rPr>
              <w:t>年份</w:t>
            </w:r>
            <w:bookmarkEnd w:id="2224"/>
          </w:p>
        </w:tc>
        <w:tc>
          <w:tcPr>
            <w:tcW w:w="170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223"/>
              <w:shd w:val="clear"/>
              <w:kinsoku/>
              <w:overflowPunct/>
              <w:bidi w:val="0"/>
              <w:spacing w:line="360" w:lineRule="auto"/>
              <w:jc w:val="center"/>
              <w:rPr>
                <w:color w:val="auto"/>
                <w:kern w:val="2"/>
                <w:szCs w:val="24"/>
                <w:highlight w:val="none"/>
              </w:rPr>
            </w:pPr>
            <w:bookmarkStart w:id="2225" w:name="_Toc242770780"/>
            <w:r>
              <w:rPr>
                <w:rFonts w:hint="eastAsia"/>
                <w:color w:val="auto"/>
                <w:kern w:val="2"/>
                <w:szCs w:val="24"/>
                <w:highlight w:val="none"/>
              </w:rPr>
              <w:t>资产</w:t>
            </w:r>
            <w:bookmarkEnd w:id="2225"/>
          </w:p>
        </w:tc>
        <w:tc>
          <w:tcPr>
            <w:tcW w:w="171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223"/>
              <w:shd w:val="clear"/>
              <w:kinsoku/>
              <w:overflowPunct/>
              <w:bidi w:val="0"/>
              <w:spacing w:line="360" w:lineRule="auto"/>
              <w:jc w:val="center"/>
              <w:rPr>
                <w:color w:val="auto"/>
                <w:kern w:val="2"/>
                <w:szCs w:val="24"/>
                <w:highlight w:val="none"/>
              </w:rPr>
            </w:pPr>
            <w:bookmarkStart w:id="2226" w:name="_Toc242770781"/>
            <w:r>
              <w:rPr>
                <w:rFonts w:hint="eastAsia"/>
                <w:color w:val="auto"/>
                <w:kern w:val="2"/>
                <w:szCs w:val="24"/>
                <w:highlight w:val="none"/>
              </w:rPr>
              <w:t>负债</w:t>
            </w:r>
            <w:bookmarkEnd w:id="2226"/>
          </w:p>
        </w:tc>
        <w:tc>
          <w:tcPr>
            <w:tcW w:w="162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223"/>
              <w:shd w:val="clear"/>
              <w:kinsoku/>
              <w:overflowPunct/>
              <w:bidi w:val="0"/>
              <w:spacing w:line="360" w:lineRule="auto"/>
              <w:jc w:val="center"/>
              <w:rPr>
                <w:color w:val="auto"/>
                <w:kern w:val="2"/>
                <w:szCs w:val="24"/>
                <w:highlight w:val="none"/>
              </w:rPr>
            </w:pPr>
            <w:r>
              <w:rPr>
                <w:rFonts w:hint="eastAsia"/>
                <w:color w:val="auto"/>
                <w:kern w:val="2"/>
                <w:szCs w:val="24"/>
                <w:highlight w:val="none"/>
              </w:rPr>
              <w:t>资产负债率</w:t>
            </w:r>
          </w:p>
        </w:tc>
        <w:tc>
          <w:tcPr>
            <w:tcW w:w="1575"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223"/>
              <w:shd w:val="clear"/>
              <w:kinsoku/>
              <w:overflowPunct/>
              <w:bidi w:val="0"/>
              <w:spacing w:line="360" w:lineRule="auto"/>
              <w:jc w:val="center"/>
              <w:rPr>
                <w:color w:val="auto"/>
                <w:kern w:val="2"/>
                <w:szCs w:val="24"/>
                <w:highlight w:val="none"/>
              </w:rPr>
            </w:pPr>
            <w:bookmarkStart w:id="2227" w:name="_Toc242770785"/>
            <w:r>
              <w:rPr>
                <w:rFonts w:hint="eastAsia"/>
                <w:color w:val="auto"/>
                <w:kern w:val="2"/>
                <w:szCs w:val="24"/>
                <w:highlight w:val="none"/>
              </w:rPr>
              <w:t>净利润</w:t>
            </w:r>
            <w:bookmarkEnd w:id="2227"/>
          </w:p>
        </w:tc>
        <w:tc>
          <w:tcPr>
            <w:tcW w:w="1575"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223"/>
              <w:shd w:val="clear"/>
              <w:kinsoku/>
              <w:overflowPunct/>
              <w:bidi w:val="0"/>
              <w:spacing w:line="360" w:lineRule="auto"/>
              <w:jc w:val="center"/>
              <w:rPr>
                <w:rFonts w:hint="eastAsia" w:eastAsia="宋体"/>
                <w:color w:val="auto"/>
                <w:kern w:val="2"/>
                <w:szCs w:val="24"/>
                <w:highlight w:val="none"/>
                <w:lang w:eastAsia="zh-CN"/>
              </w:rPr>
            </w:pPr>
            <w:r>
              <w:rPr>
                <w:rFonts w:hint="eastAsia"/>
                <w:color w:val="auto"/>
                <w:kern w:val="2"/>
                <w:szCs w:val="24"/>
                <w:highlight w:val="none"/>
                <w:lang w:eastAsia="zh-CN"/>
              </w:rPr>
              <w:t>现金流量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78"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223"/>
              <w:shd w:val="clear"/>
              <w:kinsoku/>
              <w:overflowPunct/>
              <w:bidi w:val="0"/>
              <w:spacing w:line="360" w:lineRule="auto"/>
              <w:jc w:val="center"/>
              <w:rPr>
                <w:color w:val="auto"/>
                <w:kern w:val="2"/>
                <w:szCs w:val="24"/>
                <w:highlight w:val="none"/>
              </w:rPr>
            </w:pPr>
            <w:bookmarkStart w:id="2228" w:name="_Toc242770787"/>
            <w:r>
              <w:rPr>
                <w:rFonts w:hint="eastAsia"/>
                <w:color w:val="auto"/>
                <w:kern w:val="2"/>
                <w:szCs w:val="24"/>
                <w:highlight w:val="none"/>
              </w:rPr>
              <w:t>20XX年</w:t>
            </w:r>
            <w:bookmarkEnd w:id="2228"/>
          </w:p>
        </w:tc>
        <w:tc>
          <w:tcPr>
            <w:tcW w:w="170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bottom"/>
          </w:tcPr>
          <w:p>
            <w:pPr>
              <w:pStyle w:val="223"/>
              <w:shd w:val="clear"/>
              <w:kinsoku/>
              <w:overflowPunct/>
              <w:bidi w:val="0"/>
              <w:spacing w:line="360" w:lineRule="auto"/>
              <w:jc w:val="center"/>
              <w:rPr>
                <w:color w:val="auto"/>
                <w:kern w:val="2"/>
                <w:szCs w:val="24"/>
                <w:highlight w:val="none"/>
              </w:rPr>
            </w:pPr>
          </w:p>
        </w:tc>
        <w:tc>
          <w:tcPr>
            <w:tcW w:w="171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bottom"/>
          </w:tcPr>
          <w:p>
            <w:pPr>
              <w:pStyle w:val="223"/>
              <w:shd w:val="clear"/>
              <w:kinsoku/>
              <w:overflowPunct/>
              <w:bidi w:val="0"/>
              <w:spacing w:line="360" w:lineRule="auto"/>
              <w:jc w:val="center"/>
              <w:rPr>
                <w:color w:val="auto"/>
                <w:kern w:val="2"/>
                <w:szCs w:val="24"/>
                <w:highlight w:val="none"/>
              </w:rPr>
            </w:pPr>
          </w:p>
        </w:tc>
        <w:tc>
          <w:tcPr>
            <w:tcW w:w="162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bottom"/>
          </w:tcPr>
          <w:p>
            <w:pPr>
              <w:pStyle w:val="223"/>
              <w:shd w:val="clear"/>
              <w:kinsoku/>
              <w:overflowPunct/>
              <w:bidi w:val="0"/>
              <w:spacing w:line="360" w:lineRule="auto"/>
              <w:jc w:val="center"/>
              <w:rPr>
                <w:color w:val="auto"/>
                <w:kern w:val="2"/>
                <w:szCs w:val="24"/>
                <w:highlight w:val="none"/>
              </w:rPr>
            </w:pPr>
          </w:p>
        </w:tc>
        <w:tc>
          <w:tcPr>
            <w:tcW w:w="1575"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bottom"/>
          </w:tcPr>
          <w:p>
            <w:pPr>
              <w:pStyle w:val="223"/>
              <w:shd w:val="clear"/>
              <w:kinsoku/>
              <w:overflowPunct/>
              <w:bidi w:val="0"/>
              <w:spacing w:line="360" w:lineRule="auto"/>
              <w:jc w:val="center"/>
              <w:rPr>
                <w:color w:val="auto"/>
                <w:kern w:val="2"/>
                <w:szCs w:val="24"/>
                <w:highlight w:val="none"/>
              </w:rPr>
            </w:pPr>
          </w:p>
        </w:tc>
        <w:tc>
          <w:tcPr>
            <w:tcW w:w="1575"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bottom"/>
          </w:tcPr>
          <w:p>
            <w:pPr>
              <w:pStyle w:val="223"/>
              <w:shd w:val="clear"/>
              <w:kinsoku/>
              <w:overflowPunct/>
              <w:bidi w:val="0"/>
              <w:spacing w:line="360" w:lineRule="auto"/>
              <w:jc w:val="center"/>
              <w:rPr>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478"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223"/>
              <w:shd w:val="clear"/>
              <w:kinsoku/>
              <w:overflowPunct/>
              <w:bidi w:val="0"/>
              <w:spacing w:line="360" w:lineRule="auto"/>
              <w:jc w:val="center"/>
              <w:rPr>
                <w:color w:val="auto"/>
                <w:kern w:val="2"/>
                <w:szCs w:val="24"/>
                <w:highlight w:val="none"/>
              </w:rPr>
            </w:pPr>
            <w:r>
              <w:rPr>
                <w:rFonts w:hint="eastAsia"/>
                <w:color w:val="auto"/>
                <w:kern w:val="2"/>
                <w:szCs w:val="24"/>
                <w:highlight w:val="none"/>
              </w:rPr>
              <w:t>……</w:t>
            </w:r>
          </w:p>
        </w:tc>
        <w:tc>
          <w:tcPr>
            <w:tcW w:w="170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223"/>
              <w:shd w:val="clear"/>
              <w:kinsoku/>
              <w:overflowPunct/>
              <w:bidi w:val="0"/>
              <w:spacing w:line="360" w:lineRule="auto"/>
              <w:jc w:val="center"/>
              <w:rPr>
                <w:color w:val="auto"/>
                <w:kern w:val="2"/>
                <w:szCs w:val="24"/>
                <w:highlight w:val="none"/>
              </w:rPr>
            </w:pPr>
          </w:p>
        </w:tc>
        <w:tc>
          <w:tcPr>
            <w:tcW w:w="171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223"/>
              <w:shd w:val="clear"/>
              <w:kinsoku/>
              <w:overflowPunct/>
              <w:bidi w:val="0"/>
              <w:spacing w:line="360" w:lineRule="auto"/>
              <w:jc w:val="center"/>
              <w:rPr>
                <w:color w:val="auto"/>
                <w:kern w:val="2"/>
                <w:szCs w:val="24"/>
                <w:highlight w:val="none"/>
              </w:rPr>
            </w:pPr>
          </w:p>
        </w:tc>
        <w:tc>
          <w:tcPr>
            <w:tcW w:w="162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223"/>
              <w:shd w:val="clear"/>
              <w:kinsoku/>
              <w:overflowPunct/>
              <w:bidi w:val="0"/>
              <w:spacing w:line="360" w:lineRule="auto"/>
              <w:jc w:val="center"/>
              <w:rPr>
                <w:color w:val="auto"/>
                <w:kern w:val="2"/>
                <w:szCs w:val="24"/>
                <w:highlight w:val="none"/>
              </w:rPr>
            </w:pPr>
          </w:p>
        </w:tc>
        <w:tc>
          <w:tcPr>
            <w:tcW w:w="1575"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223"/>
              <w:shd w:val="clear"/>
              <w:kinsoku/>
              <w:overflowPunct/>
              <w:bidi w:val="0"/>
              <w:spacing w:line="360" w:lineRule="auto"/>
              <w:jc w:val="center"/>
              <w:rPr>
                <w:color w:val="auto"/>
                <w:kern w:val="2"/>
                <w:szCs w:val="24"/>
                <w:highlight w:val="none"/>
              </w:rPr>
            </w:pPr>
          </w:p>
        </w:tc>
        <w:tc>
          <w:tcPr>
            <w:tcW w:w="1575"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223"/>
              <w:shd w:val="clear"/>
              <w:kinsoku/>
              <w:overflowPunct/>
              <w:bidi w:val="0"/>
              <w:spacing w:line="360" w:lineRule="auto"/>
              <w:jc w:val="center"/>
              <w:rPr>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78"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223"/>
              <w:shd w:val="clear"/>
              <w:kinsoku/>
              <w:overflowPunct/>
              <w:bidi w:val="0"/>
              <w:spacing w:line="360" w:lineRule="auto"/>
              <w:jc w:val="center"/>
              <w:rPr>
                <w:color w:val="auto"/>
                <w:kern w:val="2"/>
                <w:szCs w:val="24"/>
                <w:highlight w:val="none"/>
              </w:rPr>
            </w:pPr>
            <w:r>
              <w:rPr>
                <w:rFonts w:hint="eastAsia"/>
                <w:color w:val="auto"/>
                <w:kern w:val="2"/>
                <w:szCs w:val="24"/>
                <w:highlight w:val="none"/>
              </w:rPr>
              <w:t>……</w:t>
            </w:r>
          </w:p>
        </w:tc>
        <w:tc>
          <w:tcPr>
            <w:tcW w:w="170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223"/>
              <w:shd w:val="clear"/>
              <w:kinsoku/>
              <w:overflowPunct/>
              <w:bidi w:val="0"/>
              <w:spacing w:line="360" w:lineRule="auto"/>
              <w:jc w:val="center"/>
              <w:rPr>
                <w:color w:val="auto"/>
                <w:kern w:val="2"/>
                <w:szCs w:val="24"/>
                <w:highlight w:val="none"/>
              </w:rPr>
            </w:pPr>
          </w:p>
        </w:tc>
        <w:tc>
          <w:tcPr>
            <w:tcW w:w="171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223"/>
              <w:shd w:val="clear"/>
              <w:kinsoku/>
              <w:overflowPunct/>
              <w:bidi w:val="0"/>
              <w:spacing w:line="360" w:lineRule="auto"/>
              <w:jc w:val="center"/>
              <w:rPr>
                <w:color w:val="auto"/>
                <w:kern w:val="2"/>
                <w:szCs w:val="24"/>
                <w:highlight w:val="none"/>
              </w:rPr>
            </w:pPr>
          </w:p>
        </w:tc>
        <w:tc>
          <w:tcPr>
            <w:tcW w:w="1620"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223"/>
              <w:shd w:val="clear"/>
              <w:kinsoku/>
              <w:overflowPunct/>
              <w:bidi w:val="0"/>
              <w:spacing w:line="360" w:lineRule="auto"/>
              <w:jc w:val="center"/>
              <w:rPr>
                <w:color w:val="auto"/>
                <w:kern w:val="2"/>
                <w:szCs w:val="24"/>
                <w:highlight w:val="none"/>
              </w:rPr>
            </w:pPr>
          </w:p>
        </w:tc>
        <w:tc>
          <w:tcPr>
            <w:tcW w:w="1575"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223"/>
              <w:shd w:val="clear"/>
              <w:kinsoku/>
              <w:overflowPunct/>
              <w:bidi w:val="0"/>
              <w:spacing w:line="360" w:lineRule="auto"/>
              <w:jc w:val="center"/>
              <w:rPr>
                <w:color w:val="auto"/>
                <w:kern w:val="2"/>
                <w:szCs w:val="24"/>
                <w:highlight w:val="none"/>
              </w:rPr>
            </w:pPr>
          </w:p>
        </w:tc>
        <w:tc>
          <w:tcPr>
            <w:tcW w:w="1575" w:type="dxa"/>
            <w:tcBorders>
              <w:top w:val="single" w:color="auto" w:sz="0" w:space="0"/>
              <w:left w:val="single" w:color="auto" w:sz="0" w:space="0"/>
              <w:bottom w:val="single" w:color="auto" w:sz="0" w:space="0"/>
              <w:right w:val="single" w:color="auto" w:sz="0" w:space="0"/>
            </w:tcBorders>
            <w:noWrap w:val="0"/>
            <w:tcMar>
              <w:top w:w="0" w:type="dxa"/>
              <w:left w:w="28" w:type="dxa"/>
              <w:bottom w:w="0" w:type="dxa"/>
              <w:right w:w="28" w:type="dxa"/>
            </w:tcMar>
            <w:vAlign w:val="center"/>
          </w:tcPr>
          <w:p>
            <w:pPr>
              <w:pStyle w:val="223"/>
              <w:shd w:val="clear"/>
              <w:kinsoku/>
              <w:overflowPunct/>
              <w:bidi w:val="0"/>
              <w:spacing w:line="360" w:lineRule="auto"/>
              <w:jc w:val="center"/>
              <w:rPr>
                <w:color w:val="auto"/>
                <w:kern w:val="2"/>
                <w:szCs w:val="24"/>
                <w:highlight w:val="none"/>
              </w:rPr>
            </w:pPr>
          </w:p>
        </w:tc>
      </w:tr>
    </w:tbl>
    <w:p>
      <w:pPr>
        <w:widowControl w:val="0"/>
        <w:shd w:val="clear"/>
        <w:tabs>
          <w:tab w:val="left" w:pos="7698"/>
        </w:tabs>
        <w:kinsoku/>
        <w:overflowPunct/>
        <w:bidi w:val="0"/>
        <w:spacing w:line="360" w:lineRule="auto"/>
        <w:jc w:val="both"/>
        <w:rPr>
          <w:rFonts w:hint="eastAsia" w:ascii="宋体" w:hAnsi="宋体"/>
          <w:color w:val="auto"/>
          <w:kern w:val="2"/>
          <w:sz w:val="21"/>
          <w:szCs w:val="22"/>
          <w:highlight w:val="none"/>
          <w:lang w:eastAsia="zh-CN" w:bidi="ar-SA"/>
        </w:rPr>
      </w:pPr>
    </w:p>
    <w:p>
      <w:pPr>
        <w:widowControl w:val="0"/>
        <w:shd w:val="clear"/>
        <w:tabs>
          <w:tab w:val="left" w:pos="7698"/>
        </w:tabs>
        <w:kinsoku/>
        <w:overflowPunct/>
        <w:bidi w:val="0"/>
        <w:spacing w:line="360" w:lineRule="auto"/>
        <w:ind w:firstLine="420" w:firstLineChars="200"/>
        <w:jc w:val="both"/>
        <w:rPr>
          <w:rFonts w:hint="eastAsia" w:ascii="宋体" w:hAnsi="宋体"/>
          <w:color w:val="auto"/>
          <w:kern w:val="2"/>
          <w:sz w:val="21"/>
          <w:szCs w:val="22"/>
          <w:highlight w:val="none"/>
          <w:lang w:eastAsia="zh-CN" w:bidi="ar-SA"/>
        </w:rPr>
      </w:pPr>
      <w:r>
        <w:rPr>
          <w:rFonts w:hint="eastAsia" w:ascii="宋体" w:hAnsi="宋体"/>
          <w:color w:val="auto"/>
          <w:kern w:val="2"/>
          <w:sz w:val="21"/>
          <w:szCs w:val="22"/>
          <w:highlight w:val="none"/>
          <w:lang w:eastAsia="zh-CN" w:bidi="ar-SA"/>
        </w:rPr>
        <w:t>注：投标人对数据的准确性负责，</w:t>
      </w:r>
      <w:r>
        <w:rPr>
          <w:rFonts w:hint="eastAsia" w:ascii="宋体" w:hAnsi="宋体"/>
          <w:color w:val="auto"/>
          <w:kern w:val="2"/>
          <w:sz w:val="21"/>
          <w:szCs w:val="22"/>
          <w:highlight w:val="none"/>
          <w:lang w:val="en-US" w:eastAsia="zh-CN" w:bidi="ar-SA"/>
        </w:rPr>
        <w:t>并自行统计表述以下几项内容，</w:t>
      </w:r>
    </w:p>
    <w:p>
      <w:pPr>
        <w:widowControl w:val="0"/>
        <w:shd w:val="clear"/>
        <w:kinsoku/>
        <w:overflowPunct/>
        <w:bidi w:val="0"/>
        <w:snapToGrid w:val="0"/>
        <w:spacing w:line="360" w:lineRule="auto"/>
        <w:ind w:right="240"/>
        <w:rPr>
          <w:rFonts w:ascii="宋体" w:hAnsi="宋体"/>
          <w:color w:val="auto"/>
          <w:kern w:val="2"/>
          <w:sz w:val="21"/>
          <w:szCs w:val="22"/>
          <w:highlight w:val="none"/>
          <w:lang w:eastAsia="zh-CN" w:bidi="ar-SA"/>
        </w:rPr>
      </w:pPr>
    </w:p>
    <w:p>
      <w:pPr>
        <w:widowControl w:val="0"/>
        <w:shd w:val="clear"/>
        <w:kinsoku/>
        <w:overflowPunct/>
        <w:bidi w:val="0"/>
        <w:spacing w:line="360" w:lineRule="auto"/>
        <w:ind w:firstLine="422" w:firstLineChars="200"/>
        <w:jc w:val="both"/>
        <w:rPr>
          <w:rFonts w:hint="eastAsia" w:ascii="宋体" w:hAnsi="宋体"/>
          <w:b/>
          <w:bCs/>
          <w:color w:val="auto"/>
          <w:kern w:val="2"/>
          <w:szCs w:val="22"/>
          <w:highlight w:val="none"/>
          <w:lang w:val="en-US" w:eastAsia="zh-CN" w:bidi="ar-SA"/>
        </w:rPr>
      </w:pPr>
      <w:r>
        <w:rPr>
          <w:rFonts w:hint="eastAsia" w:ascii="宋体" w:hAnsi="宋体"/>
          <w:b/>
          <w:bCs/>
          <w:color w:val="auto"/>
          <w:kern w:val="2"/>
          <w:szCs w:val="22"/>
          <w:highlight w:val="none"/>
          <w:lang w:val="en-US" w:eastAsia="zh-CN" w:bidi="ar-SA"/>
        </w:rPr>
        <w:t>1.近3年盈利状况</w:t>
      </w:r>
    </w:p>
    <w:p>
      <w:pPr>
        <w:widowControl w:val="0"/>
        <w:shd w:val="clear"/>
        <w:kinsoku/>
        <w:overflowPunct/>
        <w:bidi w:val="0"/>
        <w:spacing w:line="360" w:lineRule="auto"/>
        <w:ind w:firstLine="422" w:firstLineChars="200"/>
        <w:jc w:val="both"/>
        <w:rPr>
          <w:rFonts w:hint="eastAsia" w:ascii="宋体" w:hAnsi="宋体"/>
          <w:b/>
          <w:bCs/>
          <w:color w:val="auto"/>
          <w:kern w:val="2"/>
          <w:szCs w:val="22"/>
          <w:highlight w:val="none"/>
          <w:lang w:val="en-US" w:eastAsia="zh-CN" w:bidi="ar-SA"/>
        </w:rPr>
      </w:pPr>
    </w:p>
    <w:p>
      <w:pPr>
        <w:widowControl w:val="0"/>
        <w:shd w:val="clear"/>
        <w:kinsoku/>
        <w:overflowPunct/>
        <w:bidi w:val="0"/>
        <w:spacing w:line="360" w:lineRule="auto"/>
        <w:ind w:firstLine="422" w:firstLineChars="200"/>
        <w:jc w:val="both"/>
        <w:rPr>
          <w:rFonts w:hint="eastAsia" w:ascii="宋体" w:hAnsi="宋体"/>
          <w:b/>
          <w:bCs/>
          <w:color w:val="auto"/>
          <w:kern w:val="2"/>
          <w:szCs w:val="22"/>
          <w:highlight w:val="none"/>
          <w:lang w:val="en-US" w:eastAsia="zh-CN" w:bidi="ar-SA"/>
        </w:rPr>
      </w:pPr>
      <w:r>
        <w:rPr>
          <w:rFonts w:hint="eastAsia" w:ascii="宋体" w:hAnsi="宋体"/>
          <w:b/>
          <w:bCs/>
          <w:color w:val="auto"/>
          <w:kern w:val="2"/>
          <w:szCs w:val="22"/>
          <w:highlight w:val="none"/>
          <w:lang w:val="en-US" w:eastAsia="zh-CN" w:bidi="ar-SA"/>
        </w:rPr>
        <w:t>2.近1年资产负债率</w:t>
      </w:r>
    </w:p>
    <w:p>
      <w:pPr>
        <w:widowControl w:val="0"/>
        <w:shd w:val="clear"/>
        <w:kinsoku/>
        <w:overflowPunct/>
        <w:bidi w:val="0"/>
        <w:spacing w:line="360" w:lineRule="auto"/>
        <w:ind w:firstLine="422" w:firstLineChars="200"/>
        <w:jc w:val="both"/>
        <w:rPr>
          <w:rFonts w:hint="eastAsia" w:ascii="宋体" w:hAnsi="宋体"/>
          <w:b/>
          <w:bCs/>
          <w:color w:val="auto"/>
          <w:kern w:val="2"/>
          <w:szCs w:val="22"/>
          <w:highlight w:val="none"/>
          <w:lang w:val="en-US" w:eastAsia="zh-CN" w:bidi="ar-SA"/>
        </w:rPr>
      </w:pPr>
    </w:p>
    <w:p>
      <w:pPr>
        <w:widowControl w:val="0"/>
        <w:shd w:val="clear"/>
        <w:kinsoku/>
        <w:overflowPunct/>
        <w:bidi w:val="0"/>
        <w:spacing w:line="360" w:lineRule="auto"/>
        <w:ind w:firstLine="422" w:firstLineChars="200"/>
        <w:jc w:val="both"/>
        <w:rPr>
          <w:rFonts w:hint="eastAsia" w:ascii="宋体" w:hAnsi="宋体"/>
          <w:b/>
          <w:bCs/>
          <w:color w:val="auto"/>
          <w:kern w:val="2"/>
          <w:szCs w:val="22"/>
          <w:highlight w:val="none"/>
          <w:lang w:val="en-US" w:eastAsia="zh-CN" w:bidi="ar-SA"/>
        </w:rPr>
      </w:pPr>
      <w:r>
        <w:rPr>
          <w:rFonts w:hint="eastAsia" w:ascii="宋体" w:hAnsi="宋体"/>
          <w:b/>
          <w:bCs/>
          <w:color w:val="auto"/>
          <w:kern w:val="2"/>
          <w:szCs w:val="22"/>
          <w:highlight w:val="none"/>
          <w:lang w:val="en-US" w:eastAsia="zh-CN" w:bidi="ar-SA"/>
        </w:rPr>
        <w:t>3.近3年现金流量情况</w:t>
      </w:r>
    </w:p>
    <w:p>
      <w:pPr>
        <w:shd w:val="clear"/>
        <w:kinsoku/>
        <w:overflowPunct/>
        <w:bidi w:val="0"/>
        <w:spacing w:line="360" w:lineRule="auto"/>
        <w:rPr>
          <w:color w:val="auto"/>
          <w:highlight w:val="none"/>
          <w:lang w:val="en-US" w:eastAsia="zh-CN"/>
        </w:rPr>
      </w:pPr>
    </w:p>
    <w:p>
      <w:pPr>
        <w:spacing w:line="367" w:lineRule="auto"/>
        <w:rPr>
          <w:rFonts w:hint="eastAsia" w:ascii="宋体" w:hAnsi="宋体" w:eastAsia="宋体" w:cs="宋体"/>
          <w:color w:val="auto"/>
          <w:sz w:val="21"/>
          <w:highlight w:val="none"/>
          <w:lang w:val="en-US" w:eastAsia="zh-CN"/>
        </w:rPr>
      </w:pPr>
      <w:r>
        <w:rPr>
          <w:rFonts w:hint="eastAsia" w:ascii="宋体" w:hAnsi="宋体"/>
          <w:b/>
          <w:color w:val="auto"/>
          <w:kern w:val="2"/>
          <w:sz w:val="21"/>
          <w:szCs w:val="22"/>
          <w:highlight w:val="none"/>
          <w:lang w:eastAsia="zh-CN" w:bidi="ar-SA"/>
        </w:rPr>
        <w:t>附件：投标人须提供经独立的会计师事务所审计的20</w:t>
      </w:r>
      <w:r>
        <w:rPr>
          <w:rFonts w:hint="eastAsia" w:ascii="宋体" w:hAnsi="宋体"/>
          <w:b/>
          <w:color w:val="auto"/>
          <w:kern w:val="2"/>
          <w:sz w:val="21"/>
          <w:szCs w:val="22"/>
          <w:highlight w:val="none"/>
          <w:lang w:val="en-US" w:eastAsia="zh-CN" w:bidi="ar-SA"/>
        </w:rPr>
        <w:t>20</w:t>
      </w:r>
      <w:r>
        <w:rPr>
          <w:rFonts w:hint="eastAsia" w:ascii="宋体" w:hAnsi="宋体"/>
          <w:b/>
          <w:color w:val="auto"/>
          <w:kern w:val="2"/>
          <w:sz w:val="21"/>
          <w:szCs w:val="22"/>
          <w:highlight w:val="none"/>
          <w:lang w:eastAsia="zh-CN" w:bidi="ar-SA"/>
        </w:rPr>
        <w:t>-202</w:t>
      </w:r>
      <w:r>
        <w:rPr>
          <w:rFonts w:hint="eastAsia" w:ascii="宋体" w:hAnsi="宋体"/>
          <w:b/>
          <w:color w:val="auto"/>
          <w:kern w:val="2"/>
          <w:sz w:val="21"/>
          <w:szCs w:val="22"/>
          <w:highlight w:val="none"/>
          <w:lang w:val="en-US" w:eastAsia="zh-CN" w:bidi="ar-SA"/>
        </w:rPr>
        <w:t>2</w:t>
      </w:r>
      <w:r>
        <w:rPr>
          <w:rFonts w:hint="eastAsia" w:ascii="宋体" w:hAnsi="宋体"/>
          <w:b/>
          <w:color w:val="auto"/>
          <w:kern w:val="2"/>
          <w:sz w:val="21"/>
          <w:szCs w:val="22"/>
          <w:highlight w:val="none"/>
          <w:lang w:eastAsia="zh-CN" w:bidi="ar-SA"/>
        </w:rPr>
        <w:t>年度报表及报表附注（含审计报告、资产负债表、利润表、现金流量表）。成立不足三年的提交自成立以来年度的报表，报表未委托审计的由投标人出具相关说明并加盖公章。</w:t>
      </w:r>
    </w:p>
    <w:p>
      <w:pPr>
        <w:spacing w:line="367" w:lineRule="auto"/>
        <w:rPr>
          <w:rFonts w:hint="eastAsia" w:ascii="宋体" w:hAnsi="宋体" w:eastAsia="宋体" w:cs="宋体"/>
          <w:color w:val="auto"/>
          <w:highlight w:val="none"/>
        </w:rPr>
      </w:pPr>
    </w:p>
    <w:p>
      <w:pPr>
        <w:rPr>
          <w:color w:val="auto"/>
          <w:highlight w:val="none"/>
        </w:rPr>
      </w:pPr>
      <w:r>
        <w:rPr>
          <w:color w:val="auto"/>
          <w:highlight w:val="none"/>
        </w:rPr>
        <w:br w:type="page"/>
      </w:r>
    </w:p>
    <w:p>
      <w:pPr>
        <w:pStyle w:val="4"/>
        <w:numPr>
          <w:ilvl w:val="0"/>
          <w:numId w:val="0"/>
        </w:numPr>
        <w:jc w:val="both"/>
        <w:rPr>
          <w:rFonts w:hint="default"/>
          <w:color w:val="auto"/>
          <w:highlight w:val="none"/>
          <w:lang w:val="en-US"/>
        </w:rPr>
      </w:pPr>
      <w:r>
        <w:rPr>
          <w:rFonts w:hint="eastAsia" w:cs="Times New Roman"/>
          <w:b/>
          <w:bCs/>
          <w:color w:val="auto"/>
          <w:kern w:val="2"/>
          <w:sz w:val="30"/>
          <w:szCs w:val="32"/>
          <w:highlight w:val="none"/>
          <w:lang w:val="en-US" w:eastAsia="zh-CN" w:bidi="ar-SA"/>
        </w:rPr>
        <w:t>十八、企业管理体系(提供证件需在有效期内)</w:t>
      </w:r>
    </w:p>
    <w:p>
      <w:pPr>
        <w:rPr>
          <w:color w:val="auto"/>
          <w:highlight w:val="none"/>
        </w:rPr>
      </w:pPr>
      <w:r>
        <w:rPr>
          <w:color w:val="auto"/>
          <w:highlight w:val="none"/>
        </w:rPr>
        <w:br w:type="page"/>
      </w:r>
    </w:p>
    <w:p>
      <w:pPr>
        <w:pStyle w:val="18"/>
        <w:rPr>
          <w:color w:val="auto"/>
          <w:highlight w:val="none"/>
        </w:rPr>
      </w:pPr>
    </w:p>
    <w:p>
      <w:pPr>
        <w:pStyle w:val="4"/>
        <w:numPr>
          <w:ilvl w:val="0"/>
          <w:numId w:val="0"/>
        </w:numPr>
        <w:jc w:val="both"/>
        <w:rPr>
          <w:rFonts w:hint="default"/>
          <w:color w:val="auto"/>
          <w:highlight w:val="none"/>
          <w:lang w:val="en-US"/>
        </w:rPr>
      </w:pPr>
      <w:r>
        <w:rPr>
          <w:rFonts w:hint="eastAsia" w:cs="Times New Roman"/>
          <w:b/>
          <w:bCs/>
          <w:color w:val="auto"/>
          <w:kern w:val="2"/>
          <w:sz w:val="30"/>
          <w:szCs w:val="32"/>
          <w:highlight w:val="none"/>
          <w:lang w:val="en-US" w:eastAsia="zh-CN" w:bidi="ar-SA"/>
        </w:rPr>
        <w:t>十九、科技创新评价(需提供科技创新企业证书或证明)</w:t>
      </w:r>
    </w:p>
    <w:p>
      <w:pPr>
        <w:rPr>
          <w:color w:val="auto"/>
          <w:highlight w:val="none"/>
        </w:rPr>
      </w:pPr>
      <w:r>
        <w:rPr>
          <w:color w:val="auto"/>
          <w:highlight w:val="none"/>
        </w:rPr>
        <w:br w:type="page"/>
      </w:r>
    </w:p>
    <w:p>
      <w:pPr>
        <w:pStyle w:val="18"/>
        <w:rPr>
          <w:color w:val="auto"/>
          <w:highlight w:val="none"/>
        </w:rPr>
      </w:pPr>
    </w:p>
    <w:p>
      <w:pPr>
        <w:pStyle w:val="4"/>
        <w:numPr>
          <w:ilvl w:val="0"/>
          <w:numId w:val="0"/>
        </w:numPr>
        <w:jc w:val="both"/>
        <w:rPr>
          <w:rFonts w:hint="default"/>
          <w:color w:val="auto"/>
          <w:highlight w:val="none"/>
          <w:lang w:val="en-US"/>
        </w:rPr>
      </w:pPr>
      <w:r>
        <w:rPr>
          <w:rFonts w:hint="eastAsia" w:cs="Times New Roman"/>
          <w:b/>
          <w:bCs/>
          <w:color w:val="auto"/>
          <w:kern w:val="2"/>
          <w:sz w:val="30"/>
          <w:szCs w:val="32"/>
          <w:highlight w:val="none"/>
          <w:lang w:val="en-US" w:eastAsia="zh-CN" w:bidi="ar-SA"/>
        </w:rPr>
        <w:t>二十、其他</w:t>
      </w:r>
    </w:p>
    <w:p>
      <w:pPr>
        <w:spacing w:before="177" w:line="220" w:lineRule="auto"/>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w:t>
      </w:r>
      <w:r>
        <w:rPr>
          <w:rFonts w:ascii="宋体" w:hAnsi="宋体" w:eastAsia="宋体" w:cs="宋体"/>
          <w:color w:val="auto"/>
          <w:spacing w:val="2"/>
          <w:sz w:val="21"/>
          <w:szCs w:val="21"/>
          <w:highlight w:val="none"/>
        </w:rPr>
        <w:t>近年发生的诉讼及仲裁情况(附2021年至今发生的诉讼及仲裁情况说明)</w:t>
      </w:r>
    </w:p>
    <w:p>
      <w:pPr>
        <w:spacing w:before="157" w:line="220" w:lineRule="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2、投标单位认为</w:t>
      </w:r>
      <w:r>
        <w:rPr>
          <w:rFonts w:ascii="宋体" w:hAnsi="宋体" w:eastAsia="宋体" w:cs="宋体"/>
          <w:color w:val="auto"/>
          <w:sz w:val="21"/>
          <w:szCs w:val="21"/>
          <w:highlight w:val="none"/>
        </w:rPr>
        <w:t>需提供的其他材料</w:t>
      </w:r>
    </w:p>
    <w:p>
      <w:pPr>
        <w:rPr>
          <w:rFonts w:hint="eastAsia" w:ascii="宋体" w:hAnsi="宋体" w:cs="黑体"/>
          <w:color w:val="auto"/>
          <w:kern w:val="0"/>
          <w:sz w:val="28"/>
          <w:szCs w:val="28"/>
          <w:highlight w:val="none"/>
          <w:u w:val="single"/>
        </w:rPr>
      </w:pPr>
      <w:r>
        <w:rPr>
          <w:rFonts w:hint="eastAsia" w:ascii="宋体" w:hAnsi="宋体" w:cs="黑体"/>
          <w:color w:val="auto"/>
          <w:kern w:val="0"/>
          <w:sz w:val="28"/>
          <w:szCs w:val="28"/>
          <w:highlight w:val="none"/>
          <w:u w:val="single"/>
        </w:rPr>
        <w:br w:type="page"/>
      </w:r>
    </w:p>
    <w:p>
      <w:pPr>
        <w:pStyle w:val="16"/>
        <w:rPr>
          <w:rFonts w:hint="eastAsia"/>
          <w:color w:val="auto"/>
          <w:highlight w:val="none"/>
        </w:rPr>
      </w:pPr>
    </w:p>
    <w:p>
      <w:pPr>
        <w:autoSpaceDE w:val="0"/>
        <w:autoSpaceDN w:val="0"/>
        <w:adjustRightInd w:val="0"/>
        <w:spacing w:line="360" w:lineRule="auto"/>
        <w:rPr>
          <w:rFonts w:hint="eastAsia" w:ascii="宋体" w:hAnsi="宋体" w:cs="黑体"/>
          <w:color w:val="auto"/>
          <w:kern w:val="0"/>
          <w:sz w:val="28"/>
          <w:szCs w:val="28"/>
          <w:highlight w:val="none"/>
          <w:u w:val="none"/>
        </w:rPr>
      </w:pPr>
      <w:r>
        <w:rPr>
          <w:rFonts w:hint="eastAsia" w:ascii="宋体" w:hAnsi="宋体"/>
          <w:color w:val="auto"/>
          <w:sz w:val="24"/>
          <w:szCs w:val="24"/>
          <w:highlight w:val="none"/>
          <w:u w:val="none"/>
        </w:rPr>
        <w:t>招标编号：</w:t>
      </w:r>
      <w:r>
        <w:rPr>
          <w:rFonts w:hint="eastAsia" w:ascii="宋体" w:hAnsi="宋体" w:cs="黑体"/>
          <w:color w:val="auto"/>
          <w:kern w:val="0"/>
          <w:sz w:val="28"/>
          <w:szCs w:val="28"/>
          <w:highlight w:val="none"/>
          <w:u w:val="none"/>
        </w:rPr>
        <w:t xml:space="preserve">                                            </w:t>
      </w:r>
    </w:p>
    <w:p>
      <w:pPr>
        <w:tabs>
          <w:tab w:val="left" w:pos="2127"/>
        </w:tabs>
        <w:autoSpaceDE w:val="0"/>
        <w:autoSpaceDN w:val="0"/>
        <w:adjustRightInd w:val="0"/>
        <w:spacing w:line="360" w:lineRule="auto"/>
        <w:jc w:val="center"/>
        <w:rPr>
          <w:rFonts w:hint="eastAsia" w:ascii="宋体" w:hAnsi="宋体" w:cs="黑体"/>
          <w:color w:val="auto"/>
          <w:kern w:val="0"/>
          <w:sz w:val="28"/>
          <w:szCs w:val="28"/>
          <w:highlight w:val="none"/>
          <w:u w:val="single"/>
        </w:rPr>
      </w:pPr>
    </w:p>
    <w:p>
      <w:pPr>
        <w:tabs>
          <w:tab w:val="left" w:pos="2127"/>
        </w:tabs>
        <w:autoSpaceDE w:val="0"/>
        <w:autoSpaceDN w:val="0"/>
        <w:adjustRightInd w:val="0"/>
        <w:spacing w:line="360" w:lineRule="auto"/>
        <w:jc w:val="center"/>
        <w:rPr>
          <w:rFonts w:hint="eastAsia" w:ascii="宋体" w:hAnsi="宋体" w:cs="黑体"/>
          <w:color w:val="auto"/>
          <w:kern w:val="0"/>
          <w:sz w:val="28"/>
          <w:szCs w:val="28"/>
          <w:highlight w:val="none"/>
          <w:u w:val="single"/>
        </w:rPr>
      </w:pPr>
      <w:r>
        <w:rPr>
          <w:rFonts w:hint="eastAsia" w:ascii="宋体" w:hAnsi="宋体" w:cs="黑体"/>
          <w:color w:val="auto"/>
          <w:kern w:val="0"/>
          <w:sz w:val="28"/>
          <w:szCs w:val="28"/>
          <w:highlight w:val="none"/>
          <w:u w:val="single"/>
        </w:rPr>
        <w:t xml:space="preserve">   （项目名称） </w:t>
      </w:r>
    </w:p>
    <w:p>
      <w:pPr>
        <w:tabs>
          <w:tab w:val="left" w:pos="2127"/>
        </w:tabs>
        <w:autoSpaceDE w:val="0"/>
        <w:autoSpaceDN w:val="0"/>
        <w:adjustRightInd w:val="0"/>
        <w:spacing w:line="360" w:lineRule="auto"/>
        <w:jc w:val="center"/>
        <w:rPr>
          <w:rFonts w:hint="eastAsia" w:ascii="宋体" w:hAnsi="宋体" w:cs="黑体"/>
          <w:color w:val="auto"/>
          <w:kern w:val="0"/>
          <w:sz w:val="28"/>
          <w:szCs w:val="28"/>
          <w:highlight w:val="none"/>
          <w:u w:val="single"/>
        </w:rPr>
      </w:pPr>
    </w:p>
    <w:p>
      <w:pPr>
        <w:tabs>
          <w:tab w:val="left" w:pos="2127"/>
        </w:tabs>
        <w:autoSpaceDE w:val="0"/>
        <w:autoSpaceDN w:val="0"/>
        <w:adjustRightInd w:val="0"/>
        <w:spacing w:line="360" w:lineRule="auto"/>
        <w:jc w:val="both"/>
        <w:rPr>
          <w:rFonts w:ascii="宋体" w:hAnsi="宋体" w:cs="黑体"/>
          <w:color w:val="auto"/>
          <w:kern w:val="0"/>
          <w:sz w:val="28"/>
          <w:szCs w:val="28"/>
          <w:highlight w:val="none"/>
        </w:rPr>
      </w:pPr>
    </w:p>
    <w:p>
      <w:pPr>
        <w:tabs>
          <w:tab w:val="left" w:pos="2127"/>
        </w:tabs>
        <w:autoSpaceDE w:val="0"/>
        <w:autoSpaceDN w:val="0"/>
        <w:adjustRightInd w:val="0"/>
        <w:spacing w:line="360" w:lineRule="auto"/>
        <w:jc w:val="center"/>
        <w:rPr>
          <w:rFonts w:ascii="宋体" w:hAnsi="宋体" w:cs="黑体"/>
          <w:color w:val="auto"/>
          <w:kern w:val="0"/>
          <w:sz w:val="44"/>
          <w:szCs w:val="44"/>
          <w:highlight w:val="none"/>
        </w:rPr>
      </w:pPr>
      <w:r>
        <w:rPr>
          <w:rFonts w:hint="eastAsia" w:ascii="宋体" w:hAnsi="宋体" w:cs="黑体"/>
          <w:color w:val="auto"/>
          <w:kern w:val="0"/>
          <w:sz w:val="44"/>
          <w:szCs w:val="44"/>
          <w:highlight w:val="none"/>
          <w:lang w:val="en-US" w:eastAsia="zh-CN"/>
        </w:rPr>
        <w:t xml:space="preserve">电 子 </w:t>
      </w:r>
      <w:r>
        <w:rPr>
          <w:rFonts w:hint="eastAsia" w:ascii="宋体" w:hAnsi="宋体" w:cs="黑体"/>
          <w:color w:val="auto"/>
          <w:kern w:val="0"/>
          <w:sz w:val="44"/>
          <w:szCs w:val="44"/>
          <w:highlight w:val="none"/>
        </w:rPr>
        <w:t>投</w:t>
      </w:r>
      <w:r>
        <w:rPr>
          <w:rFonts w:ascii="宋体" w:hAnsi="宋体" w:cs="黑体"/>
          <w:color w:val="auto"/>
          <w:kern w:val="0"/>
          <w:sz w:val="44"/>
          <w:szCs w:val="44"/>
          <w:highlight w:val="none"/>
        </w:rPr>
        <w:t xml:space="preserve"> </w:t>
      </w:r>
      <w:r>
        <w:rPr>
          <w:rFonts w:hint="eastAsia" w:ascii="宋体" w:hAnsi="宋体" w:cs="黑体"/>
          <w:color w:val="auto"/>
          <w:kern w:val="0"/>
          <w:sz w:val="44"/>
          <w:szCs w:val="44"/>
          <w:highlight w:val="none"/>
        </w:rPr>
        <w:t>标</w:t>
      </w:r>
      <w:r>
        <w:rPr>
          <w:rFonts w:ascii="宋体" w:hAnsi="宋体" w:cs="黑体"/>
          <w:color w:val="auto"/>
          <w:kern w:val="0"/>
          <w:sz w:val="44"/>
          <w:szCs w:val="44"/>
          <w:highlight w:val="none"/>
        </w:rPr>
        <w:t xml:space="preserve"> </w:t>
      </w:r>
      <w:r>
        <w:rPr>
          <w:rFonts w:hint="eastAsia" w:ascii="宋体" w:hAnsi="宋体" w:cs="黑体"/>
          <w:color w:val="auto"/>
          <w:kern w:val="0"/>
          <w:sz w:val="44"/>
          <w:szCs w:val="44"/>
          <w:highlight w:val="none"/>
        </w:rPr>
        <w:t>文</w:t>
      </w:r>
      <w:r>
        <w:rPr>
          <w:rFonts w:ascii="宋体" w:hAnsi="宋体" w:cs="黑体"/>
          <w:color w:val="auto"/>
          <w:kern w:val="0"/>
          <w:sz w:val="44"/>
          <w:szCs w:val="44"/>
          <w:highlight w:val="none"/>
        </w:rPr>
        <w:t xml:space="preserve"> </w:t>
      </w:r>
      <w:r>
        <w:rPr>
          <w:rFonts w:hint="eastAsia" w:ascii="宋体" w:hAnsi="宋体" w:cs="黑体"/>
          <w:color w:val="auto"/>
          <w:kern w:val="0"/>
          <w:sz w:val="44"/>
          <w:szCs w:val="44"/>
          <w:highlight w:val="none"/>
        </w:rPr>
        <w:t>件</w:t>
      </w:r>
    </w:p>
    <w:p>
      <w:pPr>
        <w:tabs>
          <w:tab w:val="left" w:pos="2127"/>
        </w:tabs>
        <w:autoSpaceDE w:val="0"/>
        <w:autoSpaceDN w:val="0"/>
        <w:adjustRightInd w:val="0"/>
        <w:spacing w:line="360" w:lineRule="auto"/>
        <w:jc w:val="center"/>
        <w:rPr>
          <w:rFonts w:ascii="宋体" w:hAnsi="宋体" w:cs="黑体"/>
          <w:color w:val="auto"/>
          <w:kern w:val="0"/>
          <w:sz w:val="44"/>
          <w:szCs w:val="44"/>
          <w:highlight w:val="none"/>
        </w:rPr>
      </w:pPr>
    </w:p>
    <w:p>
      <w:pPr>
        <w:tabs>
          <w:tab w:val="left" w:pos="2127"/>
        </w:tabs>
        <w:autoSpaceDE w:val="0"/>
        <w:autoSpaceDN w:val="0"/>
        <w:adjustRightInd w:val="0"/>
        <w:spacing w:line="360" w:lineRule="auto"/>
        <w:jc w:val="center"/>
        <w:rPr>
          <w:rFonts w:ascii="宋体" w:hAnsi="宋体" w:cs="黑体"/>
          <w:color w:val="auto"/>
          <w:kern w:val="0"/>
          <w:sz w:val="28"/>
          <w:szCs w:val="28"/>
          <w:highlight w:val="none"/>
        </w:rPr>
      </w:pPr>
    </w:p>
    <w:p>
      <w:pPr>
        <w:tabs>
          <w:tab w:val="left" w:pos="2127"/>
        </w:tabs>
        <w:autoSpaceDE w:val="0"/>
        <w:autoSpaceDN w:val="0"/>
        <w:adjustRightInd w:val="0"/>
        <w:spacing w:line="360" w:lineRule="auto"/>
        <w:jc w:val="center"/>
        <w:rPr>
          <w:rFonts w:ascii="宋体" w:hAnsi="宋体" w:cs="黑体"/>
          <w:color w:val="auto"/>
          <w:kern w:val="0"/>
          <w:sz w:val="44"/>
          <w:szCs w:val="44"/>
          <w:highlight w:val="none"/>
        </w:rPr>
      </w:pPr>
    </w:p>
    <w:p>
      <w:pPr>
        <w:tabs>
          <w:tab w:val="left" w:pos="2127"/>
        </w:tabs>
        <w:autoSpaceDE w:val="0"/>
        <w:autoSpaceDN w:val="0"/>
        <w:adjustRightInd w:val="0"/>
        <w:spacing w:line="360" w:lineRule="auto"/>
        <w:jc w:val="center"/>
        <w:outlineLvl w:val="1"/>
        <w:rPr>
          <w:rFonts w:ascii="宋体" w:hAnsi="宋体" w:cs="黑体"/>
          <w:color w:val="auto"/>
          <w:kern w:val="0"/>
          <w:sz w:val="44"/>
          <w:szCs w:val="44"/>
          <w:highlight w:val="none"/>
        </w:rPr>
      </w:pPr>
      <w:bookmarkStart w:id="2229" w:name="_Toc21134"/>
      <w:bookmarkStart w:id="2230" w:name="_Toc23127"/>
      <w:r>
        <w:rPr>
          <w:rFonts w:hint="eastAsia" w:ascii="宋体" w:hAnsi="宋体" w:cs="黑体"/>
          <w:color w:val="auto"/>
          <w:kern w:val="0"/>
          <w:sz w:val="44"/>
          <w:szCs w:val="44"/>
          <w:highlight w:val="none"/>
        </w:rPr>
        <w:t>2.技术文件</w:t>
      </w:r>
      <w:bookmarkEnd w:id="2229"/>
      <w:bookmarkEnd w:id="2230"/>
    </w:p>
    <w:p>
      <w:pPr>
        <w:tabs>
          <w:tab w:val="left" w:pos="2127"/>
        </w:tabs>
        <w:autoSpaceDE w:val="0"/>
        <w:autoSpaceDN w:val="0"/>
        <w:adjustRightInd w:val="0"/>
        <w:spacing w:line="360" w:lineRule="auto"/>
        <w:rPr>
          <w:rFonts w:ascii="宋体" w:hAnsi="宋体" w:cs="黑体"/>
          <w:color w:val="auto"/>
          <w:kern w:val="0"/>
          <w:sz w:val="44"/>
          <w:szCs w:val="44"/>
          <w:highlight w:val="none"/>
        </w:rPr>
      </w:pPr>
    </w:p>
    <w:p>
      <w:pPr>
        <w:tabs>
          <w:tab w:val="left" w:pos="2127"/>
        </w:tabs>
        <w:autoSpaceDE w:val="0"/>
        <w:autoSpaceDN w:val="0"/>
        <w:adjustRightInd w:val="0"/>
        <w:spacing w:line="360" w:lineRule="auto"/>
        <w:jc w:val="center"/>
        <w:rPr>
          <w:rFonts w:ascii="宋体" w:hAnsi="宋体" w:cs="黑体"/>
          <w:color w:val="auto"/>
          <w:kern w:val="0"/>
          <w:sz w:val="44"/>
          <w:szCs w:val="44"/>
          <w:highlight w:val="none"/>
        </w:rPr>
      </w:pPr>
    </w:p>
    <w:p>
      <w:pPr>
        <w:tabs>
          <w:tab w:val="left" w:pos="2127"/>
        </w:tabs>
        <w:autoSpaceDE w:val="0"/>
        <w:autoSpaceDN w:val="0"/>
        <w:adjustRightInd w:val="0"/>
        <w:spacing w:line="360" w:lineRule="auto"/>
        <w:jc w:val="center"/>
        <w:rPr>
          <w:rFonts w:ascii="宋体" w:hAnsi="宋体" w:cs="黑体"/>
          <w:color w:val="auto"/>
          <w:kern w:val="0"/>
          <w:sz w:val="44"/>
          <w:szCs w:val="44"/>
          <w:highlight w:val="none"/>
        </w:rPr>
      </w:pPr>
    </w:p>
    <w:p>
      <w:pPr>
        <w:tabs>
          <w:tab w:val="left" w:pos="2127"/>
        </w:tabs>
        <w:autoSpaceDE w:val="0"/>
        <w:autoSpaceDN w:val="0"/>
        <w:adjustRightInd w:val="0"/>
        <w:spacing w:line="360" w:lineRule="auto"/>
        <w:jc w:val="center"/>
        <w:rPr>
          <w:rFonts w:ascii="宋体" w:hAnsi="宋体" w:cs="黑体"/>
          <w:color w:val="auto"/>
          <w:kern w:val="0"/>
          <w:sz w:val="44"/>
          <w:szCs w:val="44"/>
          <w:highlight w:val="none"/>
        </w:rPr>
      </w:pPr>
    </w:p>
    <w:p>
      <w:pPr>
        <w:tabs>
          <w:tab w:val="left" w:pos="2127"/>
        </w:tabs>
        <w:autoSpaceDE w:val="0"/>
        <w:autoSpaceDN w:val="0"/>
        <w:adjustRightInd w:val="0"/>
        <w:spacing w:line="360" w:lineRule="auto"/>
        <w:jc w:val="center"/>
        <w:rPr>
          <w:rFonts w:ascii="宋体" w:hAnsi="宋体" w:cs="黑体"/>
          <w:color w:val="auto"/>
          <w:kern w:val="0"/>
          <w:sz w:val="44"/>
          <w:szCs w:val="44"/>
          <w:highlight w:val="none"/>
        </w:rPr>
      </w:pPr>
    </w:p>
    <w:p>
      <w:pPr>
        <w:tabs>
          <w:tab w:val="left" w:pos="2127"/>
        </w:tabs>
        <w:autoSpaceDE w:val="0"/>
        <w:autoSpaceDN w:val="0"/>
        <w:adjustRightInd w:val="0"/>
        <w:spacing w:line="360" w:lineRule="auto"/>
        <w:jc w:val="center"/>
        <w:rPr>
          <w:rFonts w:ascii="宋体" w:hAnsi="宋体" w:cs="黑体"/>
          <w:color w:val="auto"/>
          <w:kern w:val="0"/>
          <w:sz w:val="44"/>
          <w:szCs w:val="44"/>
          <w:highlight w:val="none"/>
        </w:rPr>
      </w:pPr>
    </w:p>
    <w:p>
      <w:pPr>
        <w:tabs>
          <w:tab w:val="left" w:pos="2127"/>
        </w:tabs>
        <w:autoSpaceDE w:val="0"/>
        <w:autoSpaceDN w:val="0"/>
        <w:adjustRightInd w:val="0"/>
        <w:spacing w:line="360" w:lineRule="auto"/>
        <w:jc w:val="center"/>
        <w:rPr>
          <w:rFonts w:ascii="宋体" w:hAnsi="宋体" w:cs="黑体"/>
          <w:color w:val="auto"/>
          <w:kern w:val="0"/>
          <w:sz w:val="44"/>
          <w:szCs w:val="44"/>
          <w:highlight w:val="none"/>
        </w:rPr>
      </w:pPr>
    </w:p>
    <w:p>
      <w:pPr>
        <w:tabs>
          <w:tab w:val="left" w:pos="2127"/>
        </w:tabs>
        <w:autoSpaceDE w:val="0"/>
        <w:autoSpaceDN w:val="0"/>
        <w:adjustRightInd w:val="0"/>
        <w:spacing w:line="360" w:lineRule="auto"/>
        <w:jc w:val="center"/>
        <w:rPr>
          <w:rFonts w:ascii="宋体" w:hAnsi="宋体" w:cs="黑体"/>
          <w:color w:val="auto"/>
          <w:kern w:val="0"/>
          <w:sz w:val="28"/>
          <w:szCs w:val="28"/>
          <w:highlight w:val="none"/>
        </w:rPr>
      </w:pPr>
      <w:r>
        <w:rPr>
          <w:rFonts w:hint="eastAsia" w:ascii="宋体" w:hAnsi="宋体" w:cs="黑体"/>
          <w:color w:val="auto"/>
          <w:kern w:val="0"/>
          <w:sz w:val="28"/>
          <w:szCs w:val="28"/>
          <w:highlight w:val="none"/>
        </w:rPr>
        <w:t>投标人：</w:t>
      </w:r>
      <w:r>
        <w:rPr>
          <w:rFonts w:hint="eastAsia" w:ascii="宋体" w:hAnsi="宋体" w:cs="黑体"/>
          <w:color w:val="auto"/>
          <w:kern w:val="0"/>
          <w:sz w:val="28"/>
          <w:szCs w:val="28"/>
          <w:highlight w:val="none"/>
          <w:u w:val="single"/>
        </w:rPr>
        <w:t xml:space="preserve">                        </w:t>
      </w:r>
      <w:r>
        <w:rPr>
          <w:rFonts w:hint="eastAsia" w:ascii="宋体" w:hAnsi="宋体" w:cs="黑体"/>
          <w:color w:val="auto"/>
          <w:kern w:val="0"/>
          <w:sz w:val="28"/>
          <w:szCs w:val="28"/>
          <w:highlight w:val="none"/>
        </w:rPr>
        <w:t>（盖公章或电子</w:t>
      </w:r>
      <w:r>
        <w:rPr>
          <w:rFonts w:hint="eastAsia" w:ascii="宋体" w:hAnsi="宋体" w:cs="黑体"/>
          <w:color w:val="auto"/>
          <w:kern w:val="0"/>
          <w:sz w:val="28"/>
          <w:szCs w:val="28"/>
          <w:highlight w:val="none"/>
          <w:lang w:val="en-US" w:eastAsia="zh-CN"/>
        </w:rPr>
        <w:t>印</w:t>
      </w:r>
      <w:r>
        <w:rPr>
          <w:rFonts w:hint="eastAsia" w:ascii="宋体" w:hAnsi="宋体" w:cs="黑体"/>
          <w:color w:val="auto"/>
          <w:kern w:val="0"/>
          <w:sz w:val="28"/>
          <w:szCs w:val="28"/>
          <w:highlight w:val="none"/>
        </w:rPr>
        <w:t>章）</w:t>
      </w:r>
    </w:p>
    <w:p>
      <w:pPr>
        <w:tabs>
          <w:tab w:val="left" w:pos="2127"/>
        </w:tabs>
        <w:autoSpaceDE w:val="0"/>
        <w:autoSpaceDN w:val="0"/>
        <w:adjustRightInd w:val="0"/>
        <w:spacing w:line="360" w:lineRule="auto"/>
        <w:jc w:val="center"/>
        <w:rPr>
          <w:rFonts w:ascii="宋体" w:hAnsi="宋体" w:cs="黑体"/>
          <w:color w:val="auto"/>
          <w:kern w:val="0"/>
          <w:sz w:val="28"/>
          <w:szCs w:val="28"/>
          <w:highlight w:val="none"/>
        </w:rPr>
      </w:pPr>
      <w:r>
        <w:rPr>
          <w:rFonts w:hint="eastAsia" w:ascii="宋体" w:hAnsi="宋体" w:cs="黑体"/>
          <w:color w:val="auto"/>
          <w:kern w:val="0"/>
          <w:sz w:val="28"/>
          <w:szCs w:val="28"/>
          <w:highlight w:val="none"/>
          <w:u w:val="single"/>
        </w:rPr>
        <w:t xml:space="preserve">    </w:t>
      </w:r>
      <w:r>
        <w:rPr>
          <w:rFonts w:hint="eastAsia" w:ascii="宋体" w:hAnsi="宋体" w:cs="黑体"/>
          <w:color w:val="auto"/>
          <w:kern w:val="0"/>
          <w:sz w:val="28"/>
          <w:szCs w:val="28"/>
          <w:highlight w:val="none"/>
        </w:rPr>
        <w:t>年</w:t>
      </w:r>
      <w:r>
        <w:rPr>
          <w:rFonts w:hint="eastAsia" w:ascii="宋体" w:hAnsi="宋体" w:cs="黑体"/>
          <w:color w:val="auto"/>
          <w:kern w:val="0"/>
          <w:sz w:val="28"/>
          <w:szCs w:val="28"/>
          <w:highlight w:val="none"/>
          <w:u w:val="single"/>
        </w:rPr>
        <w:t xml:space="preserve">    </w:t>
      </w:r>
      <w:r>
        <w:rPr>
          <w:rFonts w:hint="eastAsia" w:ascii="宋体" w:hAnsi="宋体" w:cs="黑体"/>
          <w:color w:val="auto"/>
          <w:kern w:val="0"/>
          <w:sz w:val="28"/>
          <w:szCs w:val="28"/>
          <w:highlight w:val="none"/>
        </w:rPr>
        <w:t>月</w:t>
      </w:r>
      <w:r>
        <w:rPr>
          <w:rFonts w:hint="eastAsia" w:ascii="宋体" w:hAnsi="宋体" w:cs="黑体"/>
          <w:color w:val="auto"/>
          <w:kern w:val="0"/>
          <w:sz w:val="28"/>
          <w:szCs w:val="28"/>
          <w:highlight w:val="none"/>
          <w:u w:val="single"/>
        </w:rPr>
        <w:t xml:space="preserve">    </w:t>
      </w:r>
      <w:r>
        <w:rPr>
          <w:rFonts w:hint="eastAsia" w:ascii="宋体" w:hAnsi="宋体" w:cs="黑体"/>
          <w:color w:val="auto"/>
          <w:kern w:val="0"/>
          <w:sz w:val="28"/>
          <w:szCs w:val="28"/>
          <w:highlight w:val="none"/>
        </w:rPr>
        <w:t>日</w:t>
      </w:r>
    </w:p>
    <w:p>
      <w:pPr>
        <w:rPr>
          <w:color w:val="auto"/>
          <w:highlight w:val="none"/>
        </w:rPr>
      </w:pPr>
      <w:r>
        <w:rPr>
          <w:color w:val="auto"/>
          <w:highlight w:val="none"/>
        </w:rPr>
        <w:br w:type="page"/>
      </w:r>
      <w:bookmarkStart w:id="2231" w:name="_Toc484792251"/>
      <w:bookmarkStart w:id="2232" w:name="_Toc23271"/>
    </w:p>
    <w:p>
      <w:pPr>
        <w:pStyle w:val="16"/>
        <w:jc w:val="center"/>
        <w:rPr>
          <w:rFonts w:hint="eastAsia"/>
          <w:b/>
          <w:bCs/>
          <w:color w:val="auto"/>
          <w:sz w:val="32"/>
          <w:szCs w:val="28"/>
          <w:highlight w:val="none"/>
        </w:rPr>
      </w:pPr>
      <w:r>
        <w:rPr>
          <w:rFonts w:hint="eastAsia"/>
          <w:b/>
          <w:bCs/>
          <w:color w:val="auto"/>
          <w:sz w:val="32"/>
          <w:szCs w:val="28"/>
          <w:highlight w:val="none"/>
        </w:rPr>
        <w:t>技术文件编制人员签署页</w:t>
      </w:r>
    </w:p>
    <w:p>
      <w:pPr>
        <w:spacing w:before="68" w:line="221" w:lineRule="auto"/>
        <w:ind w:left="437"/>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1、编制人(签名</w:t>
      </w:r>
      <w:r>
        <w:rPr>
          <w:rFonts w:ascii="宋体" w:hAnsi="宋体" w:eastAsia="宋体" w:cs="宋体"/>
          <w:color w:val="auto"/>
          <w:spacing w:val="7"/>
          <w:sz w:val="21"/>
          <w:szCs w:val="21"/>
          <w:highlight w:val="none"/>
        </w:rPr>
        <w:t>)</w:t>
      </w:r>
    </w:p>
    <w:p>
      <w:pPr>
        <w:spacing w:line="248" w:lineRule="auto"/>
        <w:rPr>
          <w:rFonts w:ascii="Arial"/>
          <w:color w:val="auto"/>
          <w:sz w:val="21"/>
          <w:highlight w:val="none"/>
        </w:rPr>
      </w:pPr>
    </w:p>
    <w:p>
      <w:pPr>
        <w:spacing w:line="248" w:lineRule="auto"/>
        <w:rPr>
          <w:rFonts w:ascii="Arial"/>
          <w:color w:val="auto"/>
          <w:sz w:val="21"/>
          <w:highlight w:val="none"/>
        </w:rPr>
      </w:pPr>
    </w:p>
    <w:p>
      <w:pPr>
        <w:spacing w:before="68" w:line="221" w:lineRule="auto"/>
        <w:ind w:left="426"/>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2</w:t>
      </w:r>
      <w:r>
        <w:rPr>
          <w:rFonts w:ascii="宋体" w:hAnsi="宋体" w:eastAsia="宋体" w:cs="宋体"/>
          <w:color w:val="auto"/>
          <w:spacing w:val="9"/>
          <w:sz w:val="21"/>
          <w:szCs w:val="21"/>
          <w:highlight w:val="none"/>
        </w:rPr>
        <w:t>、审核人(签名)</w:t>
      </w:r>
    </w:p>
    <w:p>
      <w:pPr>
        <w:spacing w:line="246" w:lineRule="auto"/>
        <w:rPr>
          <w:rFonts w:ascii="Arial"/>
          <w:color w:val="auto"/>
          <w:sz w:val="21"/>
          <w:highlight w:val="none"/>
        </w:rPr>
      </w:pPr>
    </w:p>
    <w:p>
      <w:pPr>
        <w:spacing w:line="247" w:lineRule="auto"/>
        <w:rPr>
          <w:rFonts w:ascii="Arial"/>
          <w:color w:val="auto"/>
          <w:sz w:val="21"/>
          <w:highlight w:val="none"/>
        </w:rPr>
      </w:pPr>
    </w:p>
    <w:p>
      <w:pPr>
        <w:spacing w:before="69" w:line="222" w:lineRule="auto"/>
        <w:ind w:left="42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3、批准人(签名)</w:t>
      </w:r>
    </w:p>
    <w:p>
      <w:pPr>
        <w:rPr>
          <w:color w:val="auto"/>
          <w:highlight w:val="none"/>
        </w:rPr>
      </w:pPr>
      <w:r>
        <w:rPr>
          <w:color w:val="auto"/>
          <w:highlight w:val="none"/>
        </w:rPr>
        <w:br w:type="page"/>
      </w:r>
    </w:p>
    <w:p>
      <w:pPr>
        <w:spacing w:before="315" w:line="222" w:lineRule="auto"/>
        <w:ind w:left="4368"/>
        <w:rPr>
          <w:rFonts w:ascii="宋体" w:hAnsi="宋体" w:eastAsia="宋体" w:cs="宋体"/>
          <w:color w:val="auto"/>
          <w:sz w:val="28"/>
          <w:szCs w:val="28"/>
          <w:highlight w:val="none"/>
        </w:rPr>
      </w:pPr>
      <w:r>
        <w:rPr>
          <w:rFonts w:ascii="宋体" w:hAnsi="宋体" w:eastAsia="宋体" w:cs="宋体"/>
          <w:color w:val="auto"/>
          <w:spacing w:val="-8"/>
          <w:sz w:val="28"/>
          <w:szCs w:val="28"/>
          <w:highlight w:val="none"/>
          <w14:textOutline w14:w="5094" w14:cap="flat" w14:cmpd="sng">
            <w14:solidFill>
              <w14:srgbClr w14:val="000000"/>
            </w14:solidFill>
            <w14:prstDash w14:val="solid"/>
            <w14:miter w14:val="0"/>
          </w14:textOutline>
        </w:rPr>
        <w:t>目</w:t>
      </w:r>
      <w:r>
        <w:rPr>
          <w:rFonts w:ascii="宋体" w:hAnsi="宋体" w:eastAsia="宋体" w:cs="宋体"/>
          <w:color w:val="auto"/>
          <w:spacing w:val="-8"/>
          <w:sz w:val="28"/>
          <w:szCs w:val="28"/>
          <w:highlight w:val="none"/>
        </w:rPr>
        <w:t xml:space="preserve">    </w:t>
      </w:r>
      <w:r>
        <w:rPr>
          <w:rFonts w:ascii="宋体" w:hAnsi="宋体" w:eastAsia="宋体" w:cs="宋体"/>
          <w:color w:val="auto"/>
          <w:spacing w:val="-8"/>
          <w:sz w:val="28"/>
          <w:szCs w:val="28"/>
          <w:highlight w:val="none"/>
          <w14:textOutline w14:w="5094" w14:cap="flat" w14:cmpd="sng">
            <w14:solidFill>
              <w14:srgbClr w14:val="000000"/>
            </w14:solidFill>
            <w14:prstDash w14:val="solid"/>
            <w14:miter w14:val="0"/>
          </w14:textOutline>
        </w:rPr>
        <w:t>录</w:t>
      </w:r>
    </w:p>
    <w:p>
      <w:pPr>
        <w:spacing w:line="245" w:lineRule="auto"/>
        <w:rPr>
          <w:rFonts w:ascii="Arial"/>
          <w:color w:val="auto"/>
          <w:sz w:val="21"/>
          <w:highlight w:val="none"/>
        </w:rPr>
      </w:pPr>
    </w:p>
    <w:p>
      <w:pPr>
        <w:spacing w:line="246" w:lineRule="auto"/>
        <w:rPr>
          <w:rFonts w:ascii="Arial"/>
          <w:color w:val="auto"/>
          <w:sz w:val="21"/>
          <w:highlight w:val="none"/>
        </w:rPr>
      </w:pPr>
    </w:p>
    <w:p>
      <w:pPr>
        <w:spacing w:before="68" w:line="480" w:lineRule="auto"/>
        <w:ind w:left="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一、施工组织设计</w:t>
      </w:r>
      <w:r>
        <w:rPr>
          <w:rFonts w:ascii="宋体" w:hAnsi="宋体" w:eastAsia="宋体" w:cs="宋体"/>
          <w:color w:val="auto"/>
          <w:sz w:val="21"/>
          <w:szCs w:val="21"/>
          <w:highlight w:val="none"/>
        </w:rPr>
        <w:t>纲要</w:t>
      </w:r>
    </w:p>
    <w:p>
      <w:pPr>
        <w:spacing w:before="18" w:line="480" w:lineRule="auto"/>
        <w:ind w:left="458"/>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w:t>
      </w:r>
      <w:r>
        <w:rPr>
          <w:rFonts w:ascii="宋体" w:hAnsi="宋体" w:eastAsia="宋体" w:cs="宋体"/>
          <w:color w:val="auto"/>
          <w:spacing w:val="-4"/>
          <w:sz w:val="21"/>
          <w:szCs w:val="21"/>
          <w:highlight w:val="none"/>
        </w:rPr>
        <w:t>一</w:t>
      </w:r>
      <w:r>
        <w:rPr>
          <w:rFonts w:ascii="宋体" w:hAnsi="宋体" w:eastAsia="宋体" w:cs="宋体"/>
          <w:color w:val="auto"/>
          <w:spacing w:val="-3"/>
          <w:sz w:val="21"/>
          <w:szCs w:val="21"/>
          <w:highlight w:val="none"/>
        </w:rPr>
        <w:t>) 工程概况及施工特点</w:t>
      </w:r>
    </w:p>
    <w:p>
      <w:pPr>
        <w:spacing w:before="22" w:line="480" w:lineRule="auto"/>
        <w:ind w:left="458"/>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w:t>
      </w:r>
      <w:r>
        <w:rPr>
          <w:rFonts w:ascii="宋体" w:hAnsi="宋体" w:eastAsia="宋体" w:cs="宋体"/>
          <w:color w:val="auto"/>
          <w:spacing w:val="-4"/>
          <w:sz w:val="21"/>
          <w:szCs w:val="21"/>
          <w:highlight w:val="none"/>
        </w:rPr>
        <w:t>二</w:t>
      </w:r>
      <w:r>
        <w:rPr>
          <w:rFonts w:ascii="宋体" w:hAnsi="宋体" w:eastAsia="宋体" w:cs="宋体"/>
          <w:color w:val="auto"/>
          <w:spacing w:val="-3"/>
          <w:sz w:val="21"/>
          <w:szCs w:val="21"/>
          <w:highlight w:val="none"/>
        </w:rPr>
        <w:t>) 施工现场平面布置图</w:t>
      </w:r>
    </w:p>
    <w:p>
      <w:pPr>
        <w:spacing w:before="21" w:line="480" w:lineRule="auto"/>
        <w:ind w:left="458"/>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(三</w:t>
      </w:r>
      <w:r>
        <w:rPr>
          <w:rFonts w:ascii="宋体" w:hAnsi="宋体" w:eastAsia="宋体" w:cs="宋体"/>
          <w:color w:val="auto"/>
          <w:spacing w:val="-4"/>
          <w:sz w:val="21"/>
          <w:szCs w:val="21"/>
          <w:highlight w:val="none"/>
        </w:rPr>
        <w:t>)</w:t>
      </w:r>
      <w:r>
        <w:rPr>
          <w:rFonts w:ascii="宋体" w:hAnsi="宋体" w:eastAsia="宋体" w:cs="宋体"/>
          <w:color w:val="auto"/>
          <w:spacing w:val="-3"/>
          <w:sz w:val="21"/>
          <w:szCs w:val="21"/>
          <w:highlight w:val="none"/>
        </w:rPr>
        <w:t xml:space="preserve"> 施工现场组织机构</w:t>
      </w:r>
    </w:p>
    <w:p>
      <w:pPr>
        <w:spacing w:before="24" w:line="480" w:lineRule="auto"/>
        <w:ind w:left="458"/>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w:t>
      </w:r>
      <w:r>
        <w:rPr>
          <w:rFonts w:ascii="宋体" w:hAnsi="宋体" w:eastAsia="宋体" w:cs="宋体"/>
          <w:color w:val="auto"/>
          <w:spacing w:val="-5"/>
          <w:sz w:val="21"/>
          <w:szCs w:val="21"/>
          <w:highlight w:val="none"/>
        </w:rPr>
        <w:t>四) 施工方案</w:t>
      </w:r>
    </w:p>
    <w:p>
      <w:pPr>
        <w:spacing w:before="20" w:line="480" w:lineRule="auto"/>
        <w:ind w:left="458"/>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(五) 工期及施工进度计划安</w:t>
      </w:r>
      <w:r>
        <w:rPr>
          <w:rFonts w:ascii="宋体" w:hAnsi="宋体" w:eastAsia="宋体" w:cs="宋体"/>
          <w:color w:val="auto"/>
          <w:spacing w:val="-2"/>
          <w:sz w:val="21"/>
          <w:szCs w:val="21"/>
          <w:highlight w:val="none"/>
        </w:rPr>
        <w:t>排</w:t>
      </w:r>
    </w:p>
    <w:p>
      <w:pPr>
        <w:spacing w:before="21" w:line="480" w:lineRule="auto"/>
        <w:ind w:left="45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(六) 质量目标、质量保证体系及技术组织措</w:t>
      </w:r>
      <w:r>
        <w:rPr>
          <w:rFonts w:ascii="宋体" w:hAnsi="宋体" w:eastAsia="宋体" w:cs="宋体"/>
          <w:color w:val="auto"/>
          <w:sz w:val="21"/>
          <w:szCs w:val="21"/>
          <w:highlight w:val="none"/>
        </w:rPr>
        <w:t>施</w:t>
      </w:r>
    </w:p>
    <w:p>
      <w:pPr>
        <w:spacing w:before="20" w:line="480" w:lineRule="auto"/>
        <w:ind w:left="45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(七) 安全目标、安全保证体系及技术组织措</w:t>
      </w:r>
      <w:r>
        <w:rPr>
          <w:rFonts w:ascii="宋体" w:hAnsi="宋体" w:eastAsia="宋体" w:cs="宋体"/>
          <w:color w:val="auto"/>
          <w:sz w:val="21"/>
          <w:szCs w:val="21"/>
          <w:highlight w:val="none"/>
        </w:rPr>
        <w:t>施</w:t>
      </w:r>
    </w:p>
    <w:p>
      <w:pPr>
        <w:spacing w:before="22" w:line="480" w:lineRule="auto"/>
        <w:ind w:left="458"/>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(八) 分包工程的管</w:t>
      </w:r>
      <w:r>
        <w:rPr>
          <w:rFonts w:ascii="宋体" w:hAnsi="宋体" w:eastAsia="宋体" w:cs="宋体"/>
          <w:color w:val="auto"/>
          <w:spacing w:val="-3"/>
          <w:sz w:val="21"/>
          <w:szCs w:val="21"/>
          <w:highlight w:val="none"/>
        </w:rPr>
        <w:t>理</w:t>
      </w:r>
    </w:p>
    <w:p>
      <w:pPr>
        <w:spacing w:before="20" w:line="480" w:lineRule="auto"/>
        <w:ind w:left="458"/>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(九)</w:t>
      </w:r>
      <w:r>
        <w:rPr>
          <w:rFonts w:ascii="宋体" w:hAnsi="宋体" w:eastAsia="宋体" w:cs="宋体"/>
          <w:color w:val="auto"/>
          <w:spacing w:val="-3"/>
          <w:sz w:val="21"/>
          <w:szCs w:val="21"/>
          <w:highlight w:val="none"/>
        </w:rPr>
        <w:t xml:space="preserve"> </w:t>
      </w:r>
      <w:r>
        <w:rPr>
          <w:rFonts w:ascii="宋体" w:hAnsi="宋体" w:eastAsia="宋体" w:cs="宋体"/>
          <w:color w:val="auto"/>
          <w:spacing w:val="-2"/>
          <w:sz w:val="21"/>
          <w:szCs w:val="21"/>
          <w:highlight w:val="none"/>
        </w:rPr>
        <w:t>环境保护、水土保持及文明施工</w:t>
      </w:r>
    </w:p>
    <w:p>
      <w:pPr>
        <w:spacing w:before="69" w:line="480" w:lineRule="auto"/>
        <w:ind w:left="421"/>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注</w:t>
      </w:r>
      <w:r>
        <w:rPr>
          <w:rFonts w:ascii="宋体" w:hAnsi="宋体" w:eastAsia="宋体" w:cs="宋体"/>
          <w:color w:val="auto"/>
          <w:spacing w:val="-4"/>
          <w:sz w:val="21"/>
          <w:szCs w:val="21"/>
          <w:highlight w:val="none"/>
        </w:rPr>
        <w:t>： 以上资料需编制目录及页码，并对目录生成页码及索引功能。</w:t>
      </w:r>
    </w:p>
    <w:p>
      <w:pPr>
        <w:rPr>
          <w:color w:val="auto"/>
          <w:highlight w:val="none"/>
        </w:rPr>
      </w:pPr>
      <w:r>
        <w:rPr>
          <w:color w:val="auto"/>
          <w:highlight w:val="none"/>
        </w:rPr>
        <w:br w:type="page"/>
      </w:r>
    </w:p>
    <w:p>
      <w:pPr>
        <w:spacing w:before="20" w:line="242" w:lineRule="auto"/>
        <w:ind w:left="5" w:right="73" w:firstLine="702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[技术编写要点：施工组织设计</w:t>
      </w:r>
      <w:r>
        <w:rPr>
          <w:rFonts w:ascii="宋体" w:hAnsi="宋体" w:eastAsia="宋体" w:cs="宋体"/>
          <w:color w:val="auto"/>
          <w:spacing w:val="-3"/>
          <w:sz w:val="21"/>
          <w:szCs w:val="21"/>
          <w:highlight w:val="none"/>
        </w:rPr>
        <w:t>纲</w:t>
      </w:r>
      <w:r>
        <w:rPr>
          <w:rFonts w:ascii="宋体" w:hAnsi="宋体" w:eastAsia="宋体" w:cs="宋体"/>
          <w:color w:val="auto"/>
          <w:spacing w:val="-2"/>
          <w:sz w:val="21"/>
          <w:szCs w:val="21"/>
          <w:highlight w:val="none"/>
        </w:rPr>
        <w:t>要是投标书的重要组成部分， 是评标、定标的重要因素，投标人对所投工</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程标段要分别编制施工组织设计纲要。中标后，中标人应按纲要要求，编制详细</w:t>
      </w:r>
      <w:r>
        <w:rPr>
          <w:rFonts w:ascii="宋体" w:hAnsi="宋体" w:eastAsia="宋体" w:cs="宋体"/>
          <w:color w:val="auto"/>
          <w:spacing w:val="1"/>
          <w:sz w:val="21"/>
          <w:szCs w:val="21"/>
          <w:highlight w:val="none"/>
        </w:rPr>
        <w:t>的施工组织设计，作为工</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程施工的指导性文件，于工程开工前，提交建设单位一式</w:t>
      </w:r>
      <w:r>
        <w:rPr>
          <w:rFonts w:ascii="宋体" w:hAnsi="宋体" w:eastAsia="宋体" w:cs="宋体"/>
          <w:color w:val="auto"/>
          <w:spacing w:val="-3"/>
          <w:sz w:val="21"/>
          <w:szCs w:val="21"/>
          <w:highlight w:val="none"/>
          <w:u w:val="single" w:color="auto"/>
        </w:rPr>
        <w:t xml:space="preserve"> 三 </w:t>
      </w:r>
      <w:r>
        <w:rPr>
          <w:rFonts w:ascii="宋体" w:hAnsi="宋体" w:eastAsia="宋体" w:cs="宋体"/>
          <w:color w:val="auto"/>
          <w:spacing w:val="-3"/>
          <w:sz w:val="21"/>
          <w:szCs w:val="21"/>
          <w:highlight w:val="none"/>
        </w:rPr>
        <w:t xml:space="preserve">份。 </w:t>
      </w:r>
      <w:r>
        <w:rPr>
          <w:rFonts w:ascii="宋体" w:hAnsi="宋体" w:eastAsia="宋体" w:cs="宋体"/>
          <w:color w:val="auto"/>
          <w:spacing w:val="-1"/>
          <w:sz w:val="21"/>
          <w:szCs w:val="21"/>
          <w:highlight w:val="none"/>
        </w:rPr>
        <w:t>]</w:t>
      </w:r>
    </w:p>
    <w:p>
      <w:pPr>
        <w:spacing w:line="220" w:lineRule="auto"/>
        <w:ind w:left="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注</w:t>
      </w:r>
      <w:r>
        <w:rPr>
          <w:rFonts w:ascii="宋体" w:hAnsi="宋体" w:eastAsia="宋体" w:cs="宋体"/>
          <w:color w:val="auto"/>
          <w:sz w:val="21"/>
          <w:szCs w:val="21"/>
          <w:highlight w:val="none"/>
          <w14:textOutline w14:w="3831" w14:cap="flat" w14:cmpd="sng">
            <w14:solidFill>
              <w14:srgbClr w14:val="000000"/>
            </w14:solidFill>
            <w14:prstDash w14:val="solid"/>
            <w14:miter w14:val="0"/>
          </w14:textOutline>
        </w:rPr>
        <w:t>：技术文件包括但不仅限于以下内容，请结合评标办法</w:t>
      </w:r>
      <w:r>
        <w:rPr>
          <w:rFonts w:ascii="宋体" w:hAnsi="宋体" w:eastAsia="宋体" w:cs="宋体"/>
          <w:color w:val="auto"/>
          <w:sz w:val="21"/>
          <w:szCs w:val="21"/>
          <w:highlight w:val="none"/>
          <w:u w:val="single" w:color="auto"/>
          <w14:textOutline w14:w="3831" w14:cap="flat" w14:cmpd="sng">
            <w14:solidFill>
              <w14:srgbClr w14:val="000000"/>
            </w14:solidFill>
            <w14:prstDash w14:val="solid"/>
            <w14:miter w14:val="0"/>
          </w14:textOutline>
        </w:rPr>
        <w:t>技术评分标准</w:t>
      </w:r>
      <w:r>
        <w:rPr>
          <w:rFonts w:ascii="宋体" w:hAnsi="宋体" w:eastAsia="宋体" w:cs="宋体"/>
          <w:color w:val="auto"/>
          <w:sz w:val="21"/>
          <w:szCs w:val="21"/>
          <w:highlight w:val="none"/>
          <w14:textOutline w14:w="3831" w14:cap="flat" w14:cmpd="sng">
            <w14:solidFill>
              <w14:srgbClr w14:val="000000"/>
            </w14:solidFill>
            <w14:prstDash w14:val="solid"/>
            <w14:miter w14:val="0"/>
          </w14:textOutline>
        </w:rPr>
        <w:t>进行编写。</w:t>
      </w:r>
    </w:p>
    <w:p>
      <w:pPr>
        <w:spacing w:before="293" w:line="241" w:lineRule="auto"/>
        <w:ind w:left="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一、施工组织设计</w:t>
      </w:r>
      <w:r>
        <w:rPr>
          <w:rFonts w:ascii="宋体" w:hAnsi="宋体" w:eastAsia="宋体" w:cs="宋体"/>
          <w:color w:val="auto"/>
          <w:sz w:val="21"/>
          <w:szCs w:val="21"/>
          <w:highlight w:val="none"/>
        </w:rPr>
        <w:t>纲要</w:t>
      </w:r>
    </w:p>
    <w:p>
      <w:pPr>
        <w:spacing w:before="1" w:line="220" w:lineRule="auto"/>
        <w:ind w:left="12"/>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w:t>
      </w:r>
      <w:r>
        <w:rPr>
          <w:rFonts w:ascii="宋体" w:hAnsi="宋体" w:eastAsia="宋体" w:cs="宋体"/>
          <w:color w:val="auto"/>
          <w:spacing w:val="8"/>
          <w:sz w:val="21"/>
          <w:szCs w:val="21"/>
          <w:highlight w:val="none"/>
        </w:rPr>
        <w:t>一) 工程概况及特点</w:t>
      </w:r>
    </w:p>
    <w:p>
      <w:pPr>
        <w:spacing w:before="20"/>
        <w:ind w:left="22"/>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w:t>
      </w:r>
      <w:r>
        <w:rPr>
          <w:rFonts w:ascii="宋体" w:hAnsi="宋体" w:eastAsia="宋体" w:cs="宋体"/>
          <w:color w:val="auto"/>
          <w:spacing w:val="-3"/>
          <w:sz w:val="21"/>
          <w:szCs w:val="21"/>
          <w:highlight w:val="none"/>
        </w:rPr>
        <w:t>.工程概况</w:t>
      </w:r>
    </w:p>
    <w:p>
      <w:pPr>
        <w:spacing w:before="2" w:line="239" w:lineRule="auto"/>
        <w:ind w:left="9" w:firstLine="420"/>
        <w:rPr>
          <w:rFonts w:ascii="宋体" w:hAnsi="宋体" w:eastAsia="宋体" w:cs="宋体"/>
          <w:color w:val="auto"/>
          <w:spacing w:val="-5"/>
          <w:sz w:val="21"/>
          <w:szCs w:val="21"/>
          <w:highlight w:val="none"/>
        </w:rPr>
      </w:pPr>
      <w:r>
        <w:rPr>
          <w:rFonts w:ascii="宋体" w:hAnsi="宋体" w:eastAsia="宋体" w:cs="宋体"/>
          <w:color w:val="auto"/>
          <w:spacing w:val="-10"/>
          <w:sz w:val="21"/>
          <w:szCs w:val="21"/>
          <w:highlight w:val="none"/>
        </w:rPr>
        <w:t>工程简述，</w:t>
      </w:r>
      <w:r>
        <w:rPr>
          <w:rFonts w:ascii="宋体" w:hAnsi="宋体" w:eastAsia="宋体" w:cs="宋体"/>
          <w:color w:val="auto"/>
          <w:spacing w:val="-6"/>
          <w:sz w:val="21"/>
          <w:szCs w:val="21"/>
          <w:highlight w:val="none"/>
        </w:rPr>
        <w:t>工</w:t>
      </w:r>
      <w:r>
        <w:rPr>
          <w:rFonts w:ascii="宋体" w:hAnsi="宋体" w:eastAsia="宋体" w:cs="宋体"/>
          <w:color w:val="auto"/>
          <w:spacing w:val="-5"/>
          <w:sz w:val="21"/>
          <w:szCs w:val="21"/>
          <w:highlight w:val="none"/>
        </w:rPr>
        <w:t>程规模、工期、安全质量要求描述正确，工程涉及的主要单位、投标范围及承包方式等。</w:t>
      </w:r>
    </w:p>
    <w:p>
      <w:pPr>
        <w:spacing w:before="2" w:line="239" w:lineRule="auto"/>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w:t>
      </w:r>
      <w:r>
        <w:rPr>
          <w:rFonts w:ascii="宋体" w:hAnsi="宋体" w:eastAsia="宋体" w:cs="宋体"/>
          <w:color w:val="auto"/>
          <w:spacing w:val="-1"/>
          <w:sz w:val="21"/>
          <w:szCs w:val="21"/>
          <w:highlight w:val="none"/>
        </w:rPr>
        <w:t>.工程特点</w:t>
      </w:r>
    </w:p>
    <w:p>
      <w:pPr>
        <w:spacing w:line="220" w:lineRule="auto"/>
        <w:ind w:left="43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设计特点、</w:t>
      </w:r>
      <w:r>
        <w:rPr>
          <w:rFonts w:ascii="宋体" w:hAnsi="宋体" w:eastAsia="宋体" w:cs="宋体"/>
          <w:color w:val="auto"/>
          <w:sz w:val="21"/>
          <w:szCs w:val="21"/>
          <w:highlight w:val="none"/>
        </w:rPr>
        <w:t>工程特点、影响施工的主要和特殊环节分析等。</w:t>
      </w:r>
    </w:p>
    <w:p>
      <w:pPr>
        <w:spacing w:before="20" w:line="221" w:lineRule="auto"/>
        <w:ind w:left="1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3.施工实施条件、</w:t>
      </w:r>
      <w:r>
        <w:rPr>
          <w:rFonts w:ascii="宋体" w:hAnsi="宋体" w:eastAsia="宋体" w:cs="宋体"/>
          <w:color w:val="auto"/>
          <w:sz w:val="21"/>
          <w:szCs w:val="21"/>
          <w:highlight w:val="none"/>
        </w:rPr>
        <w:t>自然环境分析及现场调查情况说明</w:t>
      </w:r>
    </w:p>
    <w:p>
      <w:pPr>
        <w:spacing w:before="24" w:line="253" w:lineRule="auto"/>
        <w:ind w:left="8" w:right="78" w:firstLine="423"/>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结</w:t>
      </w:r>
      <w:r>
        <w:rPr>
          <w:rFonts w:ascii="宋体" w:hAnsi="宋体" w:eastAsia="宋体" w:cs="宋体"/>
          <w:color w:val="auto"/>
          <w:spacing w:val="4"/>
          <w:sz w:val="21"/>
          <w:szCs w:val="21"/>
          <w:highlight w:val="none"/>
        </w:rPr>
        <w:t>合工程施工实施条件、现场自然环境分析和影响施工的环节(包括但不限于施工安全、质量、进度</w:t>
      </w:r>
      <w:r>
        <w:rPr>
          <w:rFonts w:ascii="宋体" w:hAnsi="宋体" w:eastAsia="宋体" w:cs="宋体"/>
          <w:color w:val="auto"/>
          <w:spacing w:val="26"/>
          <w:sz w:val="21"/>
          <w:szCs w:val="21"/>
          <w:highlight w:val="none"/>
        </w:rPr>
        <w:t>等</w:t>
      </w:r>
      <w:r>
        <w:rPr>
          <w:rFonts w:ascii="宋体" w:hAnsi="宋体" w:eastAsia="宋体" w:cs="宋体"/>
          <w:color w:val="auto"/>
          <w:spacing w:val="24"/>
          <w:sz w:val="21"/>
          <w:szCs w:val="21"/>
          <w:highlight w:val="none"/>
        </w:rPr>
        <w:t>)分析</w:t>
      </w:r>
    </w:p>
    <w:p>
      <w:pPr>
        <w:spacing w:before="239" w:line="241" w:lineRule="auto"/>
        <w:ind w:left="12"/>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w:t>
      </w:r>
      <w:r>
        <w:rPr>
          <w:rFonts w:ascii="宋体" w:hAnsi="宋体" w:eastAsia="宋体" w:cs="宋体"/>
          <w:color w:val="auto"/>
          <w:spacing w:val="10"/>
          <w:sz w:val="21"/>
          <w:szCs w:val="21"/>
          <w:highlight w:val="none"/>
        </w:rPr>
        <w:t>二</w:t>
      </w:r>
      <w:r>
        <w:rPr>
          <w:rFonts w:ascii="宋体" w:hAnsi="宋体" w:eastAsia="宋体" w:cs="宋体"/>
          <w:color w:val="auto"/>
          <w:spacing w:val="6"/>
          <w:sz w:val="21"/>
          <w:szCs w:val="21"/>
          <w:highlight w:val="none"/>
        </w:rPr>
        <w:t>)施工现场总平面布置图</w:t>
      </w:r>
    </w:p>
    <w:p>
      <w:pPr>
        <w:spacing w:before="1" w:line="219" w:lineRule="auto"/>
        <w:ind w:left="2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1.施工现场平面布</w:t>
      </w:r>
      <w:r>
        <w:rPr>
          <w:rFonts w:ascii="宋体" w:hAnsi="宋体" w:eastAsia="宋体" w:cs="宋体"/>
          <w:color w:val="auto"/>
          <w:spacing w:val="-1"/>
          <w:sz w:val="21"/>
          <w:szCs w:val="21"/>
          <w:highlight w:val="none"/>
        </w:rPr>
        <w:t>置图</w:t>
      </w:r>
    </w:p>
    <w:p>
      <w:pPr>
        <w:spacing w:before="21"/>
        <w:ind w:right="72" w:firstLine="426"/>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平</w:t>
      </w:r>
      <w:r>
        <w:rPr>
          <w:rFonts w:ascii="宋体" w:hAnsi="宋体" w:eastAsia="宋体" w:cs="宋体"/>
          <w:color w:val="auto"/>
          <w:spacing w:val="-5"/>
          <w:sz w:val="21"/>
          <w:szCs w:val="21"/>
          <w:highlight w:val="none"/>
        </w:rPr>
        <w:t>面布置要求内容全面，充分利用现场条件，合理布置施工队、材料站、指挥部等。确定现场指挥部(工</w:t>
      </w:r>
      <w:r>
        <w:rPr>
          <w:rFonts w:ascii="宋体" w:hAnsi="宋体" w:eastAsia="宋体" w:cs="宋体"/>
          <w:color w:val="auto"/>
          <w:sz w:val="21"/>
          <w:szCs w:val="21"/>
          <w:highlight w:val="none"/>
        </w:rPr>
        <w:t xml:space="preserve"> </w:t>
      </w:r>
      <w:r>
        <w:rPr>
          <w:rFonts w:ascii="宋体" w:hAnsi="宋体" w:eastAsia="宋体" w:cs="宋体"/>
          <w:color w:val="auto"/>
          <w:spacing w:val="-8"/>
          <w:sz w:val="21"/>
          <w:szCs w:val="21"/>
          <w:highlight w:val="none"/>
        </w:rPr>
        <w:t>程处)和工区的</w:t>
      </w:r>
      <w:r>
        <w:rPr>
          <w:rFonts w:ascii="宋体" w:hAnsi="宋体" w:eastAsia="宋体" w:cs="宋体"/>
          <w:color w:val="auto"/>
          <w:spacing w:val="-4"/>
          <w:sz w:val="21"/>
          <w:szCs w:val="21"/>
          <w:highlight w:val="none"/>
        </w:rPr>
        <w:t>驻地，材料站的设置，施工工区与施工班驻地，主要交通道路和通讯设施。平面布置图采用</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A</w:t>
      </w:r>
      <w:r>
        <w:rPr>
          <w:rFonts w:ascii="宋体" w:hAnsi="宋体" w:eastAsia="宋体" w:cs="宋体"/>
          <w:color w:val="auto"/>
          <w:spacing w:val="-4"/>
          <w:sz w:val="21"/>
          <w:szCs w:val="21"/>
          <w:highlight w:val="none"/>
        </w:rPr>
        <w:t>3 纸，图面</w:t>
      </w:r>
      <w:r>
        <w:rPr>
          <w:rFonts w:ascii="宋体" w:hAnsi="宋体" w:eastAsia="宋体" w:cs="宋体"/>
          <w:color w:val="auto"/>
          <w:spacing w:val="-3"/>
          <w:sz w:val="21"/>
          <w:szCs w:val="21"/>
          <w:highlight w:val="none"/>
        </w:rPr>
        <w:t>要</w:t>
      </w:r>
      <w:r>
        <w:rPr>
          <w:rFonts w:ascii="宋体" w:hAnsi="宋体" w:eastAsia="宋体" w:cs="宋体"/>
          <w:color w:val="auto"/>
          <w:spacing w:val="-2"/>
          <w:sz w:val="21"/>
          <w:szCs w:val="21"/>
          <w:highlight w:val="none"/>
        </w:rPr>
        <w:t>求线条清晰、标志明确。</w:t>
      </w:r>
    </w:p>
    <w:p>
      <w:pPr>
        <w:spacing w:before="1" w:line="219" w:lineRule="auto"/>
        <w:ind w:left="42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材料站需按</w:t>
      </w:r>
      <w:r>
        <w:rPr>
          <w:rFonts w:ascii="宋体" w:hAnsi="宋体" w:eastAsia="宋体" w:cs="宋体"/>
          <w:color w:val="auto"/>
          <w:spacing w:val="-1"/>
          <w:sz w:val="21"/>
          <w:szCs w:val="21"/>
          <w:highlight w:val="none"/>
        </w:rPr>
        <w:t>中国南方电网有限责任公司《仓库管理办法 Q/CSG217016-2011》的相关规定设置。</w:t>
      </w:r>
    </w:p>
    <w:p>
      <w:pPr>
        <w:spacing w:before="22" w:line="238" w:lineRule="auto"/>
        <w:ind w:left="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2.施工现</w:t>
      </w:r>
      <w:r>
        <w:rPr>
          <w:rFonts w:ascii="宋体" w:hAnsi="宋体" w:eastAsia="宋体" w:cs="宋体"/>
          <w:color w:val="auto"/>
          <w:sz w:val="21"/>
          <w:szCs w:val="21"/>
          <w:highlight w:val="none"/>
        </w:rPr>
        <w:t>场临时用电、临时用水总体布置</w:t>
      </w:r>
    </w:p>
    <w:p>
      <w:pPr>
        <w:spacing w:before="1" w:line="219" w:lineRule="auto"/>
        <w:ind w:left="1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3.施工现场消防总</w:t>
      </w:r>
      <w:r>
        <w:rPr>
          <w:rFonts w:ascii="宋体" w:hAnsi="宋体" w:eastAsia="宋体" w:cs="宋体"/>
          <w:color w:val="auto"/>
          <w:sz w:val="21"/>
          <w:szCs w:val="21"/>
          <w:highlight w:val="none"/>
        </w:rPr>
        <w:t>体布置</w:t>
      </w:r>
    </w:p>
    <w:p>
      <w:pPr>
        <w:spacing w:before="294" w:line="241" w:lineRule="auto"/>
        <w:ind w:left="12"/>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(三)施工现场组织机</w:t>
      </w:r>
      <w:r>
        <w:rPr>
          <w:rFonts w:ascii="宋体" w:hAnsi="宋体" w:eastAsia="宋体" w:cs="宋体"/>
          <w:color w:val="auto"/>
          <w:spacing w:val="6"/>
          <w:sz w:val="21"/>
          <w:szCs w:val="21"/>
          <w:highlight w:val="none"/>
        </w:rPr>
        <w:t>构</w:t>
      </w:r>
    </w:p>
    <w:p>
      <w:pPr>
        <w:spacing w:line="238" w:lineRule="auto"/>
        <w:ind w:left="2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1.组织机构组</w:t>
      </w:r>
      <w:r>
        <w:rPr>
          <w:rFonts w:ascii="宋体" w:hAnsi="宋体" w:eastAsia="宋体" w:cs="宋体"/>
          <w:color w:val="auto"/>
          <w:spacing w:val="-1"/>
          <w:sz w:val="21"/>
          <w:szCs w:val="21"/>
          <w:highlight w:val="none"/>
        </w:rPr>
        <w:t>成表、关系图</w:t>
      </w:r>
    </w:p>
    <w:p>
      <w:pPr>
        <w:spacing w:line="242" w:lineRule="auto"/>
        <w:ind w:left="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2.工程主要负责人简介</w:t>
      </w:r>
      <w:r>
        <w:rPr>
          <w:rFonts w:ascii="宋体" w:hAnsi="宋体" w:eastAsia="宋体" w:cs="宋体"/>
          <w:color w:val="auto"/>
          <w:sz w:val="21"/>
          <w:szCs w:val="21"/>
          <w:highlight w:val="none"/>
        </w:rPr>
        <w:t>。</w:t>
      </w:r>
    </w:p>
    <w:p>
      <w:pPr>
        <w:spacing w:before="270" w:line="241" w:lineRule="auto"/>
        <w:ind w:left="12"/>
        <w:rPr>
          <w:rFonts w:ascii="宋体" w:hAnsi="宋体" w:eastAsia="宋体" w:cs="宋体"/>
          <w:color w:val="auto"/>
          <w:sz w:val="21"/>
          <w:szCs w:val="21"/>
          <w:highlight w:val="none"/>
        </w:rPr>
      </w:pPr>
      <w:r>
        <w:rPr>
          <w:rFonts w:ascii="宋体" w:hAnsi="宋体" w:eastAsia="宋体" w:cs="宋体"/>
          <w:color w:val="auto"/>
          <w:spacing w:val="17"/>
          <w:sz w:val="21"/>
          <w:szCs w:val="21"/>
          <w:highlight w:val="none"/>
        </w:rPr>
        <w:t>(</w:t>
      </w:r>
      <w:r>
        <w:rPr>
          <w:rFonts w:ascii="宋体" w:hAnsi="宋体" w:eastAsia="宋体" w:cs="宋体"/>
          <w:color w:val="auto"/>
          <w:spacing w:val="11"/>
          <w:sz w:val="21"/>
          <w:szCs w:val="21"/>
          <w:highlight w:val="none"/>
        </w:rPr>
        <w:t>四)施工方案</w:t>
      </w:r>
    </w:p>
    <w:p>
      <w:pPr>
        <w:spacing w:before="1" w:line="219" w:lineRule="auto"/>
        <w:ind w:left="2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1.本工程重点难点</w:t>
      </w:r>
      <w:r>
        <w:rPr>
          <w:rFonts w:ascii="宋体" w:hAnsi="宋体" w:eastAsia="宋体" w:cs="宋体"/>
          <w:color w:val="auto"/>
          <w:spacing w:val="-1"/>
          <w:sz w:val="21"/>
          <w:szCs w:val="21"/>
          <w:highlight w:val="none"/>
        </w:rPr>
        <w:t>分析</w:t>
      </w:r>
    </w:p>
    <w:p>
      <w:pPr>
        <w:spacing w:before="20" w:line="220" w:lineRule="auto"/>
        <w:ind w:left="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2.施工机具准</w:t>
      </w:r>
      <w:r>
        <w:rPr>
          <w:rFonts w:ascii="宋体" w:hAnsi="宋体" w:eastAsia="宋体" w:cs="宋体"/>
          <w:color w:val="auto"/>
          <w:sz w:val="21"/>
          <w:szCs w:val="21"/>
          <w:highlight w:val="none"/>
        </w:rPr>
        <w:t>备</w:t>
      </w:r>
    </w:p>
    <w:p>
      <w:pPr>
        <w:spacing w:before="23" w:line="221" w:lineRule="auto"/>
        <w:ind w:left="1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w:t>
      </w:r>
      <w:r>
        <w:rPr>
          <w:rFonts w:ascii="宋体" w:hAnsi="宋体" w:eastAsia="宋体" w:cs="宋体"/>
          <w:color w:val="auto"/>
          <w:spacing w:val="-1"/>
          <w:sz w:val="21"/>
          <w:szCs w:val="21"/>
          <w:highlight w:val="none"/>
        </w:rPr>
        <w:t>.施工力量配置</w:t>
      </w:r>
    </w:p>
    <w:p>
      <w:pPr>
        <w:spacing w:before="20" w:line="241" w:lineRule="auto"/>
        <w:ind w:left="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4.施工</w:t>
      </w:r>
      <w:r>
        <w:rPr>
          <w:rFonts w:ascii="宋体" w:hAnsi="宋体" w:eastAsia="宋体" w:cs="宋体"/>
          <w:color w:val="auto"/>
          <w:sz w:val="21"/>
          <w:szCs w:val="21"/>
          <w:highlight w:val="none"/>
        </w:rPr>
        <w:t>工序总体安排</w:t>
      </w:r>
    </w:p>
    <w:p>
      <w:pPr>
        <w:spacing w:before="1" w:line="249" w:lineRule="auto"/>
        <w:ind w:left="7" w:right="1447" w:hanging="2"/>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5</w:t>
      </w:r>
      <w:r>
        <w:rPr>
          <w:rFonts w:ascii="宋体" w:hAnsi="宋体" w:eastAsia="宋体" w:cs="宋体"/>
          <w:color w:val="auto"/>
          <w:spacing w:val="-1"/>
          <w:sz w:val="21"/>
          <w:szCs w:val="21"/>
          <w:highlight w:val="none"/>
        </w:rPr>
        <w:t>.主要工序和特殊工序的施工方法和施工效率估计，潜在问题的分析</w:t>
      </w:r>
      <w:r>
        <w:rPr>
          <w:rFonts w:ascii="宋体" w:hAnsi="宋体" w:eastAsia="宋体" w:cs="宋体"/>
          <w:color w:val="auto"/>
          <w:sz w:val="21"/>
          <w:szCs w:val="21"/>
          <w:highlight w:val="none"/>
        </w:rPr>
        <w:t>。</w:t>
      </w:r>
    </w:p>
    <w:p>
      <w:pPr>
        <w:spacing w:before="1" w:line="249" w:lineRule="auto"/>
        <w:ind w:left="7" w:right="1447" w:hanging="2"/>
        <w:rPr>
          <w:rFonts w:ascii="宋体" w:hAnsi="宋体" w:eastAsia="宋体" w:cs="宋体"/>
          <w:color w:val="auto"/>
          <w:spacing w:val="-3"/>
          <w:sz w:val="21"/>
          <w:szCs w:val="21"/>
          <w:highlight w:val="none"/>
        </w:rPr>
      </w:pPr>
      <w:r>
        <w:rPr>
          <w:rFonts w:hint="eastAsia" w:ascii="宋体" w:hAnsi="宋体" w:eastAsia="宋体" w:cs="宋体"/>
          <w:color w:val="auto"/>
          <w:spacing w:val="-6"/>
          <w:sz w:val="21"/>
          <w:szCs w:val="21"/>
          <w:highlight w:val="none"/>
          <w:lang w:val="en-US" w:eastAsia="zh-CN"/>
        </w:rPr>
        <w:t>6</w:t>
      </w:r>
      <w:r>
        <w:rPr>
          <w:rFonts w:ascii="宋体" w:hAnsi="宋体" w:eastAsia="宋体" w:cs="宋体"/>
          <w:color w:val="auto"/>
          <w:spacing w:val="-6"/>
          <w:sz w:val="21"/>
          <w:szCs w:val="21"/>
          <w:highlight w:val="none"/>
        </w:rPr>
        <w:t>.工程成本</w:t>
      </w:r>
      <w:r>
        <w:rPr>
          <w:rFonts w:ascii="宋体" w:hAnsi="宋体" w:eastAsia="宋体" w:cs="宋体"/>
          <w:color w:val="auto"/>
          <w:spacing w:val="-3"/>
          <w:sz w:val="21"/>
          <w:szCs w:val="21"/>
          <w:highlight w:val="none"/>
        </w:rPr>
        <w:t>的控制措施为控制成本， 提高效益，拟采取的措施。</w:t>
      </w:r>
    </w:p>
    <w:p>
      <w:pPr>
        <w:spacing w:before="1" w:line="249" w:lineRule="auto"/>
        <w:ind w:left="7" w:right="1447" w:hanging="2"/>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7</w:t>
      </w:r>
      <w:r>
        <w:rPr>
          <w:rFonts w:ascii="宋体" w:hAnsi="宋体" w:eastAsia="宋体" w:cs="宋体"/>
          <w:color w:val="auto"/>
          <w:spacing w:val="-1"/>
          <w:sz w:val="21"/>
          <w:szCs w:val="21"/>
          <w:highlight w:val="none"/>
        </w:rPr>
        <w:t>.施工作业方案应按《电网建设施工作业指导书》相关规定编写。全面</w:t>
      </w:r>
      <w:r>
        <w:rPr>
          <w:rFonts w:ascii="宋体" w:hAnsi="宋体" w:eastAsia="宋体" w:cs="宋体"/>
          <w:color w:val="auto"/>
          <w:sz w:val="21"/>
          <w:szCs w:val="21"/>
          <w:highlight w:val="none"/>
        </w:rPr>
        <w:t>开展标准建设工作。</w:t>
      </w:r>
    </w:p>
    <w:p>
      <w:pPr>
        <w:spacing w:before="240" w:line="238" w:lineRule="auto"/>
        <w:ind w:left="12"/>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w:t>
      </w:r>
      <w:r>
        <w:rPr>
          <w:rFonts w:ascii="宋体" w:hAnsi="宋体" w:eastAsia="宋体" w:cs="宋体"/>
          <w:color w:val="auto"/>
          <w:spacing w:val="7"/>
          <w:sz w:val="21"/>
          <w:szCs w:val="21"/>
          <w:highlight w:val="none"/>
        </w:rPr>
        <w:t>五)工期及施工进度计划</w:t>
      </w:r>
    </w:p>
    <w:p>
      <w:pPr>
        <w:ind w:left="22"/>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w:t>
      </w:r>
      <w:r>
        <w:rPr>
          <w:rFonts w:ascii="宋体" w:hAnsi="宋体" w:eastAsia="宋体" w:cs="宋体"/>
          <w:color w:val="auto"/>
          <w:spacing w:val="-2"/>
          <w:sz w:val="21"/>
          <w:szCs w:val="21"/>
          <w:highlight w:val="none"/>
        </w:rPr>
        <w:t>.工期规划及要求</w:t>
      </w:r>
    </w:p>
    <w:p>
      <w:pPr>
        <w:spacing w:before="1" w:line="239" w:lineRule="auto"/>
        <w:ind w:left="6" w:right="78" w:firstLine="42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用横道图反映各主要施工过程的计划进度，深度达到全面、准确、清楚的</w:t>
      </w:r>
      <w:r>
        <w:rPr>
          <w:rFonts w:ascii="宋体" w:hAnsi="宋体" w:eastAsia="宋体" w:cs="宋体"/>
          <w:color w:val="auto"/>
          <w:spacing w:val="1"/>
          <w:sz w:val="21"/>
          <w:szCs w:val="21"/>
          <w:highlight w:val="none"/>
        </w:rPr>
        <w:t>描述工程实施过程，从中可</w:t>
      </w:r>
      <w:r>
        <w:rPr>
          <w:rFonts w:ascii="宋体" w:hAnsi="宋体" w:eastAsia="宋体" w:cs="宋体"/>
          <w:color w:val="auto"/>
          <w:spacing w:val="4"/>
          <w:sz w:val="21"/>
          <w:szCs w:val="21"/>
          <w:highlight w:val="none"/>
        </w:rPr>
        <w:t>衍生出各种施工资源计划及其过程管理信息(包括资源计划，如设备、材料、物资供应计划配合施工进</w:t>
      </w:r>
      <w:r>
        <w:rPr>
          <w:rFonts w:ascii="宋体" w:hAnsi="宋体" w:eastAsia="宋体" w:cs="宋体"/>
          <w:color w:val="auto"/>
          <w:spacing w:val="3"/>
          <w:sz w:val="21"/>
          <w:szCs w:val="21"/>
          <w:highlight w:val="none"/>
        </w:rPr>
        <w:t>度</w:t>
      </w:r>
      <w:r>
        <w:rPr>
          <w:rFonts w:ascii="宋体" w:hAnsi="宋体" w:eastAsia="宋体" w:cs="宋体"/>
          <w:color w:val="auto"/>
          <w:spacing w:val="-1"/>
          <w:sz w:val="21"/>
          <w:szCs w:val="21"/>
          <w:highlight w:val="none"/>
        </w:rPr>
        <w:t>的合理性)。</w:t>
      </w:r>
    </w:p>
    <w:p>
      <w:pPr>
        <w:spacing w:before="1" w:line="221" w:lineRule="auto"/>
        <w:ind w:left="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2.施工进度计</w:t>
      </w:r>
      <w:r>
        <w:rPr>
          <w:rFonts w:ascii="宋体" w:hAnsi="宋体" w:eastAsia="宋体" w:cs="宋体"/>
          <w:color w:val="auto"/>
          <w:sz w:val="21"/>
          <w:szCs w:val="21"/>
          <w:highlight w:val="none"/>
        </w:rPr>
        <w:t>划网络图</w:t>
      </w:r>
    </w:p>
    <w:p>
      <w:pPr>
        <w:spacing w:before="20" w:line="239" w:lineRule="auto"/>
        <w:ind w:left="9" w:right="78" w:firstLine="417"/>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施工网络图应明确工程开工、竣工日期，工程施工的关键</w:t>
      </w:r>
      <w:r>
        <w:rPr>
          <w:rFonts w:ascii="宋体" w:hAnsi="宋体" w:eastAsia="宋体" w:cs="宋体"/>
          <w:color w:val="auto"/>
          <w:sz w:val="21"/>
          <w:szCs w:val="21"/>
          <w:highlight w:val="none"/>
        </w:rPr>
        <w:t>路线，并针对关键工序，提出确保工期拟采</w:t>
      </w:r>
      <w:r>
        <w:rPr>
          <w:rFonts w:ascii="宋体" w:hAnsi="宋体" w:eastAsia="宋体" w:cs="宋体"/>
          <w:color w:val="auto"/>
          <w:spacing w:val="-7"/>
          <w:sz w:val="21"/>
          <w:szCs w:val="21"/>
          <w:highlight w:val="none"/>
        </w:rPr>
        <w:t>取</w:t>
      </w:r>
      <w:r>
        <w:rPr>
          <w:rFonts w:ascii="宋体" w:hAnsi="宋体" w:eastAsia="宋体" w:cs="宋体"/>
          <w:color w:val="auto"/>
          <w:spacing w:val="-4"/>
          <w:sz w:val="21"/>
          <w:szCs w:val="21"/>
          <w:highlight w:val="none"/>
        </w:rPr>
        <w:t>的措施。</w:t>
      </w:r>
    </w:p>
    <w:p>
      <w:pPr>
        <w:spacing w:before="1"/>
        <w:ind w:left="1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3.主要施工设</w:t>
      </w:r>
      <w:r>
        <w:rPr>
          <w:rFonts w:ascii="宋体" w:hAnsi="宋体" w:eastAsia="宋体" w:cs="宋体"/>
          <w:color w:val="auto"/>
          <w:sz w:val="21"/>
          <w:szCs w:val="21"/>
          <w:highlight w:val="none"/>
        </w:rPr>
        <w:t>备及材料供应计划</w:t>
      </w:r>
    </w:p>
    <w:p>
      <w:pPr>
        <w:spacing w:line="221" w:lineRule="auto"/>
        <w:ind w:left="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4.施工</w:t>
      </w:r>
      <w:r>
        <w:rPr>
          <w:rFonts w:ascii="宋体" w:hAnsi="宋体" w:eastAsia="宋体" w:cs="宋体"/>
          <w:color w:val="auto"/>
          <w:sz w:val="21"/>
          <w:szCs w:val="21"/>
          <w:highlight w:val="none"/>
        </w:rPr>
        <w:t>进度计划分析</w:t>
      </w:r>
    </w:p>
    <w:p>
      <w:pPr>
        <w:spacing w:before="19" w:line="241" w:lineRule="auto"/>
        <w:ind w:left="427"/>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计划潜在问题，计划中的潜力及其开发途径等</w:t>
      </w:r>
      <w:r>
        <w:rPr>
          <w:rFonts w:ascii="宋体" w:hAnsi="宋体" w:eastAsia="宋体" w:cs="宋体"/>
          <w:color w:val="auto"/>
          <w:spacing w:val="-3"/>
          <w:sz w:val="21"/>
          <w:szCs w:val="21"/>
          <w:highlight w:val="none"/>
        </w:rPr>
        <w:t>。</w:t>
      </w:r>
    </w:p>
    <w:p>
      <w:pPr>
        <w:spacing w:before="1" w:line="220" w:lineRule="auto"/>
        <w:ind w:left="1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5.计划控制程</w:t>
      </w:r>
      <w:r>
        <w:rPr>
          <w:rFonts w:ascii="宋体" w:hAnsi="宋体" w:eastAsia="宋体" w:cs="宋体"/>
          <w:color w:val="auto"/>
          <w:sz w:val="21"/>
          <w:szCs w:val="21"/>
          <w:highlight w:val="none"/>
        </w:rPr>
        <w:t>序、方法及制度等。</w:t>
      </w:r>
    </w:p>
    <w:p>
      <w:pPr>
        <w:pStyle w:val="1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6.施</w:t>
      </w:r>
      <w:r>
        <w:rPr>
          <w:rFonts w:ascii="宋体" w:hAnsi="宋体" w:eastAsia="宋体" w:cs="宋体"/>
          <w:color w:val="auto"/>
          <w:sz w:val="21"/>
          <w:szCs w:val="21"/>
          <w:highlight w:val="none"/>
        </w:rPr>
        <w:t>工进度应满足《基建工程项目进度管理规定》的相关要求。</w:t>
      </w:r>
    </w:p>
    <w:p>
      <w:pPr>
        <w:spacing w:line="238" w:lineRule="auto"/>
        <w:ind w:left="7"/>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w:t>
      </w:r>
      <w:r>
        <w:rPr>
          <w:rFonts w:ascii="宋体" w:hAnsi="宋体" w:eastAsia="宋体" w:cs="宋体"/>
          <w:color w:val="auto"/>
          <w:spacing w:val="7"/>
          <w:sz w:val="21"/>
          <w:szCs w:val="21"/>
          <w:highlight w:val="none"/>
        </w:rPr>
        <w:t>六</w:t>
      </w:r>
      <w:r>
        <w:rPr>
          <w:rFonts w:ascii="宋体" w:hAnsi="宋体" w:eastAsia="宋体" w:cs="宋体"/>
          <w:color w:val="auto"/>
          <w:spacing w:val="4"/>
          <w:sz w:val="21"/>
          <w:szCs w:val="21"/>
          <w:highlight w:val="none"/>
        </w:rPr>
        <w:t>)质量目标、质量保证体系及技术组织措施</w:t>
      </w:r>
    </w:p>
    <w:p>
      <w:pPr>
        <w:spacing w:line="221" w:lineRule="auto"/>
        <w:ind w:left="16"/>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w:t>
      </w:r>
      <w:r>
        <w:rPr>
          <w:rFonts w:ascii="宋体" w:hAnsi="宋体" w:eastAsia="宋体" w:cs="宋体"/>
          <w:color w:val="auto"/>
          <w:spacing w:val="-3"/>
          <w:sz w:val="21"/>
          <w:szCs w:val="21"/>
          <w:highlight w:val="none"/>
        </w:rPr>
        <w:t>.质量目标</w:t>
      </w:r>
    </w:p>
    <w:p>
      <w:pPr>
        <w:spacing w:before="23" w:line="239" w:lineRule="auto"/>
        <w:ind w:left="41" w:right="72" w:firstLine="37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 xml:space="preserve">采用 </w:t>
      </w:r>
      <w:r>
        <w:rPr>
          <w:rFonts w:ascii="宋体" w:hAnsi="宋体" w:eastAsia="宋体" w:cs="宋体"/>
          <w:color w:val="auto"/>
          <w:spacing w:val="-4"/>
          <w:sz w:val="21"/>
          <w:szCs w:val="21"/>
          <w:highlight w:val="none"/>
        </w:rPr>
        <w:t>WHS</w:t>
      </w:r>
      <w:r>
        <w:rPr>
          <w:rFonts w:ascii="宋体" w:hAnsi="宋体" w:eastAsia="宋体" w:cs="宋体"/>
          <w:color w:val="auto"/>
          <w:spacing w:val="-8"/>
          <w:sz w:val="21"/>
          <w:szCs w:val="21"/>
          <w:highlight w:val="none"/>
        </w:rPr>
        <w:t xml:space="preserve"> 合格率。</w:t>
      </w:r>
      <w:r>
        <w:rPr>
          <w:rFonts w:ascii="宋体" w:hAnsi="宋体" w:eastAsia="宋体" w:cs="宋体"/>
          <w:color w:val="auto"/>
          <w:spacing w:val="-6"/>
          <w:sz w:val="21"/>
          <w:szCs w:val="21"/>
          <w:highlight w:val="none"/>
        </w:rPr>
        <w:t>用</w:t>
      </w:r>
      <w:r>
        <w:rPr>
          <w:rFonts w:ascii="宋体" w:hAnsi="宋体" w:eastAsia="宋体" w:cs="宋体"/>
          <w:color w:val="auto"/>
          <w:spacing w:val="-4"/>
          <w:sz w:val="21"/>
          <w:szCs w:val="21"/>
          <w:highlight w:val="none"/>
        </w:rPr>
        <w:t>单位工程和分部分项工程合格率、优良品率表示，欲达到的工程质量等级，创优</w:t>
      </w:r>
      <w:r>
        <w:rPr>
          <w:rFonts w:hint="eastAsia" w:ascii="宋体" w:hAnsi="宋体" w:cs="宋体"/>
          <w:color w:val="auto"/>
          <w:spacing w:val="20"/>
          <w:sz w:val="21"/>
          <w:szCs w:val="21"/>
          <w:highlight w:val="none"/>
          <w:lang w:val="en-US" w:eastAsia="zh-CN"/>
        </w:rPr>
        <w:t>目标</w:t>
      </w:r>
      <w:r>
        <w:rPr>
          <w:rFonts w:ascii="宋体" w:hAnsi="宋体" w:eastAsia="宋体" w:cs="宋体"/>
          <w:color w:val="auto"/>
          <w:spacing w:val="19"/>
          <w:sz w:val="21"/>
          <w:szCs w:val="21"/>
          <w:highlight w:val="none"/>
        </w:rPr>
        <w:t>(如有)。</w:t>
      </w:r>
    </w:p>
    <w:p>
      <w:pPr>
        <w:spacing w:before="1" w:line="219" w:lineRule="auto"/>
        <w:ind w:left="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2.质量管理</w:t>
      </w:r>
      <w:r>
        <w:rPr>
          <w:rFonts w:ascii="宋体" w:hAnsi="宋体" w:eastAsia="宋体" w:cs="宋体"/>
          <w:color w:val="auto"/>
          <w:sz w:val="21"/>
          <w:szCs w:val="21"/>
          <w:highlight w:val="none"/>
        </w:rPr>
        <w:t>组织机构及主要职责</w:t>
      </w:r>
    </w:p>
    <w:p>
      <w:pPr>
        <w:spacing w:before="20" w:line="241" w:lineRule="auto"/>
        <w:ind w:left="423"/>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用框图</w:t>
      </w:r>
      <w:r>
        <w:rPr>
          <w:rFonts w:ascii="宋体" w:hAnsi="宋体" w:eastAsia="宋体" w:cs="宋体"/>
          <w:color w:val="auto"/>
          <w:spacing w:val="-3"/>
          <w:sz w:val="21"/>
          <w:szCs w:val="21"/>
          <w:highlight w:val="none"/>
        </w:rPr>
        <w:t>表示质量管理组织机构，并简要叙述各质量管理部门的主要职责。</w:t>
      </w:r>
    </w:p>
    <w:p>
      <w:pPr>
        <w:spacing w:before="1" w:line="220" w:lineRule="auto"/>
        <w:ind w:left="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3.质量管理的措施</w:t>
      </w:r>
    </w:p>
    <w:p>
      <w:pPr>
        <w:spacing w:before="20" w:line="241" w:lineRule="auto"/>
        <w:ind w:left="42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简</w:t>
      </w:r>
      <w:r>
        <w:rPr>
          <w:rFonts w:ascii="宋体" w:hAnsi="宋体" w:eastAsia="宋体" w:cs="宋体"/>
          <w:color w:val="auto"/>
          <w:spacing w:val="-1"/>
          <w:sz w:val="21"/>
          <w:szCs w:val="21"/>
          <w:highlight w:val="none"/>
        </w:rPr>
        <w:t>要叙述质量管理的措施和关键工序的质量控制。</w:t>
      </w:r>
    </w:p>
    <w:p>
      <w:pPr>
        <w:spacing w:line="220" w:lineRule="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4.质量</w:t>
      </w:r>
      <w:r>
        <w:rPr>
          <w:rFonts w:ascii="宋体" w:hAnsi="宋体" w:eastAsia="宋体" w:cs="宋体"/>
          <w:color w:val="auto"/>
          <w:sz w:val="21"/>
          <w:szCs w:val="21"/>
          <w:highlight w:val="none"/>
        </w:rPr>
        <w:t>管理及检验的标准</w:t>
      </w:r>
    </w:p>
    <w:p>
      <w:pPr>
        <w:spacing w:before="20" w:line="241" w:lineRule="auto"/>
        <w:ind w:left="42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执行的主要质量标准、规范</w:t>
      </w:r>
      <w:r>
        <w:rPr>
          <w:rFonts w:ascii="宋体" w:hAnsi="宋体" w:eastAsia="宋体" w:cs="宋体"/>
          <w:color w:val="auto"/>
          <w:spacing w:val="-1"/>
          <w:sz w:val="21"/>
          <w:szCs w:val="21"/>
          <w:highlight w:val="none"/>
        </w:rPr>
        <w:t>。</w:t>
      </w:r>
    </w:p>
    <w:p>
      <w:pPr>
        <w:spacing w:before="1" w:line="220" w:lineRule="auto"/>
        <w:ind w:left="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5.质量保证技术措</w:t>
      </w:r>
      <w:r>
        <w:rPr>
          <w:rFonts w:ascii="宋体" w:hAnsi="宋体" w:eastAsia="宋体" w:cs="宋体"/>
          <w:color w:val="auto"/>
          <w:sz w:val="21"/>
          <w:szCs w:val="21"/>
          <w:highlight w:val="none"/>
        </w:rPr>
        <w:t>施</w:t>
      </w:r>
    </w:p>
    <w:p>
      <w:pPr>
        <w:spacing w:before="19" w:line="241" w:lineRule="auto"/>
        <w:ind w:left="421"/>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针对</w:t>
      </w:r>
      <w:r>
        <w:rPr>
          <w:rFonts w:ascii="宋体" w:hAnsi="宋体" w:eastAsia="宋体" w:cs="宋体"/>
          <w:color w:val="auto"/>
          <w:spacing w:val="-9"/>
          <w:sz w:val="21"/>
          <w:szCs w:val="21"/>
          <w:highlight w:val="none"/>
        </w:rPr>
        <w:t>工</w:t>
      </w:r>
      <w:r>
        <w:rPr>
          <w:rFonts w:ascii="宋体" w:hAnsi="宋体" w:eastAsia="宋体" w:cs="宋体"/>
          <w:color w:val="auto"/>
          <w:spacing w:val="-7"/>
          <w:sz w:val="21"/>
          <w:szCs w:val="21"/>
          <w:highlight w:val="none"/>
        </w:rPr>
        <w:t>程特点，分析质量薄弱环节，拟将采取的技术措施。</w:t>
      </w:r>
    </w:p>
    <w:p>
      <w:pPr>
        <w:spacing w:before="1" w:line="220" w:lineRule="auto"/>
        <w:ind w:left="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6.重要施</w:t>
      </w:r>
      <w:r>
        <w:rPr>
          <w:rFonts w:ascii="宋体" w:hAnsi="宋体" w:eastAsia="宋体" w:cs="宋体"/>
          <w:color w:val="auto"/>
          <w:sz w:val="21"/>
          <w:szCs w:val="21"/>
          <w:highlight w:val="none"/>
        </w:rPr>
        <w:t>工方案及特殊施工工序的质量过程控制</w:t>
      </w:r>
    </w:p>
    <w:p>
      <w:pPr>
        <w:spacing w:before="20" w:line="241" w:lineRule="auto"/>
        <w:ind w:left="6"/>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7</w:t>
      </w:r>
      <w:r>
        <w:rPr>
          <w:rFonts w:ascii="宋体" w:hAnsi="宋体" w:eastAsia="宋体" w:cs="宋体"/>
          <w:color w:val="auto"/>
          <w:spacing w:val="5"/>
          <w:sz w:val="21"/>
          <w:szCs w:val="21"/>
          <w:highlight w:val="none"/>
        </w:rPr>
        <w:t>.创国家优质工程专项措施(如有)</w:t>
      </w:r>
    </w:p>
    <w:p>
      <w:pPr>
        <w:spacing w:before="1" w:line="238" w:lineRule="auto"/>
        <w:ind w:left="43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阐述争创国家优质工程的组织设置、</w:t>
      </w:r>
      <w:r>
        <w:rPr>
          <w:rFonts w:ascii="宋体" w:hAnsi="宋体" w:eastAsia="宋体" w:cs="宋体"/>
          <w:color w:val="auto"/>
          <w:sz w:val="21"/>
          <w:szCs w:val="21"/>
          <w:highlight w:val="none"/>
        </w:rPr>
        <w:t>资源投入和专项措施。</w:t>
      </w:r>
    </w:p>
    <w:p>
      <w:pPr>
        <w:ind w:left="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8.执行</w:t>
      </w:r>
      <w:r>
        <w:rPr>
          <w:rFonts w:ascii="宋体" w:hAnsi="宋体" w:eastAsia="宋体" w:cs="宋体"/>
          <w:color w:val="auto"/>
          <w:sz w:val="21"/>
          <w:szCs w:val="21"/>
          <w:highlight w:val="none"/>
        </w:rPr>
        <w:t>强制性条文的方案及措施</w:t>
      </w:r>
    </w:p>
    <w:p>
      <w:pPr>
        <w:spacing w:before="1" w:line="238" w:lineRule="auto"/>
        <w:ind w:left="2"/>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9.深化</w:t>
      </w:r>
      <w:r>
        <w:rPr>
          <w:rFonts w:ascii="宋体" w:hAnsi="宋体" w:eastAsia="宋体" w:cs="宋体"/>
          <w:color w:val="auto"/>
          <w:spacing w:val="-2"/>
          <w:sz w:val="21"/>
          <w:szCs w:val="21"/>
          <w:highlight w:val="none"/>
        </w:rPr>
        <w:t>WHS</w:t>
      </w:r>
      <w:r>
        <w:rPr>
          <w:rFonts w:ascii="宋体" w:hAnsi="宋体" w:eastAsia="宋体" w:cs="宋体"/>
          <w:color w:val="auto"/>
          <w:spacing w:val="-4"/>
          <w:sz w:val="21"/>
          <w:szCs w:val="21"/>
          <w:highlight w:val="none"/>
        </w:rPr>
        <w:t>、施工作</w:t>
      </w:r>
      <w:r>
        <w:rPr>
          <w:rFonts w:ascii="宋体" w:hAnsi="宋体" w:eastAsia="宋体" w:cs="宋体"/>
          <w:color w:val="auto"/>
          <w:spacing w:val="-2"/>
          <w:sz w:val="21"/>
          <w:szCs w:val="21"/>
          <w:highlight w:val="none"/>
        </w:rPr>
        <w:t>业指导书和验评标准的现场应用。</w:t>
      </w:r>
    </w:p>
    <w:p>
      <w:pPr>
        <w:spacing w:before="1"/>
        <w:ind w:left="1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w:t>
      </w:r>
      <w:r>
        <w:rPr>
          <w:rFonts w:ascii="宋体" w:hAnsi="宋体" w:eastAsia="宋体" w:cs="宋体"/>
          <w:color w:val="auto"/>
          <w:spacing w:val="-1"/>
          <w:sz w:val="21"/>
          <w:szCs w:val="21"/>
          <w:highlight w:val="none"/>
        </w:rPr>
        <w:t>0.完善基建项目缺陷管理制度、表单，所有项目均严格实行缺陷填报。</w:t>
      </w:r>
    </w:p>
    <w:p>
      <w:pPr>
        <w:spacing w:line="219" w:lineRule="auto"/>
        <w:ind w:left="1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11.科技创新策划方</w:t>
      </w:r>
      <w:r>
        <w:rPr>
          <w:rFonts w:ascii="宋体" w:hAnsi="宋体" w:eastAsia="宋体" w:cs="宋体"/>
          <w:color w:val="auto"/>
          <w:spacing w:val="-1"/>
          <w:sz w:val="21"/>
          <w:szCs w:val="21"/>
          <w:highlight w:val="none"/>
        </w:rPr>
        <w:t>案</w:t>
      </w:r>
    </w:p>
    <w:p>
      <w:pPr>
        <w:spacing w:before="296" w:line="238" w:lineRule="auto"/>
        <w:ind w:left="7"/>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w:t>
      </w:r>
      <w:r>
        <w:rPr>
          <w:rFonts w:ascii="宋体" w:hAnsi="宋体" w:eastAsia="宋体" w:cs="宋体"/>
          <w:color w:val="auto"/>
          <w:spacing w:val="7"/>
          <w:sz w:val="21"/>
          <w:szCs w:val="21"/>
          <w:highlight w:val="none"/>
        </w:rPr>
        <w:t>七</w:t>
      </w:r>
      <w:r>
        <w:rPr>
          <w:rFonts w:ascii="宋体" w:hAnsi="宋体" w:eastAsia="宋体" w:cs="宋体"/>
          <w:color w:val="auto"/>
          <w:spacing w:val="4"/>
          <w:sz w:val="21"/>
          <w:szCs w:val="21"/>
          <w:highlight w:val="none"/>
        </w:rPr>
        <w:t>) 安全目标、安全保证体系及技术组织措施</w:t>
      </w:r>
    </w:p>
    <w:p>
      <w:pPr>
        <w:spacing w:line="238" w:lineRule="auto"/>
        <w:ind w:left="1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w:t>
      </w:r>
      <w:r>
        <w:rPr>
          <w:rFonts w:ascii="宋体" w:hAnsi="宋体" w:eastAsia="宋体" w:cs="宋体"/>
          <w:color w:val="auto"/>
          <w:spacing w:val="-2"/>
          <w:sz w:val="21"/>
          <w:szCs w:val="21"/>
          <w:highlight w:val="none"/>
        </w:rPr>
        <w:t>安全管理目标</w:t>
      </w:r>
    </w:p>
    <w:p>
      <w:pPr>
        <w:ind w:left="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2.安全管理</w:t>
      </w:r>
      <w:r>
        <w:rPr>
          <w:rFonts w:ascii="宋体" w:hAnsi="宋体" w:eastAsia="宋体" w:cs="宋体"/>
          <w:color w:val="auto"/>
          <w:sz w:val="21"/>
          <w:szCs w:val="21"/>
          <w:highlight w:val="none"/>
        </w:rPr>
        <w:t>组织机构及主要职责</w:t>
      </w:r>
    </w:p>
    <w:p>
      <w:pPr>
        <w:spacing w:before="1" w:line="220" w:lineRule="auto"/>
        <w:ind w:left="423"/>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用框图表示</w:t>
      </w:r>
      <w:r>
        <w:rPr>
          <w:rFonts w:ascii="宋体" w:hAnsi="宋体" w:eastAsia="宋体" w:cs="宋体"/>
          <w:color w:val="auto"/>
          <w:spacing w:val="-4"/>
          <w:sz w:val="21"/>
          <w:szCs w:val="21"/>
          <w:highlight w:val="none"/>
        </w:rPr>
        <w:t>安</w:t>
      </w:r>
      <w:r>
        <w:rPr>
          <w:rFonts w:ascii="宋体" w:hAnsi="宋体" w:eastAsia="宋体" w:cs="宋体"/>
          <w:color w:val="auto"/>
          <w:spacing w:val="-3"/>
          <w:sz w:val="21"/>
          <w:szCs w:val="21"/>
          <w:highlight w:val="none"/>
        </w:rPr>
        <w:t>全管理组织机构， 并简要叙述各安全管理部门及人员的主要职责。</w:t>
      </w:r>
    </w:p>
    <w:p>
      <w:pPr>
        <w:spacing w:before="20" w:line="241" w:lineRule="auto"/>
        <w:ind w:left="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3.安全管理制度及</w:t>
      </w:r>
      <w:r>
        <w:rPr>
          <w:rFonts w:ascii="宋体" w:hAnsi="宋体" w:eastAsia="宋体" w:cs="宋体"/>
          <w:color w:val="auto"/>
          <w:sz w:val="21"/>
          <w:szCs w:val="21"/>
          <w:highlight w:val="none"/>
        </w:rPr>
        <w:t>办法</w:t>
      </w:r>
    </w:p>
    <w:p>
      <w:pPr>
        <w:spacing w:before="1" w:line="238" w:lineRule="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4.安全</w:t>
      </w:r>
      <w:r>
        <w:rPr>
          <w:rFonts w:ascii="宋体" w:hAnsi="宋体" w:eastAsia="宋体" w:cs="宋体"/>
          <w:color w:val="auto"/>
          <w:sz w:val="21"/>
          <w:szCs w:val="21"/>
          <w:highlight w:val="none"/>
        </w:rPr>
        <w:t>组织技术措施</w:t>
      </w:r>
    </w:p>
    <w:p>
      <w:pPr>
        <w:spacing w:before="4" w:line="239" w:lineRule="auto"/>
        <w:ind w:left="2" w:firstLine="419"/>
        <w:rPr>
          <w:rFonts w:ascii="宋体" w:hAnsi="宋体" w:eastAsia="宋体" w:cs="宋体"/>
          <w:color w:val="auto"/>
          <w:spacing w:val="-1"/>
          <w:sz w:val="21"/>
          <w:szCs w:val="21"/>
          <w:highlight w:val="none"/>
        </w:rPr>
      </w:pPr>
      <w:r>
        <w:rPr>
          <w:rFonts w:ascii="宋体" w:hAnsi="宋体" w:eastAsia="宋体" w:cs="宋体"/>
          <w:color w:val="auto"/>
          <w:spacing w:val="-2"/>
          <w:sz w:val="21"/>
          <w:szCs w:val="21"/>
          <w:highlight w:val="none"/>
        </w:rPr>
        <w:t>针对工程危</w:t>
      </w:r>
      <w:r>
        <w:rPr>
          <w:rFonts w:ascii="宋体" w:hAnsi="宋体" w:eastAsia="宋体" w:cs="宋体"/>
          <w:color w:val="auto"/>
          <w:spacing w:val="-1"/>
          <w:sz w:val="21"/>
          <w:szCs w:val="21"/>
          <w:highlight w:val="none"/>
        </w:rPr>
        <w:t>险点，分析安全薄弱环节，拟将采取的技术措施。</w:t>
      </w:r>
    </w:p>
    <w:p>
      <w:pPr>
        <w:numPr>
          <w:ilvl w:val="0"/>
          <w:numId w:val="0"/>
        </w:numPr>
        <w:spacing w:before="4" w:line="239" w:lineRule="auto"/>
        <w:rPr>
          <w:rFonts w:ascii="宋体" w:hAnsi="宋体" w:eastAsia="宋体" w:cs="宋体"/>
          <w:color w:val="auto"/>
          <w:sz w:val="21"/>
          <w:szCs w:val="21"/>
          <w:highlight w:val="none"/>
        </w:rPr>
      </w:pPr>
      <w:r>
        <w:rPr>
          <w:rFonts w:hint="eastAsia" w:ascii="宋体" w:hAnsi="宋体" w:cs="宋体"/>
          <w:color w:val="auto"/>
          <w:spacing w:val="-1"/>
          <w:sz w:val="21"/>
          <w:szCs w:val="21"/>
          <w:highlight w:val="none"/>
          <w:lang w:val="en-US" w:eastAsia="zh-CN"/>
        </w:rPr>
        <w:t>5.</w:t>
      </w:r>
      <w:r>
        <w:rPr>
          <w:rFonts w:ascii="宋体" w:hAnsi="宋体" w:eastAsia="宋体" w:cs="宋体"/>
          <w:color w:val="auto"/>
          <w:spacing w:val="-1"/>
          <w:sz w:val="21"/>
          <w:szCs w:val="21"/>
          <w:highlight w:val="none"/>
        </w:rPr>
        <w:t>重要施</w:t>
      </w:r>
      <w:r>
        <w:rPr>
          <w:rFonts w:ascii="宋体" w:hAnsi="宋体" w:eastAsia="宋体" w:cs="宋体"/>
          <w:color w:val="auto"/>
          <w:sz w:val="21"/>
          <w:szCs w:val="21"/>
          <w:highlight w:val="none"/>
        </w:rPr>
        <w:t>工方案和特殊施工工序的安全过程控制</w:t>
      </w:r>
    </w:p>
    <w:p>
      <w:pPr>
        <w:numPr>
          <w:ilvl w:val="0"/>
          <w:numId w:val="0"/>
        </w:numPr>
        <w:spacing w:before="4" w:line="239" w:lineRule="auto"/>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6.安全保证体</w:t>
      </w:r>
      <w:r>
        <w:rPr>
          <w:rFonts w:ascii="宋体" w:hAnsi="宋体" w:eastAsia="宋体" w:cs="宋体"/>
          <w:color w:val="auto"/>
          <w:spacing w:val="-1"/>
          <w:sz w:val="21"/>
          <w:szCs w:val="21"/>
          <w:highlight w:val="none"/>
        </w:rPr>
        <w:t>系中应体现及满足南方电网公司《基建项目安全管理办法》、《电网建设安全施工作业票》、</w:t>
      </w:r>
      <w:r>
        <w:rPr>
          <w:rFonts w:ascii="宋体" w:hAnsi="宋体" w:eastAsia="宋体" w:cs="宋体"/>
          <w:color w:val="auto"/>
          <w:spacing w:val="2"/>
          <w:sz w:val="21"/>
          <w:szCs w:val="21"/>
          <w:highlight w:val="none"/>
        </w:rPr>
        <w:t>《安全风险管理体系》、《安全四步法工作指引》、《安全</w:t>
      </w:r>
      <w:r>
        <w:rPr>
          <w:rFonts w:ascii="宋体" w:hAnsi="宋体" w:eastAsia="宋体" w:cs="宋体"/>
          <w:color w:val="auto"/>
          <w:spacing w:val="1"/>
          <w:sz w:val="21"/>
          <w:szCs w:val="21"/>
          <w:highlight w:val="none"/>
        </w:rPr>
        <w:t>生产现场作业十个规定动作》等管理规定的指</w:t>
      </w:r>
      <w:r>
        <w:rPr>
          <w:rFonts w:ascii="宋体" w:hAnsi="宋体" w:eastAsia="宋体" w:cs="宋体"/>
          <w:color w:val="auto"/>
          <w:spacing w:val="-6"/>
          <w:sz w:val="21"/>
          <w:szCs w:val="21"/>
          <w:highlight w:val="none"/>
        </w:rPr>
        <w:t>引</w:t>
      </w:r>
      <w:r>
        <w:rPr>
          <w:rFonts w:ascii="宋体" w:hAnsi="宋体" w:eastAsia="宋体" w:cs="宋体"/>
          <w:color w:val="auto"/>
          <w:spacing w:val="-4"/>
          <w:sz w:val="21"/>
          <w:szCs w:val="21"/>
          <w:highlight w:val="none"/>
        </w:rPr>
        <w:t>或动作。</w:t>
      </w:r>
    </w:p>
    <w:p>
      <w:pPr>
        <w:spacing w:before="1" w:line="239" w:lineRule="auto"/>
        <w:ind w:left="2" w:right="72" w:firstLine="3"/>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7.持续推进</w:t>
      </w:r>
      <w:r>
        <w:rPr>
          <w:rFonts w:ascii="宋体" w:hAnsi="宋体" w:eastAsia="宋体" w:cs="宋体"/>
          <w:color w:val="auto"/>
          <w:spacing w:val="-4"/>
          <w:sz w:val="21"/>
          <w:szCs w:val="21"/>
          <w:highlight w:val="none"/>
        </w:rPr>
        <w:t>基建安风体系认证工作，严格执行“四步法”、“八步骤”、“7S”管理，规范 PPE 管理，形</w:t>
      </w:r>
      <w:r>
        <w:rPr>
          <w:rFonts w:ascii="宋体" w:hAnsi="宋体" w:eastAsia="宋体" w:cs="宋体"/>
          <w:color w:val="auto"/>
          <w:spacing w:val="-1"/>
          <w:sz w:val="21"/>
          <w:szCs w:val="21"/>
          <w:highlight w:val="none"/>
        </w:rPr>
        <w:t>成施工现场安全</w:t>
      </w:r>
      <w:r>
        <w:rPr>
          <w:rFonts w:ascii="宋体" w:hAnsi="宋体" w:eastAsia="宋体" w:cs="宋体"/>
          <w:color w:val="auto"/>
          <w:sz w:val="21"/>
          <w:szCs w:val="21"/>
          <w:highlight w:val="none"/>
        </w:rPr>
        <w:t>管理文化。</w:t>
      </w:r>
    </w:p>
    <w:p>
      <w:pPr>
        <w:spacing w:line="238" w:lineRule="auto"/>
        <w:ind w:left="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8.</w:t>
      </w:r>
      <w:r>
        <w:rPr>
          <w:rFonts w:ascii="宋体" w:hAnsi="宋体" w:eastAsia="宋体" w:cs="宋体"/>
          <w:color w:val="auto"/>
          <w:spacing w:val="-1"/>
          <w:sz w:val="21"/>
          <w:szCs w:val="21"/>
          <w:highlight w:val="none"/>
        </w:rPr>
        <w:t>配合建设单位日常检查扣分工作。</w:t>
      </w:r>
    </w:p>
    <w:p>
      <w:pPr>
        <w:spacing w:before="1" w:line="220" w:lineRule="auto"/>
        <w:ind w:left="2"/>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9.严</w:t>
      </w:r>
      <w:r>
        <w:rPr>
          <w:rFonts w:ascii="宋体" w:hAnsi="宋体" w:eastAsia="宋体" w:cs="宋体"/>
          <w:color w:val="auto"/>
          <w:spacing w:val="-4"/>
          <w:sz w:val="21"/>
          <w:szCs w:val="21"/>
          <w:highlight w:val="none"/>
        </w:rPr>
        <w:t>格</w:t>
      </w:r>
      <w:r>
        <w:rPr>
          <w:rFonts w:ascii="宋体" w:hAnsi="宋体" w:eastAsia="宋体" w:cs="宋体"/>
          <w:color w:val="auto"/>
          <w:spacing w:val="-3"/>
          <w:sz w:val="21"/>
          <w:szCs w:val="21"/>
          <w:highlight w:val="none"/>
        </w:rPr>
        <w:t>执行 《中国南方电网有限责任公司基建工作“八不准”细则》。</w:t>
      </w:r>
    </w:p>
    <w:p>
      <w:pPr>
        <w:spacing w:before="293" w:line="241" w:lineRule="auto"/>
        <w:ind w:left="7"/>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w:t>
      </w:r>
      <w:r>
        <w:rPr>
          <w:rFonts w:ascii="宋体" w:hAnsi="宋体" w:eastAsia="宋体" w:cs="宋体"/>
          <w:color w:val="auto"/>
          <w:spacing w:val="8"/>
          <w:sz w:val="21"/>
          <w:szCs w:val="21"/>
          <w:highlight w:val="none"/>
        </w:rPr>
        <w:t>八)工程分包的管理</w:t>
      </w:r>
    </w:p>
    <w:p>
      <w:pPr>
        <w:spacing w:before="1" w:line="238" w:lineRule="auto"/>
        <w:ind w:left="1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1.工程分包的原</w:t>
      </w:r>
      <w:r>
        <w:rPr>
          <w:rFonts w:ascii="宋体" w:hAnsi="宋体" w:eastAsia="宋体" w:cs="宋体"/>
          <w:color w:val="auto"/>
          <w:spacing w:val="-1"/>
          <w:sz w:val="21"/>
          <w:szCs w:val="21"/>
          <w:highlight w:val="none"/>
        </w:rPr>
        <w:t>因及范围</w:t>
      </w:r>
    </w:p>
    <w:p>
      <w:pPr>
        <w:ind w:left="3"/>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2.分</w:t>
      </w:r>
      <w:r>
        <w:rPr>
          <w:rFonts w:ascii="宋体" w:hAnsi="宋体" w:eastAsia="宋体" w:cs="宋体"/>
          <w:color w:val="auto"/>
          <w:spacing w:val="6"/>
          <w:sz w:val="21"/>
          <w:szCs w:val="21"/>
          <w:highlight w:val="none"/>
        </w:rPr>
        <w:t>包</w:t>
      </w:r>
      <w:r>
        <w:rPr>
          <w:rFonts w:ascii="宋体" w:hAnsi="宋体" w:eastAsia="宋体" w:cs="宋体"/>
          <w:color w:val="auto"/>
          <w:spacing w:val="4"/>
          <w:sz w:val="21"/>
          <w:szCs w:val="21"/>
          <w:highlight w:val="none"/>
        </w:rPr>
        <w:t>商选择条件(拟分包项目情况表)</w:t>
      </w:r>
    </w:p>
    <w:p>
      <w:pPr>
        <w:spacing w:line="239" w:lineRule="auto"/>
        <w:ind w:left="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3.分包工程管理质量管理、工期管理、安全管</w:t>
      </w:r>
      <w:r>
        <w:rPr>
          <w:rFonts w:ascii="宋体" w:hAnsi="宋体" w:eastAsia="宋体" w:cs="宋体"/>
          <w:color w:val="auto"/>
          <w:sz w:val="21"/>
          <w:szCs w:val="21"/>
          <w:highlight w:val="none"/>
        </w:rPr>
        <w:t>理、农民工工资管理等。</w:t>
      </w:r>
    </w:p>
    <w:p>
      <w:pPr>
        <w:spacing w:before="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w:t>
      </w:r>
      <w:r>
        <w:rPr>
          <w:rFonts w:ascii="宋体" w:hAnsi="宋体" w:eastAsia="宋体" w:cs="宋体"/>
          <w:color w:val="auto"/>
          <w:sz w:val="21"/>
          <w:szCs w:val="21"/>
          <w:highlight w:val="none"/>
        </w:rPr>
        <w:t>.分包管理制度满足南方电网公司《基建项目承包商管理办法》的相关要求。</w:t>
      </w:r>
    </w:p>
    <w:p>
      <w:pPr>
        <w:spacing w:line="221" w:lineRule="auto"/>
        <w:ind w:left="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备注：</w:t>
      </w:r>
      <w:r>
        <w:rPr>
          <w:rFonts w:ascii="宋体" w:hAnsi="宋体" w:eastAsia="宋体" w:cs="宋体"/>
          <w:color w:val="auto"/>
          <w:sz w:val="21"/>
          <w:szCs w:val="21"/>
          <w:highlight w:val="none"/>
          <w14:textOutline w14:w="3831" w14:cap="flat" w14:cmpd="sng">
            <w14:solidFill>
              <w14:srgbClr w14:val="000000"/>
            </w14:solidFill>
            <w14:prstDash w14:val="solid"/>
            <w14:miter w14:val="0"/>
          </w14:textOutline>
        </w:rPr>
        <w:t>如无分包情况，应在方案中详细描述不分包能满足项目实施进度需要的方案及保证措施。</w:t>
      </w:r>
    </w:p>
    <w:p>
      <w:pPr>
        <w:spacing w:before="291" w:line="241" w:lineRule="auto"/>
        <w:ind w:left="7"/>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w:t>
      </w:r>
      <w:r>
        <w:rPr>
          <w:rFonts w:ascii="宋体" w:hAnsi="宋体" w:eastAsia="宋体" w:cs="宋体"/>
          <w:color w:val="auto"/>
          <w:spacing w:val="5"/>
          <w:sz w:val="21"/>
          <w:szCs w:val="21"/>
          <w:highlight w:val="none"/>
        </w:rPr>
        <w:t>九)环境保护、水土保持及文明施工</w:t>
      </w:r>
    </w:p>
    <w:p>
      <w:pPr>
        <w:spacing w:line="220" w:lineRule="auto"/>
        <w:ind w:left="1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1.环境保护、水土</w:t>
      </w:r>
      <w:r>
        <w:rPr>
          <w:rFonts w:ascii="宋体" w:hAnsi="宋体" w:eastAsia="宋体" w:cs="宋体"/>
          <w:color w:val="auto"/>
          <w:spacing w:val="-1"/>
          <w:sz w:val="21"/>
          <w:szCs w:val="21"/>
          <w:highlight w:val="none"/>
        </w:rPr>
        <w:t>保持</w:t>
      </w:r>
    </w:p>
    <w:p>
      <w:pPr>
        <w:spacing w:before="20" w:line="241" w:lineRule="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分析因施工可能引起的环境保护及水土保持方面的问题。</w:t>
      </w:r>
    </w:p>
    <w:p>
      <w:pPr>
        <w:spacing w:before="1" w:line="220" w:lineRule="auto"/>
        <w:ind w:left="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2.加强施工</w:t>
      </w:r>
      <w:r>
        <w:rPr>
          <w:rFonts w:ascii="宋体" w:hAnsi="宋体" w:eastAsia="宋体" w:cs="宋体"/>
          <w:color w:val="auto"/>
          <w:sz w:val="21"/>
          <w:szCs w:val="21"/>
          <w:highlight w:val="none"/>
        </w:rPr>
        <w:t>管理、严格保护环境</w:t>
      </w:r>
    </w:p>
    <w:p>
      <w:pPr>
        <w:spacing w:before="19" w:line="241" w:lineRule="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提出环境</w:t>
      </w:r>
      <w:r>
        <w:rPr>
          <w:rFonts w:ascii="宋体" w:hAnsi="宋体" w:eastAsia="宋体" w:cs="宋体"/>
          <w:color w:val="auto"/>
          <w:sz w:val="21"/>
          <w:szCs w:val="21"/>
          <w:highlight w:val="none"/>
        </w:rPr>
        <w:t>保护及水土保持的目标及采取的具体措施。</w:t>
      </w:r>
    </w:p>
    <w:p>
      <w:pPr>
        <w:spacing w:before="1" w:line="220" w:lineRule="auto"/>
        <w:ind w:left="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3.节能措施和办法</w:t>
      </w:r>
    </w:p>
    <w:p>
      <w:pPr>
        <w:spacing w:before="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w:t>
      </w:r>
      <w:r>
        <w:rPr>
          <w:rFonts w:ascii="宋体" w:hAnsi="宋体" w:eastAsia="宋体" w:cs="宋体"/>
          <w:color w:val="auto"/>
          <w:sz w:val="21"/>
          <w:szCs w:val="21"/>
          <w:highlight w:val="none"/>
        </w:rPr>
        <w:t>文明施工的目标、组织机构和实施方案</w:t>
      </w:r>
    </w:p>
    <w:p>
      <w:pPr>
        <w:pStyle w:val="1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5.文明施工考核、</w:t>
      </w:r>
      <w:r>
        <w:rPr>
          <w:rFonts w:ascii="宋体" w:hAnsi="宋体" w:eastAsia="宋体" w:cs="宋体"/>
          <w:color w:val="auto"/>
          <w:sz w:val="21"/>
          <w:szCs w:val="21"/>
          <w:highlight w:val="none"/>
        </w:rPr>
        <w:t>管理办法</w:t>
      </w:r>
    </w:p>
    <w:p>
      <w:pPr>
        <w:ind w:left="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6.安</w:t>
      </w:r>
      <w:r>
        <w:rPr>
          <w:rFonts w:ascii="宋体" w:hAnsi="宋体" w:eastAsia="宋体" w:cs="宋体"/>
          <w:color w:val="auto"/>
          <w:sz w:val="21"/>
          <w:szCs w:val="21"/>
          <w:highlight w:val="none"/>
        </w:rPr>
        <w:t>全文明施工应满足南方电网公司《基建项目安全管理办法》的相关要求。</w:t>
      </w:r>
    </w:p>
    <w:p>
      <w:pPr>
        <w:rPr>
          <w:rFonts w:ascii="宋体" w:hAnsi="宋体" w:eastAsia="宋体" w:cs="宋体"/>
          <w:color w:val="auto"/>
          <w:sz w:val="21"/>
          <w:szCs w:val="21"/>
          <w:highlight w:val="none"/>
        </w:rPr>
      </w:pPr>
      <w:r>
        <w:rPr>
          <w:rFonts w:ascii="宋体" w:hAnsi="宋体" w:eastAsia="宋体" w:cs="宋体"/>
          <w:color w:val="auto"/>
          <w:sz w:val="21"/>
          <w:szCs w:val="21"/>
          <w:highlight w:val="none"/>
        </w:rPr>
        <w:br w:type="page"/>
      </w:r>
    </w:p>
    <w:bookmarkEnd w:id="2231"/>
    <w:bookmarkEnd w:id="2232"/>
    <w:p>
      <w:pPr>
        <w:tabs>
          <w:tab w:val="left" w:pos="2127"/>
        </w:tabs>
        <w:autoSpaceDE w:val="0"/>
        <w:autoSpaceDN w:val="0"/>
        <w:adjustRightInd w:val="0"/>
        <w:spacing w:line="360" w:lineRule="auto"/>
        <w:jc w:val="center"/>
        <w:rPr>
          <w:rFonts w:hint="eastAsia" w:ascii="宋体" w:hAnsi="宋体" w:cs="黑体"/>
          <w:color w:val="auto"/>
          <w:kern w:val="0"/>
          <w:sz w:val="28"/>
          <w:szCs w:val="28"/>
          <w:highlight w:val="none"/>
          <w:u w:val="single"/>
        </w:rPr>
      </w:pPr>
    </w:p>
    <w:p>
      <w:pPr>
        <w:autoSpaceDE w:val="0"/>
        <w:autoSpaceDN w:val="0"/>
        <w:adjustRightInd w:val="0"/>
        <w:spacing w:line="360" w:lineRule="auto"/>
        <w:rPr>
          <w:rFonts w:hint="eastAsia" w:ascii="宋体" w:hAnsi="宋体" w:cs="黑体"/>
          <w:color w:val="auto"/>
          <w:kern w:val="0"/>
          <w:sz w:val="28"/>
          <w:szCs w:val="28"/>
          <w:highlight w:val="none"/>
          <w:u w:val="none"/>
        </w:rPr>
      </w:pPr>
      <w:r>
        <w:rPr>
          <w:rFonts w:hint="eastAsia" w:ascii="宋体" w:hAnsi="宋体"/>
          <w:color w:val="auto"/>
          <w:sz w:val="24"/>
          <w:szCs w:val="24"/>
          <w:highlight w:val="none"/>
          <w:u w:val="none"/>
        </w:rPr>
        <w:t>招标编号：</w:t>
      </w:r>
      <w:r>
        <w:rPr>
          <w:rFonts w:hint="eastAsia" w:ascii="宋体" w:hAnsi="宋体" w:cs="黑体"/>
          <w:color w:val="auto"/>
          <w:kern w:val="0"/>
          <w:sz w:val="28"/>
          <w:szCs w:val="28"/>
          <w:highlight w:val="none"/>
          <w:u w:val="none"/>
        </w:rPr>
        <w:t xml:space="preserve">                                           </w:t>
      </w:r>
    </w:p>
    <w:p>
      <w:pPr>
        <w:tabs>
          <w:tab w:val="left" w:pos="2127"/>
        </w:tabs>
        <w:autoSpaceDE w:val="0"/>
        <w:autoSpaceDN w:val="0"/>
        <w:adjustRightInd w:val="0"/>
        <w:spacing w:line="360" w:lineRule="auto"/>
        <w:jc w:val="center"/>
        <w:rPr>
          <w:rFonts w:hint="eastAsia" w:ascii="宋体" w:hAnsi="宋体" w:cs="黑体"/>
          <w:color w:val="auto"/>
          <w:kern w:val="0"/>
          <w:sz w:val="28"/>
          <w:szCs w:val="28"/>
          <w:highlight w:val="none"/>
          <w:u w:val="single"/>
        </w:rPr>
      </w:pPr>
    </w:p>
    <w:p>
      <w:pPr>
        <w:tabs>
          <w:tab w:val="left" w:pos="2127"/>
        </w:tabs>
        <w:autoSpaceDE w:val="0"/>
        <w:autoSpaceDN w:val="0"/>
        <w:adjustRightInd w:val="0"/>
        <w:spacing w:line="360" w:lineRule="auto"/>
        <w:jc w:val="center"/>
        <w:rPr>
          <w:rFonts w:hint="eastAsia" w:ascii="宋体" w:hAnsi="宋体" w:cs="黑体"/>
          <w:color w:val="auto"/>
          <w:kern w:val="0"/>
          <w:sz w:val="28"/>
          <w:szCs w:val="28"/>
          <w:highlight w:val="none"/>
          <w:u w:val="single"/>
        </w:rPr>
      </w:pPr>
      <w:r>
        <w:rPr>
          <w:rFonts w:hint="eastAsia" w:ascii="宋体" w:hAnsi="宋体" w:cs="黑体"/>
          <w:color w:val="auto"/>
          <w:kern w:val="0"/>
          <w:sz w:val="28"/>
          <w:szCs w:val="28"/>
          <w:highlight w:val="none"/>
          <w:u w:val="single"/>
        </w:rPr>
        <w:t xml:space="preserve">   （项目名称） </w:t>
      </w:r>
    </w:p>
    <w:p>
      <w:pPr>
        <w:tabs>
          <w:tab w:val="left" w:pos="2127"/>
        </w:tabs>
        <w:autoSpaceDE w:val="0"/>
        <w:autoSpaceDN w:val="0"/>
        <w:adjustRightInd w:val="0"/>
        <w:spacing w:line="360" w:lineRule="auto"/>
        <w:jc w:val="center"/>
        <w:rPr>
          <w:rFonts w:hint="eastAsia" w:ascii="宋体" w:hAnsi="宋体" w:cs="黑体"/>
          <w:color w:val="auto"/>
          <w:kern w:val="0"/>
          <w:sz w:val="28"/>
          <w:szCs w:val="28"/>
          <w:highlight w:val="none"/>
          <w:u w:val="single"/>
        </w:rPr>
      </w:pPr>
    </w:p>
    <w:p>
      <w:pPr>
        <w:tabs>
          <w:tab w:val="left" w:pos="2127"/>
        </w:tabs>
        <w:autoSpaceDE w:val="0"/>
        <w:autoSpaceDN w:val="0"/>
        <w:adjustRightInd w:val="0"/>
        <w:spacing w:line="360" w:lineRule="auto"/>
        <w:jc w:val="center"/>
        <w:rPr>
          <w:rFonts w:hint="eastAsia" w:ascii="宋体" w:hAnsi="宋体" w:cs="黑体"/>
          <w:color w:val="auto"/>
          <w:kern w:val="0"/>
          <w:sz w:val="28"/>
          <w:szCs w:val="28"/>
          <w:highlight w:val="none"/>
          <w:u w:val="single"/>
        </w:rPr>
      </w:pPr>
    </w:p>
    <w:p>
      <w:pPr>
        <w:tabs>
          <w:tab w:val="left" w:pos="2127"/>
        </w:tabs>
        <w:autoSpaceDE w:val="0"/>
        <w:autoSpaceDN w:val="0"/>
        <w:adjustRightInd w:val="0"/>
        <w:spacing w:line="360" w:lineRule="auto"/>
        <w:jc w:val="both"/>
        <w:rPr>
          <w:rFonts w:ascii="宋体" w:hAnsi="宋体" w:cs="黑体"/>
          <w:color w:val="auto"/>
          <w:kern w:val="0"/>
          <w:sz w:val="28"/>
          <w:szCs w:val="28"/>
          <w:highlight w:val="none"/>
        </w:rPr>
      </w:pPr>
    </w:p>
    <w:p>
      <w:pPr>
        <w:tabs>
          <w:tab w:val="left" w:pos="2127"/>
        </w:tabs>
        <w:autoSpaceDE w:val="0"/>
        <w:autoSpaceDN w:val="0"/>
        <w:adjustRightInd w:val="0"/>
        <w:spacing w:line="360" w:lineRule="auto"/>
        <w:jc w:val="center"/>
        <w:rPr>
          <w:rFonts w:ascii="宋体" w:hAnsi="宋体" w:cs="黑体"/>
          <w:color w:val="auto"/>
          <w:kern w:val="0"/>
          <w:sz w:val="44"/>
          <w:szCs w:val="44"/>
          <w:highlight w:val="none"/>
        </w:rPr>
      </w:pPr>
      <w:r>
        <w:rPr>
          <w:rFonts w:hint="eastAsia" w:ascii="宋体" w:hAnsi="宋体" w:cs="黑体"/>
          <w:color w:val="auto"/>
          <w:kern w:val="0"/>
          <w:sz w:val="44"/>
          <w:szCs w:val="44"/>
          <w:highlight w:val="none"/>
          <w:lang w:val="en-US" w:eastAsia="zh-CN"/>
        </w:rPr>
        <w:t xml:space="preserve">电 子 </w:t>
      </w:r>
      <w:r>
        <w:rPr>
          <w:rFonts w:hint="eastAsia" w:ascii="宋体" w:hAnsi="宋体" w:cs="黑体"/>
          <w:color w:val="auto"/>
          <w:kern w:val="0"/>
          <w:sz w:val="44"/>
          <w:szCs w:val="44"/>
          <w:highlight w:val="none"/>
        </w:rPr>
        <w:t>投</w:t>
      </w:r>
      <w:r>
        <w:rPr>
          <w:rFonts w:ascii="宋体" w:hAnsi="宋体" w:cs="黑体"/>
          <w:color w:val="auto"/>
          <w:kern w:val="0"/>
          <w:sz w:val="44"/>
          <w:szCs w:val="44"/>
          <w:highlight w:val="none"/>
        </w:rPr>
        <w:t xml:space="preserve"> </w:t>
      </w:r>
      <w:r>
        <w:rPr>
          <w:rFonts w:hint="eastAsia" w:ascii="宋体" w:hAnsi="宋体" w:cs="黑体"/>
          <w:color w:val="auto"/>
          <w:kern w:val="0"/>
          <w:sz w:val="44"/>
          <w:szCs w:val="44"/>
          <w:highlight w:val="none"/>
        </w:rPr>
        <w:t>标</w:t>
      </w:r>
      <w:r>
        <w:rPr>
          <w:rFonts w:ascii="宋体" w:hAnsi="宋体" w:cs="黑体"/>
          <w:color w:val="auto"/>
          <w:kern w:val="0"/>
          <w:sz w:val="44"/>
          <w:szCs w:val="44"/>
          <w:highlight w:val="none"/>
        </w:rPr>
        <w:t xml:space="preserve"> </w:t>
      </w:r>
      <w:r>
        <w:rPr>
          <w:rFonts w:hint="eastAsia" w:ascii="宋体" w:hAnsi="宋体" w:cs="黑体"/>
          <w:color w:val="auto"/>
          <w:kern w:val="0"/>
          <w:sz w:val="44"/>
          <w:szCs w:val="44"/>
          <w:highlight w:val="none"/>
        </w:rPr>
        <w:t>文</w:t>
      </w:r>
      <w:r>
        <w:rPr>
          <w:rFonts w:ascii="宋体" w:hAnsi="宋体" w:cs="黑体"/>
          <w:color w:val="auto"/>
          <w:kern w:val="0"/>
          <w:sz w:val="44"/>
          <w:szCs w:val="44"/>
          <w:highlight w:val="none"/>
        </w:rPr>
        <w:t xml:space="preserve"> </w:t>
      </w:r>
      <w:r>
        <w:rPr>
          <w:rFonts w:hint="eastAsia" w:ascii="宋体" w:hAnsi="宋体" w:cs="黑体"/>
          <w:color w:val="auto"/>
          <w:kern w:val="0"/>
          <w:sz w:val="44"/>
          <w:szCs w:val="44"/>
          <w:highlight w:val="none"/>
        </w:rPr>
        <w:t>件</w:t>
      </w:r>
    </w:p>
    <w:p>
      <w:pPr>
        <w:tabs>
          <w:tab w:val="left" w:pos="2127"/>
        </w:tabs>
        <w:autoSpaceDE w:val="0"/>
        <w:autoSpaceDN w:val="0"/>
        <w:adjustRightInd w:val="0"/>
        <w:spacing w:line="360" w:lineRule="auto"/>
        <w:jc w:val="center"/>
        <w:rPr>
          <w:rFonts w:ascii="宋体" w:hAnsi="宋体" w:cs="黑体"/>
          <w:color w:val="auto"/>
          <w:kern w:val="0"/>
          <w:sz w:val="28"/>
          <w:szCs w:val="28"/>
          <w:highlight w:val="none"/>
        </w:rPr>
      </w:pPr>
    </w:p>
    <w:p>
      <w:pPr>
        <w:tabs>
          <w:tab w:val="left" w:pos="2127"/>
        </w:tabs>
        <w:autoSpaceDE w:val="0"/>
        <w:autoSpaceDN w:val="0"/>
        <w:adjustRightInd w:val="0"/>
        <w:spacing w:line="360" w:lineRule="auto"/>
        <w:jc w:val="center"/>
        <w:rPr>
          <w:rFonts w:ascii="宋体" w:hAnsi="宋体" w:cs="黑体"/>
          <w:color w:val="auto"/>
          <w:kern w:val="0"/>
          <w:sz w:val="44"/>
          <w:szCs w:val="44"/>
          <w:highlight w:val="none"/>
        </w:rPr>
      </w:pPr>
    </w:p>
    <w:p>
      <w:pPr>
        <w:tabs>
          <w:tab w:val="left" w:pos="2127"/>
        </w:tabs>
        <w:autoSpaceDE w:val="0"/>
        <w:autoSpaceDN w:val="0"/>
        <w:adjustRightInd w:val="0"/>
        <w:spacing w:line="360" w:lineRule="auto"/>
        <w:rPr>
          <w:rFonts w:ascii="宋体" w:hAnsi="宋体" w:cs="黑体"/>
          <w:color w:val="auto"/>
          <w:kern w:val="0"/>
          <w:sz w:val="44"/>
          <w:szCs w:val="44"/>
          <w:highlight w:val="none"/>
        </w:rPr>
      </w:pPr>
    </w:p>
    <w:p>
      <w:pPr>
        <w:pStyle w:val="2"/>
        <w:jc w:val="center"/>
        <w:rPr>
          <w:rFonts w:ascii="宋体" w:hAnsi="宋体" w:eastAsia="宋体" w:cs="黑体"/>
          <w:b w:val="0"/>
          <w:bCs w:val="0"/>
          <w:color w:val="auto"/>
          <w:kern w:val="0"/>
          <w:sz w:val="44"/>
          <w:szCs w:val="44"/>
          <w:highlight w:val="none"/>
        </w:rPr>
      </w:pPr>
      <w:bookmarkStart w:id="2233" w:name="_Toc28533"/>
      <w:r>
        <w:rPr>
          <w:rFonts w:hint="eastAsia" w:ascii="宋体" w:hAnsi="宋体" w:eastAsia="宋体" w:cs="黑体"/>
          <w:b w:val="0"/>
          <w:bCs w:val="0"/>
          <w:color w:val="auto"/>
          <w:kern w:val="0"/>
          <w:sz w:val="44"/>
          <w:szCs w:val="44"/>
          <w:highlight w:val="none"/>
        </w:rPr>
        <w:t>3.投标报价文件</w:t>
      </w:r>
      <w:bookmarkEnd w:id="2233"/>
    </w:p>
    <w:p>
      <w:pPr>
        <w:tabs>
          <w:tab w:val="left" w:pos="2127"/>
        </w:tabs>
        <w:autoSpaceDE w:val="0"/>
        <w:autoSpaceDN w:val="0"/>
        <w:adjustRightInd w:val="0"/>
        <w:spacing w:line="360" w:lineRule="auto"/>
        <w:jc w:val="center"/>
        <w:rPr>
          <w:rFonts w:ascii="宋体" w:hAnsi="宋体" w:cs="黑体"/>
          <w:color w:val="auto"/>
          <w:kern w:val="0"/>
          <w:sz w:val="44"/>
          <w:szCs w:val="44"/>
          <w:highlight w:val="none"/>
        </w:rPr>
      </w:pPr>
    </w:p>
    <w:p>
      <w:pPr>
        <w:tabs>
          <w:tab w:val="left" w:pos="2127"/>
        </w:tabs>
        <w:autoSpaceDE w:val="0"/>
        <w:autoSpaceDN w:val="0"/>
        <w:adjustRightInd w:val="0"/>
        <w:spacing w:line="360" w:lineRule="auto"/>
        <w:jc w:val="center"/>
        <w:rPr>
          <w:rFonts w:ascii="宋体" w:hAnsi="宋体" w:cs="黑体"/>
          <w:color w:val="auto"/>
          <w:kern w:val="0"/>
          <w:sz w:val="44"/>
          <w:szCs w:val="44"/>
          <w:highlight w:val="none"/>
        </w:rPr>
      </w:pPr>
    </w:p>
    <w:p>
      <w:pPr>
        <w:tabs>
          <w:tab w:val="left" w:pos="2127"/>
        </w:tabs>
        <w:autoSpaceDE w:val="0"/>
        <w:autoSpaceDN w:val="0"/>
        <w:adjustRightInd w:val="0"/>
        <w:spacing w:line="360" w:lineRule="auto"/>
        <w:jc w:val="center"/>
        <w:rPr>
          <w:rFonts w:ascii="宋体" w:hAnsi="宋体" w:cs="黑体"/>
          <w:color w:val="auto"/>
          <w:kern w:val="0"/>
          <w:sz w:val="44"/>
          <w:szCs w:val="44"/>
          <w:highlight w:val="none"/>
        </w:rPr>
      </w:pPr>
    </w:p>
    <w:p>
      <w:pPr>
        <w:tabs>
          <w:tab w:val="left" w:pos="2127"/>
        </w:tabs>
        <w:autoSpaceDE w:val="0"/>
        <w:autoSpaceDN w:val="0"/>
        <w:adjustRightInd w:val="0"/>
        <w:spacing w:line="360" w:lineRule="auto"/>
        <w:jc w:val="center"/>
        <w:rPr>
          <w:rFonts w:ascii="宋体" w:hAnsi="宋体" w:cs="黑体"/>
          <w:color w:val="auto"/>
          <w:kern w:val="0"/>
          <w:sz w:val="44"/>
          <w:szCs w:val="44"/>
          <w:highlight w:val="none"/>
        </w:rPr>
      </w:pPr>
    </w:p>
    <w:p>
      <w:pPr>
        <w:tabs>
          <w:tab w:val="left" w:pos="2127"/>
        </w:tabs>
        <w:autoSpaceDE w:val="0"/>
        <w:autoSpaceDN w:val="0"/>
        <w:adjustRightInd w:val="0"/>
        <w:spacing w:line="360" w:lineRule="auto"/>
        <w:jc w:val="center"/>
        <w:rPr>
          <w:rFonts w:ascii="宋体" w:hAnsi="宋体" w:cs="黑体"/>
          <w:color w:val="auto"/>
          <w:kern w:val="0"/>
          <w:sz w:val="44"/>
          <w:szCs w:val="44"/>
          <w:highlight w:val="none"/>
        </w:rPr>
      </w:pPr>
    </w:p>
    <w:p>
      <w:pPr>
        <w:tabs>
          <w:tab w:val="left" w:pos="2127"/>
        </w:tabs>
        <w:autoSpaceDE w:val="0"/>
        <w:autoSpaceDN w:val="0"/>
        <w:adjustRightInd w:val="0"/>
        <w:spacing w:line="360" w:lineRule="auto"/>
        <w:jc w:val="center"/>
        <w:rPr>
          <w:rFonts w:ascii="宋体" w:hAnsi="宋体" w:cs="黑体"/>
          <w:color w:val="auto"/>
          <w:kern w:val="0"/>
          <w:sz w:val="28"/>
          <w:szCs w:val="28"/>
          <w:highlight w:val="none"/>
        </w:rPr>
      </w:pPr>
      <w:r>
        <w:rPr>
          <w:rFonts w:hint="eastAsia" w:ascii="宋体" w:hAnsi="宋体" w:cs="黑体"/>
          <w:color w:val="auto"/>
          <w:kern w:val="0"/>
          <w:sz w:val="28"/>
          <w:szCs w:val="28"/>
          <w:highlight w:val="none"/>
        </w:rPr>
        <w:t>投标人：</w:t>
      </w:r>
      <w:r>
        <w:rPr>
          <w:rFonts w:hint="eastAsia" w:ascii="宋体" w:hAnsi="宋体" w:cs="黑体"/>
          <w:color w:val="auto"/>
          <w:kern w:val="0"/>
          <w:sz w:val="28"/>
          <w:szCs w:val="28"/>
          <w:highlight w:val="none"/>
          <w:u w:val="single"/>
        </w:rPr>
        <w:t xml:space="preserve">                        </w:t>
      </w:r>
      <w:r>
        <w:rPr>
          <w:rFonts w:hint="eastAsia" w:ascii="宋体" w:hAnsi="宋体" w:cs="黑体"/>
          <w:color w:val="auto"/>
          <w:kern w:val="0"/>
          <w:sz w:val="28"/>
          <w:szCs w:val="28"/>
          <w:highlight w:val="none"/>
        </w:rPr>
        <w:t>（盖公章或电子</w:t>
      </w:r>
      <w:r>
        <w:rPr>
          <w:rFonts w:hint="eastAsia" w:ascii="宋体" w:hAnsi="宋体" w:cs="黑体"/>
          <w:color w:val="auto"/>
          <w:kern w:val="0"/>
          <w:sz w:val="28"/>
          <w:szCs w:val="28"/>
          <w:highlight w:val="none"/>
          <w:lang w:val="en-US" w:eastAsia="zh-CN"/>
        </w:rPr>
        <w:t>印</w:t>
      </w:r>
      <w:r>
        <w:rPr>
          <w:rFonts w:hint="eastAsia" w:ascii="宋体" w:hAnsi="宋体" w:cs="黑体"/>
          <w:color w:val="auto"/>
          <w:kern w:val="0"/>
          <w:sz w:val="28"/>
          <w:szCs w:val="28"/>
          <w:highlight w:val="none"/>
        </w:rPr>
        <w:t>章）</w:t>
      </w:r>
    </w:p>
    <w:p>
      <w:pPr>
        <w:tabs>
          <w:tab w:val="left" w:pos="2127"/>
        </w:tabs>
        <w:autoSpaceDE w:val="0"/>
        <w:autoSpaceDN w:val="0"/>
        <w:adjustRightInd w:val="0"/>
        <w:spacing w:line="360" w:lineRule="auto"/>
        <w:jc w:val="center"/>
        <w:rPr>
          <w:rFonts w:ascii="宋体" w:hAnsi="宋体"/>
          <w:color w:val="auto"/>
          <w:highlight w:val="none"/>
        </w:rPr>
      </w:pPr>
      <w:r>
        <w:rPr>
          <w:rFonts w:hint="eastAsia" w:ascii="宋体" w:hAnsi="宋体" w:cs="黑体"/>
          <w:color w:val="auto"/>
          <w:kern w:val="0"/>
          <w:sz w:val="28"/>
          <w:szCs w:val="28"/>
          <w:highlight w:val="none"/>
          <w:u w:val="single"/>
        </w:rPr>
        <w:t xml:space="preserve">    </w:t>
      </w:r>
      <w:r>
        <w:rPr>
          <w:rFonts w:hint="eastAsia" w:ascii="宋体" w:hAnsi="宋体" w:cs="黑体"/>
          <w:color w:val="auto"/>
          <w:kern w:val="0"/>
          <w:sz w:val="28"/>
          <w:szCs w:val="28"/>
          <w:highlight w:val="none"/>
        </w:rPr>
        <w:t>年</w:t>
      </w:r>
      <w:r>
        <w:rPr>
          <w:rFonts w:hint="eastAsia" w:ascii="宋体" w:hAnsi="宋体" w:cs="黑体"/>
          <w:color w:val="auto"/>
          <w:kern w:val="0"/>
          <w:sz w:val="28"/>
          <w:szCs w:val="28"/>
          <w:highlight w:val="none"/>
          <w:u w:val="single"/>
        </w:rPr>
        <w:t xml:space="preserve">    </w:t>
      </w:r>
      <w:r>
        <w:rPr>
          <w:rFonts w:hint="eastAsia" w:ascii="宋体" w:hAnsi="宋体" w:cs="黑体"/>
          <w:color w:val="auto"/>
          <w:kern w:val="0"/>
          <w:sz w:val="28"/>
          <w:szCs w:val="28"/>
          <w:highlight w:val="none"/>
        </w:rPr>
        <w:t>月</w:t>
      </w:r>
      <w:r>
        <w:rPr>
          <w:rFonts w:hint="eastAsia" w:ascii="宋体" w:hAnsi="宋体" w:cs="黑体"/>
          <w:color w:val="auto"/>
          <w:kern w:val="0"/>
          <w:sz w:val="28"/>
          <w:szCs w:val="28"/>
          <w:highlight w:val="none"/>
          <w:u w:val="single"/>
        </w:rPr>
        <w:t xml:space="preserve">    </w:t>
      </w:r>
      <w:r>
        <w:rPr>
          <w:rFonts w:hint="eastAsia" w:ascii="宋体" w:hAnsi="宋体" w:cs="黑体"/>
          <w:color w:val="auto"/>
          <w:kern w:val="0"/>
          <w:sz w:val="28"/>
          <w:szCs w:val="28"/>
          <w:highlight w:val="none"/>
        </w:rPr>
        <w:t>日</w:t>
      </w:r>
    </w:p>
    <w:p>
      <w:pPr>
        <w:tabs>
          <w:tab w:val="left" w:pos="2127"/>
        </w:tabs>
        <w:spacing w:line="360" w:lineRule="auto"/>
        <w:rPr>
          <w:rFonts w:ascii="宋体" w:hAnsi="宋体"/>
          <w:color w:val="auto"/>
          <w:highlight w:val="none"/>
        </w:rPr>
      </w:pPr>
      <w:r>
        <w:rPr>
          <w:rFonts w:ascii="宋体" w:hAnsi="宋体"/>
          <w:b/>
          <w:color w:val="auto"/>
          <w:highlight w:val="none"/>
        </w:rPr>
        <w:br w:type="page"/>
      </w:r>
    </w:p>
    <w:p>
      <w:pPr>
        <w:jc w:val="center"/>
        <w:rPr>
          <w:rFonts w:hint="eastAsia" w:ascii="宋体" w:hAnsi="宋体"/>
          <w:b/>
          <w:color w:val="auto"/>
          <w:sz w:val="28"/>
          <w:szCs w:val="28"/>
          <w:highlight w:val="none"/>
        </w:rPr>
      </w:pPr>
      <w:r>
        <w:rPr>
          <w:rFonts w:hint="eastAsia" w:ascii="宋体" w:hAnsi="宋体"/>
          <w:b/>
          <w:color w:val="auto"/>
          <w:sz w:val="28"/>
          <w:szCs w:val="28"/>
          <w:highlight w:val="none"/>
        </w:rPr>
        <w:t>目    录</w:t>
      </w:r>
    </w:p>
    <w:p>
      <w:pPr>
        <w:jc w:val="center"/>
        <w:rPr>
          <w:rFonts w:hint="eastAsia" w:ascii="宋体" w:hAnsi="宋体"/>
          <w:b/>
          <w:color w:val="auto"/>
          <w:highlight w:val="none"/>
        </w:rPr>
      </w:pPr>
    </w:p>
    <w:p>
      <w:pPr>
        <w:rPr>
          <w:rFonts w:hint="eastAsia" w:ascii="宋体" w:hAnsi="宋体"/>
          <w:bCs/>
          <w:color w:val="auto"/>
          <w:highlight w:val="none"/>
        </w:rPr>
      </w:pPr>
      <w:r>
        <w:rPr>
          <w:rFonts w:hint="eastAsia" w:ascii="宋体" w:hAnsi="宋体"/>
          <w:bCs/>
          <w:color w:val="auto"/>
          <w:highlight w:val="none"/>
        </w:rPr>
        <w:t>一、投标函</w:t>
      </w:r>
    </w:p>
    <w:p>
      <w:pPr>
        <w:rPr>
          <w:rFonts w:hint="eastAsia" w:ascii="宋体" w:hAnsi="宋体"/>
          <w:bCs/>
          <w:color w:val="auto"/>
          <w:highlight w:val="none"/>
        </w:rPr>
      </w:pPr>
      <w:r>
        <w:rPr>
          <w:rFonts w:hint="eastAsia" w:ascii="宋体" w:hAnsi="宋体"/>
          <w:bCs/>
          <w:color w:val="auto"/>
          <w:highlight w:val="none"/>
        </w:rPr>
        <w:t>二、报价书</w:t>
      </w:r>
    </w:p>
    <w:p>
      <w:pPr>
        <w:rPr>
          <w:rFonts w:hint="eastAsia" w:ascii="宋体" w:hAnsi="宋体"/>
          <w:bCs/>
          <w:color w:val="auto"/>
          <w:highlight w:val="none"/>
        </w:rPr>
      </w:pPr>
      <w:r>
        <w:rPr>
          <w:rFonts w:hint="eastAsia" w:ascii="宋体" w:hAnsi="宋体"/>
          <w:color w:val="auto"/>
          <w:highlight w:val="none"/>
        </w:rPr>
        <w:t>三、成本分析报告（如有）</w:t>
      </w:r>
    </w:p>
    <w:p>
      <w:pPr>
        <w:rPr>
          <w:rFonts w:hint="eastAsia" w:ascii="宋体" w:hAnsi="宋体"/>
          <w:bCs/>
          <w:color w:val="auto"/>
          <w:highlight w:val="none"/>
        </w:rPr>
      </w:pPr>
    </w:p>
    <w:p>
      <w:pPr>
        <w:rPr>
          <w:rFonts w:hint="eastAsia" w:ascii="宋体" w:hAnsi="宋体"/>
          <w:b/>
          <w:color w:val="auto"/>
          <w:sz w:val="24"/>
          <w:szCs w:val="24"/>
          <w:highlight w:val="none"/>
        </w:rPr>
      </w:pPr>
      <w:r>
        <w:rPr>
          <w:rFonts w:ascii="宋体" w:hAnsi="宋体"/>
          <w:b/>
          <w:color w:val="auto"/>
          <w:highlight w:val="none"/>
        </w:rPr>
        <w:br w:type="page"/>
      </w:r>
      <w:r>
        <w:rPr>
          <w:rFonts w:hint="eastAsia" w:ascii="宋体" w:hAnsi="宋体"/>
          <w:b/>
          <w:color w:val="auto"/>
          <w:sz w:val="24"/>
          <w:szCs w:val="24"/>
          <w:highlight w:val="none"/>
        </w:rPr>
        <w:t>一、投标函</w:t>
      </w:r>
    </w:p>
    <w:p>
      <w:pPr>
        <w:jc w:val="left"/>
        <w:rPr>
          <w:rFonts w:hint="eastAsia" w:ascii="宋体" w:hAnsi="宋体"/>
          <w:b/>
          <w:color w:val="auto"/>
          <w:highlight w:val="none"/>
          <w:lang w:val="en-US" w:eastAsia="zh-CN"/>
        </w:rPr>
      </w:pPr>
    </w:p>
    <w:p>
      <w:pPr>
        <w:pStyle w:val="22"/>
        <w:rPr>
          <w:rFonts w:hint="eastAsia" w:hAnsi="宋体"/>
          <w:color w:val="auto"/>
          <w:highlight w:val="none"/>
        </w:rPr>
      </w:pPr>
    </w:p>
    <w:p>
      <w:pPr>
        <w:jc w:val="center"/>
        <w:rPr>
          <w:rFonts w:hint="eastAsia" w:ascii="宋体" w:hAnsi="宋体"/>
          <w:b/>
          <w:color w:val="auto"/>
          <w:sz w:val="24"/>
          <w:szCs w:val="24"/>
          <w:highlight w:val="none"/>
        </w:rPr>
      </w:pPr>
      <w:r>
        <w:rPr>
          <w:rFonts w:hint="eastAsia" w:ascii="宋体" w:hAnsi="宋体"/>
          <w:b/>
          <w:color w:val="auto"/>
          <w:sz w:val="24"/>
          <w:szCs w:val="24"/>
          <w:highlight w:val="none"/>
        </w:rPr>
        <w:t>投标函</w:t>
      </w:r>
    </w:p>
    <w:p>
      <w:pPr>
        <w:pStyle w:val="22"/>
        <w:jc w:val="center"/>
        <w:rPr>
          <w:rFonts w:hint="eastAsia" w:hAnsi="宋体"/>
          <w:color w:val="auto"/>
          <w:highlight w:val="none"/>
        </w:rPr>
      </w:pPr>
    </w:p>
    <w:p>
      <w:pPr>
        <w:pStyle w:val="22"/>
        <w:rPr>
          <w:rFonts w:hint="eastAsia" w:hAnsi="宋体"/>
          <w:color w:val="auto"/>
          <w:highlight w:val="none"/>
        </w:rPr>
      </w:pPr>
      <w:r>
        <w:rPr>
          <w:rFonts w:hint="eastAsia" w:hAnsi="宋体"/>
          <w:color w:val="auto"/>
          <w:highlight w:val="none"/>
        </w:rPr>
        <w:t>招标人:___________________</w:t>
      </w:r>
    </w:p>
    <w:p>
      <w:pPr>
        <w:rPr>
          <w:rFonts w:hint="eastAsia"/>
          <w:color w:val="auto"/>
          <w:highlight w:val="none"/>
        </w:rPr>
      </w:pPr>
    </w:p>
    <w:p>
      <w:pPr>
        <w:pStyle w:val="22"/>
        <w:ind w:firstLine="420" w:firstLineChars="200"/>
        <w:rPr>
          <w:rFonts w:hint="eastAsia" w:hAnsi="宋体"/>
          <w:color w:val="auto"/>
          <w:szCs w:val="21"/>
          <w:highlight w:val="none"/>
          <w:u w:val="single"/>
        </w:rPr>
      </w:pPr>
      <w:r>
        <w:rPr>
          <w:rFonts w:hint="eastAsia" w:hAnsi="宋体"/>
          <w:color w:val="auto"/>
          <w:highlight w:val="none"/>
          <w:lang w:val="en-US" w:eastAsia="zh-CN"/>
        </w:rPr>
        <w:t>1.</w:t>
      </w:r>
      <w:r>
        <w:rPr>
          <w:rFonts w:hint="eastAsia" w:hAnsi="宋体"/>
          <w:color w:val="auto"/>
          <w:highlight w:val="none"/>
        </w:rPr>
        <w:t>根据已收到的</w:t>
      </w:r>
      <w:r>
        <w:rPr>
          <w:rFonts w:hint="eastAsia" w:hAnsi="宋体"/>
          <w:color w:val="auto"/>
          <w:highlight w:val="none"/>
          <w:u w:val="single"/>
          <w:lang w:val="en-US" w:eastAsia="zh-CN"/>
        </w:rPr>
        <w:t xml:space="preserve">       </w:t>
      </w:r>
      <w:r>
        <w:rPr>
          <w:rFonts w:hint="eastAsia" w:hAnsi="宋体"/>
          <w:b/>
          <w:bCs/>
          <w:color w:val="auto"/>
          <w:highlight w:val="none"/>
          <w:u w:val="single"/>
          <w:lang w:eastAsia="zh-CN"/>
        </w:rPr>
        <w:t>（项目名称）</w:t>
      </w:r>
      <w:r>
        <w:rPr>
          <w:rFonts w:hint="eastAsia" w:hAnsi="宋体"/>
          <w:b/>
          <w:bCs/>
          <w:color w:val="auto"/>
          <w:highlight w:val="none"/>
          <w:u w:val="single"/>
          <w:lang w:val="en-US" w:eastAsia="zh-CN"/>
        </w:rPr>
        <w:t xml:space="preserve">    </w:t>
      </w:r>
      <w:r>
        <w:rPr>
          <w:rFonts w:hint="eastAsia" w:hAnsi="宋体"/>
          <w:color w:val="auto"/>
          <w:highlight w:val="none"/>
        </w:rPr>
        <w:t>招标文件的全部内容，遵照《中华人民共和国招标投标法》、《</w:t>
      </w:r>
      <w:r>
        <w:rPr>
          <w:rFonts w:hint="eastAsia" w:ascii="宋体" w:hAnsi="宋体" w:eastAsia="宋体" w:cs="Times New Roman"/>
          <w:color w:val="auto"/>
          <w:highlight w:val="none"/>
        </w:rPr>
        <w:t>中华人民共和国</w:t>
      </w:r>
      <w:r>
        <w:rPr>
          <w:rFonts w:hint="eastAsia" w:hAnsi="宋体"/>
          <w:color w:val="auto"/>
          <w:highlight w:val="none"/>
        </w:rPr>
        <w:t>招标投标法实施条例》的有关规定，我单位经考察现场和研究上述工程招标文件的投标须知、合同条件、技术规范、招标工程量、图纸和其他有关文件后，</w:t>
      </w:r>
      <w:r>
        <w:rPr>
          <w:rFonts w:hint="eastAsia" w:ascii="宋体" w:hAnsi="宋体" w:eastAsia="宋体" w:cs="宋体"/>
          <w:color w:val="auto"/>
          <w:highlight w:val="none"/>
        </w:rPr>
        <w:t>我方愿</w:t>
      </w:r>
      <w:r>
        <w:rPr>
          <w:rFonts w:hint="eastAsia" w:ascii="宋体" w:hAnsi="宋体" w:eastAsia="宋体" w:cs="宋体"/>
          <w:b/>
          <w:bCs/>
          <w:color w:val="auto"/>
          <w:highlight w:val="none"/>
        </w:rPr>
        <w:t>以人民币</w:t>
      </w:r>
      <w:r>
        <w:rPr>
          <w:rFonts w:hint="eastAsia" w:hAnsi="宋体" w:cs="宋体"/>
          <w:b/>
          <w:bCs/>
          <w:color w:val="auto"/>
          <w:highlight w:val="none"/>
          <w:u w:val="single"/>
          <w:lang w:val="en-US" w:eastAsia="zh-CN"/>
        </w:rPr>
        <w:t xml:space="preserve">               </w:t>
      </w:r>
      <w:r>
        <w:rPr>
          <w:rFonts w:hint="eastAsia" w:ascii="宋体" w:hAnsi="宋体" w:eastAsia="宋体" w:cs="宋体"/>
          <w:b/>
          <w:bCs/>
          <w:color w:val="auto"/>
          <w:highlight w:val="none"/>
        </w:rPr>
        <w:t>元（</w:t>
      </w:r>
      <w:r>
        <w:rPr>
          <w:rFonts w:hint="eastAsia" w:hAnsi="宋体" w:cs="宋体"/>
          <w:b/>
          <w:bCs/>
          <w:color w:val="auto"/>
          <w:highlight w:val="none"/>
          <w:lang w:val="en-US" w:eastAsia="zh-CN"/>
        </w:rPr>
        <w:t>大写：</w:t>
      </w:r>
      <w:r>
        <w:rPr>
          <w:rFonts w:hint="eastAsia" w:hAnsi="宋体" w:cs="宋体"/>
          <w:b/>
          <w:bCs/>
          <w:color w:val="auto"/>
          <w:highlight w:val="none"/>
          <w:u w:val="single"/>
          <w:lang w:val="en-US" w:eastAsia="zh-CN"/>
        </w:rPr>
        <w:t xml:space="preserve">             </w:t>
      </w:r>
      <w:r>
        <w:rPr>
          <w:rFonts w:hint="eastAsia" w:ascii="宋体" w:hAnsi="宋体" w:eastAsia="宋体" w:cs="宋体"/>
          <w:b/>
          <w:bCs/>
          <w:color w:val="auto"/>
          <w:highlight w:val="none"/>
        </w:rPr>
        <w:t>）</w:t>
      </w:r>
      <w:r>
        <w:rPr>
          <w:rFonts w:hint="eastAsia" w:hAnsi="宋体"/>
          <w:color w:val="auto"/>
          <w:szCs w:val="21"/>
          <w:highlight w:val="none"/>
        </w:rPr>
        <w:t>（</w:t>
      </w:r>
      <w:r>
        <w:rPr>
          <w:rFonts w:hint="eastAsia" w:hAnsi="宋体"/>
          <w:color w:val="auto"/>
          <w:szCs w:val="21"/>
          <w:highlight w:val="none"/>
          <w:u w:val="none"/>
        </w:rPr>
        <w:t>其中：安全文明施工费</w:t>
      </w:r>
      <w:r>
        <w:rPr>
          <w:rFonts w:hint="eastAsia" w:hAnsi="宋体"/>
          <w:color w:val="auto"/>
          <w:szCs w:val="21"/>
          <w:highlight w:val="none"/>
          <w:u w:val="single"/>
        </w:rPr>
        <w:t xml:space="preserve">     </w:t>
      </w:r>
      <w:r>
        <w:rPr>
          <w:rFonts w:hint="eastAsia" w:hAnsi="宋体"/>
          <w:color w:val="auto"/>
          <w:szCs w:val="21"/>
          <w:highlight w:val="none"/>
          <w:u w:val="none"/>
        </w:rPr>
        <w:t>元</w:t>
      </w:r>
      <w:r>
        <w:rPr>
          <w:rFonts w:hint="eastAsia" w:hAnsi="宋体"/>
          <w:color w:val="auto"/>
          <w:szCs w:val="21"/>
          <w:highlight w:val="none"/>
          <w:u w:val="none"/>
          <w:lang w:eastAsia="zh-CN"/>
        </w:rPr>
        <w:t>（含税价）</w:t>
      </w:r>
      <w:r>
        <w:rPr>
          <w:rFonts w:hint="eastAsia" w:hAnsi="宋体"/>
          <w:color w:val="auto"/>
          <w:szCs w:val="21"/>
          <w:highlight w:val="none"/>
        </w:rPr>
        <w:t>）</w:t>
      </w:r>
      <w:r>
        <w:rPr>
          <w:rFonts w:hint="eastAsia" w:ascii="宋体" w:hAnsi="宋体" w:eastAsia="宋体" w:cs="宋体"/>
          <w:color w:val="auto"/>
          <w:highlight w:val="none"/>
        </w:rPr>
        <w:t>的投标总报价</w:t>
      </w:r>
      <w:r>
        <w:rPr>
          <w:rFonts w:hint="eastAsia" w:ascii="宋体" w:hAnsi="宋体" w:eastAsia="宋体" w:cs="宋体"/>
          <w:color w:val="auto"/>
          <w:szCs w:val="21"/>
          <w:highlight w:val="none"/>
        </w:rPr>
        <w:t>完成</w:t>
      </w:r>
      <w:r>
        <w:rPr>
          <w:rFonts w:hint="eastAsia" w:ascii="宋体" w:hAnsi="宋体" w:eastAsia="宋体" w:cs="宋体"/>
          <w:b/>
          <w:bCs/>
          <w:color w:val="auto"/>
          <w:highlight w:val="none"/>
          <w:u w:val="single"/>
          <w:lang w:eastAsia="zh-CN"/>
        </w:rPr>
        <w:t>（</w:t>
      </w:r>
      <w:r>
        <w:rPr>
          <w:rFonts w:hint="eastAsia" w:ascii="宋体" w:hAnsi="宋体" w:eastAsia="宋体" w:cs="宋体"/>
          <w:b/>
          <w:bCs/>
          <w:color w:val="auto"/>
          <w:highlight w:val="none"/>
          <w:u w:val="single"/>
          <w:lang w:val="en-US" w:eastAsia="zh-CN"/>
        </w:rPr>
        <w:t>项目名称）</w:t>
      </w:r>
      <w:r>
        <w:rPr>
          <w:rFonts w:hAnsi="宋体"/>
          <w:color w:val="auto"/>
          <w:szCs w:val="21"/>
          <w:highlight w:val="none"/>
        </w:rPr>
        <w:t>，修补工程中的任何缺陷，工程质量达到</w:t>
      </w:r>
      <w:r>
        <w:rPr>
          <w:rFonts w:hint="eastAsia" w:hAnsi="宋体"/>
          <w:color w:val="auto"/>
          <w:szCs w:val="21"/>
          <w:highlight w:val="none"/>
          <w:u w:val="none"/>
        </w:rPr>
        <w:t>满足国家、行业、中国南方电网有限责任公司质量标准、控制标准和验收规范，通过各级验收合格并完成启动投产</w:t>
      </w:r>
      <w:r>
        <w:rPr>
          <w:rFonts w:hint="eastAsia" w:hAnsi="宋体"/>
          <w:color w:val="auto"/>
          <w:highlight w:val="none"/>
          <w:u w:val="none"/>
        </w:rPr>
        <w:t>。</w:t>
      </w:r>
    </w:p>
    <w:p>
      <w:pPr>
        <w:ind w:firstLine="420" w:firstLineChars="200"/>
        <w:rPr>
          <w:rFonts w:ascii="宋体" w:hAnsi="宋体"/>
          <w:color w:val="auto"/>
          <w:highlight w:val="none"/>
        </w:rPr>
      </w:pPr>
      <w:r>
        <w:rPr>
          <w:rFonts w:hint="eastAsia" w:ascii="宋体" w:hAnsi="宋体"/>
          <w:color w:val="auto"/>
          <w:highlight w:val="none"/>
          <w:lang w:val="en-US" w:eastAsia="zh-CN"/>
        </w:rPr>
        <w:t>2.</w:t>
      </w:r>
      <w:r>
        <w:rPr>
          <w:rFonts w:ascii="宋体" w:hAnsi="宋体"/>
          <w:color w:val="auto"/>
          <w:highlight w:val="none"/>
        </w:rPr>
        <w:t>我方承诺在投标有效期内不修改、撤销投标文件。</w:t>
      </w:r>
    </w:p>
    <w:p>
      <w:pPr>
        <w:ind w:firstLine="420" w:firstLineChars="200"/>
        <w:rPr>
          <w:rFonts w:ascii="宋体" w:hAnsi="宋体"/>
          <w:color w:val="auto"/>
          <w:highlight w:val="none"/>
        </w:rPr>
      </w:pPr>
      <w:r>
        <w:rPr>
          <w:rFonts w:hint="eastAsia" w:ascii="宋体" w:hAnsi="宋体"/>
          <w:color w:val="auto"/>
          <w:highlight w:val="none"/>
          <w:lang w:val="en-US" w:eastAsia="zh-CN"/>
        </w:rPr>
        <w:t>3.</w:t>
      </w:r>
      <w:r>
        <w:rPr>
          <w:rFonts w:ascii="宋体" w:hAnsi="宋体"/>
          <w:color w:val="auto"/>
          <w:highlight w:val="none"/>
        </w:rPr>
        <w:t>随同本投标函提交投标保证金一份，金额为人民币（大写）</w:t>
      </w:r>
      <w:r>
        <w:rPr>
          <w:rFonts w:ascii="宋体" w:hAnsi="宋体"/>
          <w:color w:val="auto"/>
          <w:highlight w:val="none"/>
          <w:u w:val="single"/>
        </w:rPr>
        <w:t xml:space="preserve">        </w:t>
      </w:r>
      <w:r>
        <w:rPr>
          <w:rFonts w:ascii="宋体" w:hAnsi="宋体"/>
          <w:color w:val="auto"/>
          <w:highlight w:val="none"/>
        </w:rPr>
        <w:t>（¥</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万</w:t>
      </w:r>
      <w:r>
        <w:rPr>
          <w:rFonts w:ascii="宋体" w:hAnsi="宋体"/>
          <w:color w:val="auto"/>
          <w:highlight w:val="none"/>
        </w:rPr>
        <w:t>元）。</w:t>
      </w:r>
    </w:p>
    <w:p>
      <w:pPr>
        <w:ind w:firstLine="420" w:firstLineChars="200"/>
        <w:rPr>
          <w:rFonts w:ascii="宋体" w:hAnsi="宋体"/>
          <w:color w:val="auto"/>
          <w:highlight w:val="none"/>
        </w:rPr>
      </w:pPr>
      <w:r>
        <w:rPr>
          <w:rFonts w:hint="eastAsia" w:ascii="宋体" w:hAnsi="宋体"/>
          <w:color w:val="auto"/>
          <w:highlight w:val="none"/>
          <w:lang w:val="en-US" w:eastAsia="zh-CN"/>
        </w:rPr>
        <w:t>4.</w:t>
      </w:r>
      <w:r>
        <w:rPr>
          <w:rFonts w:ascii="宋体" w:hAnsi="宋体"/>
          <w:color w:val="auto"/>
          <w:highlight w:val="none"/>
        </w:rPr>
        <w:t>如我方中标：</w:t>
      </w:r>
    </w:p>
    <w:p>
      <w:pPr>
        <w:pStyle w:val="22"/>
        <w:ind w:firstLine="420" w:firstLineChars="200"/>
        <w:rPr>
          <w:rFonts w:hint="eastAsia" w:hAnsi="宋体"/>
          <w:color w:val="auto"/>
          <w:highlight w:val="none"/>
        </w:rPr>
      </w:pPr>
      <w:r>
        <w:rPr>
          <w:rFonts w:hAnsi="宋体"/>
          <w:color w:val="auto"/>
          <w:highlight w:val="none"/>
        </w:rPr>
        <w:t>（1</w:t>
      </w:r>
      <w:r>
        <w:rPr>
          <w:rFonts w:hAnsi="宋体"/>
          <w:color w:val="auto"/>
          <w:szCs w:val="21"/>
          <w:highlight w:val="none"/>
        </w:rPr>
        <w:t>）我方承诺在收到中标通知书后，在中标通知书规定的期限内与你方签订合同。</w:t>
      </w:r>
    </w:p>
    <w:p>
      <w:pPr>
        <w:pStyle w:val="22"/>
        <w:ind w:firstLine="420" w:firstLineChars="200"/>
        <w:rPr>
          <w:rFonts w:hint="eastAsia" w:hAnsi="宋体"/>
          <w:color w:val="auto"/>
          <w:highlight w:val="none"/>
          <w:lang w:eastAsia="zh-CN"/>
        </w:rPr>
      </w:pPr>
      <w:r>
        <w:rPr>
          <w:rFonts w:hAnsi="宋体"/>
          <w:color w:val="auto"/>
          <w:highlight w:val="none"/>
        </w:rPr>
        <w:t>（</w:t>
      </w:r>
      <w:r>
        <w:rPr>
          <w:rFonts w:hint="eastAsia" w:hAnsi="宋体"/>
          <w:color w:val="auto"/>
          <w:highlight w:val="none"/>
        </w:rPr>
        <w:t>2</w:t>
      </w:r>
      <w:r>
        <w:rPr>
          <w:rFonts w:hAnsi="宋体"/>
          <w:color w:val="auto"/>
          <w:szCs w:val="21"/>
          <w:highlight w:val="none"/>
        </w:rPr>
        <w:t>）</w:t>
      </w:r>
      <w:r>
        <w:rPr>
          <w:rFonts w:hint="eastAsia" w:hAnsi="宋体"/>
          <w:color w:val="auto"/>
          <w:highlight w:val="none"/>
        </w:rPr>
        <w:t>我方保证</w:t>
      </w:r>
      <w:r>
        <w:rPr>
          <w:rFonts w:hint="eastAsia" w:hAnsi="宋体"/>
          <w:color w:val="auto"/>
          <w:sz w:val="21"/>
          <w:szCs w:val="21"/>
          <w:highlight w:val="none"/>
          <w:lang w:val="en-US" w:eastAsia="zh-CN"/>
        </w:rPr>
        <w:t>按招标文件要求工期内竣工并移交整个工程；</w:t>
      </w:r>
    </w:p>
    <w:p>
      <w:pPr>
        <w:pStyle w:val="22"/>
        <w:ind w:firstLine="420" w:firstLineChars="200"/>
        <w:rPr>
          <w:rFonts w:hint="eastAsia" w:hAnsi="宋体"/>
          <w:color w:val="auto"/>
          <w:highlight w:val="none"/>
        </w:rPr>
      </w:pPr>
      <w:r>
        <w:rPr>
          <w:rFonts w:hAnsi="宋体"/>
          <w:color w:val="auto"/>
          <w:highlight w:val="none"/>
        </w:rPr>
        <w:t>（</w:t>
      </w:r>
      <w:r>
        <w:rPr>
          <w:rFonts w:hint="eastAsia" w:hAnsi="宋体"/>
          <w:color w:val="auto"/>
          <w:highlight w:val="none"/>
        </w:rPr>
        <w:t>3</w:t>
      </w:r>
      <w:r>
        <w:rPr>
          <w:rFonts w:hAnsi="宋体"/>
          <w:color w:val="auto"/>
          <w:szCs w:val="21"/>
          <w:highlight w:val="none"/>
        </w:rPr>
        <w:t>）我方承诺</w:t>
      </w:r>
      <w:r>
        <w:rPr>
          <w:rFonts w:hint="eastAsia" w:hAnsi="宋体"/>
          <w:color w:val="auto"/>
          <w:highlight w:val="none"/>
        </w:rPr>
        <w:t>按照规定提交上述总价</w:t>
      </w:r>
      <w:r>
        <w:rPr>
          <w:rFonts w:hint="eastAsia" w:hAnsi="宋体"/>
          <w:color w:val="auto"/>
          <w:highlight w:val="none"/>
          <w:u w:val="single"/>
          <w:lang w:val="en-US" w:eastAsia="zh-CN"/>
        </w:rPr>
        <w:t>5</w:t>
      </w:r>
      <w:r>
        <w:rPr>
          <w:rFonts w:hint="eastAsia" w:hAnsi="宋体"/>
          <w:color w:val="auto"/>
          <w:highlight w:val="none"/>
          <w:u w:val="single"/>
        </w:rPr>
        <w:t>%</w:t>
      </w:r>
      <w:r>
        <w:rPr>
          <w:rFonts w:hint="eastAsia" w:hAnsi="宋体"/>
          <w:color w:val="auto"/>
          <w:highlight w:val="none"/>
        </w:rPr>
        <w:t>的银行保函做为履约保证金，共同地承担责任。</w:t>
      </w:r>
    </w:p>
    <w:p>
      <w:pPr>
        <w:pStyle w:val="22"/>
        <w:ind w:firstLine="420" w:firstLineChars="200"/>
        <w:rPr>
          <w:rFonts w:hint="eastAsia" w:hAnsi="宋体"/>
          <w:color w:val="auto"/>
          <w:highlight w:val="none"/>
        </w:rPr>
      </w:pPr>
      <w:r>
        <w:rPr>
          <w:rFonts w:hAnsi="宋体"/>
          <w:color w:val="auto"/>
          <w:highlight w:val="none"/>
        </w:rPr>
        <w:t>（</w:t>
      </w:r>
      <w:r>
        <w:rPr>
          <w:rFonts w:hint="eastAsia" w:hAnsi="宋体"/>
          <w:color w:val="auto"/>
          <w:highlight w:val="none"/>
        </w:rPr>
        <w:t>4</w:t>
      </w:r>
      <w:r>
        <w:rPr>
          <w:rFonts w:hAnsi="宋体"/>
          <w:color w:val="auto"/>
          <w:szCs w:val="21"/>
          <w:highlight w:val="none"/>
        </w:rPr>
        <w:t>）我方承诺</w:t>
      </w:r>
      <w:r>
        <w:rPr>
          <w:rFonts w:hint="eastAsia" w:hAnsi="宋体"/>
          <w:color w:val="auto"/>
          <w:highlight w:val="none"/>
        </w:rPr>
        <w:t>在施工期间严格执行南网相关管理制度及规定。如若违反相关条款，自愿接受相关的处罚。</w:t>
      </w:r>
    </w:p>
    <w:p>
      <w:pPr>
        <w:pStyle w:val="22"/>
        <w:ind w:firstLine="420" w:firstLineChars="200"/>
        <w:rPr>
          <w:rFonts w:hAnsi="宋体"/>
          <w:color w:val="auto"/>
          <w:szCs w:val="21"/>
          <w:highlight w:val="none"/>
        </w:rPr>
      </w:pPr>
      <w:r>
        <w:rPr>
          <w:rFonts w:hAnsi="宋体"/>
          <w:color w:val="auto"/>
          <w:highlight w:val="none"/>
        </w:rPr>
        <w:t>（</w:t>
      </w:r>
      <w:r>
        <w:rPr>
          <w:rFonts w:hint="eastAsia" w:hAnsi="宋体"/>
          <w:color w:val="auto"/>
          <w:highlight w:val="none"/>
        </w:rPr>
        <w:t>5</w:t>
      </w:r>
      <w:r>
        <w:rPr>
          <w:rFonts w:hAnsi="宋体"/>
          <w:color w:val="auto"/>
          <w:szCs w:val="21"/>
          <w:highlight w:val="none"/>
        </w:rPr>
        <w:t>）</w:t>
      </w:r>
      <w:r>
        <w:rPr>
          <w:rFonts w:hint="eastAsia" w:hAnsi="宋体"/>
          <w:color w:val="auto"/>
          <w:highlight w:val="none"/>
        </w:rPr>
        <w:t>我方</w:t>
      </w:r>
      <w:r>
        <w:rPr>
          <w:rFonts w:hAnsi="宋体"/>
          <w:color w:val="auto"/>
          <w:highlight w:val="none"/>
        </w:rPr>
        <w:t>承诺</w:t>
      </w:r>
      <w:r>
        <w:rPr>
          <w:rFonts w:hint="eastAsia" w:hAnsi="宋体"/>
          <w:color w:val="auto"/>
          <w:highlight w:val="none"/>
        </w:rPr>
        <w:t>在参加</w:t>
      </w:r>
      <w:r>
        <w:rPr>
          <w:rFonts w:hAnsi="宋体"/>
          <w:color w:val="auto"/>
          <w:highlight w:val="none"/>
        </w:rPr>
        <w:t>投标中，如有弄虚作假，</w:t>
      </w:r>
      <w:r>
        <w:rPr>
          <w:rFonts w:hint="eastAsia" w:hAnsi="宋体"/>
          <w:color w:val="auto"/>
          <w:highlight w:val="none"/>
        </w:rPr>
        <w:t>自愿接受停止投标资格等相关的处罚</w:t>
      </w:r>
      <w:r>
        <w:rPr>
          <w:rFonts w:hAnsi="宋体"/>
          <w:color w:val="auto"/>
          <w:highlight w:val="none"/>
        </w:rPr>
        <w:t>。</w:t>
      </w:r>
    </w:p>
    <w:p>
      <w:pPr>
        <w:pStyle w:val="22"/>
        <w:ind w:firstLine="420" w:firstLineChars="200"/>
        <w:rPr>
          <w:rFonts w:hint="eastAsia" w:hAnsi="宋体"/>
          <w:color w:val="auto"/>
          <w:highlight w:val="none"/>
        </w:rPr>
      </w:pPr>
      <w:r>
        <w:rPr>
          <w:rFonts w:hAnsi="宋体"/>
          <w:color w:val="auto"/>
          <w:highlight w:val="none"/>
        </w:rPr>
        <w:t>（6</w:t>
      </w:r>
      <w:r>
        <w:rPr>
          <w:rFonts w:hAnsi="宋体"/>
          <w:color w:val="auto"/>
          <w:szCs w:val="21"/>
          <w:highlight w:val="none"/>
        </w:rPr>
        <w:t>）</w:t>
      </w:r>
      <w:r>
        <w:rPr>
          <w:rFonts w:hint="eastAsia" w:hAnsi="宋体"/>
          <w:color w:val="auto"/>
          <w:highlight w:val="none"/>
        </w:rPr>
        <w:t>除非另外达成协议并生效，你方的中标通知书和本投标文件将构成约束我们双方的合同。</w:t>
      </w:r>
    </w:p>
    <w:p>
      <w:pPr>
        <w:pStyle w:val="22"/>
        <w:ind w:firstLine="420" w:firstLineChars="200"/>
        <w:rPr>
          <w:rFonts w:hAnsi="宋体"/>
          <w:color w:val="auto"/>
          <w:highlight w:val="none"/>
        </w:rPr>
      </w:pPr>
      <w:r>
        <w:rPr>
          <w:rFonts w:hint="eastAsia" w:hAnsi="宋体"/>
          <w:color w:val="auto"/>
          <w:highlight w:val="none"/>
          <w:lang w:val="en-US" w:eastAsia="zh-CN"/>
        </w:rPr>
        <w:t>5.</w:t>
      </w:r>
      <w:r>
        <w:rPr>
          <w:rFonts w:hint="eastAsia" w:hAnsi="宋体"/>
          <w:color w:val="auto"/>
          <w:highlight w:val="none"/>
        </w:rPr>
        <w:t>我方在此声明，所递交的投标文件及有关资料内容完整、真实和准确，且不存在“投标人须知”第1.4.3项规定的任何一种情形。</w:t>
      </w:r>
    </w:p>
    <w:p>
      <w:pPr>
        <w:pStyle w:val="22"/>
        <w:rPr>
          <w:rFonts w:hint="eastAsia" w:hAnsi="宋体"/>
          <w:color w:val="auto"/>
          <w:highlight w:val="none"/>
        </w:rPr>
      </w:pPr>
      <w:r>
        <w:rPr>
          <w:rFonts w:hint="eastAsia" w:hAnsi="宋体"/>
          <w:color w:val="auto"/>
          <w:highlight w:val="none"/>
        </w:rPr>
        <w:t xml:space="preserve">                              </w:t>
      </w:r>
    </w:p>
    <w:p>
      <w:pPr>
        <w:pStyle w:val="22"/>
        <w:ind w:firstLine="3150" w:firstLineChars="1500"/>
        <w:rPr>
          <w:rFonts w:hint="eastAsia" w:hAnsi="宋体"/>
          <w:color w:val="auto"/>
          <w:highlight w:val="none"/>
        </w:rPr>
      </w:pPr>
      <w:r>
        <w:rPr>
          <w:rFonts w:hint="eastAsia" w:hAnsi="宋体"/>
          <w:color w:val="auto"/>
          <w:highlight w:val="none"/>
        </w:rPr>
        <w:t>投标人:</w:t>
      </w:r>
      <w:r>
        <w:rPr>
          <w:rFonts w:hint="eastAsia" w:hAnsi="宋体"/>
          <w:color w:val="auto"/>
          <w:highlight w:val="none"/>
          <w:u w:val="single"/>
        </w:rPr>
        <w:t xml:space="preserve">          </w:t>
      </w:r>
      <w:r>
        <w:rPr>
          <w:rFonts w:hint="eastAsia" w:hAnsi="宋体"/>
          <w:color w:val="auto"/>
          <w:highlight w:val="none"/>
        </w:rPr>
        <w:t>(盖单位公章或电子印章)</w:t>
      </w:r>
    </w:p>
    <w:p>
      <w:pPr>
        <w:pStyle w:val="22"/>
        <w:ind w:firstLine="1050" w:firstLineChars="500"/>
        <w:rPr>
          <w:rFonts w:hint="eastAsia" w:hAnsi="宋体"/>
          <w:color w:val="auto"/>
          <w:highlight w:val="none"/>
        </w:rPr>
      </w:pPr>
      <w:r>
        <w:rPr>
          <w:rFonts w:hint="eastAsia" w:hAnsi="宋体"/>
          <w:color w:val="auto"/>
          <w:highlight w:val="none"/>
        </w:rPr>
        <w:t xml:space="preserve">                    法定代表人或者其委托的代理人:</w:t>
      </w:r>
      <w:r>
        <w:rPr>
          <w:rFonts w:hint="eastAsia" w:hAnsi="宋体"/>
          <w:color w:val="auto"/>
          <w:highlight w:val="none"/>
          <w:u w:val="single"/>
        </w:rPr>
        <w:t xml:space="preserve">              </w:t>
      </w:r>
      <w:r>
        <w:rPr>
          <w:rFonts w:hint="eastAsia" w:hAnsi="宋体"/>
          <w:color w:val="auto"/>
          <w:highlight w:val="none"/>
        </w:rPr>
        <w:t>(签字或盖章)</w:t>
      </w:r>
    </w:p>
    <w:p>
      <w:pPr>
        <w:pStyle w:val="22"/>
        <w:rPr>
          <w:rFonts w:hint="eastAsia" w:hAnsi="宋体"/>
          <w:color w:val="auto"/>
          <w:highlight w:val="none"/>
        </w:rPr>
      </w:pPr>
      <w:r>
        <w:rPr>
          <w:rFonts w:hint="eastAsia" w:hAnsi="宋体"/>
          <w:color w:val="auto"/>
          <w:highlight w:val="none"/>
        </w:rPr>
        <w:t xml:space="preserve">                              单位地址:</w:t>
      </w:r>
      <w:r>
        <w:rPr>
          <w:rFonts w:hint="eastAsia" w:hAnsi="宋体"/>
          <w:color w:val="auto"/>
          <w:highlight w:val="none"/>
          <w:u w:val="single"/>
        </w:rPr>
        <w:t xml:space="preserve">                              </w:t>
      </w:r>
    </w:p>
    <w:p>
      <w:pPr>
        <w:pStyle w:val="22"/>
        <w:rPr>
          <w:rFonts w:hint="eastAsia" w:hAnsi="宋体"/>
          <w:color w:val="auto"/>
          <w:highlight w:val="none"/>
          <w:u w:val="single"/>
        </w:rPr>
      </w:pPr>
      <w:r>
        <w:rPr>
          <w:rFonts w:hint="eastAsia" w:hAnsi="宋体"/>
          <w:color w:val="auto"/>
          <w:highlight w:val="none"/>
        </w:rPr>
        <w:t xml:space="preserve">                              邮政编码:    </w:t>
      </w:r>
      <w:r>
        <w:rPr>
          <w:rFonts w:hint="eastAsia" w:hAnsi="宋体"/>
          <w:color w:val="auto"/>
          <w:highlight w:val="none"/>
          <w:u w:val="single"/>
        </w:rPr>
        <w:t xml:space="preserve">             </w:t>
      </w:r>
    </w:p>
    <w:p>
      <w:pPr>
        <w:pStyle w:val="22"/>
        <w:rPr>
          <w:rFonts w:hint="eastAsia" w:hAnsi="宋体"/>
          <w:color w:val="auto"/>
          <w:highlight w:val="none"/>
          <w:u w:val="single"/>
        </w:rPr>
      </w:pPr>
      <w:r>
        <w:rPr>
          <w:rFonts w:hint="eastAsia" w:hAnsi="宋体"/>
          <w:color w:val="auto"/>
          <w:highlight w:val="none"/>
        </w:rPr>
        <w:t xml:space="preserve">                              电    话:    </w:t>
      </w:r>
      <w:r>
        <w:rPr>
          <w:rFonts w:hint="eastAsia" w:hAnsi="宋体"/>
          <w:color w:val="auto"/>
          <w:highlight w:val="none"/>
          <w:u w:val="single"/>
        </w:rPr>
        <w:t xml:space="preserve">             </w:t>
      </w:r>
    </w:p>
    <w:p>
      <w:pPr>
        <w:pStyle w:val="22"/>
        <w:rPr>
          <w:rFonts w:hint="eastAsia" w:hAnsi="宋体"/>
          <w:color w:val="auto"/>
          <w:highlight w:val="none"/>
          <w:u w:val="single"/>
        </w:rPr>
      </w:pPr>
      <w:r>
        <w:rPr>
          <w:rFonts w:hint="eastAsia" w:hAnsi="宋体"/>
          <w:color w:val="auto"/>
          <w:highlight w:val="none"/>
        </w:rPr>
        <w:t xml:space="preserve">                              传    真:    </w:t>
      </w:r>
      <w:r>
        <w:rPr>
          <w:rFonts w:hint="eastAsia" w:hAnsi="宋体"/>
          <w:color w:val="auto"/>
          <w:highlight w:val="none"/>
          <w:u w:val="single"/>
        </w:rPr>
        <w:t xml:space="preserve">             </w:t>
      </w:r>
    </w:p>
    <w:p>
      <w:pPr>
        <w:pStyle w:val="22"/>
        <w:rPr>
          <w:rFonts w:hint="eastAsia" w:hAnsi="宋体"/>
          <w:color w:val="auto"/>
          <w:highlight w:val="none"/>
        </w:rPr>
      </w:pPr>
      <w:r>
        <w:rPr>
          <w:rFonts w:hint="eastAsia" w:hAnsi="宋体"/>
          <w:color w:val="auto"/>
          <w:highlight w:val="none"/>
        </w:rPr>
        <w:t xml:space="preserve">                              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 xml:space="preserve">日     </w:t>
      </w:r>
    </w:p>
    <w:p>
      <w:pPr>
        <w:pStyle w:val="22"/>
        <w:rPr>
          <w:rFonts w:hint="eastAsia" w:hAnsi="宋体"/>
          <w:color w:val="auto"/>
          <w:highlight w:val="none"/>
        </w:rPr>
      </w:pPr>
      <w:r>
        <w:rPr>
          <w:rFonts w:hint="eastAsia" w:hAnsi="宋体"/>
          <w:color w:val="auto"/>
          <w:highlight w:val="none"/>
        </w:rPr>
        <w:t xml:space="preserve">                         </w:t>
      </w:r>
    </w:p>
    <w:p>
      <w:pPr>
        <w:jc w:val="left"/>
        <w:rPr>
          <w:rFonts w:hAnsi="宋体"/>
          <w:color w:val="auto"/>
          <w:highlight w:val="none"/>
        </w:rPr>
      </w:pPr>
      <w:r>
        <w:rPr>
          <w:rFonts w:hAnsi="宋体"/>
          <w:color w:val="auto"/>
          <w:highlight w:val="none"/>
        </w:rPr>
        <w:br w:type="page"/>
      </w:r>
    </w:p>
    <w:p>
      <w:pPr>
        <w:autoSpaceDE w:val="0"/>
        <w:autoSpaceDN w:val="0"/>
        <w:adjustRightInd w:val="0"/>
        <w:jc w:val="left"/>
        <w:rPr>
          <w:rFonts w:hint="eastAsia" w:hAnsi="宋体"/>
          <w:b/>
          <w:color w:val="auto"/>
          <w:sz w:val="24"/>
          <w:szCs w:val="24"/>
          <w:highlight w:val="none"/>
        </w:rPr>
      </w:pPr>
      <w:r>
        <w:rPr>
          <w:rFonts w:hint="eastAsia" w:hAnsi="宋体"/>
          <w:b/>
          <w:color w:val="auto"/>
          <w:sz w:val="24"/>
          <w:szCs w:val="24"/>
          <w:highlight w:val="none"/>
        </w:rPr>
        <w:t>二、报价书</w:t>
      </w:r>
    </w:p>
    <w:p>
      <w:pPr>
        <w:ind w:right="480"/>
        <w:jc w:val="center"/>
        <w:rPr>
          <w:rFonts w:hint="eastAsia" w:ascii="宋体" w:hAnsi="宋体"/>
          <w:b/>
          <w:color w:val="auto"/>
          <w:sz w:val="24"/>
          <w:szCs w:val="24"/>
          <w:highlight w:val="none"/>
        </w:rPr>
      </w:pPr>
    </w:p>
    <w:p>
      <w:pPr>
        <w:ind w:right="480"/>
        <w:jc w:val="center"/>
        <w:rPr>
          <w:rFonts w:hint="eastAsia" w:ascii="宋体" w:hAnsi="宋体"/>
          <w:color w:val="auto"/>
          <w:highlight w:val="none"/>
        </w:rPr>
      </w:pPr>
      <w:r>
        <w:rPr>
          <w:rFonts w:hint="eastAsia" w:ascii="宋体" w:hAnsi="宋体"/>
          <w:b/>
          <w:color w:val="auto"/>
          <w:sz w:val="24"/>
          <w:szCs w:val="24"/>
          <w:highlight w:val="none"/>
        </w:rPr>
        <w:t>（采用定额计价模式。如有最新造价规约格式，以新文件为准）</w:t>
      </w:r>
    </w:p>
    <w:p>
      <w:pPr>
        <w:pStyle w:val="22"/>
        <w:jc w:val="left"/>
        <w:rPr>
          <w:rFonts w:hint="eastAsia" w:hAnsi="宋体"/>
          <w:b/>
          <w:bCs/>
          <w:color w:val="auto"/>
          <w:szCs w:val="21"/>
          <w:highlight w:val="none"/>
        </w:rPr>
      </w:pPr>
    </w:p>
    <w:p>
      <w:pPr>
        <w:pStyle w:val="22"/>
        <w:jc w:val="left"/>
        <w:rPr>
          <w:rFonts w:hint="eastAsia" w:hAnsi="宋体"/>
          <w:b/>
          <w:bCs/>
          <w:color w:val="auto"/>
          <w:szCs w:val="21"/>
          <w:highlight w:val="none"/>
        </w:rPr>
      </w:pPr>
      <w:r>
        <w:rPr>
          <w:rFonts w:hint="eastAsia" w:hAnsi="宋体"/>
          <w:b/>
          <w:bCs/>
          <w:color w:val="auto"/>
          <w:szCs w:val="21"/>
          <w:highlight w:val="none"/>
        </w:rPr>
        <w:t>（一）报价文件编制人员签署页</w:t>
      </w:r>
    </w:p>
    <w:p>
      <w:pPr>
        <w:pStyle w:val="22"/>
        <w:ind w:firstLine="420" w:firstLineChars="200"/>
        <w:rPr>
          <w:rFonts w:hint="eastAsia" w:hAnsi="宋体"/>
          <w:color w:val="auto"/>
          <w:szCs w:val="21"/>
          <w:highlight w:val="none"/>
        </w:rPr>
      </w:pPr>
      <w:r>
        <w:rPr>
          <w:rFonts w:hint="eastAsia" w:hAnsi="宋体"/>
          <w:color w:val="auto"/>
          <w:szCs w:val="21"/>
          <w:highlight w:val="none"/>
        </w:rPr>
        <w:t xml:space="preserve">  1、编制人（签名及资格盖章）</w:t>
      </w:r>
    </w:p>
    <w:p>
      <w:pPr>
        <w:pStyle w:val="22"/>
        <w:ind w:firstLine="420" w:firstLineChars="200"/>
        <w:rPr>
          <w:rFonts w:hint="eastAsia" w:hAnsi="宋体"/>
          <w:color w:val="auto"/>
          <w:szCs w:val="21"/>
          <w:highlight w:val="none"/>
        </w:rPr>
      </w:pPr>
      <w:r>
        <w:rPr>
          <w:rFonts w:hint="eastAsia" w:hAnsi="宋体"/>
          <w:color w:val="auto"/>
          <w:szCs w:val="21"/>
          <w:highlight w:val="none"/>
        </w:rPr>
        <w:t xml:space="preserve">  2、审核人（签名及资格盖章）</w:t>
      </w:r>
    </w:p>
    <w:p>
      <w:pPr>
        <w:pStyle w:val="22"/>
        <w:ind w:firstLine="420" w:firstLineChars="200"/>
        <w:rPr>
          <w:rFonts w:hint="eastAsia" w:hAnsi="宋体"/>
          <w:color w:val="auto"/>
          <w:szCs w:val="21"/>
          <w:highlight w:val="none"/>
        </w:rPr>
      </w:pPr>
      <w:r>
        <w:rPr>
          <w:rFonts w:hint="eastAsia" w:hAnsi="宋体"/>
          <w:color w:val="auto"/>
          <w:szCs w:val="21"/>
          <w:highlight w:val="none"/>
        </w:rPr>
        <w:t xml:space="preserve">  3、批准人 （签名）  </w:t>
      </w:r>
    </w:p>
    <w:p>
      <w:pPr>
        <w:ind w:right="480"/>
        <w:rPr>
          <w:rFonts w:hint="eastAsia" w:ascii="宋体" w:hAnsi="宋体"/>
          <w:color w:val="auto"/>
          <w:szCs w:val="21"/>
          <w:highlight w:val="none"/>
        </w:rPr>
      </w:pPr>
      <w:r>
        <w:rPr>
          <w:rFonts w:hint="eastAsia" w:ascii="宋体" w:hAnsi="宋体"/>
          <w:b/>
          <w:color w:val="auto"/>
          <w:szCs w:val="21"/>
          <w:highlight w:val="none"/>
        </w:rPr>
        <w:t xml:space="preserve">                  </w:t>
      </w:r>
    </w:p>
    <w:p>
      <w:pPr>
        <w:rPr>
          <w:rFonts w:hint="eastAsia" w:ascii="宋体" w:hAnsi="宋体"/>
          <w:b/>
          <w:color w:val="auto"/>
          <w:szCs w:val="21"/>
          <w:highlight w:val="none"/>
        </w:rPr>
      </w:pPr>
      <w:r>
        <w:rPr>
          <w:rFonts w:hint="eastAsia" w:ascii="宋体" w:hAnsi="宋体"/>
          <w:b/>
          <w:bCs/>
          <w:color w:val="auto"/>
          <w:szCs w:val="21"/>
          <w:highlight w:val="none"/>
        </w:rPr>
        <w:t>（二）报价书格式</w:t>
      </w:r>
    </w:p>
    <w:p>
      <w:pPr>
        <w:ind w:right="480"/>
        <w:jc w:val="both"/>
        <w:rPr>
          <w:rFonts w:hint="eastAsia" w:ascii="宋体" w:hAnsi="宋体"/>
          <w:b/>
          <w:bCs w:val="0"/>
          <w:color w:val="auto"/>
          <w:sz w:val="21"/>
          <w:szCs w:val="21"/>
          <w:highlight w:val="none"/>
          <w:lang w:val="en-US" w:eastAsia="zh-CN"/>
        </w:rPr>
      </w:pPr>
      <w:r>
        <w:rPr>
          <w:rFonts w:hint="eastAsia" w:ascii="宋体" w:hAnsi="Courier New" w:eastAsia="宋体" w:cs="Times New Roman"/>
          <w:b/>
          <w:bCs/>
          <w:color w:val="auto"/>
          <w:sz w:val="21"/>
          <w:szCs w:val="21"/>
          <w:highlight w:val="none"/>
          <w:lang w:val="en-US" w:eastAsia="zh-CN"/>
        </w:rPr>
        <w:t>项目名称：</w:t>
      </w:r>
      <w:r>
        <w:rPr>
          <w:rFonts w:hint="eastAsia" w:ascii="宋体" w:hAnsi="宋体"/>
          <w:b/>
          <w:bCs w:val="0"/>
          <w:color w:val="auto"/>
          <w:sz w:val="21"/>
          <w:szCs w:val="21"/>
          <w:highlight w:val="none"/>
          <w:lang w:val="en-US" w:eastAsia="zh-CN"/>
        </w:rPr>
        <w:t>110千伏桃花输变电工程(变电站建筑)施工总承包项目</w:t>
      </w:r>
    </w:p>
    <w:p>
      <w:pPr>
        <w:rPr>
          <w:rFonts w:hint="eastAsia"/>
          <w:color w:val="auto"/>
          <w:highlight w:val="none"/>
          <w:lang w:val="en-US" w:eastAsia="zh-CN"/>
        </w:rPr>
      </w:pPr>
    </w:p>
    <w:p>
      <w:pPr>
        <w:jc w:val="center"/>
        <w:rPr>
          <w:rFonts w:hint="eastAsia" w:ascii="宋体" w:hAnsi="宋体"/>
          <w:b/>
          <w:color w:val="auto"/>
          <w:sz w:val="28"/>
          <w:szCs w:val="28"/>
          <w:highlight w:val="none"/>
        </w:rPr>
      </w:pPr>
      <w:r>
        <w:rPr>
          <w:rFonts w:hint="eastAsia" w:ascii="宋体" w:hAnsi="宋体"/>
          <w:b/>
          <w:color w:val="auto"/>
          <w:sz w:val="28"/>
          <w:szCs w:val="28"/>
          <w:highlight w:val="none"/>
        </w:rPr>
        <w:t>报价书</w:t>
      </w:r>
    </w:p>
    <w:tbl>
      <w:tblPr>
        <w:tblStyle w:val="43"/>
        <w:tblW w:w="4996" w:type="pct"/>
        <w:jc w:val="center"/>
        <w:tblLayout w:type="autofit"/>
        <w:tblCellMar>
          <w:top w:w="0" w:type="dxa"/>
          <w:left w:w="108" w:type="dxa"/>
          <w:bottom w:w="0" w:type="dxa"/>
          <w:right w:w="108" w:type="dxa"/>
        </w:tblCellMar>
      </w:tblPr>
      <w:tblGrid>
        <w:gridCol w:w="790"/>
        <w:gridCol w:w="1318"/>
        <w:gridCol w:w="1371"/>
        <w:gridCol w:w="1161"/>
        <w:gridCol w:w="849"/>
        <w:gridCol w:w="1121"/>
        <w:gridCol w:w="1531"/>
        <w:gridCol w:w="1138"/>
      </w:tblGrid>
      <w:tr>
        <w:trPr>
          <w:trHeight w:val="1261" w:hRule="atLeast"/>
          <w:jc w:val="center"/>
        </w:trPr>
        <w:tc>
          <w:tcPr>
            <w:tcW w:w="454" w:type="pct"/>
            <w:tcBorders>
              <w:top w:val="single" w:color="auto" w:sz="4" w:space="0"/>
              <w:left w:val="single" w:color="auto" w:sz="4" w:space="0"/>
              <w:bottom w:val="single" w:color="auto" w:sz="4" w:space="0"/>
              <w:right w:val="single" w:color="auto" w:sz="4" w:space="0"/>
            </w:tcBorders>
            <w:noWrap w:val="0"/>
            <w:vAlign w:val="center"/>
          </w:tcPr>
          <w:p>
            <w:pPr>
              <w:pStyle w:val="22"/>
              <w:tabs>
                <w:tab w:val="left" w:pos="2127"/>
              </w:tabs>
              <w:jc w:val="center"/>
              <w:rPr>
                <w:rFonts w:hAnsi="宋体"/>
                <w:color w:val="auto"/>
                <w:highlight w:val="none"/>
              </w:rPr>
            </w:pPr>
            <w:r>
              <w:rPr>
                <w:rFonts w:hint="eastAsia" w:hAnsi="宋体"/>
                <w:color w:val="auto"/>
                <w:highlight w:val="none"/>
              </w:rPr>
              <w:t>序号</w:t>
            </w:r>
          </w:p>
        </w:tc>
        <w:tc>
          <w:tcPr>
            <w:tcW w:w="739" w:type="pct"/>
            <w:tcBorders>
              <w:top w:val="single" w:color="auto" w:sz="4" w:space="0"/>
              <w:left w:val="single" w:color="auto" w:sz="4" w:space="0"/>
              <w:bottom w:val="single" w:color="auto" w:sz="4" w:space="0"/>
              <w:right w:val="single" w:color="auto" w:sz="4" w:space="0"/>
            </w:tcBorders>
            <w:noWrap w:val="0"/>
            <w:vAlign w:val="center"/>
          </w:tcPr>
          <w:p>
            <w:pPr>
              <w:pStyle w:val="22"/>
              <w:tabs>
                <w:tab w:val="left" w:pos="2127"/>
              </w:tabs>
              <w:ind w:leftChars="-2" w:hanging="4" w:hangingChars="2"/>
              <w:jc w:val="center"/>
              <w:rPr>
                <w:rFonts w:hAnsi="宋体"/>
                <w:color w:val="auto"/>
                <w:highlight w:val="none"/>
              </w:rPr>
            </w:pPr>
            <w:r>
              <w:rPr>
                <w:rFonts w:hint="eastAsia" w:hAnsi="宋体"/>
                <w:color w:val="auto"/>
                <w:highlight w:val="none"/>
              </w:rPr>
              <w:t>工程或费用名称</w:t>
            </w:r>
          </w:p>
        </w:tc>
        <w:tc>
          <w:tcPr>
            <w:tcW w:w="617" w:type="pct"/>
            <w:tcBorders>
              <w:top w:val="single" w:color="auto" w:sz="4" w:space="0"/>
              <w:left w:val="nil"/>
              <w:bottom w:val="single" w:color="auto" w:sz="4" w:space="0"/>
              <w:right w:val="single" w:color="auto" w:sz="4" w:space="0"/>
            </w:tcBorders>
            <w:noWrap w:val="0"/>
            <w:vAlign w:val="center"/>
          </w:tcPr>
          <w:p>
            <w:pPr>
              <w:pStyle w:val="22"/>
              <w:tabs>
                <w:tab w:val="left" w:pos="2127"/>
              </w:tabs>
              <w:ind w:leftChars="-2" w:hanging="4" w:hangingChars="2"/>
              <w:jc w:val="center"/>
              <w:rPr>
                <w:rFonts w:hint="eastAsia" w:hAnsi="宋体"/>
                <w:color w:val="auto"/>
                <w:highlight w:val="none"/>
              </w:rPr>
            </w:pPr>
            <w:r>
              <w:rPr>
                <w:rFonts w:hint="eastAsia" w:hAnsi="宋体"/>
                <w:color w:val="auto"/>
                <w:highlight w:val="none"/>
              </w:rPr>
              <w:t>最高投标限价（元）</w:t>
            </w:r>
          </w:p>
        </w:tc>
        <w:tc>
          <w:tcPr>
            <w:tcW w:w="607" w:type="pct"/>
            <w:tcBorders>
              <w:top w:val="single" w:color="auto" w:sz="4" w:space="0"/>
              <w:left w:val="nil"/>
              <w:bottom w:val="single" w:color="auto" w:sz="4" w:space="0"/>
              <w:right w:val="single" w:color="auto" w:sz="4" w:space="0"/>
            </w:tcBorders>
            <w:noWrap w:val="0"/>
            <w:vAlign w:val="center"/>
          </w:tcPr>
          <w:p>
            <w:pPr>
              <w:pStyle w:val="22"/>
              <w:tabs>
                <w:tab w:val="left" w:pos="2127"/>
              </w:tabs>
              <w:ind w:leftChars="-2" w:hanging="4" w:hangingChars="2"/>
              <w:jc w:val="center"/>
              <w:rPr>
                <w:rFonts w:hint="eastAsia" w:hAnsi="宋体"/>
                <w:color w:val="auto"/>
                <w:highlight w:val="none"/>
              </w:rPr>
            </w:pPr>
            <w:r>
              <w:rPr>
                <w:rFonts w:hint="eastAsia" w:hAnsi="宋体"/>
                <w:color w:val="auto"/>
                <w:highlight w:val="none"/>
              </w:rPr>
              <w:t>其中：安全文明施工费（元）</w:t>
            </w:r>
          </w:p>
        </w:tc>
        <w:tc>
          <w:tcPr>
            <w:tcW w:w="457" w:type="pct"/>
            <w:tcBorders>
              <w:top w:val="single" w:color="auto" w:sz="4" w:space="0"/>
              <w:left w:val="single" w:color="auto" w:sz="4" w:space="0"/>
              <w:bottom w:val="single" w:color="auto" w:sz="4" w:space="0"/>
              <w:right w:val="single" w:color="auto" w:sz="4" w:space="0"/>
            </w:tcBorders>
            <w:noWrap w:val="0"/>
            <w:vAlign w:val="center"/>
          </w:tcPr>
          <w:p>
            <w:pPr>
              <w:pStyle w:val="22"/>
              <w:tabs>
                <w:tab w:val="left" w:pos="2127"/>
              </w:tabs>
              <w:ind w:leftChars="-2" w:hanging="4" w:hangingChars="2"/>
              <w:jc w:val="center"/>
              <w:rPr>
                <w:rFonts w:hint="eastAsia" w:hAnsi="宋体"/>
                <w:b/>
                <w:color w:val="auto"/>
                <w:highlight w:val="none"/>
              </w:rPr>
            </w:pPr>
            <w:r>
              <w:rPr>
                <w:rFonts w:hint="eastAsia" w:hAnsi="宋体"/>
                <w:b/>
                <w:color w:val="auto"/>
                <w:highlight w:val="none"/>
              </w:rPr>
              <w:t>投标报价（元）</w:t>
            </w:r>
          </w:p>
        </w:tc>
        <w:tc>
          <w:tcPr>
            <w:tcW w:w="632" w:type="pct"/>
            <w:tcBorders>
              <w:top w:val="single" w:color="auto" w:sz="4" w:space="0"/>
              <w:left w:val="single" w:color="auto" w:sz="4" w:space="0"/>
              <w:bottom w:val="single" w:color="auto" w:sz="4" w:space="0"/>
              <w:right w:val="single" w:color="auto" w:sz="4" w:space="0"/>
            </w:tcBorders>
            <w:noWrap w:val="0"/>
            <w:vAlign w:val="center"/>
          </w:tcPr>
          <w:p>
            <w:pPr>
              <w:pStyle w:val="22"/>
              <w:tabs>
                <w:tab w:val="left" w:pos="2127"/>
              </w:tabs>
              <w:ind w:leftChars="-2" w:hanging="4" w:hangingChars="2"/>
              <w:jc w:val="center"/>
              <w:rPr>
                <w:rFonts w:hint="eastAsia" w:hAnsi="宋体"/>
                <w:b/>
                <w:color w:val="auto"/>
                <w:highlight w:val="none"/>
              </w:rPr>
            </w:pPr>
            <w:r>
              <w:rPr>
                <w:rFonts w:hint="eastAsia" w:hAnsi="宋体"/>
                <w:b/>
                <w:color w:val="auto"/>
                <w:highlight w:val="none"/>
              </w:rPr>
              <w:t>其中：安全文明施工费（元）</w:t>
            </w:r>
          </w:p>
        </w:tc>
        <w:tc>
          <w:tcPr>
            <w:tcW w:w="853" w:type="pct"/>
            <w:tcBorders>
              <w:top w:val="single" w:color="auto" w:sz="4" w:space="0"/>
              <w:left w:val="single" w:color="auto" w:sz="4" w:space="0"/>
              <w:bottom w:val="single" w:color="auto" w:sz="4" w:space="0"/>
              <w:right w:val="single" w:color="auto" w:sz="4" w:space="0"/>
            </w:tcBorders>
            <w:noWrap w:val="0"/>
            <w:vAlign w:val="center"/>
          </w:tcPr>
          <w:p>
            <w:pPr>
              <w:pStyle w:val="22"/>
              <w:tabs>
                <w:tab w:val="left" w:pos="2127"/>
              </w:tabs>
              <w:ind w:leftChars="-2" w:hanging="4" w:hangingChars="2"/>
              <w:jc w:val="center"/>
              <w:rPr>
                <w:rFonts w:hint="eastAsia" w:hAnsi="宋体"/>
                <w:color w:val="auto"/>
                <w:highlight w:val="none"/>
              </w:rPr>
            </w:pPr>
            <w:r>
              <w:rPr>
                <w:rFonts w:hint="eastAsia" w:hAnsi="宋体"/>
                <w:color w:val="auto"/>
                <w:highlight w:val="none"/>
              </w:rPr>
              <w:t>最高投标限价的</w:t>
            </w:r>
            <w:r>
              <w:rPr>
                <w:rFonts w:hint="eastAsia" w:hAnsi="宋体"/>
                <w:color w:val="auto"/>
                <w:highlight w:val="none"/>
                <w:lang w:val="en-US" w:eastAsia="zh-CN"/>
              </w:rPr>
              <w:t>90</w:t>
            </w:r>
            <w:r>
              <w:rPr>
                <w:rFonts w:hint="eastAsia" w:hAnsi="宋体"/>
                <w:color w:val="auto"/>
                <w:highlight w:val="none"/>
              </w:rPr>
              <w:t>%（元）</w:t>
            </w:r>
          </w:p>
        </w:tc>
        <w:tc>
          <w:tcPr>
            <w:tcW w:w="636" w:type="pct"/>
            <w:tcBorders>
              <w:top w:val="single" w:color="auto" w:sz="4" w:space="0"/>
              <w:left w:val="single" w:color="auto" w:sz="4" w:space="0"/>
              <w:bottom w:val="single" w:color="auto" w:sz="4" w:space="0"/>
              <w:right w:val="single" w:color="auto" w:sz="4" w:space="0"/>
            </w:tcBorders>
            <w:noWrap w:val="0"/>
            <w:vAlign w:val="center"/>
          </w:tcPr>
          <w:p>
            <w:pPr>
              <w:pStyle w:val="22"/>
              <w:tabs>
                <w:tab w:val="left" w:pos="2127"/>
              </w:tabs>
              <w:ind w:leftChars="-2" w:hanging="4" w:hangingChars="2"/>
              <w:jc w:val="center"/>
              <w:rPr>
                <w:rFonts w:hint="eastAsia" w:hAnsi="宋体"/>
                <w:color w:val="auto"/>
                <w:highlight w:val="none"/>
              </w:rPr>
            </w:pPr>
            <w:r>
              <w:rPr>
                <w:rFonts w:hint="eastAsia" w:hAnsi="宋体"/>
                <w:color w:val="auto"/>
                <w:highlight w:val="none"/>
              </w:rPr>
              <w:t>备注</w:t>
            </w:r>
          </w:p>
        </w:tc>
      </w:tr>
      <w:tr>
        <w:tblPrEx>
          <w:tblCellMar>
            <w:top w:w="0" w:type="dxa"/>
            <w:left w:w="108" w:type="dxa"/>
            <w:bottom w:w="0" w:type="dxa"/>
            <w:right w:w="108" w:type="dxa"/>
          </w:tblCellMar>
        </w:tblPrEx>
        <w:trPr>
          <w:trHeight w:val="838" w:hRule="atLeast"/>
          <w:jc w:val="center"/>
        </w:trPr>
        <w:tc>
          <w:tcPr>
            <w:tcW w:w="454" w:type="pct"/>
            <w:tcBorders>
              <w:top w:val="nil"/>
              <w:left w:val="single" w:color="auto" w:sz="4" w:space="0"/>
              <w:bottom w:val="single" w:color="auto" w:sz="4" w:space="0"/>
              <w:right w:val="single" w:color="auto" w:sz="4" w:space="0"/>
            </w:tcBorders>
            <w:noWrap w:val="0"/>
            <w:vAlign w:val="center"/>
          </w:tcPr>
          <w:p>
            <w:pPr>
              <w:pStyle w:val="22"/>
              <w:ind w:left="105"/>
              <w:jc w:val="center"/>
              <w:rPr>
                <w:rFonts w:hint="eastAsia" w:hAnsi="宋体"/>
                <w:color w:val="auto"/>
                <w:highlight w:val="none"/>
              </w:rPr>
            </w:pPr>
            <w:r>
              <w:rPr>
                <w:rFonts w:hint="eastAsia" w:hAnsi="宋体"/>
                <w:color w:val="auto"/>
                <w:highlight w:val="none"/>
              </w:rPr>
              <w:t>一</w:t>
            </w:r>
          </w:p>
        </w:tc>
        <w:tc>
          <w:tcPr>
            <w:tcW w:w="739"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110千伏桃花输变电工程(变电站建筑)施工总承包项目</w:t>
            </w:r>
          </w:p>
        </w:tc>
        <w:tc>
          <w:tcPr>
            <w:tcW w:w="617" w:type="pc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18248886</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23</w:t>
            </w:r>
          </w:p>
        </w:tc>
        <w:tc>
          <w:tcPr>
            <w:tcW w:w="607" w:type="pc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350594</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19</w:t>
            </w:r>
          </w:p>
        </w:tc>
        <w:tc>
          <w:tcPr>
            <w:tcW w:w="457" w:type="pct"/>
            <w:tcBorders>
              <w:top w:val="nil"/>
              <w:left w:val="single" w:color="auto" w:sz="4" w:space="0"/>
              <w:bottom w:val="single" w:color="auto" w:sz="4" w:space="0"/>
              <w:right w:val="single" w:color="auto" w:sz="4" w:space="0"/>
            </w:tcBorders>
            <w:noWrap w:val="0"/>
            <w:vAlign w:val="center"/>
          </w:tcPr>
          <w:p>
            <w:pPr>
              <w:pStyle w:val="22"/>
              <w:tabs>
                <w:tab w:val="left" w:pos="2127"/>
              </w:tabs>
              <w:ind w:leftChars="-2" w:hanging="4" w:hangingChars="2"/>
              <w:jc w:val="center"/>
              <w:rPr>
                <w:rFonts w:hint="eastAsia" w:hAnsi="宋体"/>
                <w:color w:val="auto"/>
                <w:highlight w:val="none"/>
              </w:rPr>
            </w:pPr>
          </w:p>
        </w:tc>
        <w:tc>
          <w:tcPr>
            <w:tcW w:w="632" w:type="pct"/>
            <w:tcBorders>
              <w:top w:val="nil"/>
              <w:left w:val="single" w:color="auto" w:sz="4" w:space="0"/>
              <w:bottom w:val="single" w:color="auto" w:sz="4" w:space="0"/>
              <w:right w:val="single" w:color="auto" w:sz="4" w:space="0"/>
            </w:tcBorders>
            <w:noWrap w:val="0"/>
            <w:vAlign w:val="center"/>
          </w:tcPr>
          <w:p>
            <w:pPr>
              <w:pStyle w:val="22"/>
              <w:tabs>
                <w:tab w:val="left" w:pos="2127"/>
              </w:tabs>
              <w:ind w:leftChars="-2" w:hanging="4" w:hangingChars="2"/>
              <w:jc w:val="center"/>
              <w:rPr>
                <w:rFonts w:hint="eastAsia" w:hAnsi="宋体"/>
                <w:color w:val="auto"/>
                <w:highlight w:val="none"/>
              </w:rPr>
            </w:pPr>
          </w:p>
        </w:tc>
        <w:tc>
          <w:tcPr>
            <w:tcW w:w="853" w:type="pct"/>
            <w:tcBorders>
              <w:top w:val="nil"/>
              <w:left w:val="single" w:color="auto" w:sz="4" w:space="0"/>
              <w:bottom w:val="single" w:color="auto" w:sz="4" w:space="0"/>
              <w:right w:val="single" w:color="auto" w:sz="4" w:space="0"/>
            </w:tcBorders>
            <w:noWrap w:val="0"/>
            <w:vAlign w:val="center"/>
          </w:tcPr>
          <w:p>
            <w:pPr>
              <w:pStyle w:val="22"/>
              <w:tabs>
                <w:tab w:val="left" w:pos="2127"/>
              </w:tabs>
              <w:ind w:leftChars="-2" w:hanging="4" w:hangingChars="2"/>
              <w:jc w:val="center"/>
              <w:rPr>
                <w:rFonts w:hint="eastAsia" w:hAnsi="宋体"/>
                <w:color w:val="auto"/>
                <w:highlight w:val="none"/>
              </w:rPr>
            </w:pPr>
          </w:p>
        </w:tc>
        <w:tc>
          <w:tcPr>
            <w:tcW w:w="636" w:type="pct"/>
            <w:tcBorders>
              <w:top w:val="nil"/>
              <w:left w:val="single" w:color="auto" w:sz="4" w:space="0"/>
              <w:bottom w:val="single" w:color="auto" w:sz="4" w:space="0"/>
              <w:right w:val="single" w:color="auto" w:sz="4" w:space="0"/>
            </w:tcBorders>
            <w:noWrap w:val="0"/>
            <w:vAlign w:val="center"/>
          </w:tcPr>
          <w:p>
            <w:pPr>
              <w:pStyle w:val="22"/>
              <w:tabs>
                <w:tab w:val="left" w:pos="2127"/>
              </w:tabs>
              <w:ind w:leftChars="-2" w:hanging="4" w:hangingChars="2"/>
              <w:jc w:val="center"/>
              <w:rPr>
                <w:rFonts w:hint="eastAsia" w:hAnsi="宋体"/>
                <w:color w:val="auto"/>
                <w:highlight w:val="none"/>
              </w:rPr>
            </w:pPr>
          </w:p>
        </w:tc>
      </w:tr>
      <w:tr>
        <w:tblPrEx>
          <w:tblCellMar>
            <w:top w:w="0" w:type="dxa"/>
            <w:left w:w="108" w:type="dxa"/>
            <w:bottom w:w="0" w:type="dxa"/>
            <w:right w:w="108" w:type="dxa"/>
          </w:tblCellMar>
        </w:tblPrEx>
        <w:trPr>
          <w:trHeight w:val="838" w:hRule="atLeast"/>
          <w:jc w:val="center"/>
        </w:trPr>
        <w:tc>
          <w:tcPr>
            <w:tcW w:w="454" w:type="pct"/>
            <w:tcBorders>
              <w:top w:val="nil"/>
              <w:left w:val="single" w:color="auto" w:sz="4" w:space="0"/>
              <w:bottom w:val="single" w:color="auto" w:sz="4" w:space="0"/>
              <w:right w:val="single" w:color="auto" w:sz="4" w:space="0"/>
            </w:tcBorders>
            <w:noWrap w:val="0"/>
            <w:vAlign w:val="center"/>
          </w:tcPr>
          <w:p>
            <w:pPr>
              <w:pStyle w:val="22"/>
              <w:ind w:left="105"/>
              <w:jc w:val="center"/>
              <w:rPr>
                <w:rFonts w:hint="eastAsia" w:hAnsi="宋体"/>
                <w:color w:val="auto"/>
                <w:highlight w:val="none"/>
              </w:rPr>
            </w:pPr>
          </w:p>
        </w:tc>
        <w:tc>
          <w:tcPr>
            <w:tcW w:w="739"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hAnsi="宋体"/>
                <w:color w:val="auto"/>
                <w:highlight w:val="none"/>
              </w:rPr>
              <w:t>合     计</w:t>
            </w:r>
          </w:p>
        </w:tc>
        <w:tc>
          <w:tcPr>
            <w:tcW w:w="617" w:type="pc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p>
        </w:tc>
        <w:tc>
          <w:tcPr>
            <w:tcW w:w="607" w:type="pc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hAnsi="宋体"/>
                <w:b/>
                <w:bCs/>
                <w:color w:val="auto"/>
                <w:sz w:val="21"/>
                <w:szCs w:val="21"/>
                <w:highlight w:val="none"/>
              </w:rPr>
            </w:pPr>
          </w:p>
        </w:tc>
        <w:tc>
          <w:tcPr>
            <w:tcW w:w="457" w:type="pct"/>
            <w:tcBorders>
              <w:top w:val="nil"/>
              <w:left w:val="single" w:color="auto" w:sz="4" w:space="0"/>
              <w:bottom w:val="single" w:color="auto" w:sz="4" w:space="0"/>
              <w:right w:val="single" w:color="auto" w:sz="4" w:space="0"/>
            </w:tcBorders>
            <w:noWrap w:val="0"/>
            <w:vAlign w:val="center"/>
          </w:tcPr>
          <w:p>
            <w:pPr>
              <w:pStyle w:val="22"/>
              <w:tabs>
                <w:tab w:val="left" w:pos="2127"/>
              </w:tabs>
              <w:ind w:leftChars="-2" w:hanging="4" w:hangingChars="2"/>
              <w:jc w:val="center"/>
              <w:rPr>
                <w:rFonts w:hint="eastAsia" w:hAnsi="宋体"/>
                <w:color w:val="auto"/>
                <w:highlight w:val="none"/>
              </w:rPr>
            </w:pPr>
          </w:p>
        </w:tc>
        <w:tc>
          <w:tcPr>
            <w:tcW w:w="632" w:type="pct"/>
            <w:tcBorders>
              <w:top w:val="nil"/>
              <w:left w:val="single" w:color="auto" w:sz="4" w:space="0"/>
              <w:bottom w:val="single" w:color="auto" w:sz="4" w:space="0"/>
              <w:right w:val="single" w:color="auto" w:sz="4" w:space="0"/>
            </w:tcBorders>
            <w:noWrap w:val="0"/>
            <w:vAlign w:val="center"/>
          </w:tcPr>
          <w:p>
            <w:pPr>
              <w:pStyle w:val="22"/>
              <w:tabs>
                <w:tab w:val="left" w:pos="2127"/>
              </w:tabs>
              <w:ind w:leftChars="-2" w:hanging="4" w:hangingChars="2"/>
              <w:jc w:val="center"/>
              <w:rPr>
                <w:rFonts w:hint="eastAsia" w:hAnsi="宋体"/>
                <w:color w:val="auto"/>
                <w:highlight w:val="none"/>
              </w:rPr>
            </w:pPr>
          </w:p>
        </w:tc>
        <w:tc>
          <w:tcPr>
            <w:tcW w:w="853" w:type="pct"/>
            <w:tcBorders>
              <w:top w:val="nil"/>
              <w:left w:val="single" w:color="auto" w:sz="4" w:space="0"/>
              <w:bottom w:val="single" w:color="auto" w:sz="4" w:space="0"/>
              <w:right w:val="single" w:color="auto" w:sz="4" w:space="0"/>
            </w:tcBorders>
            <w:noWrap w:val="0"/>
            <w:vAlign w:val="center"/>
          </w:tcPr>
          <w:p>
            <w:pPr>
              <w:pStyle w:val="22"/>
              <w:tabs>
                <w:tab w:val="left" w:pos="2127"/>
              </w:tabs>
              <w:ind w:leftChars="-2" w:hanging="4" w:hangingChars="2"/>
              <w:jc w:val="center"/>
              <w:rPr>
                <w:rFonts w:hint="eastAsia" w:hAnsi="宋体"/>
                <w:color w:val="auto"/>
                <w:highlight w:val="none"/>
              </w:rPr>
            </w:pPr>
          </w:p>
        </w:tc>
        <w:tc>
          <w:tcPr>
            <w:tcW w:w="636" w:type="pct"/>
            <w:tcBorders>
              <w:top w:val="nil"/>
              <w:left w:val="single" w:color="auto" w:sz="4" w:space="0"/>
              <w:bottom w:val="single" w:color="auto" w:sz="4" w:space="0"/>
              <w:right w:val="single" w:color="auto" w:sz="4" w:space="0"/>
            </w:tcBorders>
            <w:noWrap w:val="0"/>
            <w:vAlign w:val="center"/>
          </w:tcPr>
          <w:p>
            <w:pPr>
              <w:pStyle w:val="22"/>
              <w:tabs>
                <w:tab w:val="left" w:pos="2127"/>
              </w:tabs>
              <w:ind w:leftChars="-2" w:hanging="4" w:hangingChars="2"/>
              <w:jc w:val="center"/>
              <w:rPr>
                <w:rFonts w:hint="eastAsia" w:hAnsi="宋体"/>
                <w:color w:val="auto"/>
                <w:highlight w:val="none"/>
              </w:rPr>
            </w:pPr>
          </w:p>
        </w:tc>
      </w:tr>
      <w:tr>
        <w:tblPrEx>
          <w:tblCellMar>
            <w:top w:w="0" w:type="dxa"/>
            <w:left w:w="108" w:type="dxa"/>
            <w:bottom w:w="0" w:type="dxa"/>
            <w:right w:w="108" w:type="dxa"/>
          </w:tblCellMar>
        </w:tblPrEx>
        <w:trPr>
          <w:trHeight w:val="838" w:hRule="atLeast"/>
          <w:jc w:val="center"/>
        </w:trPr>
        <w:tc>
          <w:tcPr>
            <w:tcW w:w="5000" w:type="pct"/>
            <w:gridSpan w:val="8"/>
            <w:tcBorders>
              <w:top w:val="nil"/>
              <w:left w:val="single" w:color="auto" w:sz="4" w:space="0"/>
              <w:bottom w:val="single" w:color="auto" w:sz="4" w:space="0"/>
              <w:right w:val="single" w:color="auto" w:sz="4" w:space="0"/>
            </w:tcBorders>
            <w:noWrap w:val="0"/>
            <w:vAlign w:val="center"/>
          </w:tcPr>
          <w:p>
            <w:pPr>
              <w:pStyle w:val="22"/>
              <w:tabs>
                <w:tab w:val="left" w:pos="2127"/>
              </w:tabs>
              <w:ind w:leftChars="-2" w:hanging="4" w:hangingChars="2"/>
              <w:jc w:val="center"/>
              <w:rPr>
                <w:rFonts w:hint="eastAsia" w:hAnsi="宋体"/>
                <w:color w:val="auto"/>
                <w:highlight w:val="none"/>
              </w:rPr>
            </w:pPr>
            <w:r>
              <w:rPr>
                <w:rFonts w:hint="eastAsia" w:hAnsi="宋体"/>
                <w:color w:val="auto"/>
                <w:highlight w:val="none"/>
              </w:rPr>
              <w:t>投标报价总金额(大写)：</w:t>
            </w:r>
          </w:p>
        </w:tc>
      </w:tr>
    </w:tbl>
    <w:p>
      <w:pPr>
        <w:rPr>
          <w:rFonts w:hint="eastAsia" w:ascii="宋体" w:hAnsi="宋体"/>
          <w:color w:val="auto"/>
          <w:highlight w:val="none"/>
        </w:rPr>
      </w:pPr>
      <w:r>
        <w:rPr>
          <w:rFonts w:hint="eastAsia" w:ascii="宋体" w:hAnsi="宋体"/>
          <w:color w:val="auto"/>
          <w:highlight w:val="none"/>
        </w:rPr>
        <w:t>说明：</w:t>
      </w:r>
    </w:p>
    <w:p>
      <w:pPr>
        <w:rPr>
          <w:rFonts w:hint="eastAsia" w:ascii="宋体" w:hAnsi="宋体"/>
          <w:color w:val="auto"/>
          <w:highlight w:val="none"/>
        </w:rPr>
      </w:pPr>
      <w:r>
        <w:rPr>
          <w:rFonts w:hint="eastAsia" w:ascii="宋体" w:hAnsi="宋体"/>
          <w:color w:val="auto"/>
          <w:highlight w:val="none"/>
        </w:rPr>
        <w:t>1、“投标报价总金额”栏价款以投标函为准，即为中标价，是合同签订的依据，也是工程价款结算的依据。</w:t>
      </w:r>
    </w:p>
    <w:p>
      <w:pPr>
        <w:rPr>
          <w:rFonts w:hint="eastAsia" w:ascii="宋体" w:hAnsi="宋体"/>
          <w:color w:val="auto"/>
          <w:highlight w:val="none"/>
        </w:rPr>
      </w:pPr>
      <w:r>
        <w:rPr>
          <w:rFonts w:hint="eastAsia" w:ascii="宋体" w:hAnsi="宋体"/>
          <w:color w:val="auto"/>
          <w:highlight w:val="none"/>
        </w:rPr>
        <w:t>2、报价金额保留至小数点后</w:t>
      </w:r>
      <w:r>
        <w:rPr>
          <w:rFonts w:hint="eastAsia" w:ascii="宋体" w:hAnsi="宋体"/>
          <w:color w:val="auto"/>
          <w:highlight w:val="none"/>
          <w:lang w:val="en-US" w:eastAsia="zh-CN"/>
        </w:rPr>
        <w:t>2</w:t>
      </w:r>
      <w:r>
        <w:rPr>
          <w:rFonts w:hint="eastAsia" w:ascii="宋体" w:hAnsi="宋体"/>
          <w:color w:val="auto"/>
          <w:highlight w:val="none"/>
        </w:rPr>
        <w:t>位。</w:t>
      </w:r>
    </w:p>
    <w:p>
      <w:pPr>
        <w:rPr>
          <w:rFonts w:hint="eastAsia" w:ascii="宋体" w:hAns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w:t>
      </w:r>
      <w:r>
        <w:rPr>
          <w:rFonts w:hint="eastAsia" w:ascii="宋体" w:hAnsi="宋体"/>
          <w:bCs/>
          <w:color w:val="auto"/>
          <w:highlight w:val="none"/>
          <w:u w:val="single"/>
        </w:rPr>
        <w:t>安全文明</w:t>
      </w:r>
      <w:r>
        <w:rPr>
          <w:rFonts w:hint="eastAsia" w:ascii="宋体" w:hAnsi="宋体"/>
          <w:color w:val="auto"/>
          <w:highlight w:val="none"/>
          <w:u w:val="single"/>
        </w:rPr>
        <w:t>施工费</w:t>
      </w:r>
      <w:r>
        <w:rPr>
          <w:rFonts w:hint="eastAsia" w:ascii="宋体" w:hAnsi="宋体"/>
          <w:color w:val="auto"/>
          <w:highlight w:val="none"/>
        </w:rPr>
        <w:t>为</w:t>
      </w:r>
      <w:r>
        <w:rPr>
          <w:rFonts w:ascii="宋体" w:hAnsi="宋体"/>
          <w:color w:val="auto"/>
          <w:highlight w:val="none"/>
        </w:rPr>
        <w:t>非竞争性费用，</w:t>
      </w:r>
      <w:r>
        <w:rPr>
          <w:rFonts w:hint="eastAsia" w:ascii="宋体" w:hAnsi="宋体"/>
          <w:color w:val="auto"/>
          <w:highlight w:val="none"/>
        </w:rPr>
        <w:t>投标报价按公布的</w:t>
      </w:r>
      <w:r>
        <w:rPr>
          <w:rFonts w:hint="eastAsia" w:ascii="宋体" w:hAnsi="宋体"/>
          <w:bCs/>
          <w:color w:val="auto"/>
          <w:highlight w:val="none"/>
          <w:u w:val="single"/>
        </w:rPr>
        <w:t>安全文明</w:t>
      </w:r>
      <w:r>
        <w:rPr>
          <w:rFonts w:hint="eastAsia" w:ascii="宋体" w:hAnsi="宋体"/>
          <w:color w:val="auto"/>
          <w:highlight w:val="none"/>
          <w:u w:val="single"/>
        </w:rPr>
        <w:t>施工费</w:t>
      </w:r>
      <w:r>
        <w:rPr>
          <w:rFonts w:hint="eastAsia" w:ascii="宋体" w:hAnsi="宋体"/>
          <w:color w:val="auto"/>
          <w:highlight w:val="none"/>
        </w:rPr>
        <w:t>计</w:t>
      </w:r>
      <w:r>
        <w:rPr>
          <w:rFonts w:ascii="宋体" w:hAnsi="宋体"/>
          <w:color w:val="auto"/>
          <w:highlight w:val="none"/>
        </w:rPr>
        <w:t>列</w:t>
      </w:r>
      <w:r>
        <w:rPr>
          <w:rFonts w:hint="eastAsia" w:ascii="宋体" w:hAnsi="宋体"/>
          <w:color w:val="auto"/>
          <w:highlight w:val="none"/>
        </w:rPr>
        <w:t>。</w:t>
      </w:r>
    </w:p>
    <w:p>
      <w:pPr>
        <w:rPr>
          <w:rFonts w:hint="eastAsia"/>
          <w:color w:val="auto"/>
          <w:highlight w:val="none"/>
          <w:lang w:val="en-US" w:eastAsia="zh-CN"/>
        </w:rPr>
      </w:pPr>
      <w:r>
        <w:rPr>
          <w:rFonts w:hint="eastAsia"/>
          <w:color w:val="auto"/>
          <w:highlight w:val="none"/>
          <w:lang w:val="en-US" w:eastAsia="zh-CN"/>
        </w:rPr>
        <w:br w:type="page"/>
      </w:r>
    </w:p>
    <w:p>
      <w:pPr>
        <w:pStyle w:val="22"/>
        <w:rPr>
          <w:rFonts w:hint="eastAsia" w:hAnsi="宋体"/>
          <w:b/>
          <w:bCs/>
          <w:color w:val="auto"/>
          <w:highlight w:val="none"/>
        </w:rPr>
      </w:pPr>
      <w:r>
        <w:rPr>
          <w:rFonts w:hint="eastAsia" w:hAnsi="宋体"/>
          <w:b/>
          <w:bCs/>
          <w:color w:val="auto"/>
          <w:highlight w:val="none"/>
        </w:rPr>
        <w:t>变电工程投标格式：</w:t>
      </w:r>
    </w:p>
    <w:p>
      <w:pPr>
        <w:rPr>
          <w:rFonts w:hint="eastAsia" w:ascii="宋体" w:hAnsi="宋体"/>
          <w:bCs/>
          <w:color w:val="auto"/>
          <w:sz w:val="24"/>
          <w:szCs w:val="24"/>
          <w:highlight w:val="none"/>
        </w:rPr>
      </w:pPr>
    </w:p>
    <w:p>
      <w:pPr>
        <w:rPr>
          <w:rFonts w:hint="eastAsia" w:ascii="宋体" w:hAnsi="宋体"/>
          <w:color w:val="auto"/>
          <w:highlight w:val="none"/>
        </w:rPr>
      </w:pPr>
      <w:r>
        <w:rPr>
          <w:rFonts w:hint="eastAsia" w:ascii="宋体" w:hAnsi="宋体"/>
          <w:bCs/>
          <w:color w:val="auto"/>
          <w:highlight w:val="none"/>
        </w:rPr>
        <w:t>（一）变电工程报价书编制说明</w:t>
      </w:r>
    </w:p>
    <w:p>
      <w:pPr>
        <w:ind w:left="315"/>
        <w:rPr>
          <w:rFonts w:hint="eastAsia" w:ascii="宋体" w:hAnsi="宋体"/>
          <w:bCs/>
          <w:snapToGrid w:val="0"/>
          <w:color w:val="auto"/>
          <w:kern w:val="0"/>
          <w:position w:val="-6"/>
          <w:szCs w:val="21"/>
          <w:highlight w:val="none"/>
        </w:rPr>
      </w:pPr>
      <w:r>
        <w:rPr>
          <w:rFonts w:hint="eastAsia" w:ascii="宋体" w:hAnsi="宋体"/>
          <w:bCs/>
          <w:snapToGrid w:val="0"/>
          <w:color w:val="auto"/>
          <w:kern w:val="0"/>
          <w:position w:val="-6"/>
          <w:szCs w:val="21"/>
          <w:highlight w:val="none"/>
        </w:rPr>
        <w:t>1、工程概况：</w:t>
      </w:r>
    </w:p>
    <w:p>
      <w:pPr>
        <w:ind w:firstLine="420" w:firstLineChars="200"/>
        <w:rPr>
          <w:rFonts w:hint="eastAsia" w:ascii="宋体" w:hAnsi="宋体"/>
          <w:snapToGrid w:val="0"/>
          <w:color w:val="auto"/>
          <w:kern w:val="0"/>
          <w:position w:val="-6"/>
          <w:szCs w:val="21"/>
          <w:highlight w:val="none"/>
        </w:rPr>
      </w:pPr>
      <w:r>
        <w:rPr>
          <w:rFonts w:hint="eastAsia" w:ascii="宋体" w:hAnsi="宋体"/>
          <w:snapToGrid w:val="0"/>
          <w:color w:val="auto"/>
          <w:kern w:val="0"/>
          <w:position w:val="-6"/>
          <w:szCs w:val="21"/>
          <w:highlight w:val="none"/>
        </w:rPr>
        <w:t>包括建设单位、设计单位、总用地面积，站内建筑总面积。楼房建筑结构、外墙砖及门窗形式，构支架、基础形式、基础处理方式等。</w:t>
      </w:r>
    </w:p>
    <w:p>
      <w:pPr>
        <w:ind w:firstLine="420" w:firstLineChars="200"/>
        <w:rPr>
          <w:rFonts w:hint="eastAsia" w:ascii="宋体" w:hAnsi="宋体"/>
          <w:bCs/>
          <w:snapToGrid w:val="0"/>
          <w:color w:val="auto"/>
          <w:kern w:val="0"/>
          <w:position w:val="-6"/>
          <w:szCs w:val="21"/>
          <w:highlight w:val="none"/>
        </w:rPr>
      </w:pPr>
      <w:r>
        <w:rPr>
          <w:rFonts w:hint="eastAsia" w:ascii="宋体" w:hAnsi="宋体"/>
          <w:bCs/>
          <w:snapToGrid w:val="0"/>
          <w:color w:val="auto"/>
          <w:kern w:val="0"/>
          <w:position w:val="-6"/>
          <w:szCs w:val="21"/>
          <w:highlight w:val="none"/>
        </w:rPr>
        <w:t>2、施工招标范围：</w:t>
      </w:r>
    </w:p>
    <w:p>
      <w:pPr>
        <w:adjustRightInd w:val="0"/>
        <w:snapToGrid w:val="0"/>
        <w:ind w:left="315" w:leftChars="150" w:firstLine="105" w:firstLineChars="50"/>
        <w:rPr>
          <w:rFonts w:hint="eastAsia" w:ascii="宋体" w:hAnsi="宋体"/>
          <w:bCs/>
          <w:snapToGrid w:val="0"/>
          <w:color w:val="auto"/>
          <w:kern w:val="0"/>
          <w:position w:val="-6"/>
          <w:szCs w:val="21"/>
          <w:highlight w:val="none"/>
        </w:rPr>
      </w:pPr>
      <w:r>
        <w:rPr>
          <w:rFonts w:hint="eastAsia" w:ascii="宋体" w:hAnsi="宋体"/>
          <w:bCs/>
          <w:snapToGrid w:val="0"/>
          <w:color w:val="auto"/>
          <w:kern w:val="0"/>
          <w:position w:val="-6"/>
          <w:szCs w:val="21"/>
          <w:highlight w:val="none"/>
        </w:rPr>
        <w:t>3、施工承包方式：</w:t>
      </w:r>
    </w:p>
    <w:p>
      <w:pPr>
        <w:adjustRightInd w:val="0"/>
        <w:snapToGrid w:val="0"/>
        <w:ind w:left="315" w:leftChars="150" w:firstLine="105" w:firstLineChars="50"/>
        <w:rPr>
          <w:rFonts w:hint="eastAsia" w:ascii="宋体" w:hAnsi="宋体"/>
          <w:bCs/>
          <w:snapToGrid w:val="0"/>
          <w:color w:val="auto"/>
          <w:kern w:val="0"/>
          <w:position w:val="-6"/>
          <w:szCs w:val="21"/>
          <w:highlight w:val="none"/>
        </w:rPr>
      </w:pPr>
      <w:r>
        <w:rPr>
          <w:rFonts w:hint="eastAsia" w:ascii="宋体" w:hAnsi="宋体"/>
          <w:bCs/>
          <w:snapToGrid w:val="0"/>
          <w:color w:val="auto"/>
          <w:kern w:val="0"/>
          <w:position w:val="-6"/>
          <w:szCs w:val="21"/>
          <w:highlight w:val="none"/>
        </w:rPr>
        <w:t>4、编制依据：包括定额、计价及材料价差的编制依据</w:t>
      </w:r>
    </w:p>
    <w:p>
      <w:pPr>
        <w:adjustRightInd w:val="0"/>
        <w:snapToGrid w:val="0"/>
        <w:ind w:left="315" w:leftChars="150" w:firstLine="105" w:firstLineChars="50"/>
        <w:rPr>
          <w:rFonts w:hint="eastAsia" w:ascii="宋体" w:hAnsi="宋体"/>
          <w:bCs/>
          <w:snapToGrid w:val="0"/>
          <w:color w:val="auto"/>
          <w:kern w:val="0"/>
          <w:position w:val="-6"/>
          <w:szCs w:val="21"/>
          <w:highlight w:val="none"/>
        </w:rPr>
      </w:pPr>
      <w:r>
        <w:rPr>
          <w:rFonts w:hint="eastAsia" w:ascii="宋体" w:hAnsi="宋体"/>
          <w:bCs/>
          <w:snapToGrid w:val="0"/>
          <w:color w:val="auto"/>
          <w:kern w:val="0"/>
          <w:position w:val="-6"/>
          <w:szCs w:val="21"/>
          <w:highlight w:val="none"/>
        </w:rPr>
        <w:t>5、其它说明：</w:t>
      </w:r>
    </w:p>
    <w:p>
      <w:pPr>
        <w:tabs>
          <w:tab w:val="left" w:pos="420"/>
        </w:tabs>
        <w:adjustRightInd w:val="0"/>
        <w:snapToGrid w:val="0"/>
        <w:rPr>
          <w:rFonts w:hint="eastAsia" w:ascii="宋体" w:hAnsi="宋体"/>
          <w:bCs/>
          <w:snapToGrid w:val="0"/>
          <w:color w:val="auto"/>
          <w:kern w:val="0"/>
          <w:position w:val="-6"/>
          <w:szCs w:val="21"/>
          <w:highlight w:val="none"/>
        </w:rPr>
      </w:pPr>
      <w:r>
        <w:rPr>
          <w:rFonts w:hint="eastAsia" w:ascii="宋体" w:hAnsi="宋体"/>
          <w:bCs/>
          <w:snapToGrid w:val="0"/>
          <w:color w:val="auto"/>
          <w:kern w:val="0"/>
          <w:position w:val="-6"/>
          <w:szCs w:val="21"/>
          <w:highlight w:val="none"/>
        </w:rPr>
        <w:t xml:space="preserve">   </w:t>
      </w:r>
      <w:r>
        <w:rPr>
          <w:rFonts w:hint="eastAsia" w:ascii="宋体" w:hAnsi="宋体"/>
          <w:snapToGrid w:val="0"/>
          <w:color w:val="auto"/>
          <w:kern w:val="0"/>
          <w:position w:val="-6"/>
          <w:szCs w:val="21"/>
          <w:highlight w:val="none"/>
        </w:rPr>
        <w:t xml:space="preserve"> </w:t>
      </w:r>
    </w:p>
    <w:p>
      <w:pPr>
        <w:rPr>
          <w:rFonts w:hint="eastAsia" w:hAnsi="宋体"/>
          <w:color w:val="auto"/>
          <w:highlight w:val="none"/>
        </w:rPr>
      </w:pPr>
      <w:r>
        <w:rPr>
          <w:rFonts w:hint="eastAsia" w:hAnsi="宋体"/>
          <w:color w:val="auto"/>
          <w:highlight w:val="none"/>
        </w:rPr>
        <w:br w:type="page"/>
      </w:r>
    </w:p>
    <w:p>
      <w:pPr>
        <w:rPr>
          <w:rFonts w:hint="eastAsia"/>
          <w:color w:val="auto"/>
          <w:highlight w:val="none"/>
        </w:rPr>
      </w:pPr>
    </w:p>
    <w:p>
      <w:pPr>
        <w:numPr>
          <w:ilvl w:val="0"/>
          <w:numId w:val="18"/>
        </w:numPr>
        <w:rPr>
          <w:rFonts w:hint="eastAsia" w:hAnsi="宋体"/>
          <w:color w:val="auto"/>
          <w:highlight w:val="none"/>
        </w:rPr>
      </w:pPr>
      <w:r>
        <w:rPr>
          <w:rFonts w:hint="eastAsia" w:hAnsi="宋体"/>
          <w:color w:val="auto"/>
          <w:highlight w:val="none"/>
        </w:rPr>
        <w:t>变电工程报价书</w:t>
      </w:r>
    </w:p>
    <w:tbl>
      <w:tblPr>
        <w:tblStyle w:val="43"/>
        <w:tblW w:w="8680" w:type="dxa"/>
        <w:jc w:val="center"/>
        <w:tblLayout w:type="fixed"/>
        <w:tblCellMar>
          <w:top w:w="0" w:type="dxa"/>
          <w:left w:w="0" w:type="dxa"/>
          <w:bottom w:w="0" w:type="dxa"/>
          <w:right w:w="0" w:type="dxa"/>
        </w:tblCellMar>
      </w:tblPr>
      <w:tblGrid>
        <w:gridCol w:w="860"/>
        <w:gridCol w:w="1788"/>
        <w:gridCol w:w="559"/>
        <w:gridCol w:w="590"/>
        <w:gridCol w:w="569"/>
        <w:gridCol w:w="450"/>
        <w:gridCol w:w="450"/>
        <w:gridCol w:w="590"/>
        <w:gridCol w:w="493"/>
        <w:gridCol w:w="590"/>
        <w:gridCol w:w="1741"/>
      </w:tblGrid>
      <w:tr>
        <w:tblPrEx>
          <w:tblCellMar>
            <w:top w:w="0" w:type="dxa"/>
            <w:left w:w="0" w:type="dxa"/>
            <w:bottom w:w="0" w:type="dxa"/>
            <w:right w:w="0" w:type="dxa"/>
          </w:tblCellMar>
        </w:tblPrEx>
        <w:trPr>
          <w:trHeight w:val="638" w:hRule="atLeast"/>
          <w:jc w:val="center"/>
        </w:trPr>
        <w:tc>
          <w:tcPr>
            <w:tcW w:w="8680" w:type="dxa"/>
            <w:gridSpan w:val="11"/>
            <w:tcBorders>
              <w:top w:val="nil"/>
              <w:left w:val="nil"/>
              <w:bottom w:val="nil"/>
              <w:right w:val="nil"/>
            </w:tcBorders>
            <w:noWrap w:val="0"/>
            <w:tcMar>
              <w:top w:w="12" w:type="dxa"/>
              <w:left w:w="12" w:type="dxa"/>
              <w:right w:w="12" w:type="dxa"/>
            </w:tcMar>
            <w:vAlign w:val="center"/>
          </w:tcPr>
          <w:p>
            <w:pPr>
              <w:widowControl/>
              <w:jc w:val="center"/>
              <w:textAlignment w:val="center"/>
              <w:rPr>
                <w:rFonts w:hint="eastAsia" w:ascii="宋体" w:hAnsi="宋体" w:cs="宋体"/>
                <w:b/>
                <w:color w:val="auto"/>
                <w:sz w:val="44"/>
                <w:szCs w:val="44"/>
                <w:highlight w:val="none"/>
              </w:rPr>
            </w:pPr>
            <w:r>
              <w:rPr>
                <w:rFonts w:hint="eastAsia" w:ascii="宋体" w:hAnsi="宋体" w:cs="宋体"/>
                <w:b/>
                <w:color w:val="auto"/>
                <w:kern w:val="0"/>
                <w:sz w:val="44"/>
                <w:szCs w:val="44"/>
                <w:highlight w:val="none"/>
                <w:lang w:bidi="ar"/>
              </w:rPr>
              <w:t>工程投标报价汇总表</w:t>
            </w:r>
          </w:p>
        </w:tc>
      </w:tr>
      <w:tr>
        <w:tblPrEx>
          <w:tblCellMar>
            <w:top w:w="0" w:type="dxa"/>
            <w:left w:w="0" w:type="dxa"/>
            <w:bottom w:w="0" w:type="dxa"/>
            <w:right w:w="0" w:type="dxa"/>
          </w:tblCellMar>
        </w:tblPrEx>
        <w:trPr>
          <w:trHeight w:val="431" w:hRule="atLeast"/>
          <w:jc w:val="center"/>
        </w:trPr>
        <w:tc>
          <w:tcPr>
            <w:tcW w:w="2648" w:type="dxa"/>
            <w:gridSpan w:val="2"/>
            <w:tcBorders>
              <w:top w:val="nil"/>
              <w:left w:val="nil"/>
              <w:bottom w:val="nil"/>
              <w:right w:val="nil"/>
            </w:tcBorders>
            <w:noWrap w:val="0"/>
            <w:tcMar>
              <w:top w:w="12" w:type="dxa"/>
              <w:left w:w="12" w:type="dxa"/>
              <w:right w:w="12" w:type="dxa"/>
            </w:tcMar>
            <w:vAlign w:val="center"/>
          </w:tcPr>
          <w:p>
            <w:pPr>
              <w:widowControl/>
              <w:jc w:val="left"/>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表一甲      建设规模:</w:t>
            </w:r>
          </w:p>
        </w:tc>
        <w:tc>
          <w:tcPr>
            <w:tcW w:w="559" w:type="dxa"/>
            <w:tcBorders>
              <w:top w:val="nil"/>
              <w:left w:val="nil"/>
              <w:bottom w:val="nil"/>
              <w:right w:val="nil"/>
            </w:tcBorders>
            <w:noWrap w:val="0"/>
            <w:tcMar>
              <w:top w:w="12" w:type="dxa"/>
              <w:left w:w="12" w:type="dxa"/>
              <w:right w:w="12" w:type="dxa"/>
            </w:tcMar>
            <w:vAlign w:val="center"/>
          </w:tcPr>
          <w:p>
            <w:pPr>
              <w:jc w:val="left"/>
              <w:rPr>
                <w:rFonts w:hint="eastAsia" w:ascii="宋体" w:hAnsi="宋体" w:cs="宋体"/>
                <w:color w:val="auto"/>
                <w:sz w:val="20"/>
                <w:highlight w:val="none"/>
              </w:rPr>
            </w:pPr>
          </w:p>
        </w:tc>
        <w:tc>
          <w:tcPr>
            <w:tcW w:w="590" w:type="dxa"/>
            <w:tcBorders>
              <w:top w:val="nil"/>
              <w:left w:val="nil"/>
              <w:bottom w:val="nil"/>
              <w:right w:val="nil"/>
            </w:tcBorders>
            <w:noWrap w:val="0"/>
            <w:tcMar>
              <w:top w:w="12" w:type="dxa"/>
              <w:left w:w="12" w:type="dxa"/>
              <w:right w:w="12" w:type="dxa"/>
            </w:tcMar>
            <w:vAlign w:val="center"/>
          </w:tcPr>
          <w:p>
            <w:pPr>
              <w:jc w:val="left"/>
              <w:rPr>
                <w:rFonts w:hint="eastAsia" w:ascii="宋体" w:hAnsi="宋体" w:cs="宋体"/>
                <w:color w:val="auto"/>
                <w:sz w:val="20"/>
                <w:highlight w:val="none"/>
              </w:rPr>
            </w:pPr>
          </w:p>
        </w:tc>
        <w:tc>
          <w:tcPr>
            <w:tcW w:w="569" w:type="dxa"/>
            <w:tcBorders>
              <w:top w:val="nil"/>
              <w:left w:val="nil"/>
              <w:bottom w:val="nil"/>
              <w:right w:val="nil"/>
            </w:tcBorders>
            <w:noWrap w:val="0"/>
            <w:tcMar>
              <w:top w:w="12" w:type="dxa"/>
              <w:left w:w="12" w:type="dxa"/>
              <w:right w:w="12" w:type="dxa"/>
            </w:tcMar>
            <w:vAlign w:val="center"/>
          </w:tcPr>
          <w:p>
            <w:pPr>
              <w:jc w:val="left"/>
              <w:rPr>
                <w:rFonts w:hint="eastAsia" w:ascii="宋体" w:hAnsi="宋体" w:cs="宋体"/>
                <w:color w:val="auto"/>
                <w:sz w:val="20"/>
                <w:highlight w:val="none"/>
              </w:rPr>
            </w:pPr>
          </w:p>
        </w:tc>
        <w:tc>
          <w:tcPr>
            <w:tcW w:w="450" w:type="dxa"/>
            <w:tcBorders>
              <w:top w:val="nil"/>
              <w:left w:val="nil"/>
              <w:bottom w:val="nil"/>
              <w:right w:val="nil"/>
            </w:tcBorders>
            <w:noWrap w:val="0"/>
            <w:tcMar>
              <w:top w:w="12" w:type="dxa"/>
              <w:left w:w="12" w:type="dxa"/>
              <w:right w:w="12" w:type="dxa"/>
            </w:tcMar>
            <w:vAlign w:val="center"/>
          </w:tcPr>
          <w:p>
            <w:pPr>
              <w:jc w:val="left"/>
              <w:rPr>
                <w:rFonts w:hint="eastAsia" w:ascii="宋体" w:hAnsi="宋体" w:cs="宋体"/>
                <w:color w:val="auto"/>
                <w:sz w:val="20"/>
                <w:highlight w:val="none"/>
              </w:rPr>
            </w:pPr>
          </w:p>
        </w:tc>
        <w:tc>
          <w:tcPr>
            <w:tcW w:w="450" w:type="dxa"/>
            <w:tcBorders>
              <w:top w:val="nil"/>
              <w:left w:val="nil"/>
              <w:bottom w:val="nil"/>
              <w:right w:val="nil"/>
            </w:tcBorders>
            <w:noWrap w:val="0"/>
            <w:tcMar>
              <w:top w:w="12" w:type="dxa"/>
              <w:left w:w="12" w:type="dxa"/>
              <w:right w:w="12" w:type="dxa"/>
            </w:tcMar>
            <w:vAlign w:val="center"/>
          </w:tcPr>
          <w:p>
            <w:pPr>
              <w:jc w:val="left"/>
              <w:rPr>
                <w:rFonts w:hint="eastAsia" w:ascii="宋体" w:hAnsi="宋体" w:cs="宋体"/>
                <w:color w:val="auto"/>
                <w:sz w:val="20"/>
                <w:highlight w:val="none"/>
              </w:rPr>
            </w:pPr>
          </w:p>
        </w:tc>
        <w:tc>
          <w:tcPr>
            <w:tcW w:w="590" w:type="dxa"/>
            <w:tcBorders>
              <w:top w:val="nil"/>
              <w:left w:val="nil"/>
              <w:bottom w:val="nil"/>
              <w:right w:val="nil"/>
            </w:tcBorders>
            <w:noWrap w:val="0"/>
            <w:tcMar>
              <w:top w:w="12" w:type="dxa"/>
              <w:left w:w="12" w:type="dxa"/>
              <w:right w:w="12" w:type="dxa"/>
            </w:tcMar>
            <w:vAlign w:val="center"/>
          </w:tcPr>
          <w:p>
            <w:pPr>
              <w:jc w:val="left"/>
              <w:rPr>
                <w:rFonts w:hint="eastAsia" w:ascii="宋体" w:hAnsi="宋体" w:cs="宋体"/>
                <w:color w:val="auto"/>
                <w:sz w:val="20"/>
                <w:highlight w:val="none"/>
              </w:rPr>
            </w:pPr>
          </w:p>
        </w:tc>
        <w:tc>
          <w:tcPr>
            <w:tcW w:w="493"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color w:val="auto"/>
                <w:sz w:val="18"/>
                <w:szCs w:val="18"/>
                <w:highlight w:val="none"/>
              </w:rPr>
            </w:pPr>
          </w:p>
        </w:tc>
        <w:tc>
          <w:tcPr>
            <w:tcW w:w="590" w:type="dxa"/>
            <w:tcBorders>
              <w:top w:val="nil"/>
              <w:left w:val="nil"/>
              <w:bottom w:val="single" w:color="000000" w:sz="4" w:space="0"/>
              <w:right w:val="nil"/>
            </w:tcBorders>
            <w:noWrap w:val="0"/>
            <w:tcMar>
              <w:top w:w="12" w:type="dxa"/>
              <w:left w:w="12" w:type="dxa"/>
              <w:right w:w="12" w:type="dxa"/>
            </w:tcMar>
            <w:vAlign w:val="center"/>
          </w:tcPr>
          <w:p>
            <w:pPr>
              <w:rPr>
                <w:rFonts w:hint="eastAsia" w:ascii="宋体" w:hAnsi="宋体" w:cs="宋体"/>
                <w:color w:val="auto"/>
                <w:sz w:val="20"/>
                <w:highlight w:val="none"/>
              </w:rPr>
            </w:pPr>
          </w:p>
        </w:tc>
        <w:tc>
          <w:tcPr>
            <w:tcW w:w="1741" w:type="dxa"/>
            <w:tcBorders>
              <w:top w:val="nil"/>
              <w:left w:val="nil"/>
              <w:bottom w:val="single" w:color="000000" w:sz="4" w:space="0"/>
              <w:right w:val="nil"/>
            </w:tcBorders>
            <w:noWrap w:val="0"/>
            <w:tcMar>
              <w:top w:w="12" w:type="dxa"/>
              <w:left w:w="12" w:type="dxa"/>
              <w:right w:w="12" w:type="dxa"/>
            </w:tcMar>
            <w:vAlign w:val="center"/>
          </w:tcPr>
          <w:p>
            <w:pPr>
              <w:widowControl/>
              <w:jc w:val="left"/>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金额单位:万元</w:t>
            </w:r>
          </w:p>
        </w:tc>
      </w:tr>
      <w:tr>
        <w:tblPrEx>
          <w:tblCellMar>
            <w:top w:w="0" w:type="dxa"/>
            <w:left w:w="0" w:type="dxa"/>
            <w:bottom w:w="0" w:type="dxa"/>
            <w:right w:w="0" w:type="dxa"/>
          </w:tblCellMar>
        </w:tblPrEx>
        <w:trPr>
          <w:trHeight w:val="1587" w:hRule="atLeast"/>
          <w:jc w:val="center"/>
        </w:trPr>
        <w:tc>
          <w:tcPr>
            <w:tcW w:w="8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序号</w:t>
            </w:r>
          </w:p>
        </w:tc>
        <w:tc>
          <w:tcPr>
            <w:tcW w:w="1788"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工程或费用名称</w:t>
            </w:r>
          </w:p>
        </w:tc>
        <w:tc>
          <w:tcPr>
            <w:tcW w:w="559"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建筑工程费</w:t>
            </w:r>
          </w:p>
        </w:tc>
        <w:tc>
          <w:tcPr>
            <w:tcW w:w="590"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乙供设备购置费</w:t>
            </w:r>
          </w:p>
        </w:tc>
        <w:tc>
          <w:tcPr>
            <w:tcW w:w="569"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安装工程费</w:t>
            </w:r>
          </w:p>
        </w:tc>
        <w:tc>
          <w:tcPr>
            <w:tcW w:w="450"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其他费用</w:t>
            </w:r>
          </w:p>
        </w:tc>
        <w:tc>
          <w:tcPr>
            <w:tcW w:w="450"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合计</w:t>
            </w:r>
          </w:p>
        </w:tc>
        <w:tc>
          <w:tcPr>
            <w:tcW w:w="590"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其中：安全文明施工费</w:t>
            </w:r>
          </w:p>
        </w:tc>
        <w:tc>
          <w:tcPr>
            <w:tcW w:w="493"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各项占静态投资(%)</w:t>
            </w:r>
          </w:p>
        </w:tc>
        <w:tc>
          <w:tcPr>
            <w:tcW w:w="590"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单位投资(元/kVA)</w:t>
            </w:r>
          </w:p>
        </w:tc>
        <w:tc>
          <w:tcPr>
            <w:tcW w:w="1741" w:type="dxa"/>
            <w:tcBorders>
              <w:top w:val="nil"/>
              <w:left w:val="single" w:color="000000" w:sz="4" w:space="0"/>
              <w:bottom w:val="nil"/>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费用编码</w:t>
            </w:r>
          </w:p>
        </w:tc>
      </w:tr>
      <w:tr>
        <w:tblPrEx>
          <w:tblCellMar>
            <w:top w:w="0" w:type="dxa"/>
            <w:left w:w="0" w:type="dxa"/>
            <w:bottom w:w="0" w:type="dxa"/>
            <w:right w:w="0" w:type="dxa"/>
          </w:tblCellMar>
        </w:tblPrEx>
        <w:trPr>
          <w:trHeight w:val="33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left"/>
              <w:textAlignment w:val="bottom"/>
              <w:rPr>
                <w:rFonts w:hint="eastAsia" w:ascii="宋体" w:hAnsi="宋体" w:eastAsia="宋体" w:cs="宋体"/>
                <w:color w:val="auto"/>
                <w:sz w:val="20"/>
                <w:highlight w:val="none"/>
              </w:rPr>
            </w:pPr>
            <w:r>
              <w:rPr>
                <w:rFonts w:hint="eastAsia" w:ascii="宋体" w:hAnsi="宋体" w:eastAsia="宋体" w:cs="宋体"/>
                <w:color w:val="auto"/>
                <w:sz w:val="20"/>
                <w:highlight w:val="none"/>
              </w:rPr>
              <w:t>一</w:t>
            </w:r>
          </w:p>
        </w:tc>
        <w:tc>
          <w:tcPr>
            <w:tcW w:w="1788" w:type="dxa"/>
            <w:tcBorders>
              <w:top w:val="single" w:color="000000" w:sz="4" w:space="0"/>
              <w:left w:val="single" w:color="000000" w:sz="4" w:space="0"/>
              <w:bottom w:val="single" w:color="000000" w:sz="4" w:space="0"/>
              <w:right w:val="nil"/>
            </w:tcBorders>
            <w:shd w:val="clear" w:color="auto" w:fill="FFFFFF"/>
            <w:noWrap w:val="0"/>
            <w:tcMar>
              <w:top w:w="12" w:type="dxa"/>
              <w:left w:w="12" w:type="dxa"/>
              <w:right w:w="12" w:type="dxa"/>
            </w:tcMar>
            <w:vAlign w:val="center"/>
          </w:tcPr>
          <w:p>
            <w:pPr>
              <w:widowControl/>
              <w:jc w:val="left"/>
              <w:textAlignment w:val="bottom"/>
              <w:rPr>
                <w:rFonts w:hint="eastAsia" w:ascii="宋体" w:hAnsi="宋体" w:eastAsia="宋体" w:cs="宋体"/>
                <w:color w:val="auto"/>
                <w:kern w:val="0"/>
                <w:sz w:val="20"/>
                <w:highlight w:val="none"/>
                <w:lang w:bidi="ar"/>
              </w:rPr>
            </w:pPr>
            <w:r>
              <w:rPr>
                <w:rFonts w:hint="eastAsia" w:ascii="宋体" w:hAnsi="宋体" w:eastAsia="宋体" w:cs="宋体"/>
                <w:color w:val="auto"/>
                <w:kern w:val="0"/>
                <w:sz w:val="20"/>
                <w:highlight w:val="none"/>
                <w:lang w:bidi="ar"/>
              </w:rPr>
              <w:t>主辅生产工程</w:t>
            </w:r>
          </w:p>
        </w:tc>
        <w:tc>
          <w:tcPr>
            <w:tcW w:w="559"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33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left"/>
              <w:textAlignment w:val="bottom"/>
              <w:rPr>
                <w:rFonts w:hint="eastAsia" w:ascii="宋体" w:hAnsi="宋体" w:eastAsia="宋体" w:cs="宋体"/>
                <w:color w:val="auto"/>
                <w:sz w:val="20"/>
                <w:highlight w:val="none"/>
              </w:rPr>
            </w:pPr>
            <w:r>
              <w:rPr>
                <w:rFonts w:hint="eastAsia" w:ascii="宋体" w:hAnsi="宋体" w:eastAsia="宋体" w:cs="宋体"/>
                <w:color w:val="auto"/>
                <w:sz w:val="20"/>
                <w:highlight w:val="none"/>
              </w:rPr>
              <w:t>(一)</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left"/>
              <w:textAlignment w:val="bottom"/>
              <w:rPr>
                <w:rFonts w:hint="eastAsia" w:ascii="宋体" w:hAnsi="宋体" w:eastAsia="宋体" w:cs="宋体"/>
                <w:color w:val="auto"/>
                <w:kern w:val="0"/>
                <w:sz w:val="20"/>
                <w:highlight w:val="none"/>
                <w:lang w:bidi="ar"/>
              </w:rPr>
            </w:pPr>
            <w:r>
              <w:rPr>
                <w:rFonts w:hint="eastAsia" w:ascii="宋体" w:hAnsi="宋体" w:eastAsia="宋体" w:cs="宋体"/>
                <w:color w:val="auto"/>
                <w:kern w:val="0"/>
                <w:sz w:val="20"/>
                <w:highlight w:val="none"/>
                <w:lang w:bidi="ar"/>
              </w:rPr>
              <w:t>主要生产工程</w:t>
            </w:r>
          </w:p>
        </w:tc>
        <w:tc>
          <w:tcPr>
            <w:tcW w:w="559" w:type="dxa"/>
            <w:tcBorders>
              <w:top w:val="nil"/>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590" w:type="dxa"/>
            <w:tcBorders>
              <w:top w:val="nil"/>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569" w:type="dxa"/>
            <w:tcBorders>
              <w:top w:val="nil"/>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450" w:type="dxa"/>
            <w:tcBorders>
              <w:top w:val="nil"/>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450" w:type="dxa"/>
            <w:tcBorders>
              <w:top w:val="nil"/>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590" w:type="dxa"/>
            <w:tcBorders>
              <w:top w:val="nil"/>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493" w:type="dxa"/>
            <w:tcBorders>
              <w:top w:val="nil"/>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590" w:type="dxa"/>
            <w:tcBorders>
              <w:top w:val="nil"/>
              <w:left w:val="single" w:color="000000" w:sz="4" w:space="0"/>
              <w:bottom w:val="nil"/>
              <w:right w:val="nil"/>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1741" w:type="dxa"/>
            <w:tcBorders>
              <w:top w:val="nil"/>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33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left"/>
              <w:textAlignment w:val="bottom"/>
              <w:rPr>
                <w:rFonts w:hint="eastAsia" w:ascii="宋体" w:hAnsi="宋体" w:eastAsia="宋体" w:cs="宋体"/>
                <w:color w:val="auto"/>
                <w:sz w:val="20"/>
                <w:highlight w:val="none"/>
              </w:rPr>
            </w:pPr>
            <w:r>
              <w:rPr>
                <w:rFonts w:hint="eastAsia" w:ascii="宋体" w:hAnsi="宋体" w:eastAsia="宋体" w:cs="宋体"/>
                <w:color w:val="auto"/>
                <w:sz w:val="20"/>
                <w:highlight w:val="none"/>
              </w:rPr>
              <w:t>(二)</w:t>
            </w:r>
          </w:p>
        </w:tc>
        <w:tc>
          <w:tcPr>
            <w:tcW w:w="1788" w:type="dxa"/>
            <w:tcBorders>
              <w:top w:val="single" w:color="000000" w:sz="4" w:space="0"/>
              <w:left w:val="nil"/>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left"/>
              <w:textAlignment w:val="bottom"/>
              <w:rPr>
                <w:rFonts w:hint="eastAsia" w:ascii="宋体" w:hAnsi="宋体" w:eastAsia="宋体" w:cs="宋体"/>
                <w:color w:val="auto"/>
                <w:kern w:val="0"/>
                <w:sz w:val="20"/>
                <w:highlight w:val="none"/>
                <w:lang w:bidi="ar"/>
              </w:rPr>
            </w:pPr>
            <w:r>
              <w:rPr>
                <w:rFonts w:hint="eastAsia" w:ascii="宋体" w:hAnsi="宋体" w:eastAsia="宋体" w:cs="宋体"/>
                <w:color w:val="auto"/>
                <w:kern w:val="0"/>
                <w:sz w:val="20"/>
                <w:highlight w:val="none"/>
                <w:lang w:bidi="ar"/>
              </w:rPr>
              <w:t>辅助生产工程</w:t>
            </w:r>
          </w:p>
        </w:tc>
        <w:tc>
          <w:tcPr>
            <w:tcW w:w="559" w:type="dxa"/>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590" w:type="dxa"/>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569" w:type="dxa"/>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450" w:type="dxa"/>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450" w:type="dxa"/>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590" w:type="dxa"/>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493" w:type="dxa"/>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590" w:type="dxa"/>
            <w:tcBorders>
              <w:top w:val="single" w:color="000000" w:sz="4" w:space="0"/>
              <w:left w:val="single" w:color="000000" w:sz="4" w:space="0"/>
              <w:bottom w:val="nil"/>
              <w:right w:val="nil"/>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64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left"/>
              <w:textAlignment w:val="bottom"/>
              <w:rPr>
                <w:rFonts w:hint="eastAsia" w:ascii="宋体" w:hAnsi="宋体" w:eastAsia="宋体" w:cs="宋体"/>
                <w:color w:val="auto"/>
                <w:sz w:val="20"/>
                <w:highlight w:val="none"/>
              </w:rPr>
            </w:pPr>
            <w:r>
              <w:rPr>
                <w:rFonts w:hint="eastAsia" w:ascii="宋体" w:hAnsi="宋体" w:eastAsia="宋体" w:cs="宋体"/>
                <w:color w:val="auto"/>
                <w:sz w:val="20"/>
                <w:highlight w:val="none"/>
              </w:rPr>
              <w:t>二</w:t>
            </w:r>
          </w:p>
        </w:tc>
        <w:tc>
          <w:tcPr>
            <w:tcW w:w="1788" w:type="dxa"/>
            <w:tcBorders>
              <w:top w:val="single" w:color="000000" w:sz="4" w:space="0"/>
              <w:left w:val="nil"/>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left"/>
              <w:textAlignment w:val="bottom"/>
              <w:rPr>
                <w:rFonts w:hint="eastAsia" w:ascii="宋体" w:hAnsi="宋体" w:eastAsia="宋体" w:cs="宋体"/>
                <w:color w:val="auto"/>
                <w:kern w:val="0"/>
                <w:sz w:val="20"/>
                <w:highlight w:val="none"/>
                <w:lang w:bidi="ar"/>
              </w:rPr>
            </w:pPr>
            <w:r>
              <w:rPr>
                <w:rFonts w:hint="eastAsia" w:ascii="宋体" w:hAnsi="宋体" w:eastAsia="宋体" w:cs="宋体"/>
                <w:color w:val="auto"/>
                <w:kern w:val="0"/>
                <w:sz w:val="20"/>
                <w:highlight w:val="none"/>
                <w:lang w:bidi="ar"/>
              </w:rPr>
              <w:t>与站址有关的单项工程</w:t>
            </w:r>
          </w:p>
        </w:tc>
        <w:tc>
          <w:tcPr>
            <w:tcW w:w="55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590" w:type="dxa"/>
            <w:tcBorders>
              <w:top w:val="single" w:color="000000" w:sz="4" w:space="0"/>
              <w:left w:val="single" w:color="000000" w:sz="4" w:space="0"/>
              <w:bottom w:val="single" w:color="000000" w:sz="4" w:space="0"/>
              <w:right w:val="nil"/>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33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left"/>
              <w:textAlignment w:val="bottom"/>
              <w:rPr>
                <w:rFonts w:hint="eastAsia" w:ascii="宋体" w:hAnsi="宋体" w:eastAsia="宋体" w:cs="宋体"/>
                <w:color w:val="auto"/>
                <w:sz w:val="20"/>
                <w:highlight w:val="none"/>
              </w:rPr>
            </w:pPr>
          </w:p>
        </w:tc>
        <w:tc>
          <w:tcPr>
            <w:tcW w:w="1788" w:type="dxa"/>
            <w:tcBorders>
              <w:top w:val="single" w:color="000000" w:sz="4" w:space="0"/>
              <w:left w:val="nil"/>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left"/>
              <w:textAlignment w:val="bottom"/>
              <w:rPr>
                <w:rFonts w:hint="eastAsia" w:ascii="宋体" w:hAnsi="宋体" w:eastAsia="宋体" w:cs="宋体"/>
                <w:color w:val="auto"/>
                <w:kern w:val="0"/>
                <w:sz w:val="20"/>
                <w:highlight w:val="none"/>
                <w:lang w:bidi="ar"/>
              </w:rPr>
            </w:pPr>
            <w:r>
              <w:rPr>
                <w:rFonts w:hint="eastAsia" w:ascii="宋体" w:hAnsi="宋体" w:eastAsia="宋体" w:cs="宋体"/>
                <w:color w:val="auto"/>
                <w:kern w:val="0"/>
                <w:sz w:val="20"/>
                <w:highlight w:val="none"/>
                <w:lang w:bidi="ar"/>
              </w:rPr>
              <w:t>小计</w:t>
            </w:r>
          </w:p>
        </w:tc>
        <w:tc>
          <w:tcPr>
            <w:tcW w:w="559"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590" w:type="dxa"/>
            <w:tcBorders>
              <w:top w:val="single" w:color="000000" w:sz="4" w:space="0"/>
              <w:left w:val="single" w:color="000000" w:sz="4" w:space="0"/>
              <w:bottom w:val="single" w:color="000000" w:sz="4" w:space="0"/>
              <w:right w:val="nil"/>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bottom"/>
          </w:tcPr>
          <w:p>
            <w:pPr>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33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left"/>
              <w:textAlignment w:val="bottom"/>
              <w:rPr>
                <w:rFonts w:hint="eastAsia" w:ascii="宋体" w:hAnsi="宋体" w:eastAsia="宋体" w:cs="宋体"/>
                <w:color w:val="auto"/>
                <w:sz w:val="20"/>
                <w:highlight w:val="none"/>
              </w:rPr>
            </w:pPr>
            <w:r>
              <w:rPr>
                <w:rFonts w:hint="eastAsia" w:ascii="宋体" w:hAnsi="宋体" w:eastAsia="宋体" w:cs="宋体"/>
                <w:color w:val="auto"/>
                <w:sz w:val="20"/>
                <w:highlight w:val="none"/>
              </w:rPr>
              <w:t>三</w:t>
            </w:r>
          </w:p>
        </w:tc>
        <w:tc>
          <w:tcPr>
            <w:tcW w:w="1788" w:type="dxa"/>
            <w:tcBorders>
              <w:top w:val="single" w:color="000000" w:sz="4" w:space="0"/>
              <w:left w:val="nil"/>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left"/>
              <w:textAlignment w:val="bottom"/>
              <w:rPr>
                <w:rFonts w:hint="eastAsia" w:ascii="宋体" w:hAnsi="宋体" w:eastAsia="宋体" w:cs="宋体"/>
                <w:color w:val="auto"/>
                <w:kern w:val="0"/>
                <w:sz w:val="20"/>
                <w:highlight w:val="none"/>
                <w:lang w:bidi="ar"/>
              </w:rPr>
            </w:pPr>
            <w:r>
              <w:rPr>
                <w:rFonts w:hint="eastAsia" w:ascii="宋体" w:hAnsi="宋体" w:eastAsia="宋体" w:cs="宋体"/>
                <w:color w:val="auto"/>
                <w:kern w:val="0"/>
                <w:sz w:val="20"/>
                <w:highlight w:val="none"/>
                <w:lang w:bidi="ar"/>
              </w:rPr>
              <w:t>编制基准期价差</w:t>
            </w:r>
          </w:p>
        </w:tc>
        <w:tc>
          <w:tcPr>
            <w:tcW w:w="55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590" w:type="dxa"/>
            <w:tcBorders>
              <w:top w:val="single" w:color="000000" w:sz="4" w:space="0"/>
              <w:left w:val="single" w:color="000000" w:sz="4" w:space="0"/>
              <w:bottom w:val="single" w:color="000000" w:sz="4" w:space="0"/>
              <w:right w:val="nil"/>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21840000000</w:t>
            </w:r>
          </w:p>
        </w:tc>
      </w:tr>
      <w:tr>
        <w:tblPrEx>
          <w:tblCellMar>
            <w:top w:w="0" w:type="dxa"/>
            <w:left w:w="0" w:type="dxa"/>
            <w:bottom w:w="0" w:type="dxa"/>
            <w:right w:w="0" w:type="dxa"/>
          </w:tblCellMar>
        </w:tblPrEx>
        <w:trPr>
          <w:trHeight w:val="33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left"/>
              <w:textAlignment w:val="bottom"/>
              <w:rPr>
                <w:rFonts w:hint="eastAsia" w:ascii="宋体" w:hAnsi="宋体" w:eastAsia="宋体" w:cs="宋体"/>
                <w:color w:val="auto"/>
                <w:sz w:val="20"/>
                <w:highlight w:val="none"/>
              </w:rPr>
            </w:pPr>
            <w:r>
              <w:rPr>
                <w:rFonts w:hint="eastAsia" w:ascii="宋体" w:hAnsi="宋体" w:eastAsia="宋体" w:cs="宋体"/>
                <w:color w:val="auto"/>
                <w:sz w:val="20"/>
                <w:highlight w:val="none"/>
              </w:rPr>
              <w:t>四</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left"/>
              <w:textAlignment w:val="bottom"/>
              <w:rPr>
                <w:rFonts w:hint="eastAsia" w:ascii="宋体" w:hAnsi="宋体" w:eastAsia="宋体" w:cs="宋体"/>
                <w:color w:val="auto"/>
                <w:kern w:val="0"/>
                <w:sz w:val="20"/>
                <w:highlight w:val="none"/>
                <w:lang w:bidi="ar"/>
              </w:rPr>
            </w:pPr>
            <w:r>
              <w:rPr>
                <w:rFonts w:hint="eastAsia" w:ascii="宋体" w:hAnsi="宋体" w:eastAsia="宋体" w:cs="宋体"/>
                <w:color w:val="auto"/>
                <w:kern w:val="0"/>
                <w:sz w:val="20"/>
                <w:highlight w:val="none"/>
                <w:lang w:bidi="ar"/>
              </w:rPr>
              <w:t>其他费用</w:t>
            </w:r>
          </w:p>
        </w:tc>
        <w:tc>
          <w:tcPr>
            <w:tcW w:w="559"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590" w:type="dxa"/>
            <w:tcBorders>
              <w:top w:val="single" w:color="000000" w:sz="4" w:space="0"/>
              <w:left w:val="single" w:color="000000" w:sz="4" w:space="0"/>
              <w:bottom w:val="single" w:color="000000" w:sz="4" w:space="0"/>
              <w:right w:val="nil"/>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21830000000</w:t>
            </w:r>
          </w:p>
        </w:tc>
      </w:tr>
      <w:tr>
        <w:tblPrEx>
          <w:tblCellMar>
            <w:top w:w="0" w:type="dxa"/>
            <w:left w:w="0" w:type="dxa"/>
            <w:bottom w:w="0" w:type="dxa"/>
            <w:right w:w="0" w:type="dxa"/>
          </w:tblCellMar>
        </w:tblPrEx>
        <w:trPr>
          <w:trHeight w:val="648"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left"/>
              <w:textAlignment w:val="bottom"/>
              <w:rPr>
                <w:rFonts w:hint="eastAsia" w:ascii="宋体" w:hAnsi="宋体" w:eastAsia="宋体" w:cs="宋体"/>
                <w:color w:val="auto"/>
                <w:sz w:val="20"/>
                <w:highlight w:val="none"/>
              </w:rPr>
            </w:pPr>
          </w:p>
        </w:tc>
        <w:tc>
          <w:tcPr>
            <w:tcW w:w="1788" w:type="dxa"/>
            <w:tcBorders>
              <w:top w:val="single" w:color="000000" w:sz="4" w:space="0"/>
              <w:left w:val="nil"/>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left"/>
              <w:textAlignment w:val="bottom"/>
              <w:rPr>
                <w:rFonts w:hint="eastAsia" w:ascii="宋体" w:hAnsi="宋体" w:eastAsia="宋体" w:cs="宋体"/>
                <w:color w:val="auto"/>
                <w:kern w:val="0"/>
                <w:sz w:val="20"/>
                <w:highlight w:val="none"/>
                <w:lang w:bidi="ar"/>
              </w:rPr>
            </w:pPr>
            <w:r>
              <w:rPr>
                <w:rFonts w:hint="eastAsia" w:ascii="宋体" w:hAnsi="宋体" w:eastAsia="宋体" w:cs="宋体"/>
                <w:color w:val="auto"/>
                <w:kern w:val="0"/>
                <w:sz w:val="20"/>
                <w:highlight w:val="none"/>
                <w:lang w:bidi="ar"/>
              </w:rPr>
              <w:t>其中：建设场地征用及清理费</w:t>
            </w:r>
          </w:p>
        </w:tc>
        <w:tc>
          <w:tcPr>
            <w:tcW w:w="55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590" w:type="dxa"/>
            <w:tcBorders>
              <w:top w:val="single" w:color="000000" w:sz="4" w:space="0"/>
              <w:left w:val="single" w:color="000000" w:sz="4" w:space="0"/>
              <w:bottom w:val="single" w:color="000000" w:sz="4" w:space="0"/>
              <w:right w:val="nil"/>
            </w:tcBorders>
            <w:shd w:val="clear" w:color="auto" w:fill="FFFFFF"/>
            <w:noWrap/>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335" w:hRule="atLeast"/>
          <w:jc w:val="center"/>
        </w:trPr>
        <w:tc>
          <w:tcPr>
            <w:tcW w:w="860" w:type="dxa"/>
            <w:tcBorders>
              <w:top w:val="single" w:color="000000" w:sz="4" w:space="0"/>
              <w:left w:val="single" w:color="000000" w:sz="4" w:space="0"/>
              <w:bottom w:val="single" w:color="000000" w:sz="4" w:space="0"/>
              <w:right w:val="nil"/>
            </w:tcBorders>
            <w:shd w:val="clear" w:color="auto" w:fill="FFFFFF"/>
            <w:noWrap w:val="0"/>
            <w:tcMar>
              <w:top w:w="12" w:type="dxa"/>
              <w:left w:w="12" w:type="dxa"/>
              <w:right w:w="12" w:type="dxa"/>
            </w:tcMar>
            <w:vAlign w:val="center"/>
          </w:tcPr>
          <w:p>
            <w:pPr>
              <w:widowControl/>
              <w:jc w:val="left"/>
              <w:textAlignment w:val="bottom"/>
              <w:rPr>
                <w:rFonts w:hint="eastAsia" w:ascii="宋体" w:hAnsi="宋体" w:eastAsia="宋体" w:cs="宋体"/>
                <w:color w:val="auto"/>
                <w:sz w:val="20"/>
                <w:highlight w:val="none"/>
              </w:rPr>
            </w:pPr>
            <w:r>
              <w:rPr>
                <w:rFonts w:hint="eastAsia" w:ascii="宋体" w:hAnsi="宋体" w:eastAsia="宋体" w:cs="宋体"/>
                <w:color w:val="auto"/>
                <w:sz w:val="20"/>
                <w:highlight w:val="none"/>
              </w:rPr>
              <w:t>五</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left"/>
              <w:textAlignment w:val="bottom"/>
              <w:rPr>
                <w:rFonts w:hint="eastAsia" w:ascii="宋体" w:hAnsi="宋体" w:eastAsia="宋体" w:cs="宋体"/>
                <w:color w:val="auto"/>
                <w:kern w:val="0"/>
                <w:sz w:val="20"/>
                <w:highlight w:val="none"/>
                <w:lang w:bidi="ar"/>
              </w:rPr>
            </w:pPr>
            <w:r>
              <w:rPr>
                <w:rFonts w:hint="eastAsia" w:ascii="宋体" w:hAnsi="宋体" w:eastAsia="宋体" w:cs="宋体"/>
                <w:color w:val="auto"/>
                <w:kern w:val="0"/>
                <w:sz w:val="20"/>
                <w:highlight w:val="none"/>
                <w:lang w:bidi="ar"/>
              </w:rPr>
              <w:t>基本预备费</w:t>
            </w:r>
          </w:p>
        </w:tc>
        <w:tc>
          <w:tcPr>
            <w:tcW w:w="559"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590" w:type="dxa"/>
            <w:tcBorders>
              <w:top w:val="single" w:color="000000" w:sz="4" w:space="0"/>
              <w:left w:val="single" w:color="000000" w:sz="4" w:space="0"/>
              <w:bottom w:val="single" w:color="000000" w:sz="4" w:space="0"/>
              <w:right w:val="nil"/>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218D0000000</w:t>
            </w:r>
          </w:p>
        </w:tc>
      </w:tr>
      <w:tr>
        <w:tblPrEx>
          <w:tblCellMar>
            <w:top w:w="0" w:type="dxa"/>
            <w:left w:w="0" w:type="dxa"/>
            <w:bottom w:w="0" w:type="dxa"/>
            <w:right w:w="0" w:type="dxa"/>
          </w:tblCellMar>
        </w:tblPrEx>
        <w:trPr>
          <w:trHeight w:val="335" w:hRule="atLeast"/>
          <w:jc w:val="center"/>
        </w:trPr>
        <w:tc>
          <w:tcPr>
            <w:tcW w:w="860" w:type="dxa"/>
            <w:tcBorders>
              <w:top w:val="single" w:color="000000" w:sz="4" w:space="0"/>
              <w:left w:val="single" w:color="000000" w:sz="4" w:space="0"/>
              <w:bottom w:val="single" w:color="000000" w:sz="4" w:space="0"/>
              <w:right w:val="nil"/>
            </w:tcBorders>
            <w:shd w:val="clear" w:color="auto" w:fill="FFFFFF"/>
            <w:noWrap w:val="0"/>
            <w:tcMar>
              <w:top w:w="12" w:type="dxa"/>
              <w:left w:w="12" w:type="dxa"/>
              <w:right w:w="12" w:type="dxa"/>
            </w:tcMar>
            <w:vAlign w:val="center"/>
          </w:tcPr>
          <w:p>
            <w:pPr>
              <w:widowControl/>
              <w:jc w:val="left"/>
              <w:textAlignment w:val="bottom"/>
              <w:rPr>
                <w:rFonts w:hint="eastAsia" w:ascii="宋体" w:hAnsi="宋体" w:eastAsia="宋体" w:cs="宋体"/>
                <w:color w:val="auto"/>
                <w:sz w:val="20"/>
                <w:highlight w:val="none"/>
              </w:rPr>
            </w:pPr>
            <w:r>
              <w:rPr>
                <w:rFonts w:hint="eastAsia" w:ascii="宋体" w:hAnsi="宋体" w:eastAsia="宋体" w:cs="宋体"/>
                <w:color w:val="auto"/>
                <w:sz w:val="20"/>
                <w:highlight w:val="none"/>
              </w:rPr>
              <w:t>六</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left"/>
              <w:textAlignment w:val="bottom"/>
              <w:rPr>
                <w:rFonts w:hint="eastAsia" w:ascii="宋体" w:hAnsi="宋体" w:eastAsia="宋体" w:cs="宋体"/>
                <w:color w:val="auto"/>
                <w:kern w:val="0"/>
                <w:sz w:val="20"/>
                <w:highlight w:val="none"/>
                <w:lang w:bidi="ar"/>
              </w:rPr>
            </w:pPr>
            <w:r>
              <w:rPr>
                <w:rFonts w:hint="eastAsia" w:ascii="宋体" w:hAnsi="宋体" w:eastAsia="宋体" w:cs="宋体"/>
                <w:color w:val="auto"/>
                <w:kern w:val="0"/>
                <w:sz w:val="20"/>
                <w:highlight w:val="none"/>
                <w:lang w:bidi="ar"/>
              </w:rPr>
              <w:t>特殊项目</w:t>
            </w:r>
          </w:p>
        </w:tc>
        <w:tc>
          <w:tcPr>
            <w:tcW w:w="559"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590" w:type="dxa"/>
            <w:tcBorders>
              <w:top w:val="single" w:color="000000" w:sz="4" w:space="0"/>
              <w:left w:val="single" w:color="000000" w:sz="4" w:space="0"/>
              <w:bottom w:val="single" w:color="000000" w:sz="4" w:space="0"/>
              <w:right w:val="nil"/>
            </w:tcBorders>
            <w:shd w:val="clear" w:color="auto" w:fill="FFFFFF"/>
            <w:noWrap w:val="0"/>
            <w:tcMar>
              <w:top w:w="12" w:type="dxa"/>
              <w:left w:w="12" w:type="dxa"/>
              <w:right w:w="12" w:type="dxa"/>
            </w:tcMar>
            <w:vAlign w:val="center"/>
          </w:tcPr>
          <w:p>
            <w:pPr>
              <w:jc w:val="center"/>
              <w:rPr>
                <w:rFonts w:hint="eastAsia" w:ascii="宋体" w:hAnsi="宋体" w:cs="宋体"/>
                <w:color w:val="auto"/>
                <w:sz w:val="18"/>
                <w:szCs w:val="18"/>
                <w:highlight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21850000000</w:t>
            </w:r>
          </w:p>
        </w:tc>
      </w:tr>
      <w:tr>
        <w:tblPrEx>
          <w:tblCellMar>
            <w:top w:w="0" w:type="dxa"/>
            <w:left w:w="0" w:type="dxa"/>
            <w:bottom w:w="0" w:type="dxa"/>
            <w:right w:w="0" w:type="dxa"/>
          </w:tblCellMar>
        </w:tblPrEx>
        <w:trPr>
          <w:trHeight w:val="335" w:hRule="atLeast"/>
          <w:jc w:val="center"/>
        </w:trPr>
        <w:tc>
          <w:tcPr>
            <w:tcW w:w="860" w:type="dxa"/>
            <w:tcBorders>
              <w:top w:val="single" w:color="000000" w:sz="4" w:space="0"/>
              <w:left w:val="single" w:color="000000" w:sz="4" w:space="0"/>
              <w:bottom w:val="single" w:color="000000" w:sz="4" w:space="0"/>
              <w:right w:val="nil"/>
            </w:tcBorders>
            <w:shd w:val="clear" w:color="auto" w:fill="FFFFFF"/>
            <w:noWrap w:val="0"/>
            <w:tcMar>
              <w:top w:w="12" w:type="dxa"/>
              <w:left w:w="12" w:type="dxa"/>
              <w:right w:w="12" w:type="dxa"/>
            </w:tcMar>
            <w:vAlign w:val="bottom"/>
          </w:tcPr>
          <w:p>
            <w:pPr>
              <w:jc w:val="center"/>
              <w:rPr>
                <w:rFonts w:hint="eastAsia" w:ascii="宋体" w:hAnsi="宋体" w:cs="宋体"/>
                <w:color w:val="auto"/>
                <w:sz w:val="18"/>
                <w:szCs w:val="18"/>
                <w:highlight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bottom"/>
          </w:tcPr>
          <w:p>
            <w:pPr>
              <w:widowControl/>
              <w:jc w:val="left"/>
              <w:textAlignment w:val="bottom"/>
              <w:rPr>
                <w:rFonts w:hint="eastAsia" w:ascii="宋体" w:hAnsi="宋体" w:eastAsia="宋体" w:cs="宋体"/>
                <w:color w:val="auto"/>
                <w:kern w:val="0"/>
                <w:sz w:val="20"/>
                <w:highlight w:val="none"/>
                <w:lang w:bidi="ar"/>
              </w:rPr>
            </w:pPr>
            <w:r>
              <w:rPr>
                <w:rFonts w:hint="eastAsia" w:ascii="宋体" w:hAnsi="宋体" w:eastAsia="宋体" w:cs="宋体"/>
                <w:color w:val="auto"/>
                <w:kern w:val="0"/>
                <w:sz w:val="20"/>
                <w:highlight w:val="none"/>
                <w:lang w:bidi="ar"/>
              </w:rPr>
              <w:t>总金额</w:t>
            </w:r>
          </w:p>
        </w:tc>
        <w:tc>
          <w:tcPr>
            <w:tcW w:w="559"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bottom"/>
          </w:tcPr>
          <w:p>
            <w:pPr>
              <w:rPr>
                <w:rFonts w:hint="eastAsia" w:ascii="宋体" w:hAnsi="宋体" w:cs="宋体"/>
                <w:color w:val="auto"/>
                <w:sz w:val="18"/>
                <w:szCs w:val="18"/>
                <w:highlight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right"/>
              <w:rPr>
                <w:rFonts w:hint="eastAsia" w:ascii="宋体" w:hAnsi="宋体" w:cs="宋体"/>
                <w:color w:val="auto"/>
                <w:sz w:val="18"/>
                <w:szCs w:val="18"/>
                <w:highlight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right"/>
              <w:rPr>
                <w:rFonts w:hint="eastAsia" w:ascii="宋体" w:hAnsi="宋体" w:cs="宋体"/>
                <w:color w:val="auto"/>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right"/>
              <w:rPr>
                <w:rFonts w:hint="eastAsia" w:ascii="宋体" w:hAnsi="宋体" w:cs="宋体"/>
                <w:color w:val="auto"/>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right"/>
              <w:rPr>
                <w:rFonts w:hint="eastAsia" w:ascii="宋体" w:hAnsi="宋体" w:cs="宋体"/>
                <w:color w:val="auto"/>
                <w:sz w:val="18"/>
                <w:szCs w:val="18"/>
                <w:highlight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right"/>
              <w:rPr>
                <w:rFonts w:hint="eastAsia" w:ascii="宋体" w:hAnsi="宋体" w:cs="宋体"/>
                <w:color w:val="auto"/>
                <w:sz w:val="18"/>
                <w:szCs w:val="18"/>
                <w:highlight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right"/>
              <w:rPr>
                <w:rFonts w:hint="eastAsia" w:ascii="宋体" w:hAnsi="宋体" w:cs="宋体"/>
                <w:color w:val="auto"/>
                <w:sz w:val="18"/>
                <w:szCs w:val="18"/>
                <w:highlight w:val="none"/>
              </w:rPr>
            </w:pPr>
          </w:p>
        </w:tc>
        <w:tc>
          <w:tcPr>
            <w:tcW w:w="590" w:type="dxa"/>
            <w:tcBorders>
              <w:top w:val="single" w:color="000000" w:sz="4" w:space="0"/>
              <w:left w:val="single" w:color="000000" w:sz="4" w:space="0"/>
              <w:bottom w:val="single" w:color="000000" w:sz="4" w:space="0"/>
              <w:right w:val="nil"/>
            </w:tcBorders>
            <w:shd w:val="clear" w:color="auto" w:fill="FFFFFF"/>
            <w:noWrap w:val="0"/>
            <w:tcMar>
              <w:top w:w="12" w:type="dxa"/>
              <w:left w:w="12" w:type="dxa"/>
              <w:right w:w="12" w:type="dxa"/>
            </w:tcMar>
            <w:vAlign w:val="center"/>
          </w:tcPr>
          <w:p>
            <w:pPr>
              <w:jc w:val="right"/>
              <w:rPr>
                <w:rFonts w:hint="eastAsia" w:ascii="宋体" w:hAnsi="宋体" w:cs="宋体"/>
                <w:color w:val="auto"/>
                <w:sz w:val="18"/>
                <w:szCs w:val="18"/>
                <w:highlight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bottom"/>
          </w:tcPr>
          <w:p>
            <w:pPr>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335" w:hRule="atLeast"/>
          <w:jc w:val="center"/>
        </w:trPr>
        <w:tc>
          <w:tcPr>
            <w:tcW w:w="860" w:type="dxa"/>
            <w:tcBorders>
              <w:top w:val="single" w:color="000000" w:sz="4" w:space="0"/>
              <w:left w:val="single" w:color="000000" w:sz="4" w:space="0"/>
              <w:bottom w:val="single" w:color="000000" w:sz="4" w:space="0"/>
              <w:right w:val="nil"/>
            </w:tcBorders>
            <w:shd w:val="clear" w:color="auto" w:fill="FFFFFF"/>
            <w:noWrap w:val="0"/>
            <w:tcMar>
              <w:top w:w="12" w:type="dxa"/>
              <w:left w:w="12" w:type="dxa"/>
              <w:right w:w="12" w:type="dxa"/>
            </w:tcMar>
            <w:vAlign w:val="bottom"/>
          </w:tcPr>
          <w:p>
            <w:pPr>
              <w:jc w:val="center"/>
              <w:rPr>
                <w:rFonts w:hint="eastAsia" w:ascii="宋体" w:hAnsi="宋体" w:cs="宋体"/>
                <w:color w:val="auto"/>
                <w:sz w:val="18"/>
                <w:szCs w:val="18"/>
                <w:highlight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bottom"/>
          </w:tcPr>
          <w:p>
            <w:pPr>
              <w:widowControl/>
              <w:jc w:val="left"/>
              <w:textAlignment w:val="bottom"/>
              <w:rPr>
                <w:rFonts w:hint="eastAsia" w:ascii="宋体" w:hAnsi="宋体" w:eastAsia="宋体" w:cs="宋体"/>
                <w:color w:val="auto"/>
                <w:kern w:val="0"/>
                <w:sz w:val="20"/>
                <w:highlight w:val="none"/>
                <w:lang w:bidi="ar"/>
              </w:rPr>
            </w:pPr>
            <w:r>
              <w:rPr>
                <w:rFonts w:hint="eastAsia" w:ascii="宋体" w:hAnsi="宋体" w:eastAsia="宋体" w:cs="宋体"/>
                <w:color w:val="auto"/>
                <w:kern w:val="0"/>
                <w:sz w:val="20"/>
                <w:highlight w:val="none"/>
                <w:lang w:bidi="ar"/>
              </w:rPr>
              <w:t>总金额（大写）：</w:t>
            </w:r>
          </w:p>
        </w:tc>
        <w:tc>
          <w:tcPr>
            <w:tcW w:w="559"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bottom"/>
          </w:tcPr>
          <w:p>
            <w:pPr>
              <w:rPr>
                <w:rFonts w:hint="eastAsia" w:ascii="宋体" w:hAnsi="宋体" w:cs="宋体"/>
                <w:color w:val="auto"/>
                <w:sz w:val="18"/>
                <w:szCs w:val="18"/>
                <w:highlight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right"/>
              <w:rPr>
                <w:rFonts w:hint="eastAsia" w:ascii="宋体" w:hAnsi="宋体" w:cs="宋体"/>
                <w:color w:val="auto"/>
                <w:sz w:val="18"/>
                <w:szCs w:val="18"/>
                <w:highlight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right"/>
              <w:rPr>
                <w:rFonts w:hint="eastAsia" w:ascii="宋体" w:hAnsi="宋体" w:cs="宋体"/>
                <w:color w:val="auto"/>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right"/>
              <w:rPr>
                <w:rFonts w:hint="eastAsia" w:ascii="宋体" w:hAnsi="宋体" w:cs="宋体"/>
                <w:color w:val="auto"/>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right"/>
              <w:rPr>
                <w:rFonts w:hint="eastAsia" w:ascii="宋体" w:hAnsi="宋体" w:cs="宋体"/>
                <w:color w:val="auto"/>
                <w:sz w:val="18"/>
                <w:szCs w:val="18"/>
                <w:highlight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right"/>
              <w:rPr>
                <w:rFonts w:hint="eastAsia" w:ascii="宋体" w:hAnsi="宋体" w:cs="宋体"/>
                <w:color w:val="auto"/>
                <w:sz w:val="18"/>
                <w:szCs w:val="18"/>
                <w:highlight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right"/>
              <w:rPr>
                <w:rFonts w:hint="eastAsia" w:ascii="宋体" w:hAnsi="宋体" w:cs="宋体"/>
                <w:color w:val="auto"/>
                <w:sz w:val="18"/>
                <w:szCs w:val="18"/>
                <w:highlight w:val="none"/>
              </w:rPr>
            </w:pPr>
          </w:p>
        </w:tc>
        <w:tc>
          <w:tcPr>
            <w:tcW w:w="590" w:type="dxa"/>
            <w:tcBorders>
              <w:top w:val="single" w:color="000000" w:sz="4" w:space="0"/>
              <w:left w:val="single" w:color="000000" w:sz="4" w:space="0"/>
              <w:bottom w:val="single" w:color="000000" w:sz="4" w:space="0"/>
              <w:right w:val="nil"/>
            </w:tcBorders>
            <w:shd w:val="clear" w:color="auto" w:fill="FFFFFF"/>
            <w:noWrap w:val="0"/>
            <w:tcMar>
              <w:top w:w="12" w:type="dxa"/>
              <w:left w:w="12" w:type="dxa"/>
              <w:right w:w="12" w:type="dxa"/>
            </w:tcMar>
            <w:vAlign w:val="center"/>
          </w:tcPr>
          <w:p>
            <w:pPr>
              <w:jc w:val="right"/>
              <w:rPr>
                <w:rFonts w:hint="eastAsia" w:ascii="宋体" w:hAnsi="宋体" w:cs="宋体"/>
                <w:color w:val="auto"/>
                <w:sz w:val="18"/>
                <w:szCs w:val="18"/>
                <w:highlight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bottom"/>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335" w:hRule="atLeast"/>
          <w:jc w:val="center"/>
        </w:trPr>
        <w:tc>
          <w:tcPr>
            <w:tcW w:w="8680" w:type="dxa"/>
            <w:gridSpan w:val="11"/>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注：1、本表中的费用不包括建设单位供应的设备材料费用。</w:t>
            </w:r>
          </w:p>
        </w:tc>
      </w:tr>
      <w:tr>
        <w:tblPrEx>
          <w:tblCellMar>
            <w:top w:w="0" w:type="dxa"/>
            <w:left w:w="0" w:type="dxa"/>
            <w:bottom w:w="0" w:type="dxa"/>
            <w:right w:w="0" w:type="dxa"/>
          </w:tblCellMar>
        </w:tblPrEx>
        <w:trPr>
          <w:trHeight w:val="325" w:hRule="atLeast"/>
          <w:jc w:val="center"/>
        </w:trPr>
        <w:tc>
          <w:tcPr>
            <w:tcW w:w="8680" w:type="dxa"/>
            <w:gridSpan w:val="11"/>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 xml:space="preserve">    2、建筑工程乙供设备、甲供设备装卸及保管费列入建筑工程费中。</w:t>
            </w:r>
          </w:p>
        </w:tc>
      </w:tr>
      <w:tr>
        <w:tblPrEx>
          <w:tblCellMar>
            <w:top w:w="0" w:type="dxa"/>
            <w:left w:w="0" w:type="dxa"/>
            <w:bottom w:w="0" w:type="dxa"/>
            <w:right w:w="0" w:type="dxa"/>
          </w:tblCellMar>
        </w:tblPrEx>
        <w:trPr>
          <w:trHeight w:val="325" w:hRule="atLeast"/>
          <w:jc w:val="center"/>
        </w:trPr>
        <w:tc>
          <w:tcPr>
            <w:tcW w:w="8680" w:type="dxa"/>
            <w:gridSpan w:val="11"/>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 xml:space="preserve">    3、安装工程乙供设备、甲供设备装卸及保管费列入设备购置费中。</w:t>
            </w:r>
          </w:p>
        </w:tc>
      </w:tr>
    </w:tbl>
    <w:p>
      <w:pPr>
        <w:rPr>
          <w:rFonts w:hint="eastAsia"/>
          <w:color w:val="auto"/>
          <w:highlight w:val="none"/>
          <w:lang w:val="en-US" w:eastAsia="zh-CN"/>
        </w:rPr>
      </w:pPr>
      <w:r>
        <w:rPr>
          <w:rFonts w:hint="eastAsia"/>
          <w:color w:val="auto"/>
          <w:highlight w:val="none"/>
          <w:lang w:val="en-US" w:eastAsia="zh-CN"/>
        </w:rPr>
        <w:br w:type="page"/>
      </w:r>
    </w:p>
    <w:tbl>
      <w:tblPr>
        <w:tblStyle w:val="43"/>
        <w:tblW w:w="9099" w:type="dxa"/>
        <w:jc w:val="center"/>
        <w:tblLayout w:type="autofit"/>
        <w:tblCellMar>
          <w:top w:w="0" w:type="dxa"/>
          <w:left w:w="0" w:type="dxa"/>
          <w:bottom w:w="0" w:type="dxa"/>
          <w:right w:w="0" w:type="dxa"/>
        </w:tblCellMar>
      </w:tblPr>
      <w:tblGrid>
        <w:gridCol w:w="637"/>
        <w:gridCol w:w="3349"/>
        <w:gridCol w:w="908"/>
        <w:gridCol w:w="481"/>
        <w:gridCol w:w="560"/>
        <w:gridCol w:w="654"/>
        <w:gridCol w:w="962"/>
        <w:gridCol w:w="325"/>
        <w:gridCol w:w="1223"/>
      </w:tblGrid>
      <w:tr>
        <w:tblPrEx>
          <w:tblCellMar>
            <w:top w:w="0" w:type="dxa"/>
            <w:left w:w="0" w:type="dxa"/>
            <w:bottom w:w="0" w:type="dxa"/>
            <w:right w:w="0" w:type="dxa"/>
          </w:tblCellMar>
        </w:tblPrEx>
        <w:trPr>
          <w:trHeight w:val="635" w:hRule="atLeast"/>
          <w:jc w:val="center"/>
        </w:trPr>
        <w:tc>
          <w:tcPr>
            <w:tcW w:w="9099" w:type="dxa"/>
            <w:gridSpan w:val="9"/>
            <w:tcBorders>
              <w:top w:val="nil"/>
              <w:left w:val="nil"/>
              <w:bottom w:val="nil"/>
              <w:right w:val="nil"/>
            </w:tcBorders>
            <w:noWrap w:val="0"/>
            <w:tcMar>
              <w:top w:w="12" w:type="dxa"/>
              <w:left w:w="12" w:type="dxa"/>
              <w:right w:w="12" w:type="dxa"/>
            </w:tcMar>
            <w:vAlign w:val="center"/>
          </w:tcPr>
          <w:p>
            <w:pPr>
              <w:widowControl/>
              <w:jc w:val="center"/>
              <w:textAlignment w:val="center"/>
              <w:rPr>
                <w:rFonts w:hint="eastAsia" w:ascii="宋体" w:hAnsi="宋体" w:cs="宋体"/>
                <w:b/>
                <w:color w:val="auto"/>
                <w:sz w:val="44"/>
                <w:szCs w:val="44"/>
                <w:highlight w:val="none"/>
              </w:rPr>
            </w:pPr>
            <w:r>
              <w:rPr>
                <w:rFonts w:hint="eastAsia" w:ascii="宋体" w:hAnsi="宋体" w:cs="宋体"/>
                <w:b/>
                <w:color w:val="auto"/>
                <w:kern w:val="0"/>
                <w:sz w:val="44"/>
                <w:szCs w:val="44"/>
                <w:highlight w:val="none"/>
                <w:lang w:bidi="ar"/>
              </w:rPr>
              <w:t>建筑工程报价汇总表</w:t>
            </w:r>
          </w:p>
        </w:tc>
      </w:tr>
      <w:tr>
        <w:tblPrEx>
          <w:tblCellMar>
            <w:top w:w="0" w:type="dxa"/>
            <w:left w:w="0" w:type="dxa"/>
            <w:bottom w:w="0" w:type="dxa"/>
            <w:right w:w="0" w:type="dxa"/>
          </w:tblCellMar>
        </w:tblPrEx>
        <w:trPr>
          <w:trHeight w:val="324" w:hRule="atLeast"/>
          <w:jc w:val="center"/>
        </w:trPr>
        <w:tc>
          <w:tcPr>
            <w:tcW w:w="637" w:type="dxa"/>
            <w:tcBorders>
              <w:top w:val="nil"/>
              <w:left w:val="nil"/>
              <w:bottom w:val="nil"/>
              <w:right w:val="nil"/>
            </w:tcBorders>
            <w:shd w:val="clear" w:color="auto" w:fill="auto"/>
            <w:noWrap/>
            <w:tcMar>
              <w:top w:w="12" w:type="dxa"/>
              <w:left w:w="12" w:type="dxa"/>
              <w:right w:w="12" w:type="dxa"/>
            </w:tcMar>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表二乙</w:t>
            </w:r>
          </w:p>
        </w:tc>
        <w:tc>
          <w:tcPr>
            <w:tcW w:w="3349" w:type="dxa"/>
            <w:tcBorders>
              <w:top w:val="nil"/>
              <w:left w:val="nil"/>
              <w:bottom w:val="nil"/>
              <w:right w:val="nil"/>
            </w:tcBorders>
            <w:shd w:val="clear" w:color="auto" w:fill="FFFFFF"/>
            <w:noWrap w:val="0"/>
            <w:tcMar>
              <w:top w:w="12" w:type="dxa"/>
              <w:left w:w="12" w:type="dxa"/>
              <w:right w:w="12" w:type="dxa"/>
            </w:tcMar>
            <w:vAlign w:val="center"/>
          </w:tcPr>
          <w:p>
            <w:pPr>
              <w:rPr>
                <w:rFonts w:hint="eastAsia" w:ascii="宋体" w:hAnsi="宋体" w:cs="宋体"/>
                <w:b/>
                <w:color w:val="auto"/>
                <w:sz w:val="18"/>
                <w:szCs w:val="18"/>
                <w:highlight w:val="none"/>
              </w:rPr>
            </w:pPr>
          </w:p>
        </w:tc>
        <w:tc>
          <w:tcPr>
            <w:tcW w:w="908" w:type="dxa"/>
            <w:tcBorders>
              <w:top w:val="nil"/>
              <w:left w:val="nil"/>
              <w:bottom w:val="nil"/>
              <w:right w:val="nil"/>
            </w:tcBorders>
            <w:noWrap w:val="0"/>
            <w:tcMar>
              <w:top w:w="12" w:type="dxa"/>
              <w:left w:w="12" w:type="dxa"/>
              <w:right w:w="12" w:type="dxa"/>
            </w:tcMar>
            <w:vAlign w:val="center"/>
          </w:tcPr>
          <w:p>
            <w:pPr>
              <w:rPr>
                <w:rFonts w:hint="eastAsia" w:ascii="宋体" w:hAnsi="宋体" w:cs="宋体"/>
                <w:b/>
                <w:color w:val="auto"/>
                <w:sz w:val="18"/>
                <w:szCs w:val="18"/>
                <w:highlight w:val="none"/>
              </w:rPr>
            </w:pPr>
          </w:p>
        </w:tc>
        <w:tc>
          <w:tcPr>
            <w:tcW w:w="481" w:type="dxa"/>
            <w:tcBorders>
              <w:top w:val="nil"/>
              <w:left w:val="nil"/>
              <w:bottom w:val="nil"/>
              <w:right w:val="nil"/>
            </w:tcBorders>
            <w:noWrap w:val="0"/>
            <w:tcMar>
              <w:top w:w="12" w:type="dxa"/>
              <w:left w:w="12" w:type="dxa"/>
              <w:right w:w="12" w:type="dxa"/>
            </w:tcMar>
            <w:vAlign w:val="center"/>
          </w:tcPr>
          <w:p>
            <w:pPr>
              <w:rPr>
                <w:rFonts w:hint="eastAsia" w:ascii="宋体" w:hAnsi="宋体" w:cs="宋体"/>
                <w:b/>
                <w:color w:val="auto"/>
                <w:sz w:val="18"/>
                <w:szCs w:val="18"/>
                <w:highlight w:val="none"/>
              </w:rPr>
            </w:pPr>
          </w:p>
        </w:tc>
        <w:tc>
          <w:tcPr>
            <w:tcW w:w="560" w:type="dxa"/>
            <w:tcBorders>
              <w:top w:val="nil"/>
              <w:left w:val="nil"/>
              <w:bottom w:val="nil"/>
              <w:right w:val="nil"/>
            </w:tcBorders>
            <w:noWrap/>
            <w:tcMar>
              <w:top w:w="12" w:type="dxa"/>
              <w:left w:w="12" w:type="dxa"/>
              <w:right w:w="12" w:type="dxa"/>
            </w:tcMar>
            <w:vAlign w:val="center"/>
          </w:tcPr>
          <w:p>
            <w:pPr>
              <w:rPr>
                <w:rFonts w:hint="eastAsia" w:ascii="宋体" w:hAnsi="宋体" w:cs="宋体"/>
                <w:color w:val="auto"/>
                <w:sz w:val="18"/>
                <w:szCs w:val="18"/>
                <w:highlight w:val="none"/>
              </w:rPr>
            </w:pPr>
          </w:p>
        </w:tc>
        <w:tc>
          <w:tcPr>
            <w:tcW w:w="654" w:type="dxa"/>
            <w:tcBorders>
              <w:top w:val="nil"/>
              <w:left w:val="nil"/>
              <w:bottom w:val="nil"/>
              <w:right w:val="nil"/>
            </w:tcBorders>
            <w:noWrap/>
            <w:tcMar>
              <w:top w:w="12" w:type="dxa"/>
              <w:left w:w="12" w:type="dxa"/>
              <w:right w:w="12" w:type="dxa"/>
            </w:tcMar>
            <w:vAlign w:val="center"/>
          </w:tcPr>
          <w:p>
            <w:pPr>
              <w:rPr>
                <w:rFonts w:hint="eastAsia" w:ascii="宋体" w:hAnsi="宋体" w:cs="宋体"/>
                <w:color w:val="auto"/>
                <w:sz w:val="18"/>
                <w:szCs w:val="18"/>
                <w:highlight w:val="none"/>
              </w:rPr>
            </w:pPr>
          </w:p>
        </w:tc>
        <w:tc>
          <w:tcPr>
            <w:tcW w:w="962" w:type="dxa"/>
            <w:tcBorders>
              <w:top w:val="nil"/>
              <w:left w:val="nil"/>
              <w:bottom w:val="nil"/>
              <w:right w:val="nil"/>
            </w:tcBorders>
            <w:noWrap/>
            <w:tcMar>
              <w:top w:w="12" w:type="dxa"/>
              <w:left w:w="12" w:type="dxa"/>
              <w:right w:w="12" w:type="dxa"/>
            </w:tcMar>
            <w:vAlign w:val="center"/>
          </w:tcPr>
          <w:p>
            <w:pPr>
              <w:rPr>
                <w:rFonts w:hint="eastAsia" w:ascii="宋体" w:hAnsi="宋体" w:cs="宋体"/>
                <w:color w:val="auto"/>
                <w:sz w:val="18"/>
                <w:szCs w:val="18"/>
                <w:highlight w:val="none"/>
              </w:rPr>
            </w:pPr>
          </w:p>
        </w:tc>
        <w:tc>
          <w:tcPr>
            <w:tcW w:w="325" w:type="dxa"/>
            <w:tcBorders>
              <w:top w:val="nil"/>
              <w:left w:val="nil"/>
              <w:bottom w:val="nil"/>
              <w:right w:val="nil"/>
            </w:tcBorders>
            <w:noWrap/>
            <w:tcMar>
              <w:top w:w="12" w:type="dxa"/>
              <w:left w:w="12" w:type="dxa"/>
              <w:right w:w="12" w:type="dxa"/>
            </w:tcMar>
            <w:vAlign w:val="center"/>
          </w:tcPr>
          <w:p>
            <w:pPr>
              <w:rPr>
                <w:rFonts w:hint="eastAsia" w:ascii="宋体" w:hAnsi="宋体" w:cs="宋体"/>
                <w:color w:val="auto"/>
                <w:sz w:val="18"/>
                <w:szCs w:val="18"/>
                <w:highlight w:val="none"/>
              </w:rPr>
            </w:pPr>
          </w:p>
        </w:tc>
        <w:tc>
          <w:tcPr>
            <w:tcW w:w="1223" w:type="dxa"/>
            <w:tcBorders>
              <w:top w:val="nil"/>
              <w:left w:val="nil"/>
              <w:bottom w:val="nil"/>
              <w:right w:val="nil"/>
            </w:tcBorders>
            <w:noWrap/>
            <w:tcMar>
              <w:top w:w="12" w:type="dxa"/>
              <w:left w:w="12" w:type="dxa"/>
              <w:right w:w="12"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金额单位:元</w:t>
            </w:r>
          </w:p>
        </w:tc>
      </w:tr>
      <w:tr>
        <w:tblPrEx>
          <w:tblCellMar>
            <w:top w:w="0" w:type="dxa"/>
            <w:left w:w="0" w:type="dxa"/>
            <w:bottom w:w="0" w:type="dxa"/>
            <w:right w:w="0" w:type="dxa"/>
          </w:tblCellMar>
        </w:tblPrEx>
        <w:trPr>
          <w:trHeight w:val="645" w:hRule="atLeast"/>
          <w:jc w:val="center"/>
        </w:trPr>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序号</w:t>
            </w:r>
          </w:p>
        </w:tc>
        <w:tc>
          <w:tcPr>
            <w:tcW w:w="334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工程或费用名称</w:t>
            </w:r>
          </w:p>
        </w:tc>
        <w:tc>
          <w:tcPr>
            <w:tcW w:w="90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建筑工程费（1）</w:t>
            </w:r>
          </w:p>
        </w:tc>
        <w:tc>
          <w:tcPr>
            <w:tcW w:w="169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乙供设备、甲供设备装卸及保管费</w:t>
            </w:r>
          </w:p>
        </w:tc>
        <w:tc>
          <w:tcPr>
            <w:tcW w:w="96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合计=（1）+（2）</w:t>
            </w:r>
          </w:p>
        </w:tc>
        <w:tc>
          <w:tcPr>
            <w:tcW w:w="32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备注</w:t>
            </w:r>
          </w:p>
        </w:tc>
        <w:tc>
          <w:tcPr>
            <w:tcW w:w="122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费用编码</w:t>
            </w:r>
          </w:p>
        </w:tc>
      </w:tr>
      <w:tr>
        <w:tblPrEx>
          <w:tblCellMar>
            <w:top w:w="0" w:type="dxa"/>
            <w:left w:w="0" w:type="dxa"/>
            <w:bottom w:w="0" w:type="dxa"/>
            <w:right w:w="0" w:type="dxa"/>
          </w:tblCellMar>
        </w:tblPrEx>
        <w:trPr>
          <w:trHeight w:val="1223" w:hRule="atLeast"/>
          <w:jc w:val="center"/>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334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90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4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乙供设备</w:t>
            </w:r>
          </w:p>
        </w:tc>
        <w:tc>
          <w:tcPr>
            <w:tcW w:w="5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widowControl/>
              <w:jc w:val="center"/>
              <w:textAlignment w:val="top"/>
              <w:rPr>
                <w:rFonts w:hint="eastAsia" w:ascii="宋体" w:hAnsi="宋体" w:cs="宋体"/>
                <w:color w:val="auto"/>
                <w:sz w:val="20"/>
                <w:highlight w:val="none"/>
              </w:rPr>
            </w:pPr>
            <w:r>
              <w:rPr>
                <w:rFonts w:hint="eastAsia" w:ascii="宋体" w:hAnsi="宋体" w:cs="宋体"/>
                <w:color w:val="auto"/>
                <w:kern w:val="0"/>
                <w:sz w:val="20"/>
                <w:highlight w:val="none"/>
                <w:lang w:bidi="ar"/>
              </w:rPr>
              <w:t>甲供设备装卸及保管费</w:t>
            </w:r>
          </w:p>
        </w:tc>
        <w:tc>
          <w:tcPr>
            <w:tcW w:w="6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小计（2）</w:t>
            </w:r>
          </w:p>
        </w:tc>
        <w:tc>
          <w:tcPr>
            <w:tcW w:w="96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122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334"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334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334"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334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334"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334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334"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334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p>
        </w:tc>
      </w:tr>
    </w:tbl>
    <w:p>
      <w:pPr>
        <w:rPr>
          <w:rFonts w:hint="eastAsia"/>
          <w:color w:val="auto"/>
          <w:highlight w:val="none"/>
          <w:lang w:val="en-US" w:eastAsia="zh-CN"/>
        </w:rPr>
      </w:pPr>
    </w:p>
    <w:tbl>
      <w:tblPr>
        <w:tblStyle w:val="43"/>
        <w:tblW w:w="9099" w:type="dxa"/>
        <w:jc w:val="center"/>
        <w:tblLayout w:type="autofit"/>
        <w:tblCellMar>
          <w:top w:w="0" w:type="dxa"/>
          <w:left w:w="0" w:type="dxa"/>
          <w:bottom w:w="0" w:type="dxa"/>
          <w:right w:w="0" w:type="dxa"/>
        </w:tblCellMar>
      </w:tblPr>
      <w:tblGrid>
        <w:gridCol w:w="637"/>
        <w:gridCol w:w="3349"/>
        <w:gridCol w:w="908"/>
        <w:gridCol w:w="481"/>
        <w:gridCol w:w="560"/>
        <w:gridCol w:w="654"/>
        <w:gridCol w:w="962"/>
        <w:gridCol w:w="325"/>
        <w:gridCol w:w="1223"/>
      </w:tblGrid>
      <w:tr>
        <w:tblPrEx>
          <w:tblCellMar>
            <w:top w:w="0" w:type="dxa"/>
            <w:left w:w="0" w:type="dxa"/>
            <w:bottom w:w="0" w:type="dxa"/>
            <w:right w:w="0" w:type="dxa"/>
          </w:tblCellMar>
        </w:tblPrEx>
        <w:trPr>
          <w:trHeight w:val="635" w:hRule="atLeast"/>
          <w:jc w:val="center"/>
        </w:trPr>
        <w:tc>
          <w:tcPr>
            <w:tcW w:w="9099" w:type="dxa"/>
            <w:gridSpan w:val="9"/>
            <w:tcBorders>
              <w:top w:val="nil"/>
              <w:left w:val="nil"/>
              <w:bottom w:val="nil"/>
              <w:right w:val="nil"/>
            </w:tcBorders>
            <w:noWrap w:val="0"/>
            <w:tcMar>
              <w:top w:w="12" w:type="dxa"/>
              <w:left w:w="12" w:type="dxa"/>
              <w:right w:w="12" w:type="dxa"/>
            </w:tcMar>
            <w:vAlign w:val="center"/>
          </w:tcPr>
          <w:p>
            <w:pPr>
              <w:widowControl/>
              <w:jc w:val="center"/>
              <w:textAlignment w:val="center"/>
              <w:rPr>
                <w:rFonts w:hint="eastAsia" w:ascii="宋体" w:hAnsi="宋体" w:cs="宋体"/>
                <w:b/>
                <w:color w:val="auto"/>
                <w:sz w:val="44"/>
                <w:szCs w:val="44"/>
                <w:highlight w:val="none"/>
              </w:rPr>
            </w:pPr>
            <w:r>
              <w:rPr>
                <w:rFonts w:hint="eastAsia" w:ascii="宋体" w:hAnsi="宋体" w:cs="宋体"/>
                <w:b/>
                <w:color w:val="auto"/>
                <w:kern w:val="0"/>
                <w:sz w:val="44"/>
                <w:szCs w:val="44"/>
                <w:highlight w:val="none"/>
                <w:lang w:val="en-US" w:eastAsia="zh-CN" w:bidi="ar"/>
              </w:rPr>
              <w:t>安装</w:t>
            </w:r>
            <w:r>
              <w:rPr>
                <w:rFonts w:hint="eastAsia" w:ascii="宋体" w:hAnsi="宋体" w:cs="宋体"/>
                <w:b/>
                <w:color w:val="auto"/>
                <w:kern w:val="0"/>
                <w:sz w:val="44"/>
                <w:szCs w:val="44"/>
                <w:highlight w:val="none"/>
                <w:lang w:bidi="ar"/>
              </w:rPr>
              <w:t>工程报价汇总表</w:t>
            </w:r>
          </w:p>
        </w:tc>
      </w:tr>
      <w:tr>
        <w:tblPrEx>
          <w:tblCellMar>
            <w:top w:w="0" w:type="dxa"/>
            <w:left w:w="0" w:type="dxa"/>
            <w:bottom w:w="0" w:type="dxa"/>
            <w:right w:w="0" w:type="dxa"/>
          </w:tblCellMar>
        </w:tblPrEx>
        <w:trPr>
          <w:trHeight w:val="324" w:hRule="atLeast"/>
          <w:jc w:val="center"/>
        </w:trPr>
        <w:tc>
          <w:tcPr>
            <w:tcW w:w="637" w:type="dxa"/>
            <w:tcBorders>
              <w:top w:val="nil"/>
              <w:left w:val="nil"/>
              <w:bottom w:val="nil"/>
              <w:right w:val="nil"/>
            </w:tcBorders>
            <w:shd w:val="clear" w:color="auto" w:fill="auto"/>
            <w:noWrap/>
            <w:tcMar>
              <w:top w:w="12" w:type="dxa"/>
              <w:left w:w="12" w:type="dxa"/>
              <w:right w:w="12" w:type="dxa"/>
            </w:tcMar>
            <w:vAlign w:val="center"/>
          </w:tcPr>
          <w:p>
            <w:pPr>
              <w:widowControl/>
              <w:jc w:val="left"/>
              <w:textAlignment w:val="center"/>
              <w:rPr>
                <w:rFonts w:hint="eastAsia" w:ascii="宋体" w:hAnsi="宋体" w:eastAsia="宋体" w:cs="宋体"/>
                <w:color w:val="auto"/>
                <w:sz w:val="18"/>
                <w:szCs w:val="18"/>
                <w:highlight w:val="none"/>
                <w:lang w:val="en-US" w:eastAsia="zh-CN"/>
              </w:rPr>
            </w:pPr>
            <w:r>
              <w:rPr>
                <w:rFonts w:hint="eastAsia" w:ascii="宋体" w:hAnsi="宋体" w:cs="宋体"/>
                <w:color w:val="auto"/>
                <w:kern w:val="0"/>
                <w:sz w:val="18"/>
                <w:szCs w:val="18"/>
                <w:highlight w:val="none"/>
                <w:lang w:bidi="ar"/>
              </w:rPr>
              <w:t>表二</w:t>
            </w:r>
            <w:r>
              <w:rPr>
                <w:rFonts w:hint="eastAsia" w:ascii="宋体" w:hAnsi="宋体" w:cs="宋体"/>
                <w:color w:val="auto"/>
                <w:kern w:val="0"/>
                <w:sz w:val="18"/>
                <w:szCs w:val="18"/>
                <w:highlight w:val="none"/>
                <w:lang w:val="en-US" w:eastAsia="zh-CN" w:bidi="ar"/>
              </w:rPr>
              <w:t>甲</w:t>
            </w:r>
          </w:p>
        </w:tc>
        <w:tc>
          <w:tcPr>
            <w:tcW w:w="3349" w:type="dxa"/>
            <w:tcBorders>
              <w:top w:val="nil"/>
              <w:left w:val="nil"/>
              <w:bottom w:val="nil"/>
              <w:right w:val="nil"/>
            </w:tcBorders>
            <w:shd w:val="clear" w:color="auto" w:fill="FFFFFF"/>
            <w:noWrap w:val="0"/>
            <w:tcMar>
              <w:top w:w="12" w:type="dxa"/>
              <w:left w:w="12" w:type="dxa"/>
              <w:right w:w="12" w:type="dxa"/>
            </w:tcMar>
            <w:vAlign w:val="center"/>
          </w:tcPr>
          <w:p>
            <w:pPr>
              <w:rPr>
                <w:rFonts w:hint="eastAsia" w:ascii="宋体" w:hAnsi="宋体" w:cs="宋体"/>
                <w:b/>
                <w:color w:val="auto"/>
                <w:sz w:val="18"/>
                <w:szCs w:val="18"/>
                <w:highlight w:val="none"/>
              </w:rPr>
            </w:pPr>
          </w:p>
        </w:tc>
        <w:tc>
          <w:tcPr>
            <w:tcW w:w="908" w:type="dxa"/>
            <w:tcBorders>
              <w:top w:val="nil"/>
              <w:left w:val="nil"/>
              <w:bottom w:val="nil"/>
              <w:right w:val="nil"/>
            </w:tcBorders>
            <w:noWrap w:val="0"/>
            <w:tcMar>
              <w:top w:w="12" w:type="dxa"/>
              <w:left w:w="12" w:type="dxa"/>
              <w:right w:w="12" w:type="dxa"/>
            </w:tcMar>
            <w:vAlign w:val="center"/>
          </w:tcPr>
          <w:p>
            <w:pPr>
              <w:rPr>
                <w:rFonts w:hint="eastAsia" w:ascii="宋体" w:hAnsi="宋体" w:cs="宋体"/>
                <w:b/>
                <w:color w:val="auto"/>
                <w:sz w:val="18"/>
                <w:szCs w:val="18"/>
                <w:highlight w:val="none"/>
              </w:rPr>
            </w:pPr>
          </w:p>
        </w:tc>
        <w:tc>
          <w:tcPr>
            <w:tcW w:w="481" w:type="dxa"/>
            <w:tcBorders>
              <w:top w:val="nil"/>
              <w:left w:val="nil"/>
              <w:bottom w:val="nil"/>
              <w:right w:val="nil"/>
            </w:tcBorders>
            <w:noWrap w:val="0"/>
            <w:tcMar>
              <w:top w:w="12" w:type="dxa"/>
              <w:left w:w="12" w:type="dxa"/>
              <w:right w:w="12" w:type="dxa"/>
            </w:tcMar>
            <w:vAlign w:val="center"/>
          </w:tcPr>
          <w:p>
            <w:pPr>
              <w:rPr>
                <w:rFonts w:hint="eastAsia" w:ascii="宋体" w:hAnsi="宋体" w:cs="宋体"/>
                <w:b/>
                <w:color w:val="auto"/>
                <w:sz w:val="18"/>
                <w:szCs w:val="18"/>
                <w:highlight w:val="none"/>
              </w:rPr>
            </w:pPr>
          </w:p>
        </w:tc>
        <w:tc>
          <w:tcPr>
            <w:tcW w:w="560" w:type="dxa"/>
            <w:tcBorders>
              <w:top w:val="nil"/>
              <w:left w:val="nil"/>
              <w:bottom w:val="nil"/>
              <w:right w:val="nil"/>
            </w:tcBorders>
            <w:noWrap/>
            <w:tcMar>
              <w:top w:w="12" w:type="dxa"/>
              <w:left w:w="12" w:type="dxa"/>
              <w:right w:w="12" w:type="dxa"/>
            </w:tcMar>
            <w:vAlign w:val="center"/>
          </w:tcPr>
          <w:p>
            <w:pPr>
              <w:rPr>
                <w:rFonts w:hint="eastAsia" w:ascii="宋体" w:hAnsi="宋体" w:cs="宋体"/>
                <w:color w:val="auto"/>
                <w:sz w:val="18"/>
                <w:szCs w:val="18"/>
                <w:highlight w:val="none"/>
              </w:rPr>
            </w:pPr>
          </w:p>
        </w:tc>
        <w:tc>
          <w:tcPr>
            <w:tcW w:w="654" w:type="dxa"/>
            <w:tcBorders>
              <w:top w:val="nil"/>
              <w:left w:val="nil"/>
              <w:bottom w:val="nil"/>
              <w:right w:val="nil"/>
            </w:tcBorders>
            <w:noWrap/>
            <w:tcMar>
              <w:top w:w="12" w:type="dxa"/>
              <w:left w:w="12" w:type="dxa"/>
              <w:right w:w="12" w:type="dxa"/>
            </w:tcMar>
            <w:vAlign w:val="center"/>
          </w:tcPr>
          <w:p>
            <w:pPr>
              <w:rPr>
                <w:rFonts w:hint="eastAsia" w:ascii="宋体" w:hAnsi="宋体" w:cs="宋体"/>
                <w:color w:val="auto"/>
                <w:sz w:val="18"/>
                <w:szCs w:val="18"/>
                <w:highlight w:val="none"/>
              </w:rPr>
            </w:pPr>
          </w:p>
        </w:tc>
        <w:tc>
          <w:tcPr>
            <w:tcW w:w="962" w:type="dxa"/>
            <w:tcBorders>
              <w:top w:val="nil"/>
              <w:left w:val="nil"/>
              <w:bottom w:val="nil"/>
              <w:right w:val="nil"/>
            </w:tcBorders>
            <w:noWrap/>
            <w:tcMar>
              <w:top w:w="12" w:type="dxa"/>
              <w:left w:w="12" w:type="dxa"/>
              <w:right w:w="12" w:type="dxa"/>
            </w:tcMar>
            <w:vAlign w:val="center"/>
          </w:tcPr>
          <w:p>
            <w:pPr>
              <w:rPr>
                <w:rFonts w:hint="eastAsia" w:ascii="宋体" w:hAnsi="宋体" w:cs="宋体"/>
                <w:color w:val="auto"/>
                <w:sz w:val="18"/>
                <w:szCs w:val="18"/>
                <w:highlight w:val="none"/>
              </w:rPr>
            </w:pPr>
          </w:p>
        </w:tc>
        <w:tc>
          <w:tcPr>
            <w:tcW w:w="325" w:type="dxa"/>
            <w:tcBorders>
              <w:top w:val="nil"/>
              <w:left w:val="nil"/>
              <w:bottom w:val="nil"/>
              <w:right w:val="nil"/>
            </w:tcBorders>
            <w:noWrap/>
            <w:tcMar>
              <w:top w:w="12" w:type="dxa"/>
              <w:left w:w="12" w:type="dxa"/>
              <w:right w:w="12" w:type="dxa"/>
            </w:tcMar>
            <w:vAlign w:val="center"/>
          </w:tcPr>
          <w:p>
            <w:pPr>
              <w:rPr>
                <w:rFonts w:hint="eastAsia" w:ascii="宋体" w:hAnsi="宋体" w:cs="宋体"/>
                <w:color w:val="auto"/>
                <w:sz w:val="18"/>
                <w:szCs w:val="18"/>
                <w:highlight w:val="none"/>
              </w:rPr>
            </w:pPr>
          </w:p>
        </w:tc>
        <w:tc>
          <w:tcPr>
            <w:tcW w:w="1223" w:type="dxa"/>
            <w:tcBorders>
              <w:top w:val="nil"/>
              <w:left w:val="nil"/>
              <w:bottom w:val="nil"/>
              <w:right w:val="nil"/>
            </w:tcBorders>
            <w:noWrap/>
            <w:tcMar>
              <w:top w:w="12" w:type="dxa"/>
              <w:left w:w="12" w:type="dxa"/>
              <w:right w:w="12"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金额单位:元</w:t>
            </w:r>
          </w:p>
        </w:tc>
      </w:tr>
      <w:tr>
        <w:tblPrEx>
          <w:tblCellMar>
            <w:top w:w="0" w:type="dxa"/>
            <w:left w:w="0" w:type="dxa"/>
            <w:bottom w:w="0" w:type="dxa"/>
            <w:right w:w="0" w:type="dxa"/>
          </w:tblCellMar>
        </w:tblPrEx>
        <w:trPr>
          <w:trHeight w:val="645" w:hRule="atLeast"/>
          <w:jc w:val="center"/>
        </w:trPr>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序号</w:t>
            </w:r>
          </w:p>
        </w:tc>
        <w:tc>
          <w:tcPr>
            <w:tcW w:w="334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工程或费用名称</w:t>
            </w:r>
          </w:p>
        </w:tc>
        <w:tc>
          <w:tcPr>
            <w:tcW w:w="90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val="en-US" w:eastAsia="zh-CN" w:bidi="ar"/>
              </w:rPr>
              <w:t>安装</w:t>
            </w:r>
            <w:r>
              <w:rPr>
                <w:rFonts w:hint="eastAsia" w:ascii="宋体" w:hAnsi="宋体" w:cs="宋体"/>
                <w:color w:val="auto"/>
                <w:kern w:val="0"/>
                <w:sz w:val="20"/>
                <w:highlight w:val="none"/>
                <w:lang w:bidi="ar"/>
              </w:rPr>
              <w:t>工程费（1）</w:t>
            </w:r>
          </w:p>
        </w:tc>
        <w:tc>
          <w:tcPr>
            <w:tcW w:w="169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乙供设备、甲供设备装卸及保管费</w:t>
            </w:r>
          </w:p>
        </w:tc>
        <w:tc>
          <w:tcPr>
            <w:tcW w:w="96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合计=（1）+（2）</w:t>
            </w:r>
          </w:p>
        </w:tc>
        <w:tc>
          <w:tcPr>
            <w:tcW w:w="32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备注</w:t>
            </w:r>
          </w:p>
        </w:tc>
        <w:tc>
          <w:tcPr>
            <w:tcW w:w="122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费用编码</w:t>
            </w:r>
          </w:p>
        </w:tc>
      </w:tr>
      <w:tr>
        <w:tblPrEx>
          <w:tblCellMar>
            <w:top w:w="0" w:type="dxa"/>
            <w:left w:w="0" w:type="dxa"/>
            <w:bottom w:w="0" w:type="dxa"/>
            <w:right w:w="0" w:type="dxa"/>
          </w:tblCellMar>
        </w:tblPrEx>
        <w:trPr>
          <w:trHeight w:val="1223" w:hRule="atLeast"/>
          <w:jc w:val="center"/>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334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90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4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乙供设备</w:t>
            </w:r>
          </w:p>
        </w:tc>
        <w:tc>
          <w:tcPr>
            <w:tcW w:w="5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widowControl/>
              <w:jc w:val="center"/>
              <w:textAlignment w:val="top"/>
              <w:rPr>
                <w:rFonts w:hint="eastAsia" w:ascii="宋体" w:hAnsi="宋体" w:cs="宋体"/>
                <w:color w:val="auto"/>
                <w:sz w:val="20"/>
                <w:highlight w:val="none"/>
              </w:rPr>
            </w:pPr>
            <w:r>
              <w:rPr>
                <w:rFonts w:hint="eastAsia" w:ascii="宋体" w:hAnsi="宋体" w:cs="宋体"/>
                <w:color w:val="auto"/>
                <w:kern w:val="0"/>
                <w:sz w:val="20"/>
                <w:highlight w:val="none"/>
                <w:lang w:bidi="ar"/>
              </w:rPr>
              <w:t>甲供设备装卸及保管费</w:t>
            </w:r>
          </w:p>
        </w:tc>
        <w:tc>
          <w:tcPr>
            <w:tcW w:w="6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小计（2）</w:t>
            </w:r>
          </w:p>
        </w:tc>
        <w:tc>
          <w:tcPr>
            <w:tcW w:w="96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3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122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334"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334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334"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334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334"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334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334"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334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p>
        </w:tc>
      </w:tr>
    </w:tbl>
    <w:p>
      <w:pPr>
        <w:rPr>
          <w:rFonts w:hint="eastAsia"/>
          <w:color w:val="auto"/>
          <w:highlight w:val="none"/>
          <w:lang w:val="en-US" w:eastAsia="zh-CN"/>
        </w:rPr>
      </w:pPr>
      <w:r>
        <w:rPr>
          <w:rFonts w:hint="eastAsia"/>
          <w:color w:val="auto"/>
          <w:highlight w:val="none"/>
          <w:lang w:val="en-US" w:eastAsia="zh-CN"/>
        </w:rPr>
        <w:br w:type="page"/>
      </w:r>
    </w:p>
    <w:tbl>
      <w:tblPr>
        <w:tblStyle w:val="43"/>
        <w:tblW w:w="9544" w:type="dxa"/>
        <w:jc w:val="center"/>
        <w:tblLayout w:type="autofit"/>
        <w:tblCellMar>
          <w:top w:w="0" w:type="dxa"/>
          <w:left w:w="0" w:type="dxa"/>
          <w:bottom w:w="0" w:type="dxa"/>
          <w:right w:w="0" w:type="dxa"/>
        </w:tblCellMar>
      </w:tblPr>
      <w:tblGrid>
        <w:gridCol w:w="624"/>
        <w:gridCol w:w="3274"/>
        <w:gridCol w:w="328"/>
        <w:gridCol w:w="300"/>
        <w:gridCol w:w="300"/>
        <w:gridCol w:w="301"/>
        <w:gridCol w:w="300"/>
        <w:gridCol w:w="300"/>
        <w:gridCol w:w="300"/>
        <w:gridCol w:w="300"/>
        <w:gridCol w:w="240"/>
        <w:gridCol w:w="329"/>
        <w:gridCol w:w="240"/>
        <w:gridCol w:w="240"/>
        <w:gridCol w:w="339"/>
        <w:gridCol w:w="330"/>
        <w:gridCol w:w="241"/>
        <w:gridCol w:w="1258"/>
      </w:tblGrid>
      <w:tr>
        <w:tblPrEx>
          <w:tblCellMar>
            <w:top w:w="0" w:type="dxa"/>
            <w:left w:w="0" w:type="dxa"/>
            <w:bottom w:w="0" w:type="dxa"/>
            <w:right w:w="0" w:type="dxa"/>
          </w:tblCellMar>
        </w:tblPrEx>
        <w:trPr>
          <w:trHeight w:val="616" w:hRule="atLeast"/>
          <w:jc w:val="center"/>
        </w:trPr>
        <w:tc>
          <w:tcPr>
            <w:tcW w:w="9544" w:type="dxa"/>
            <w:gridSpan w:val="18"/>
            <w:tcBorders>
              <w:top w:val="nil"/>
              <w:left w:val="nil"/>
              <w:bottom w:val="nil"/>
              <w:right w:val="nil"/>
            </w:tcBorders>
            <w:noWrap w:val="0"/>
            <w:tcMar>
              <w:top w:w="12" w:type="dxa"/>
              <w:left w:w="12" w:type="dxa"/>
              <w:right w:w="12" w:type="dxa"/>
            </w:tcMar>
            <w:vAlign w:val="center"/>
          </w:tcPr>
          <w:p>
            <w:pPr>
              <w:widowControl/>
              <w:jc w:val="center"/>
              <w:textAlignment w:val="center"/>
              <w:rPr>
                <w:rFonts w:hint="eastAsia" w:ascii="宋体" w:hAnsi="宋体" w:cs="宋体"/>
                <w:b/>
                <w:color w:val="auto"/>
                <w:sz w:val="44"/>
                <w:szCs w:val="44"/>
                <w:highlight w:val="none"/>
              </w:rPr>
            </w:pPr>
            <w:r>
              <w:rPr>
                <w:rFonts w:hint="eastAsia" w:ascii="宋体" w:hAnsi="宋体" w:cs="宋体"/>
                <w:b/>
                <w:color w:val="auto"/>
                <w:kern w:val="0"/>
                <w:sz w:val="44"/>
                <w:szCs w:val="44"/>
                <w:highlight w:val="none"/>
                <w:lang w:bidi="ar"/>
              </w:rPr>
              <w:t>建筑专业报价汇总表</w:t>
            </w:r>
          </w:p>
        </w:tc>
      </w:tr>
      <w:tr>
        <w:tblPrEx>
          <w:tblCellMar>
            <w:top w:w="0" w:type="dxa"/>
            <w:left w:w="0" w:type="dxa"/>
            <w:bottom w:w="0" w:type="dxa"/>
            <w:right w:w="0" w:type="dxa"/>
          </w:tblCellMar>
        </w:tblPrEx>
        <w:trPr>
          <w:trHeight w:val="314" w:hRule="atLeast"/>
          <w:jc w:val="center"/>
        </w:trPr>
        <w:tc>
          <w:tcPr>
            <w:tcW w:w="3898" w:type="dxa"/>
            <w:gridSpan w:val="2"/>
            <w:tcBorders>
              <w:top w:val="nil"/>
              <w:left w:val="nil"/>
              <w:bottom w:val="nil"/>
              <w:right w:val="nil"/>
            </w:tcBorders>
            <w:noWrap w:val="0"/>
            <w:tcMar>
              <w:top w:w="12" w:type="dxa"/>
              <w:left w:w="12" w:type="dxa"/>
              <w:right w:w="12" w:type="dxa"/>
            </w:tcMar>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表二乙（一）</w:t>
            </w:r>
          </w:p>
        </w:tc>
        <w:tc>
          <w:tcPr>
            <w:tcW w:w="1229" w:type="dxa"/>
            <w:gridSpan w:val="4"/>
            <w:tcBorders>
              <w:top w:val="nil"/>
              <w:left w:val="nil"/>
              <w:bottom w:val="nil"/>
              <w:right w:val="nil"/>
            </w:tcBorders>
            <w:noWrap w:val="0"/>
            <w:tcMar>
              <w:top w:w="12" w:type="dxa"/>
              <w:left w:w="12" w:type="dxa"/>
              <w:right w:w="12" w:type="dxa"/>
            </w:tcMar>
            <w:vAlign w:val="center"/>
          </w:tcPr>
          <w:p>
            <w:pPr>
              <w:jc w:val="left"/>
              <w:rPr>
                <w:rFonts w:hint="eastAsia" w:ascii="宋体" w:hAnsi="宋体" w:cs="宋体"/>
                <w:color w:val="auto"/>
                <w:sz w:val="18"/>
                <w:szCs w:val="18"/>
                <w:highlight w:val="none"/>
              </w:rPr>
            </w:pPr>
          </w:p>
        </w:tc>
        <w:tc>
          <w:tcPr>
            <w:tcW w:w="300" w:type="dxa"/>
            <w:tcBorders>
              <w:top w:val="nil"/>
              <w:left w:val="nil"/>
              <w:bottom w:val="nil"/>
              <w:right w:val="nil"/>
            </w:tcBorders>
            <w:noWrap w:val="0"/>
            <w:tcMar>
              <w:top w:w="12" w:type="dxa"/>
              <w:left w:w="12" w:type="dxa"/>
              <w:right w:w="12" w:type="dxa"/>
            </w:tcMar>
            <w:vAlign w:val="center"/>
          </w:tcPr>
          <w:p>
            <w:pPr>
              <w:jc w:val="left"/>
              <w:rPr>
                <w:rFonts w:hint="eastAsia" w:ascii="宋体" w:hAnsi="宋体" w:cs="宋体"/>
                <w:color w:val="auto"/>
                <w:sz w:val="18"/>
                <w:szCs w:val="18"/>
                <w:highlight w:val="none"/>
              </w:rPr>
            </w:pPr>
          </w:p>
        </w:tc>
        <w:tc>
          <w:tcPr>
            <w:tcW w:w="300" w:type="dxa"/>
            <w:tcBorders>
              <w:top w:val="nil"/>
              <w:left w:val="nil"/>
              <w:bottom w:val="nil"/>
              <w:right w:val="nil"/>
            </w:tcBorders>
            <w:noWrap w:val="0"/>
            <w:tcMar>
              <w:top w:w="12" w:type="dxa"/>
              <w:left w:w="12" w:type="dxa"/>
              <w:right w:w="12" w:type="dxa"/>
            </w:tcMar>
            <w:vAlign w:val="center"/>
          </w:tcPr>
          <w:p>
            <w:pPr>
              <w:jc w:val="left"/>
              <w:rPr>
                <w:rFonts w:hint="eastAsia" w:ascii="宋体" w:hAnsi="宋体" w:cs="宋体"/>
                <w:color w:val="auto"/>
                <w:sz w:val="18"/>
                <w:szCs w:val="18"/>
                <w:highlight w:val="none"/>
              </w:rPr>
            </w:pPr>
          </w:p>
        </w:tc>
        <w:tc>
          <w:tcPr>
            <w:tcW w:w="300" w:type="dxa"/>
            <w:tcBorders>
              <w:top w:val="nil"/>
              <w:left w:val="nil"/>
              <w:bottom w:val="nil"/>
              <w:right w:val="nil"/>
            </w:tcBorders>
            <w:noWrap w:val="0"/>
            <w:tcMar>
              <w:top w:w="12" w:type="dxa"/>
              <w:left w:w="12" w:type="dxa"/>
              <w:right w:w="12" w:type="dxa"/>
            </w:tcMar>
            <w:vAlign w:val="center"/>
          </w:tcPr>
          <w:p>
            <w:pPr>
              <w:jc w:val="left"/>
              <w:rPr>
                <w:rFonts w:hint="eastAsia" w:ascii="宋体" w:hAnsi="宋体" w:cs="宋体"/>
                <w:color w:val="auto"/>
                <w:sz w:val="18"/>
                <w:szCs w:val="18"/>
                <w:highlight w:val="none"/>
              </w:rPr>
            </w:pPr>
          </w:p>
        </w:tc>
        <w:tc>
          <w:tcPr>
            <w:tcW w:w="300" w:type="dxa"/>
            <w:tcBorders>
              <w:top w:val="nil"/>
              <w:left w:val="nil"/>
              <w:bottom w:val="nil"/>
              <w:right w:val="nil"/>
            </w:tcBorders>
            <w:noWrap w:val="0"/>
            <w:tcMar>
              <w:top w:w="12" w:type="dxa"/>
              <w:left w:w="12" w:type="dxa"/>
              <w:right w:w="12" w:type="dxa"/>
            </w:tcMar>
            <w:vAlign w:val="center"/>
          </w:tcPr>
          <w:p>
            <w:pPr>
              <w:jc w:val="left"/>
              <w:rPr>
                <w:rFonts w:hint="eastAsia" w:ascii="宋体" w:hAnsi="宋体" w:cs="宋体"/>
                <w:color w:val="auto"/>
                <w:sz w:val="18"/>
                <w:szCs w:val="18"/>
                <w:highlight w:val="none"/>
              </w:rPr>
            </w:pPr>
          </w:p>
        </w:tc>
        <w:tc>
          <w:tcPr>
            <w:tcW w:w="240" w:type="dxa"/>
            <w:tcBorders>
              <w:top w:val="nil"/>
              <w:left w:val="nil"/>
              <w:bottom w:val="nil"/>
              <w:right w:val="nil"/>
            </w:tcBorders>
            <w:noWrap w:val="0"/>
            <w:tcMar>
              <w:top w:w="12" w:type="dxa"/>
              <w:left w:w="12" w:type="dxa"/>
              <w:right w:w="12" w:type="dxa"/>
            </w:tcMar>
            <w:vAlign w:val="center"/>
          </w:tcPr>
          <w:p>
            <w:pPr>
              <w:jc w:val="left"/>
              <w:rPr>
                <w:rFonts w:hint="eastAsia" w:ascii="宋体" w:hAnsi="宋体" w:cs="宋体"/>
                <w:color w:val="auto"/>
                <w:sz w:val="18"/>
                <w:szCs w:val="18"/>
                <w:highlight w:val="none"/>
              </w:rPr>
            </w:pPr>
          </w:p>
        </w:tc>
        <w:tc>
          <w:tcPr>
            <w:tcW w:w="329" w:type="dxa"/>
            <w:tcBorders>
              <w:top w:val="nil"/>
              <w:left w:val="nil"/>
              <w:bottom w:val="nil"/>
              <w:right w:val="nil"/>
            </w:tcBorders>
            <w:noWrap w:val="0"/>
            <w:tcMar>
              <w:top w:w="12" w:type="dxa"/>
              <w:left w:w="12" w:type="dxa"/>
              <w:right w:w="12" w:type="dxa"/>
            </w:tcMar>
            <w:vAlign w:val="center"/>
          </w:tcPr>
          <w:p>
            <w:pPr>
              <w:jc w:val="left"/>
              <w:rPr>
                <w:rFonts w:hint="eastAsia" w:ascii="宋体" w:hAnsi="宋体" w:cs="宋体"/>
                <w:color w:val="auto"/>
                <w:sz w:val="18"/>
                <w:szCs w:val="18"/>
                <w:highlight w:val="none"/>
              </w:rPr>
            </w:pPr>
          </w:p>
        </w:tc>
        <w:tc>
          <w:tcPr>
            <w:tcW w:w="240" w:type="dxa"/>
            <w:tcBorders>
              <w:top w:val="nil"/>
              <w:left w:val="nil"/>
              <w:bottom w:val="nil"/>
              <w:right w:val="nil"/>
            </w:tcBorders>
            <w:noWrap w:val="0"/>
            <w:tcMar>
              <w:top w:w="12" w:type="dxa"/>
              <w:left w:w="12" w:type="dxa"/>
              <w:right w:w="12" w:type="dxa"/>
            </w:tcMar>
            <w:vAlign w:val="center"/>
          </w:tcPr>
          <w:p>
            <w:pPr>
              <w:jc w:val="left"/>
              <w:rPr>
                <w:rFonts w:hint="eastAsia" w:ascii="宋体" w:hAnsi="宋体" w:cs="宋体"/>
                <w:color w:val="auto"/>
                <w:sz w:val="18"/>
                <w:szCs w:val="18"/>
                <w:highlight w:val="none"/>
              </w:rPr>
            </w:pPr>
          </w:p>
        </w:tc>
        <w:tc>
          <w:tcPr>
            <w:tcW w:w="240" w:type="dxa"/>
            <w:tcBorders>
              <w:top w:val="nil"/>
              <w:left w:val="nil"/>
              <w:bottom w:val="nil"/>
              <w:right w:val="nil"/>
            </w:tcBorders>
            <w:noWrap w:val="0"/>
            <w:tcMar>
              <w:top w:w="12" w:type="dxa"/>
              <w:left w:w="12" w:type="dxa"/>
              <w:right w:w="12" w:type="dxa"/>
            </w:tcMar>
            <w:vAlign w:val="center"/>
          </w:tcPr>
          <w:p>
            <w:pPr>
              <w:jc w:val="left"/>
              <w:rPr>
                <w:rFonts w:hint="eastAsia" w:ascii="宋体" w:hAnsi="宋体" w:cs="宋体"/>
                <w:color w:val="auto"/>
                <w:sz w:val="18"/>
                <w:szCs w:val="18"/>
                <w:highlight w:val="none"/>
              </w:rPr>
            </w:pPr>
          </w:p>
        </w:tc>
        <w:tc>
          <w:tcPr>
            <w:tcW w:w="339" w:type="dxa"/>
            <w:tcBorders>
              <w:top w:val="nil"/>
              <w:left w:val="nil"/>
              <w:bottom w:val="nil"/>
              <w:right w:val="nil"/>
            </w:tcBorders>
            <w:noWrap w:val="0"/>
            <w:tcMar>
              <w:top w:w="12" w:type="dxa"/>
              <w:left w:w="12" w:type="dxa"/>
              <w:right w:w="12" w:type="dxa"/>
            </w:tcMar>
            <w:vAlign w:val="center"/>
          </w:tcPr>
          <w:p>
            <w:pPr>
              <w:jc w:val="left"/>
              <w:rPr>
                <w:rFonts w:hint="eastAsia" w:ascii="宋体" w:hAnsi="宋体" w:cs="宋体"/>
                <w:color w:val="auto"/>
                <w:sz w:val="18"/>
                <w:szCs w:val="18"/>
                <w:highlight w:val="none"/>
              </w:rPr>
            </w:pPr>
          </w:p>
        </w:tc>
        <w:tc>
          <w:tcPr>
            <w:tcW w:w="330" w:type="dxa"/>
            <w:tcBorders>
              <w:top w:val="nil"/>
              <w:left w:val="nil"/>
              <w:bottom w:val="nil"/>
              <w:right w:val="nil"/>
            </w:tcBorders>
            <w:noWrap/>
            <w:tcMar>
              <w:top w:w="12" w:type="dxa"/>
              <w:left w:w="12" w:type="dxa"/>
              <w:right w:w="12" w:type="dxa"/>
            </w:tcMar>
            <w:vAlign w:val="center"/>
          </w:tcPr>
          <w:p>
            <w:pPr>
              <w:rPr>
                <w:rFonts w:hint="eastAsia" w:ascii="宋体" w:hAnsi="宋体" w:cs="宋体"/>
                <w:color w:val="auto"/>
                <w:sz w:val="18"/>
                <w:szCs w:val="18"/>
                <w:highlight w:val="none"/>
              </w:rPr>
            </w:pPr>
          </w:p>
        </w:tc>
        <w:tc>
          <w:tcPr>
            <w:tcW w:w="241" w:type="dxa"/>
            <w:tcBorders>
              <w:top w:val="nil"/>
              <w:left w:val="nil"/>
              <w:bottom w:val="nil"/>
              <w:right w:val="nil"/>
            </w:tcBorders>
            <w:noWrap/>
            <w:tcMar>
              <w:top w:w="12" w:type="dxa"/>
              <w:left w:w="12" w:type="dxa"/>
              <w:right w:w="12" w:type="dxa"/>
            </w:tcMar>
            <w:vAlign w:val="center"/>
          </w:tcPr>
          <w:p>
            <w:pPr>
              <w:rPr>
                <w:rFonts w:hint="eastAsia" w:ascii="宋体" w:hAnsi="宋体" w:cs="宋体"/>
                <w:color w:val="auto"/>
                <w:sz w:val="18"/>
                <w:szCs w:val="18"/>
                <w:highlight w:val="none"/>
              </w:rPr>
            </w:pPr>
          </w:p>
        </w:tc>
        <w:tc>
          <w:tcPr>
            <w:tcW w:w="1258" w:type="dxa"/>
            <w:tcBorders>
              <w:top w:val="nil"/>
              <w:left w:val="nil"/>
              <w:bottom w:val="single" w:color="000000" w:sz="4" w:space="0"/>
              <w:right w:val="nil"/>
            </w:tcBorders>
            <w:noWrap/>
            <w:tcMar>
              <w:top w:w="12" w:type="dxa"/>
              <w:left w:w="12" w:type="dxa"/>
              <w:right w:w="12"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金额单位:元</w:t>
            </w:r>
          </w:p>
        </w:tc>
      </w:tr>
      <w:tr>
        <w:tblPrEx>
          <w:tblCellMar>
            <w:top w:w="0" w:type="dxa"/>
            <w:left w:w="0" w:type="dxa"/>
            <w:bottom w:w="0" w:type="dxa"/>
            <w:right w:w="0" w:type="dxa"/>
          </w:tblCellMar>
        </w:tblPrEx>
        <w:trPr>
          <w:trHeight w:val="324" w:hRule="atLeast"/>
          <w:jc w:val="center"/>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序号</w:t>
            </w:r>
          </w:p>
        </w:tc>
        <w:tc>
          <w:tcPr>
            <w:tcW w:w="327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工程或费用名称</w:t>
            </w:r>
          </w:p>
        </w:tc>
        <w:tc>
          <w:tcPr>
            <w:tcW w:w="2429" w:type="dxa"/>
            <w:gridSpan w:val="8"/>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直接费</w:t>
            </w:r>
          </w:p>
        </w:tc>
        <w:tc>
          <w:tcPr>
            <w:tcW w:w="569"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间接费</w:t>
            </w:r>
          </w:p>
        </w:tc>
        <w:tc>
          <w:tcPr>
            <w:tcW w:w="24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利润</w:t>
            </w:r>
          </w:p>
        </w:tc>
        <w:tc>
          <w:tcPr>
            <w:tcW w:w="24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税金</w:t>
            </w:r>
          </w:p>
        </w:tc>
        <w:tc>
          <w:tcPr>
            <w:tcW w:w="33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甲供材装卸及保管费</w:t>
            </w:r>
          </w:p>
        </w:tc>
        <w:tc>
          <w:tcPr>
            <w:tcW w:w="33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包干预备费</w:t>
            </w:r>
          </w:p>
        </w:tc>
        <w:tc>
          <w:tcPr>
            <w:tcW w:w="24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合计</w:t>
            </w:r>
          </w:p>
        </w:tc>
        <w:tc>
          <w:tcPr>
            <w:tcW w:w="1258"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费用编码</w:t>
            </w:r>
          </w:p>
        </w:tc>
      </w:tr>
      <w:tr>
        <w:tblPrEx>
          <w:tblCellMar>
            <w:top w:w="0" w:type="dxa"/>
            <w:left w:w="0" w:type="dxa"/>
            <w:bottom w:w="0" w:type="dxa"/>
            <w:right w:w="0" w:type="dxa"/>
          </w:tblCellMar>
        </w:tblPrEx>
        <w:trPr>
          <w:trHeight w:val="324"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32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32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直接工程费</w:t>
            </w:r>
          </w:p>
        </w:tc>
        <w:tc>
          <w:tcPr>
            <w:tcW w:w="2101" w:type="dxa"/>
            <w:gridSpan w:val="7"/>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措施费</w:t>
            </w:r>
          </w:p>
        </w:tc>
        <w:tc>
          <w:tcPr>
            <w:tcW w:w="24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规费</w:t>
            </w:r>
          </w:p>
        </w:tc>
        <w:tc>
          <w:tcPr>
            <w:tcW w:w="32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企业管理费</w:t>
            </w:r>
          </w:p>
        </w:tc>
        <w:tc>
          <w:tcPr>
            <w:tcW w:w="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33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3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24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125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928"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32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3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冬雨季施工增加费</w:t>
            </w:r>
          </w:p>
        </w:tc>
        <w:tc>
          <w:tcPr>
            <w:tcW w:w="3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夜间施工增加费</w:t>
            </w:r>
          </w:p>
        </w:tc>
        <w:tc>
          <w:tcPr>
            <w:tcW w:w="301"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施工工具用具使用费</w:t>
            </w:r>
          </w:p>
        </w:tc>
        <w:tc>
          <w:tcPr>
            <w:tcW w:w="3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特殊地区施工增加费</w:t>
            </w:r>
          </w:p>
        </w:tc>
        <w:tc>
          <w:tcPr>
            <w:tcW w:w="3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临时设施费</w:t>
            </w:r>
          </w:p>
        </w:tc>
        <w:tc>
          <w:tcPr>
            <w:tcW w:w="3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施工机构迁移费</w:t>
            </w:r>
          </w:p>
        </w:tc>
        <w:tc>
          <w:tcPr>
            <w:tcW w:w="3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安全文明施工费</w:t>
            </w:r>
          </w:p>
        </w:tc>
        <w:tc>
          <w:tcPr>
            <w:tcW w:w="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32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33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3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24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125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324"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left"/>
              <w:rPr>
                <w:rFonts w:hint="eastAsia" w:ascii="宋体" w:hAnsi="宋体" w:cs="宋体"/>
                <w:color w:val="auto"/>
                <w:sz w:val="20"/>
                <w:highlight w:val="none"/>
              </w:rPr>
            </w:pPr>
          </w:p>
        </w:tc>
        <w:tc>
          <w:tcPr>
            <w:tcW w:w="327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2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324"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327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2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324"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327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2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324"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327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2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p>
        </w:tc>
      </w:tr>
    </w:tbl>
    <w:p>
      <w:pPr>
        <w:pStyle w:val="22"/>
        <w:rPr>
          <w:rFonts w:hint="eastAsia" w:hAnsi="宋体"/>
          <w:b/>
          <w:bCs/>
          <w:color w:val="auto"/>
          <w:highlight w:val="none"/>
        </w:rPr>
      </w:pPr>
      <w:r>
        <w:rPr>
          <w:rFonts w:hint="eastAsia" w:hAnsi="宋体"/>
          <w:b/>
          <w:bCs/>
          <w:color w:val="auto"/>
          <w:highlight w:val="none"/>
          <w:lang w:val="en-US" w:eastAsia="zh-CN"/>
        </w:rPr>
        <w:t>注：依据《电网工程建设预算编制与计算规定（2018年版）》</w:t>
      </w:r>
    </w:p>
    <w:tbl>
      <w:tblPr>
        <w:tblStyle w:val="43"/>
        <w:tblW w:w="9544" w:type="dxa"/>
        <w:jc w:val="center"/>
        <w:tblLayout w:type="autofit"/>
        <w:tblCellMar>
          <w:top w:w="0" w:type="dxa"/>
          <w:left w:w="0" w:type="dxa"/>
          <w:bottom w:w="0" w:type="dxa"/>
          <w:right w:w="0" w:type="dxa"/>
        </w:tblCellMar>
      </w:tblPr>
      <w:tblGrid>
        <w:gridCol w:w="624"/>
        <w:gridCol w:w="3274"/>
        <w:gridCol w:w="328"/>
        <w:gridCol w:w="300"/>
        <w:gridCol w:w="300"/>
        <w:gridCol w:w="301"/>
        <w:gridCol w:w="300"/>
        <w:gridCol w:w="300"/>
        <w:gridCol w:w="300"/>
        <w:gridCol w:w="300"/>
        <w:gridCol w:w="240"/>
        <w:gridCol w:w="329"/>
        <w:gridCol w:w="240"/>
        <w:gridCol w:w="240"/>
        <w:gridCol w:w="339"/>
        <w:gridCol w:w="330"/>
        <w:gridCol w:w="241"/>
        <w:gridCol w:w="1258"/>
      </w:tblGrid>
      <w:tr>
        <w:tblPrEx>
          <w:tblCellMar>
            <w:top w:w="0" w:type="dxa"/>
            <w:left w:w="0" w:type="dxa"/>
            <w:bottom w:w="0" w:type="dxa"/>
            <w:right w:w="0" w:type="dxa"/>
          </w:tblCellMar>
        </w:tblPrEx>
        <w:trPr>
          <w:trHeight w:val="616" w:hRule="atLeast"/>
          <w:jc w:val="center"/>
        </w:trPr>
        <w:tc>
          <w:tcPr>
            <w:tcW w:w="9544" w:type="dxa"/>
            <w:gridSpan w:val="18"/>
            <w:tcBorders>
              <w:top w:val="nil"/>
              <w:left w:val="nil"/>
              <w:bottom w:val="nil"/>
              <w:right w:val="nil"/>
            </w:tcBorders>
            <w:noWrap w:val="0"/>
            <w:tcMar>
              <w:top w:w="12" w:type="dxa"/>
              <w:left w:w="12" w:type="dxa"/>
              <w:right w:w="12" w:type="dxa"/>
            </w:tcMar>
            <w:vAlign w:val="center"/>
          </w:tcPr>
          <w:p>
            <w:pPr>
              <w:widowControl/>
              <w:jc w:val="center"/>
              <w:textAlignment w:val="center"/>
              <w:rPr>
                <w:rFonts w:hint="eastAsia" w:ascii="宋体" w:hAnsi="宋体" w:cs="宋体"/>
                <w:b/>
                <w:color w:val="auto"/>
                <w:sz w:val="44"/>
                <w:szCs w:val="44"/>
                <w:highlight w:val="none"/>
              </w:rPr>
            </w:pPr>
            <w:r>
              <w:rPr>
                <w:rFonts w:hint="eastAsia" w:ascii="宋体" w:hAnsi="宋体" w:cs="宋体"/>
                <w:b/>
                <w:color w:val="auto"/>
                <w:kern w:val="0"/>
                <w:sz w:val="44"/>
                <w:szCs w:val="44"/>
                <w:highlight w:val="none"/>
                <w:lang w:val="en-US" w:eastAsia="zh-CN" w:bidi="ar"/>
              </w:rPr>
              <w:t>安装</w:t>
            </w:r>
            <w:r>
              <w:rPr>
                <w:rFonts w:hint="eastAsia" w:ascii="宋体" w:hAnsi="宋体" w:cs="宋体"/>
                <w:b/>
                <w:color w:val="auto"/>
                <w:kern w:val="0"/>
                <w:sz w:val="44"/>
                <w:szCs w:val="44"/>
                <w:highlight w:val="none"/>
                <w:lang w:bidi="ar"/>
              </w:rPr>
              <w:t>专业报价汇总表</w:t>
            </w:r>
          </w:p>
        </w:tc>
      </w:tr>
      <w:tr>
        <w:tblPrEx>
          <w:tblCellMar>
            <w:top w:w="0" w:type="dxa"/>
            <w:left w:w="0" w:type="dxa"/>
            <w:bottom w:w="0" w:type="dxa"/>
            <w:right w:w="0" w:type="dxa"/>
          </w:tblCellMar>
        </w:tblPrEx>
        <w:trPr>
          <w:trHeight w:val="314" w:hRule="atLeast"/>
          <w:jc w:val="center"/>
        </w:trPr>
        <w:tc>
          <w:tcPr>
            <w:tcW w:w="3898" w:type="dxa"/>
            <w:gridSpan w:val="2"/>
            <w:tcBorders>
              <w:top w:val="nil"/>
              <w:left w:val="nil"/>
              <w:bottom w:val="nil"/>
              <w:right w:val="nil"/>
            </w:tcBorders>
            <w:noWrap w:val="0"/>
            <w:tcMar>
              <w:top w:w="12" w:type="dxa"/>
              <w:left w:w="12" w:type="dxa"/>
              <w:right w:w="12" w:type="dxa"/>
            </w:tcMar>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表二</w:t>
            </w:r>
            <w:r>
              <w:rPr>
                <w:rFonts w:hint="eastAsia" w:ascii="宋体" w:hAnsi="宋体" w:cs="宋体"/>
                <w:color w:val="auto"/>
                <w:kern w:val="0"/>
                <w:sz w:val="18"/>
                <w:szCs w:val="18"/>
                <w:highlight w:val="none"/>
                <w:lang w:val="en-US" w:eastAsia="zh-CN" w:bidi="ar"/>
              </w:rPr>
              <w:t>甲</w:t>
            </w:r>
            <w:r>
              <w:rPr>
                <w:rFonts w:hint="eastAsia" w:ascii="宋体" w:hAnsi="宋体" w:cs="宋体"/>
                <w:color w:val="auto"/>
                <w:kern w:val="0"/>
                <w:sz w:val="18"/>
                <w:szCs w:val="18"/>
                <w:highlight w:val="none"/>
                <w:lang w:bidi="ar"/>
              </w:rPr>
              <w:t>（一）</w:t>
            </w:r>
          </w:p>
        </w:tc>
        <w:tc>
          <w:tcPr>
            <w:tcW w:w="1229" w:type="dxa"/>
            <w:gridSpan w:val="4"/>
            <w:tcBorders>
              <w:top w:val="nil"/>
              <w:left w:val="nil"/>
              <w:bottom w:val="nil"/>
              <w:right w:val="nil"/>
            </w:tcBorders>
            <w:noWrap w:val="0"/>
            <w:tcMar>
              <w:top w:w="12" w:type="dxa"/>
              <w:left w:w="12" w:type="dxa"/>
              <w:right w:w="12" w:type="dxa"/>
            </w:tcMar>
            <w:vAlign w:val="center"/>
          </w:tcPr>
          <w:p>
            <w:pPr>
              <w:jc w:val="left"/>
              <w:rPr>
                <w:rFonts w:hint="eastAsia" w:ascii="宋体" w:hAnsi="宋体" w:cs="宋体"/>
                <w:color w:val="auto"/>
                <w:sz w:val="18"/>
                <w:szCs w:val="18"/>
                <w:highlight w:val="none"/>
              </w:rPr>
            </w:pPr>
          </w:p>
        </w:tc>
        <w:tc>
          <w:tcPr>
            <w:tcW w:w="300" w:type="dxa"/>
            <w:tcBorders>
              <w:top w:val="nil"/>
              <w:left w:val="nil"/>
              <w:bottom w:val="nil"/>
              <w:right w:val="nil"/>
            </w:tcBorders>
            <w:noWrap w:val="0"/>
            <w:tcMar>
              <w:top w:w="12" w:type="dxa"/>
              <w:left w:w="12" w:type="dxa"/>
              <w:right w:w="12" w:type="dxa"/>
            </w:tcMar>
            <w:vAlign w:val="center"/>
          </w:tcPr>
          <w:p>
            <w:pPr>
              <w:jc w:val="left"/>
              <w:rPr>
                <w:rFonts w:hint="eastAsia" w:ascii="宋体" w:hAnsi="宋体" w:cs="宋体"/>
                <w:color w:val="auto"/>
                <w:sz w:val="18"/>
                <w:szCs w:val="18"/>
                <w:highlight w:val="none"/>
              </w:rPr>
            </w:pPr>
          </w:p>
        </w:tc>
        <w:tc>
          <w:tcPr>
            <w:tcW w:w="300" w:type="dxa"/>
            <w:tcBorders>
              <w:top w:val="nil"/>
              <w:left w:val="nil"/>
              <w:bottom w:val="nil"/>
              <w:right w:val="nil"/>
            </w:tcBorders>
            <w:noWrap w:val="0"/>
            <w:tcMar>
              <w:top w:w="12" w:type="dxa"/>
              <w:left w:w="12" w:type="dxa"/>
              <w:right w:w="12" w:type="dxa"/>
            </w:tcMar>
            <w:vAlign w:val="center"/>
          </w:tcPr>
          <w:p>
            <w:pPr>
              <w:jc w:val="left"/>
              <w:rPr>
                <w:rFonts w:hint="eastAsia" w:ascii="宋体" w:hAnsi="宋体" w:cs="宋体"/>
                <w:color w:val="auto"/>
                <w:sz w:val="18"/>
                <w:szCs w:val="18"/>
                <w:highlight w:val="none"/>
              </w:rPr>
            </w:pPr>
          </w:p>
        </w:tc>
        <w:tc>
          <w:tcPr>
            <w:tcW w:w="300" w:type="dxa"/>
            <w:tcBorders>
              <w:top w:val="nil"/>
              <w:left w:val="nil"/>
              <w:bottom w:val="nil"/>
              <w:right w:val="nil"/>
            </w:tcBorders>
            <w:noWrap w:val="0"/>
            <w:tcMar>
              <w:top w:w="12" w:type="dxa"/>
              <w:left w:w="12" w:type="dxa"/>
              <w:right w:w="12" w:type="dxa"/>
            </w:tcMar>
            <w:vAlign w:val="center"/>
          </w:tcPr>
          <w:p>
            <w:pPr>
              <w:jc w:val="left"/>
              <w:rPr>
                <w:rFonts w:hint="eastAsia" w:ascii="宋体" w:hAnsi="宋体" w:cs="宋体"/>
                <w:color w:val="auto"/>
                <w:sz w:val="18"/>
                <w:szCs w:val="18"/>
                <w:highlight w:val="none"/>
              </w:rPr>
            </w:pPr>
          </w:p>
        </w:tc>
        <w:tc>
          <w:tcPr>
            <w:tcW w:w="300" w:type="dxa"/>
            <w:tcBorders>
              <w:top w:val="nil"/>
              <w:left w:val="nil"/>
              <w:bottom w:val="nil"/>
              <w:right w:val="nil"/>
            </w:tcBorders>
            <w:noWrap w:val="0"/>
            <w:tcMar>
              <w:top w:w="12" w:type="dxa"/>
              <w:left w:w="12" w:type="dxa"/>
              <w:right w:w="12" w:type="dxa"/>
            </w:tcMar>
            <w:vAlign w:val="center"/>
          </w:tcPr>
          <w:p>
            <w:pPr>
              <w:jc w:val="left"/>
              <w:rPr>
                <w:rFonts w:hint="eastAsia" w:ascii="宋体" w:hAnsi="宋体" w:cs="宋体"/>
                <w:color w:val="auto"/>
                <w:sz w:val="18"/>
                <w:szCs w:val="18"/>
                <w:highlight w:val="none"/>
              </w:rPr>
            </w:pPr>
          </w:p>
        </w:tc>
        <w:tc>
          <w:tcPr>
            <w:tcW w:w="240" w:type="dxa"/>
            <w:tcBorders>
              <w:top w:val="nil"/>
              <w:left w:val="nil"/>
              <w:bottom w:val="nil"/>
              <w:right w:val="nil"/>
            </w:tcBorders>
            <w:noWrap w:val="0"/>
            <w:tcMar>
              <w:top w:w="12" w:type="dxa"/>
              <w:left w:w="12" w:type="dxa"/>
              <w:right w:w="12" w:type="dxa"/>
            </w:tcMar>
            <w:vAlign w:val="center"/>
          </w:tcPr>
          <w:p>
            <w:pPr>
              <w:jc w:val="left"/>
              <w:rPr>
                <w:rFonts w:hint="eastAsia" w:ascii="宋体" w:hAnsi="宋体" w:cs="宋体"/>
                <w:color w:val="auto"/>
                <w:sz w:val="18"/>
                <w:szCs w:val="18"/>
                <w:highlight w:val="none"/>
              </w:rPr>
            </w:pPr>
          </w:p>
        </w:tc>
        <w:tc>
          <w:tcPr>
            <w:tcW w:w="329" w:type="dxa"/>
            <w:tcBorders>
              <w:top w:val="nil"/>
              <w:left w:val="nil"/>
              <w:bottom w:val="nil"/>
              <w:right w:val="nil"/>
            </w:tcBorders>
            <w:noWrap w:val="0"/>
            <w:tcMar>
              <w:top w:w="12" w:type="dxa"/>
              <w:left w:w="12" w:type="dxa"/>
              <w:right w:w="12" w:type="dxa"/>
            </w:tcMar>
            <w:vAlign w:val="center"/>
          </w:tcPr>
          <w:p>
            <w:pPr>
              <w:jc w:val="left"/>
              <w:rPr>
                <w:rFonts w:hint="eastAsia" w:ascii="宋体" w:hAnsi="宋体" w:cs="宋体"/>
                <w:color w:val="auto"/>
                <w:sz w:val="18"/>
                <w:szCs w:val="18"/>
                <w:highlight w:val="none"/>
              </w:rPr>
            </w:pPr>
          </w:p>
        </w:tc>
        <w:tc>
          <w:tcPr>
            <w:tcW w:w="240" w:type="dxa"/>
            <w:tcBorders>
              <w:top w:val="nil"/>
              <w:left w:val="nil"/>
              <w:bottom w:val="nil"/>
              <w:right w:val="nil"/>
            </w:tcBorders>
            <w:noWrap w:val="0"/>
            <w:tcMar>
              <w:top w:w="12" w:type="dxa"/>
              <w:left w:w="12" w:type="dxa"/>
              <w:right w:w="12" w:type="dxa"/>
            </w:tcMar>
            <w:vAlign w:val="center"/>
          </w:tcPr>
          <w:p>
            <w:pPr>
              <w:jc w:val="left"/>
              <w:rPr>
                <w:rFonts w:hint="eastAsia" w:ascii="宋体" w:hAnsi="宋体" w:cs="宋体"/>
                <w:color w:val="auto"/>
                <w:sz w:val="18"/>
                <w:szCs w:val="18"/>
                <w:highlight w:val="none"/>
              </w:rPr>
            </w:pPr>
          </w:p>
        </w:tc>
        <w:tc>
          <w:tcPr>
            <w:tcW w:w="240" w:type="dxa"/>
            <w:tcBorders>
              <w:top w:val="nil"/>
              <w:left w:val="nil"/>
              <w:bottom w:val="nil"/>
              <w:right w:val="nil"/>
            </w:tcBorders>
            <w:noWrap w:val="0"/>
            <w:tcMar>
              <w:top w:w="12" w:type="dxa"/>
              <w:left w:w="12" w:type="dxa"/>
              <w:right w:w="12" w:type="dxa"/>
            </w:tcMar>
            <w:vAlign w:val="center"/>
          </w:tcPr>
          <w:p>
            <w:pPr>
              <w:jc w:val="left"/>
              <w:rPr>
                <w:rFonts w:hint="eastAsia" w:ascii="宋体" w:hAnsi="宋体" w:cs="宋体"/>
                <w:color w:val="auto"/>
                <w:sz w:val="18"/>
                <w:szCs w:val="18"/>
                <w:highlight w:val="none"/>
              </w:rPr>
            </w:pPr>
          </w:p>
        </w:tc>
        <w:tc>
          <w:tcPr>
            <w:tcW w:w="339" w:type="dxa"/>
            <w:tcBorders>
              <w:top w:val="nil"/>
              <w:left w:val="nil"/>
              <w:bottom w:val="nil"/>
              <w:right w:val="nil"/>
            </w:tcBorders>
            <w:noWrap w:val="0"/>
            <w:tcMar>
              <w:top w:w="12" w:type="dxa"/>
              <w:left w:w="12" w:type="dxa"/>
              <w:right w:w="12" w:type="dxa"/>
            </w:tcMar>
            <w:vAlign w:val="center"/>
          </w:tcPr>
          <w:p>
            <w:pPr>
              <w:jc w:val="left"/>
              <w:rPr>
                <w:rFonts w:hint="eastAsia" w:ascii="宋体" w:hAnsi="宋体" w:cs="宋体"/>
                <w:color w:val="auto"/>
                <w:sz w:val="18"/>
                <w:szCs w:val="18"/>
                <w:highlight w:val="none"/>
              </w:rPr>
            </w:pPr>
          </w:p>
        </w:tc>
        <w:tc>
          <w:tcPr>
            <w:tcW w:w="330" w:type="dxa"/>
            <w:tcBorders>
              <w:top w:val="nil"/>
              <w:left w:val="nil"/>
              <w:bottom w:val="nil"/>
              <w:right w:val="nil"/>
            </w:tcBorders>
            <w:noWrap/>
            <w:tcMar>
              <w:top w:w="12" w:type="dxa"/>
              <w:left w:w="12" w:type="dxa"/>
              <w:right w:w="12" w:type="dxa"/>
            </w:tcMar>
            <w:vAlign w:val="center"/>
          </w:tcPr>
          <w:p>
            <w:pPr>
              <w:rPr>
                <w:rFonts w:hint="eastAsia" w:ascii="宋体" w:hAnsi="宋体" w:cs="宋体"/>
                <w:color w:val="auto"/>
                <w:sz w:val="18"/>
                <w:szCs w:val="18"/>
                <w:highlight w:val="none"/>
              </w:rPr>
            </w:pPr>
          </w:p>
        </w:tc>
        <w:tc>
          <w:tcPr>
            <w:tcW w:w="241" w:type="dxa"/>
            <w:tcBorders>
              <w:top w:val="nil"/>
              <w:left w:val="nil"/>
              <w:bottom w:val="nil"/>
              <w:right w:val="nil"/>
            </w:tcBorders>
            <w:noWrap/>
            <w:tcMar>
              <w:top w:w="12" w:type="dxa"/>
              <w:left w:w="12" w:type="dxa"/>
              <w:right w:w="12" w:type="dxa"/>
            </w:tcMar>
            <w:vAlign w:val="center"/>
          </w:tcPr>
          <w:p>
            <w:pPr>
              <w:rPr>
                <w:rFonts w:hint="eastAsia" w:ascii="宋体" w:hAnsi="宋体" w:cs="宋体"/>
                <w:color w:val="auto"/>
                <w:sz w:val="18"/>
                <w:szCs w:val="18"/>
                <w:highlight w:val="none"/>
              </w:rPr>
            </w:pPr>
          </w:p>
        </w:tc>
        <w:tc>
          <w:tcPr>
            <w:tcW w:w="1258" w:type="dxa"/>
            <w:tcBorders>
              <w:top w:val="nil"/>
              <w:left w:val="nil"/>
              <w:bottom w:val="single" w:color="000000" w:sz="4" w:space="0"/>
              <w:right w:val="nil"/>
            </w:tcBorders>
            <w:noWrap/>
            <w:tcMar>
              <w:top w:w="12" w:type="dxa"/>
              <w:left w:w="12" w:type="dxa"/>
              <w:right w:w="12"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金额单位:元</w:t>
            </w:r>
          </w:p>
        </w:tc>
      </w:tr>
      <w:tr>
        <w:tblPrEx>
          <w:tblCellMar>
            <w:top w:w="0" w:type="dxa"/>
            <w:left w:w="0" w:type="dxa"/>
            <w:bottom w:w="0" w:type="dxa"/>
            <w:right w:w="0" w:type="dxa"/>
          </w:tblCellMar>
        </w:tblPrEx>
        <w:trPr>
          <w:trHeight w:val="324" w:hRule="atLeast"/>
          <w:jc w:val="center"/>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序号</w:t>
            </w:r>
          </w:p>
        </w:tc>
        <w:tc>
          <w:tcPr>
            <w:tcW w:w="327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工程或费用名称</w:t>
            </w:r>
          </w:p>
        </w:tc>
        <w:tc>
          <w:tcPr>
            <w:tcW w:w="2429" w:type="dxa"/>
            <w:gridSpan w:val="8"/>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直接费</w:t>
            </w:r>
          </w:p>
        </w:tc>
        <w:tc>
          <w:tcPr>
            <w:tcW w:w="569"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间接费</w:t>
            </w:r>
          </w:p>
        </w:tc>
        <w:tc>
          <w:tcPr>
            <w:tcW w:w="24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利润</w:t>
            </w:r>
          </w:p>
        </w:tc>
        <w:tc>
          <w:tcPr>
            <w:tcW w:w="24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税金</w:t>
            </w:r>
          </w:p>
        </w:tc>
        <w:tc>
          <w:tcPr>
            <w:tcW w:w="33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甲供材装卸及保管费</w:t>
            </w:r>
          </w:p>
        </w:tc>
        <w:tc>
          <w:tcPr>
            <w:tcW w:w="33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包干预备费</w:t>
            </w:r>
          </w:p>
        </w:tc>
        <w:tc>
          <w:tcPr>
            <w:tcW w:w="24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合计</w:t>
            </w:r>
          </w:p>
        </w:tc>
        <w:tc>
          <w:tcPr>
            <w:tcW w:w="1258"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费用编码</w:t>
            </w:r>
          </w:p>
        </w:tc>
      </w:tr>
      <w:tr>
        <w:tblPrEx>
          <w:tblCellMar>
            <w:top w:w="0" w:type="dxa"/>
            <w:left w:w="0" w:type="dxa"/>
            <w:bottom w:w="0" w:type="dxa"/>
            <w:right w:w="0" w:type="dxa"/>
          </w:tblCellMar>
        </w:tblPrEx>
        <w:trPr>
          <w:trHeight w:val="324"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32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32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直接工程费</w:t>
            </w:r>
          </w:p>
        </w:tc>
        <w:tc>
          <w:tcPr>
            <w:tcW w:w="2101" w:type="dxa"/>
            <w:gridSpan w:val="7"/>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措施费</w:t>
            </w:r>
          </w:p>
        </w:tc>
        <w:tc>
          <w:tcPr>
            <w:tcW w:w="24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规费</w:t>
            </w:r>
          </w:p>
        </w:tc>
        <w:tc>
          <w:tcPr>
            <w:tcW w:w="32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企业管理费</w:t>
            </w:r>
          </w:p>
        </w:tc>
        <w:tc>
          <w:tcPr>
            <w:tcW w:w="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33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3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24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125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928"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327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3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冬雨季施工增加费</w:t>
            </w:r>
          </w:p>
        </w:tc>
        <w:tc>
          <w:tcPr>
            <w:tcW w:w="3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夜间施工增加费</w:t>
            </w:r>
          </w:p>
        </w:tc>
        <w:tc>
          <w:tcPr>
            <w:tcW w:w="301"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施工工具用具使用费</w:t>
            </w:r>
          </w:p>
        </w:tc>
        <w:tc>
          <w:tcPr>
            <w:tcW w:w="3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特殊地区施工增加费</w:t>
            </w:r>
          </w:p>
        </w:tc>
        <w:tc>
          <w:tcPr>
            <w:tcW w:w="3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临时设施费</w:t>
            </w:r>
          </w:p>
        </w:tc>
        <w:tc>
          <w:tcPr>
            <w:tcW w:w="3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施工机构迁移费</w:t>
            </w:r>
          </w:p>
        </w:tc>
        <w:tc>
          <w:tcPr>
            <w:tcW w:w="3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安全文明施工费</w:t>
            </w:r>
          </w:p>
        </w:tc>
        <w:tc>
          <w:tcPr>
            <w:tcW w:w="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32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33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3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24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0"/>
                <w:highlight w:val="none"/>
              </w:rPr>
            </w:pPr>
          </w:p>
        </w:tc>
        <w:tc>
          <w:tcPr>
            <w:tcW w:w="125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324"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left"/>
              <w:rPr>
                <w:rFonts w:hint="eastAsia" w:ascii="宋体" w:hAnsi="宋体" w:cs="宋体"/>
                <w:color w:val="auto"/>
                <w:sz w:val="20"/>
                <w:highlight w:val="none"/>
              </w:rPr>
            </w:pPr>
          </w:p>
        </w:tc>
        <w:tc>
          <w:tcPr>
            <w:tcW w:w="327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2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324"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327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2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324"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327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2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324"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327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2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宋体" w:hAnsi="宋体" w:cs="宋体"/>
                <w:color w:val="auto"/>
                <w:sz w:val="22"/>
                <w:szCs w:val="22"/>
                <w:highlight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p>
        </w:tc>
      </w:tr>
    </w:tbl>
    <w:p>
      <w:pPr>
        <w:pStyle w:val="22"/>
        <w:rPr>
          <w:rFonts w:hint="eastAsia" w:hAnsi="宋体"/>
          <w:b/>
          <w:bCs/>
          <w:color w:val="auto"/>
          <w:highlight w:val="none"/>
          <w:lang w:val="en-US" w:eastAsia="zh-CN"/>
        </w:rPr>
      </w:pPr>
      <w:r>
        <w:rPr>
          <w:rFonts w:hint="eastAsia" w:hAnsi="宋体"/>
          <w:b/>
          <w:bCs/>
          <w:color w:val="auto"/>
          <w:highlight w:val="none"/>
          <w:lang w:val="en-US" w:eastAsia="zh-CN"/>
        </w:rPr>
        <w:t>注：依据《电网工程建设预算编制与计算规定（2018年版）》</w:t>
      </w:r>
    </w:p>
    <w:p>
      <w:pPr>
        <w:rPr>
          <w:rFonts w:hint="eastAsia" w:hAnsi="宋体"/>
          <w:b/>
          <w:bCs/>
          <w:color w:val="auto"/>
          <w:highlight w:val="none"/>
          <w:lang w:val="en-US" w:eastAsia="zh-CN"/>
        </w:rPr>
      </w:pPr>
      <w:r>
        <w:rPr>
          <w:rFonts w:hint="eastAsia" w:hAnsi="宋体"/>
          <w:b/>
          <w:bCs/>
          <w:color w:val="auto"/>
          <w:highlight w:val="none"/>
          <w:lang w:val="en-US" w:eastAsia="zh-CN"/>
        </w:rPr>
        <w:br w:type="page"/>
      </w:r>
    </w:p>
    <w:p>
      <w:pPr>
        <w:rPr>
          <w:rFonts w:hint="default"/>
          <w:color w:val="auto"/>
          <w:highlight w:val="none"/>
          <w:lang w:val="en-US" w:eastAsia="zh-CN"/>
        </w:rPr>
      </w:pPr>
    </w:p>
    <w:tbl>
      <w:tblPr>
        <w:tblStyle w:val="43"/>
        <w:tblW w:w="9419" w:type="dxa"/>
        <w:jc w:val="center"/>
        <w:tblLayout w:type="autofit"/>
        <w:tblCellMar>
          <w:top w:w="0" w:type="dxa"/>
          <w:left w:w="0" w:type="dxa"/>
          <w:bottom w:w="0" w:type="dxa"/>
          <w:right w:w="0" w:type="dxa"/>
        </w:tblCellMar>
      </w:tblPr>
      <w:tblGrid>
        <w:gridCol w:w="961"/>
        <w:gridCol w:w="4020"/>
        <w:gridCol w:w="1972"/>
        <w:gridCol w:w="1152"/>
        <w:gridCol w:w="1314"/>
      </w:tblGrid>
      <w:tr>
        <w:tblPrEx>
          <w:tblCellMar>
            <w:top w:w="0" w:type="dxa"/>
            <w:left w:w="0" w:type="dxa"/>
            <w:bottom w:w="0" w:type="dxa"/>
            <w:right w:w="0" w:type="dxa"/>
          </w:tblCellMar>
        </w:tblPrEx>
        <w:trPr>
          <w:trHeight w:val="610" w:hRule="atLeast"/>
          <w:jc w:val="center"/>
        </w:trPr>
        <w:tc>
          <w:tcPr>
            <w:tcW w:w="9419" w:type="dxa"/>
            <w:gridSpan w:val="5"/>
            <w:tcBorders>
              <w:top w:val="nil"/>
              <w:left w:val="nil"/>
              <w:bottom w:val="nil"/>
              <w:right w:val="nil"/>
            </w:tcBorders>
            <w:shd w:val="clear" w:color="auto" w:fill="FFFFFF"/>
            <w:noWrap w:val="0"/>
            <w:tcMar>
              <w:top w:w="12" w:type="dxa"/>
              <w:left w:w="12" w:type="dxa"/>
              <w:right w:w="12" w:type="dxa"/>
            </w:tcMar>
            <w:vAlign w:val="center"/>
          </w:tcPr>
          <w:p>
            <w:pPr>
              <w:widowControl/>
              <w:jc w:val="center"/>
              <w:textAlignment w:val="center"/>
              <w:rPr>
                <w:rFonts w:hint="eastAsia" w:ascii="宋体" w:hAnsi="宋体" w:cs="宋体"/>
                <w:b/>
                <w:color w:val="auto"/>
                <w:sz w:val="44"/>
                <w:szCs w:val="44"/>
                <w:highlight w:val="none"/>
              </w:rPr>
            </w:pPr>
            <w:r>
              <w:rPr>
                <w:rFonts w:hint="eastAsia" w:ascii="宋体" w:hAnsi="宋体" w:cs="宋体"/>
                <w:b/>
                <w:color w:val="auto"/>
                <w:kern w:val="0"/>
                <w:sz w:val="44"/>
                <w:szCs w:val="44"/>
                <w:highlight w:val="none"/>
                <w:lang w:bidi="ar"/>
              </w:rPr>
              <w:t>其他费用报价表</w:t>
            </w:r>
          </w:p>
        </w:tc>
      </w:tr>
      <w:tr>
        <w:tblPrEx>
          <w:tblCellMar>
            <w:top w:w="0" w:type="dxa"/>
            <w:left w:w="0" w:type="dxa"/>
            <w:bottom w:w="0" w:type="dxa"/>
            <w:right w:w="0" w:type="dxa"/>
          </w:tblCellMar>
        </w:tblPrEx>
        <w:trPr>
          <w:trHeight w:val="311" w:hRule="atLeast"/>
          <w:jc w:val="center"/>
        </w:trPr>
        <w:tc>
          <w:tcPr>
            <w:tcW w:w="961" w:type="dxa"/>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表四</w:t>
            </w:r>
          </w:p>
        </w:tc>
        <w:tc>
          <w:tcPr>
            <w:tcW w:w="4020" w:type="dxa"/>
            <w:tcBorders>
              <w:top w:val="nil"/>
              <w:left w:val="nil"/>
              <w:bottom w:val="nil"/>
              <w:right w:val="nil"/>
            </w:tcBorders>
            <w:noWrap/>
            <w:tcMar>
              <w:top w:w="12" w:type="dxa"/>
              <w:left w:w="12" w:type="dxa"/>
              <w:right w:w="12" w:type="dxa"/>
            </w:tcMar>
            <w:vAlign w:val="center"/>
          </w:tcPr>
          <w:p>
            <w:pPr>
              <w:rPr>
                <w:rFonts w:hint="eastAsia" w:ascii="宋体" w:hAnsi="宋体" w:cs="宋体"/>
                <w:color w:val="auto"/>
                <w:sz w:val="16"/>
                <w:szCs w:val="16"/>
                <w:highlight w:val="none"/>
              </w:rPr>
            </w:pPr>
          </w:p>
        </w:tc>
        <w:tc>
          <w:tcPr>
            <w:tcW w:w="1972" w:type="dxa"/>
            <w:tcBorders>
              <w:top w:val="nil"/>
              <w:left w:val="nil"/>
              <w:bottom w:val="nil"/>
              <w:right w:val="nil"/>
            </w:tcBorders>
            <w:noWrap/>
            <w:tcMar>
              <w:top w:w="12" w:type="dxa"/>
              <w:left w:w="12" w:type="dxa"/>
              <w:right w:w="12" w:type="dxa"/>
            </w:tcMar>
            <w:vAlign w:val="center"/>
          </w:tcPr>
          <w:p>
            <w:pPr>
              <w:rPr>
                <w:rFonts w:hint="eastAsia" w:ascii="宋体" w:hAnsi="宋体" w:cs="宋体"/>
                <w:color w:val="auto"/>
                <w:sz w:val="16"/>
                <w:szCs w:val="16"/>
                <w:highlight w:val="none"/>
              </w:rPr>
            </w:pPr>
          </w:p>
        </w:tc>
        <w:tc>
          <w:tcPr>
            <w:tcW w:w="1152" w:type="dxa"/>
            <w:tcBorders>
              <w:top w:val="nil"/>
              <w:left w:val="nil"/>
              <w:bottom w:val="nil"/>
              <w:right w:val="nil"/>
            </w:tcBorders>
            <w:noWrap/>
            <w:tcMar>
              <w:top w:w="12" w:type="dxa"/>
              <w:left w:w="12" w:type="dxa"/>
              <w:right w:w="12" w:type="dxa"/>
            </w:tcMar>
            <w:vAlign w:val="center"/>
          </w:tcPr>
          <w:p>
            <w:pPr>
              <w:rPr>
                <w:rFonts w:hint="eastAsia" w:ascii="宋体" w:hAnsi="宋体" w:cs="宋体"/>
                <w:color w:val="auto"/>
                <w:sz w:val="16"/>
                <w:szCs w:val="16"/>
                <w:highlight w:val="none"/>
              </w:rPr>
            </w:pPr>
          </w:p>
        </w:tc>
        <w:tc>
          <w:tcPr>
            <w:tcW w:w="1314" w:type="dxa"/>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金额单位:元</w:t>
            </w:r>
          </w:p>
        </w:tc>
      </w:tr>
      <w:tr>
        <w:tblPrEx>
          <w:tblCellMar>
            <w:top w:w="0" w:type="dxa"/>
            <w:left w:w="0" w:type="dxa"/>
            <w:bottom w:w="0" w:type="dxa"/>
            <w:right w:w="0" w:type="dxa"/>
          </w:tblCellMar>
        </w:tblPrEx>
        <w:trPr>
          <w:trHeight w:val="320" w:hRule="atLeast"/>
          <w:jc w:val="center"/>
        </w:trPr>
        <w:tc>
          <w:tcPr>
            <w:tcW w:w="9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序号</w:t>
            </w:r>
          </w:p>
        </w:tc>
        <w:tc>
          <w:tcPr>
            <w:tcW w:w="40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工程或费用名称</w:t>
            </w:r>
          </w:p>
        </w:tc>
        <w:tc>
          <w:tcPr>
            <w:tcW w:w="19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编制依据及计算说明</w:t>
            </w:r>
          </w:p>
        </w:tc>
        <w:tc>
          <w:tcPr>
            <w:tcW w:w="11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合价</w:t>
            </w:r>
          </w:p>
        </w:tc>
        <w:tc>
          <w:tcPr>
            <w:tcW w:w="13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费用编码</w:t>
            </w:r>
          </w:p>
        </w:tc>
      </w:tr>
      <w:tr>
        <w:tblPrEx>
          <w:tblCellMar>
            <w:top w:w="0" w:type="dxa"/>
            <w:left w:w="0" w:type="dxa"/>
            <w:bottom w:w="0" w:type="dxa"/>
            <w:right w:w="0" w:type="dxa"/>
          </w:tblCellMar>
        </w:tblPrEx>
        <w:trPr>
          <w:trHeight w:val="32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left"/>
              <w:textAlignment w:val="center"/>
              <w:rPr>
                <w:rFonts w:hint="eastAsia" w:ascii="宋体" w:hAnsi="宋体" w:cs="宋体"/>
                <w:color w:val="auto"/>
                <w:sz w:val="20"/>
                <w:highlight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left"/>
              <w:textAlignment w:val="center"/>
              <w:rPr>
                <w:rFonts w:hint="eastAsia" w:ascii="宋体" w:hAnsi="宋体" w:cs="宋体"/>
                <w:color w:val="auto"/>
                <w:sz w:val="20"/>
                <w:highlight w:val="none"/>
              </w:rPr>
            </w:pPr>
          </w:p>
        </w:tc>
        <w:tc>
          <w:tcPr>
            <w:tcW w:w="19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cs="宋体"/>
                <w:color w:val="auto"/>
                <w:sz w:val="18"/>
                <w:szCs w:val="18"/>
                <w:highlight w:val="none"/>
              </w:rPr>
            </w:pPr>
          </w:p>
        </w:tc>
        <w:tc>
          <w:tcPr>
            <w:tcW w:w="11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13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32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left"/>
              <w:textAlignment w:val="center"/>
              <w:rPr>
                <w:rFonts w:hint="eastAsia" w:ascii="宋体" w:hAnsi="宋体" w:cs="宋体"/>
                <w:color w:val="auto"/>
                <w:sz w:val="20"/>
                <w:highlight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left"/>
              <w:textAlignment w:val="center"/>
              <w:rPr>
                <w:rFonts w:hint="eastAsia" w:ascii="宋体" w:hAnsi="宋体" w:cs="宋体"/>
                <w:color w:val="auto"/>
                <w:sz w:val="20"/>
                <w:highlight w:val="none"/>
              </w:rPr>
            </w:pPr>
          </w:p>
        </w:tc>
        <w:tc>
          <w:tcPr>
            <w:tcW w:w="19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cs="宋体"/>
                <w:color w:val="auto"/>
                <w:sz w:val="18"/>
                <w:szCs w:val="18"/>
                <w:highlight w:val="none"/>
              </w:rPr>
            </w:pPr>
          </w:p>
        </w:tc>
        <w:tc>
          <w:tcPr>
            <w:tcW w:w="11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13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32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left"/>
              <w:textAlignment w:val="center"/>
              <w:rPr>
                <w:rFonts w:hint="eastAsia" w:ascii="宋体" w:hAnsi="宋体" w:cs="宋体"/>
                <w:color w:val="auto"/>
                <w:sz w:val="20"/>
                <w:highlight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left"/>
              <w:textAlignment w:val="center"/>
              <w:rPr>
                <w:rFonts w:hint="eastAsia" w:ascii="宋体" w:hAnsi="宋体" w:cs="宋体"/>
                <w:color w:val="auto"/>
                <w:sz w:val="20"/>
                <w:highlight w:val="none"/>
              </w:rPr>
            </w:pPr>
          </w:p>
        </w:tc>
        <w:tc>
          <w:tcPr>
            <w:tcW w:w="19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cs="宋体"/>
                <w:color w:val="auto"/>
                <w:sz w:val="18"/>
                <w:szCs w:val="18"/>
                <w:highlight w:val="none"/>
              </w:rPr>
            </w:pPr>
          </w:p>
        </w:tc>
        <w:tc>
          <w:tcPr>
            <w:tcW w:w="11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13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32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left"/>
              <w:textAlignment w:val="center"/>
              <w:rPr>
                <w:rFonts w:hint="eastAsia" w:ascii="宋体" w:hAnsi="宋体" w:cs="宋体"/>
                <w:color w:val="auto"/>
                <w:sz w:val="20"/>
                <w:highlight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left"/>
              <w:textAlignment w:val="center"/>
              <w:rPr>
                <w:rFonts w:hint="eastAsia" w:ascii="宋体" w:hAnsi="宋体" w:cs="宋体"/>
                <w:color w:val="auto"/>
                <w:sz w:val="20"/>
                <w:highlight w:val="none"/>
              </w:rPr>
            </w:pPr>
          </w:p>
        </w:tc>
        <w:tc>
          <w:tcPr>
            <w:tcW w:w="19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cs="宋体"/>
                <w:color w:val="auto"/>
                <w:sz w:val="18"/>
                <w:szCs w:val="18"/>
                <w:highlight w:val="none"/>
              </w:rPr>
            </w:pPr>
          </w:p>
        </w:tc>
        <w:tc>
          <w:tcPr>
            <w:tcW w:w="11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13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p>
        </w:tc>
      </w:tr>
    </w:tbl>
    <w:p>
      <w:pPr>
        <w:rPr>
          <w:rFonts w:hint="eastAsia"/>
          <w:color w:val="auto"/>
          <w:highlight w:val="none"/>
          <w:lang w:val="en-US" w:eastAsia="zh-CN"/>
        </w:rPr>
      </w:pPr>
    </w:p>
    <w:tbl>
      <w:tblPr>
        <w:tblStyle w:val="43"/>
        <w:tblW w:w="5000" w:type="pct"/>
        <w:jc w:val="center"/>
        <w:tblLayout w:type="autofit"/>
        <w:tblCellMar>
          <w:top w:w="0" w:type="dxa"/>
          <w:left w:w="0" w:type="dxa"/>
          <w:bottom w:w="0" w:type="dxa"/>
          <w:right w:w="0" w:type="dxa"/>
        </w:tblCellMar>
      </w:tblPr>
      <w:tblGrid>
        <w:gridCol w:w="787"/>
        <w:gridCol w:w="3354"/>
        <w:gridCol w:w="2334"/>
        <w:gridCol w:w="635"/>
        <w:gridCol w:w="1984"/>
      </w:tblGrid>
      <w:tr>
        <w:tblPrEx>
          <w:tblCellMar>
            <w:top w:w="0" w:type="dxa"/>
            <w:left w:w="0" w:type="dxa"/>
            <w:bottom w:w="0" w:type="dxa"/>
            <w:right w:w="0" w:type="dxa"/>
          </w:tblCellMar>
        </w:tblPrEx>
        <w:trPr>
          <w:trHeight w:val="640" w:hRule="atLeast"/>
          <w:jc w:val="center"/>
        </w:trPr>
        <w:tc>
          <w:tcPr>
            <w:tcW w:w="5000" w:type="pct"/>
            <w:gridSpan w:val="5"/>
            <w:tcBorders>
              <w:top w:val="nil"/>
              <w:left w:val="nil"/>
              <w:bottom w:val="nil"/>
              <w:right w:val="nil"/>
            </w:tcBorders>
            <w:shd w:val="clear" w:color="auto" w:fill="FFFFFF"/>
            <w:noWrap w:val="0"/>
            <w:tcMar>
              <w:top w:w="12" w:type="dxa"/>
              <w:left w:w="12" w:type="dxa"/>
              <w:right w:w="12" w:type="dxa"/>
            </w:tcMar>
            <w:vAlign w:val="center"/>
          </w:tcPr>
          <w:p>
            <w:pPr>
              <w:widowControl/>
              <w:jc w:val="center"/>
              <w:textAlignment w:val="center"/>
              <w:rPr>
                <w:rFonts w:hint="eastAsia" w:ascii="宋体" w:hAnsi="宋体" w:cs="宋体"/>
                <w:b/>
                <w:color w:val="auto"/>
                <w:sz w:val="44"/>
                <w:szCs w:val="44"/>
                <w:highlight w:val="none"/>
              </w:rPr>
            </w:pPr>
            <w:r>
              <w:rPr>
                <w:rFonts w:hint="eastAsia" w:ascii="宋体" w:hAnsi="宋体" w:cs="宋体"/>
                <w:b/>
                <w:color w:val="auto"/>
                <w:kern w:val="0"/>
                <w:sz w:val="44"/>
                <w:szCs w:val="44"/>
                <w:highlight w:val="none"/>
                <w:lang w:bidi="ar"/>
              </w:rPr>
              <w:t>建设场地征用及清理费用报价表</w:t>
            </w:r>
          </w:p>
        </w:tc>
      </w:tr>
      <w:tr>
        <w:tblPrEx>
          <w:tblCellMar>
            <w:top w:w="0" w:type="dxa"/>
            <w:left w:w="0" w:type="dxa"/>
            <w:bottom w:w="0" w:type="dxa"/>
            <w:right w:w="0" w:type="dxa"/>
          </w:tblCellMar>
        </w:tblPrEx>
        <w:trPr>
          <w:trHeight w:val="326" w:hRule="atLeast"/>
          <w:jc w:val="center"/>
        </w:trPr>
        <w:tc>
          <w:tcPr>
            <w:tcW w:w="433" w:type="pct"/>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表七</w:t>
            </w:r>
          </w:p>
        </w:tc>
        <w:tc>
          <w:tcPr>
            <w:tcW w:w="1844" w:type="pct"/>
            <w:tcBorders>
              <w:top w:val="nil"/>
              <w:left w:val="nil"/>
              <w:bottom w:val="nil"/>
              <w:right w:val="nil"/>
            </w:tcBorders>
            <w:noWrap/>
            <w:tcMar>
              <w:top w:w="12" w:type="dxa"/>
              <w:left w:w="12" w:type="dxa"/>
              <w:right w:w="12" w:type="dxa"/>
            </w:tcMar>
            <w:vAlign w:val="center"/>
          </w:tcPr>
          <w:p>
            <w:pPr>
              <w:rPr>
                <w:rFonts w:hint="eastAsia" w:ascii="宋体" w:hAnsi="宋体" w:cs="宋体"/>
                <w:color w:val="auto"/>
                <w:sz w:val="18"/>
                <w:szCs w:val="18"/>
                <w:highlight w:val="none"/>
              </w:rPr>
            </w:pPr>
          </w:p>
        </w:tc>
        <w:tc>
          <w:tcPr>
            <w:tcW w:w="1283" w:type="pct"/>
            <w:tcBorders>
              <w:top w:val="nil"/>
              <w:left w:val="nil"/>
              <w:bottom w:val="nil"/>
              <w:right w:val="nil"/>
            </w:tcBorders>
            <w:noWrap/>
            <w:tcMar>
              <w:top w:w="12" w:type="dxa"/>
              <w:left w:w="12" w:type="dxa"/>
              <w:right w:w="12" w:type="dxa"/>
            </w:tcMar>
            <w:vAlign w:val="center"/>
          </w:tcPr>
          <w:p>
            <w:pPr>
              <w:rPr>
                <w:rFonts w:hint="eastAsia" w:ascii="宋体" w:hAnsi="宋体" w:cs="宋体"/>
                <w:color w:val="auto"/>
                <w:sz w:val="18"/>
                <w:szCs w:val="18"/>
                <w:highlight w:val="none"/>
              </w:rPr>
            </w:pPr>
          </w:p>
        </w:tc>
        <w:tc>
          <w:tcPr>
            <w:tcW w:w="349" w:type="pct"/>
            <w:tcBorders>
              <w:top w:val="nil"/>
              <w:left w:val="nil"/>
              <w:bottom w:val="nil"/>
              <w:right w:val="nil"/>
            </w:tcBorders>
            <w:noWrap/>
            <w:tcMar>
              <w:top w:w="12" w:type="dxa"/>
              <w:left w:w="12" w:type="dxa"/>
              <w:right w:w="12" w:type="dxa"/>
            </w:tcMar>
            <w:vAlign w:val="center"/>
          </w:tcPr>
          <w:p>
            <w:pPr>
              <w:rPr>
                <w:rFonts w:hint="eastAsia" w:ascii="宋体" w:hAnsi="宋体" w:cs="宋体"/>
                <w:color w:val="auto"/>
                <w:sz w:val="18"/>
                <w:szCs w:val="18"/>
                <w:highlight w:val="none"/>
              </w:rPr>
            </w:pPr>
          </w:p>
        </w:tc>
        <w:tc>
          <w:tcPr>
            <w:tcW w:w="1088" w:type="pct"/>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金额单位:元</w:t>
            </w:r>
          </w:p>
        </w:tc>
      </w:tr>
      <w:tr>
        <w:tblPrEx>
          <w:tblCellMar>
            <w:top w:w="0" w:type="dxa"/>
            <w:left w:w="0" w:type="dxa"/>
            <w:bottom w:w="0" w:type="dxa"/>
            <w:right w:w="0" w:type="dxa"/>
          </w:tblCellMar>
        </w:tblPrEx>
        <w:trPr>
          <w:trHeight w:val="336" w:hRule="atLeast"/>
          <w:jc w:val="center"/>
        </w:trPr>
        <w:tc>
          <w:tcPr>
            <w:tcW w:w="43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序号</w:t>
            </w:r>
          </w:p>
        </w:tc>
        <w:tc>
          <w:tcPr>
            <w:tcW w:w="18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工程或费用名称</w:t>
            </w:r>
          </w:p>
        </w:tc>
        <w:tc>
          <w:tcPr>
            <w:tcW w:w="128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编制依据及计算说明</w:t>
            </w:r>
          </w:p>
        </w:tc>
        <w:tc>
          <w:tcPr>
            <w:tcW w:w="34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合价</w:t>
            </w:r>
          </w:p>
        </w:tc>
        <w:tc>
          <w:tcPr>
            <w:tcW w:w="108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费用编码</w:t>
            </w:r>
          </w:p>
        </w:tc>
      </w:tr>
      <w:tr>
        <w:tblPrEx>
          <w:tblCellMar>
            <w:top w:w="0" w:type="dxa"/>
            <w:left w:w="0" w:type="dxa"/>
            <w:bottom w:w="0" w:type="dxa"/>
            <w:right w:w="0" w:type="dxa"/>
          </w:tblCellMar>
        </w:tblPrEx>
        <w:trPr>
          <w:trHeight w:val="336"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left"/>
              <w:textAlignment w:val="center"/>
              <w:rPr>
                <w:rFonts w:hint="eastAsia" w:ascii="宋体" w:hAnsi="宋体" w:cs="宋体"/>
                <w:color w:val="auto"/>
                <w:sz w:val="20"/>
                <w:highlight w:val="none"/>
              </w:rPr>
            </w:pPr>
          </w:p>
        </w:tc>
        <w:tc>
          <w:tcPr>
            <w:tcW w:w="1844" w:type="pc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left"/>
              <w:textAlignment w:val="center"/>
              <w:rPr>
                <w:rFonts w:hint="eastAsia" w:ascii="宋体" w:hAnsi="宋体" w:cs="宋体"/>
                <w:color w:val="auto"/>
                <w:sz w:val="20"/>
                <w:highlight w:val="none"/>
              </w:rPr>
            </w:pPr>
          </w:p>
        </w:tc>
        <w:tc>
          <w:tcPr>
            <w:tcW w:w="128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cs="宋体"/>
                <w:color w:val="auto"/>
                <w:sz w:val="18"/>
                <w:szCs w:val="18"/>
                <w:highlight w:val="none"/>
              </w:rPr>
            </w:pPr>
          </w:p>
        </w:tc>
        <w:tc>
          <w:tcPr>
            <w:tcW w:w="34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108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336"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left"/>
              <w:textAlignment w:val="center"/>
              <w:rPr>
                <w:rFonts w:hint="eastAsia" w:ascii="宋体" w:hAnsi="宋体" w:cs="宋体"/>
                <w:color w:val="auto"/>
                <w:sz w:val="20"/>
                <w:highlight w:val="none"/>
              </w:rPr>
            </w:pPr>
          </w:p>
        </w:tc>
        <w:tc>
          <w:tcPr>
            <w:tcW w:w="1844" w:type="pc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left"/>
              <w:textAlignment w:val="center"/>
              <w:rPr>
                <w:rFonts w:hint="eastAsia" w:ascii="宋体" w:hAnsi="宋体" w:cs="宋体"/>
                <w:color w:val="auto"/>
                <w:sz w:val="20"/>
                <w:highlight w:val="none"/>
              </w:rPr>
            </w:pPr>
          </w:p>
        </w:tc>
        <w:tc>
          <w:tcPr>
            <w:tcW w:w="128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cs="宋体"/>
                <w:color w:val="auto"/>
                <w:sz w:val="18"/>
                <w:szCs w:val="18"/>
                <w:highlight w:val="none"/>
              </w:rPr>
            </w:pPr>
          </w:p>
        </w:tc>
        <w:tc>
          <w:tcPr>
            <w:tcW w:w="34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108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336"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1844" w:type="pc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left"/>
              <w:textAlignment w:val="center"/>
              <w:rPr>
                <w:rFonts w:hint="eastAsia" w:ascii="宋体" w:hAnsi="宋体" w:cs="宋体"/>
                <w:color w:val="auto"/>
                <w:sz w:val="20"/>
                <w:highlight w:val="none"/>
              </w:rPr>
            </w:pPr>
          </w:p>
        </w:tc>
        <w:tc>
          <w:tcPr>
            <w:tcW w:w="128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cs="宋体"/>
                <w:color w:val="auto"/>
                <w:sz w:val="18"/>
                <w:szCs w:val="18"/>
                <w:highlight w:val="none"/>
              </w:rPr>
            </w:pPr>
          </w:p>
        </w:tc>
        <w:tc>
          <w:tcPr>
            <w:tcW w:w="34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108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336" w:hRule="atLeast"/>
          <w:jc w:val="center"/>
        </w:trPr>
        <w:tc>
          <w:tcPr>
            <w:tcW w:w="43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宋体" w:hAnsi="宋体" w:cs="宋体"/>
                <w:color w:val="auto"/>
                <w:sz w:val="20"/>
                <w:highlight w:val="none"/>
              </w:rPr>
            </w:pPr>
          </w:p>
        </w:tc>
        <w:tc>
          <w:tcPr>
            <w:tcW w:w="18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宋体" w:hAnsi="宋体" w:cs="宋体"/>
                <w:color w:val="auto"/>
                <w:sz w:val="20"/>
                <w:highlight w:val="none"/>
              </w:rPr>
            </w:pPr>
          </w:p>
        </w:tc>
        <w:tc>
          <w:tcPr>
            <w:tcW w:w="128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cs="宋体"/>
                <w:color w:val="auto"/>
                <w:sz w:val="18"/>
                <w:szCs w:val="18"/>
                <w:highlight w:val="none"/>
              </w:rPr>
            </w:pPr>
          </w:p>
        </w:tc>
        <w:tc>
          <w:tcPr>
            <w:tcW w:w="34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color w:val="auto"/>
                <w:sz w:val="18"/>
                <w:szCs w:val="18"/>
                <w:highlight w:val="none"/>
              </w:rPr>
            </w:pPr>
          </w:p>
        </w:tc>
        <w:tc>
          <w:tcPr>
            <w:tcW w:w="108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p>
        </w:tc>
      </w:tr>
    </w:tbl>
    <w:p>
      <w:pPr>
        <w:rPr>
          <w:rFonts w:hint="eastAsia"/>
          <w:color w:val="auto"/>
          <w:highlight w:val="none"/>
          <w:lang w:val="en-US" w:eastAsia="zh-CN"/>
        </w:rPr>
      </w:pPr>
    </w:p>
    <w:tbl>
      <w:tblPr>
        <w:tblStyle w:val="43"/>
        <w:tblW w:w="5000" w:type="pct"/>
        <w:jc w:val="center"/>
        <w:tblLayout w:type="autofit"/>
        <w:tblCellMar>
          <w:top w:w="0" w:type="dxa"/>
          <w:left w:w="0" w:type="dxa"/>
          <w:bottom w:w="0" w:type="dxa"/>
          <w:right w:w="0" w:type="dxa"/>
        </w:tblCellMar>
      </w:tblPr>
      <w:tblGrid>
        <w:gridCol w:w="978"/>
        <w:gridCol w:w="5062"/>
        <w:gridCol w:w="613"/>
        <w:gridCol w:w="613"/>
        <w:gridCol w:w="1828"/>
      </w:tblGrid>
      <w:tr>
        <w:tblPrEx>
          <w:tblCellMar>
            <w:top w:w="0" w:type="dxa"/>
            <w:left w:w="0" w:type="dxa"/>
            <w:bottom w:w="0" w:type="dxa"/>
            <w:right w:w="0" w:type="dxa"/>
          </w:tblCellMar>
        </w:tblPrEx>
        <w:trPr>
          <w:trHeight w:val="580" w:hRule="atLeast"/>
          <w:jc w:val="center"/>
        </w:trPr>
        <w:tc>
          <w:tcPr>
            <w:tcW w:w="5000" w:type="pct"/>
            <w:gridSpan w:val="5"/>
            <w:tcBorders>
              <w:top w:val="nil"/>
              <w:left w:val="nil"/>
              <w:bottom w:val="nil"/>
              <w:right w:val="nil"/>
            </w:tcBorders>
            <w:noWrap w:val="0"/>
            <w:tcMar>
              <w:top w:w="12" w:type="dxa"/>
              <w:left w:w="12" w:type="dxa"/>
              <w:right w:w="12" w:type="dxa"/>
            </w:tcMar>
            <w:vAlign w:val="center"/>
          </w:tcPr>
          <w:p>
            <w:pPr>
              <w:widowControl/>
              <w:jc w:val="center"/>
              <w:textAlignment w:val="center"/>
              <w:rPr>
                <w:rFonts w:hint="eastAsia" w:ascii="宋体" w:hAnsi="宋体" w:cs="宋体"/>
                <w:b/>
                <w:color w:val="auto"/>
                <w:sz w:val="44"/>
                <w:szCs w:val="44"/>
                <w:highlight w:val="none"/>
              </w:rPr>
            </w:pPr>
            <w:r>
              <w:rPr>
                <w:rFonts w:hint="eastAsia" w:ascii="宋体" w:hAnsi="宋体" w:cs="宋体"/>
                <w:b/>
                <w:color w:val="auto"/>
                <w:kern w:val="0"/>
                <w:sz w:val="44"/>
                <w:szCs w:val="44"/>
                <w:highlight w:val="none"/>
                <w:lang w:bidi="ar"/>
              </w:rPr>
              <w:t>建筑编制期价差明细表</w:t>
            </w:r>
          </w:p>
        </w:tc>
      </w:tr>
      <w:tr>
        <w:tblPrEx>
          <w:tblCellMar>
            <w:top w:w="0" w:type="dxa"/>
            <w:left w:w="0" w:type="dxa"/>
            <w:bottom w:w="0" w:type="dxa"/>
            <w:right w:w="0" w:type="dxa"/>
          </w:tblCellMar>
        </w:tblPrEx>
        <w:trPr>
          <w:trHeight w:val="296" w:hRule="atLeast"/>
          <w:jc w:val="center"/>
        </w:trPr>
        <w:tc>
          <w:tcPr>
            <w:tcW w:w="538" w:type="pct"/>
            <w:tcBorders>
              <w:top w:val="nil"/>
              <w:left w:val="nil"/>
              <w:bottom w:val="nil"/>
              <w:right w:val="nil"/>
            </w:tcBorders>
            <w:shd w:val="clear" w:color="auto" w:fill="auto"/>
            <w:noWrap/>
            <w:tcMar>
              <w:top w:w="12" w:type="dxa"/>
              <w:left w:w="12" w:type="dxa"/>
              <w:right w:w="12" w:type="dxa"/>
            </w:tcMar>
            <w:vAlign w:val="center"/>
          </w:tcPr>
          <w:p>
            <w:pPr>
              <w:jc w:val="left"/>
              <w:rPr>
                <w:rFonts w:hint="eastAsia" w:ascii="宋体" w:hAnsi="宋体" w:cs="宋体"/>
                <w:color w:val="auto"/>
                <w:sz w:val="18"/>
                <w:szCs w:val="18"/>
                <w:highlight w:val="none"/>
              </w:rPr>
            </w:pPr>
          </w:p>
        </w:tc>
        <w:tc>
          <w:tcPr>
            <w:tcW w:w="2783" w:type="pct"/>
            <w:tcBorders>
              <w:top w:val="nil"/>
              <w:left w:val="nil"/>
              <w:bottom w:val="nil"/>
              <w:right w:val="nil"/>
            </w:tcBorders>
            <w:shd w:val="clear" w:color="auto" w:fill="auto"/>
            <w:noWrap/>
            <w:tcMar>
              <w:top w:w="12" w:type="dxa"/>
              <w:left w:w="12" w:type="dxa"/>
              <w:right w:w="12" w:type="dxa"/>
            </w:tcMar>
            <w:vAlign w:val="center"/>
          </w:tcPr>
          <w:p>
            <w:pPr>
              <w:jc w:val="left"/>
              <w:rPr>
                <w:rFonts w:hint="eastAsia" w:ascii="宋体" w:hAnsi="宋体" w:cs="宋体"/>
                <w:color w:val="auto"/>
                <w:sz w:val="18"/>
                <w:szCs w:val="18"/>
                <w:highlight w:val="none"/>
              </w:rPr>
            </w:pPr>
          </w:p>
        </w:tc>
        <w:tc>
          <w:tcPr>
            <w:tcW w:w="337" w:type="pct"/>
            <w:tcBorders>
              <w:top w:val="nil"/>
              <w:left w:val="nil"/>
              <w:bottom w:val="nil"/>
              <w:right w:val="nil"/>
            </w:tcBorders>
            <w:shd w:val="clear" w:color="auto" w:fill="FFFFFF"/>
            <w:noWrap/>
            <w:tcMar>
              <w:top w:w="12" w:type="dxa"/>
              <w:left w:w="12" w:type="dxa"/>
              <w:right w:w="12" w:type="dxa"/>
            </w:tcMar>
            <w:vAlign w:val="center"/>
          </w:tcPr>
          <w:p>
            <w:pPr>
              <w:jc w:val="left"/>
              <w:rPr>
                <w:rFonts w:hint="eastAsia" w:ascii="宋体" w:hAnsi="宋体" w:cs="宋体"/>
                <w:color w:val="auto"/>
                <w:sz w:val="18"/>
                <w:szCs w:val="18"/>
                <w:highlight w:val="none"/>
              </w:rPr>
            </w:pPr>
          </w:p>
        </w:tc>
        <w:tc>
          <w:tcPr>
            <w:tcW w:w="337" w:type="pct"/>
            <w:tcBorders>
              <w:top w:val="nil"/>
              <w:left w:val="nil"/>
              <w:bottom w:val="nil"/>
              <w:right w:val="nil"/>
            </w:tcBorders>
            <w:shd w:val="clear" w:color="auto" w:fill="FFFFFF"/>
            <w:noWrap/>
            <w:tcMar>
              <w:top w:w="12" w:type="dxa"/>
              <w:left w:w="12" w:type="dxa"/>
              <w:right w:w="12" w:type="dxa"/>
            </w:tcMar>
            <w:vAlign w:val="center"/>
          </w:tcPr>
          <w:p>
            <w:pPr>
              <w:rPr>
                <w:rFonts w:hint="eastAsia" w:ascii="宋体" w:hAnsi="宋体" w:cs="宋体"/>
                <w:color w:val="auto"/>
                <w:sz w:val="22"/>
                <w:szCs w:val="22"/>
                <w:highlight w:val="none"/>
              </w:rPr>
            </w:pPr>
          </w:p>
        </w:tc>
        <w:tc>
          <w:tcPr>
            <w:tcW w:w="1002" w:type="pct"/>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金额单位:元</w:t>
            </w:r>
          </w:p>
        </w:tc>
      </w:tr>
      <w:tr>
        <w:tblPrEx>
          <w:tblCellMar>
            <w:top w:w="0" w:type="dxa"/>
            <w:left w:w="0" w:type="dxa"/>
            <w:bottom w:w="0" w:type="dxa"/>
            <w:right w:w="0" w:type="dxa"/>
          </w:tblCellMar>
        </w:tblPrEx>
        <w:trPr>
          <w:trHeight w:val="589"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序号</w:t>
            </w:r>
          </w:p>
        </w:tc>
        <w:tc>
          <w:tcPr>
            <w:tcW w:w="2783"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费用名称</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金额</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备注</w:t>
            </w:r>
          </w:p>
        </w:tc>
        <w:tc>
          <w:tcPr>
            <w:tcW w:w="1002" w:type="pc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费用编码</w:t>
            </w:r>
          </w:p>
        </w:tc>
      </w:tr>
      <w:tr>
        <w:tblPrEx>
          <w:tblCellMar>
            <w:top w:w="0" w:type="dxa"/>
            <w:left w:w="0" w:type="dxa"/>
            <w:bottom w:w="0" w:type="dxa"/>
            <w:right w:w="0" w:type="dxa"/>
          </w:tblCellMar>
        </w:tblPrEx>
        <w:trPr>
          <w:trHeight w:val="30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left"/>
              <w:rPr>
                <w:rFonts w:hint="eastAsia" w:ascii="宋体" w:hAnsi="宋体" w:cs="宋体"/>
                <w:color w:val="auto"/>
                <w:sz w:val="20"/>
                <w:highlight w:val="none"/>
              </w:rPr>
            </w:pPr>
          </w:p>
        </w:tc>
        <w:tc>
          <w:tcPr>
            <w:tcW w:w="27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rPr>
                <w:rFonts w:hint="eastAsia" w:ascii="宋体" w:hAnsi="宋体" w:cs="宋体"/>
                <w:color w:val="auto"/>
                <w:sz w:val="16"/>
                <w:szCs w:val="16"/>
                <w:highlight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rPr>
                <w:rFonts w:hint="eastAsia" w:ascii="宋体" w:hAnsi="宋体" w:cs="宋体"/>
                <w:color w:val="auto"/>
                <w:sz w:val="16"/>
                <w:szCs w:val="16"/>
                <w:highlight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30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27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rPr>
                <w:rFonts w:hint="eastAsia" w:ascii="宋体" w:hAnsi="宋体" w:cs="宋体"/>
                <w:color w:val="auto"/>
                <w:sz w:val="16"/>
                <w:szCs w:val="16"/>
                <w:highlight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rPr>
                <w:rFonts w:hint="eastAsia" w:ascii="宋体" w:hAnsi="宋体" w:cs="宋体"/>
                <w:color w:val="auto"/>
                <w:sz w:val="16"/>
                <w:szCs w:val="16"/>
                <w:highlight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30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27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rPr>
                <w:rFonts w:hint="eastAsia" w:ascii="宋体" w:hAnsi="宋体" w:cs="宋体"/>
                <w:color w:val="auto"/>
                <w:sz w:val="16"/>
                <w:szCs w:val="16"/>
                <w:highlight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rPr>
                <w:rFonts w:hint="eastAsia" w:ascii="宋体" w:hAnsi="宋体" w:cs="宋体"/>
                <w:color w:val="auto"/>
                <w:sz w:val="16"/>
                <w:szCs w:val="16"/>
                <w:highlight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30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27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rPr>
                <w:rFonts w:hint="eastAsia" w:ascii="宋体" w:hAnsi="宋体" w:cs="宋体"/>
                <w:color w:val="auto"/>
                <w:sz w:val="16"/>
                <w:szCs w:val="16"/>
                <w:highlight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rPr>
                <w:rFonts w:hint="eastAsia" w:ascii="宋体" w:hAnsi="宋体" w:cs="宋体"/>
                <w:color w:val="auto"/>
                <w:sz w:val="16"/>
                <w:szCs w:val="16"/>
                <w:highlight w:val="none"/>
              </w:rPr>
            </w:pPr>
          </w:p>
        </w:tc>
        <w:tc>
          <w:tcPr>
            <w:tcW w:w="100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p>
        </w:tc>
      </w:tr>
    </w:tbl>
    <w:p>
      <w:pPr>
        <w:rPr>
          <w:rFonts w:hint="eastAsia"/>
          <w:color w:val="auto"/>
          <w:highlight w:val="none"/>
          <w:lang w:val="en-US" w:eastAsia="zh-CN"/>
        </w:rPr>
      </w:pPr>
      <w:r>
        <w:rPr>
          <w:rFonts w:hint="eastAsia"/>
          <w:color w:val="auto"/>
          <w:highlight w:val="none"/>
          <w:lang w:val="en-US" w:eastAsia="zh-CN"/>
        </w:rPr>
        <w:br w:type="page"/>
      </w:r>
    </w:p>
    <w:p>
      <w:pPr>
        <w:rPr>
          <w:rFonts w:hint="eastAsia"/>
          <w:color w:val="auto"/>
          <w:highlight w:val="none"/>
          <w:lang w:val="en-US" w:eastAsia="zh-CN"/>
        </w:rPr>
      </w:pPr>
    </w:p>
    <w:tbl>
      <w:tblPr>
        <w:tblStyle w:val="43"/>
        <w:tblW w:w="8540" w:type="dxa"/>
        <w:jc w:val="center"/>
        <w:tblLayout w:type="autofit"/>
        <w:tblCellMar>
          <w:top w:w="0" w:type="dxa"/>
          <w:left w:w="0" w:type="dxa"/>
          <w:bottom w:w="0" w:type="dxa"/>
          <w:right w:w="0" w:type="dxa"/>
        </w:tblCellMar>
      </w:tblPr>
      <w:tblGrid>
        <w:gridCol w:w="921"/>
        <w:gridCol w:w="4754"/>
        <w:gridCol w:w="577"/>
        <w:gridCol w:w="577"/>
        <w:gridCol w:w="1711"/>
      </w:tblGrid>
      <w:tr>
        <w:tblPrEx>
          <w:tblCellMar>
            <w:top w:w="0" w:type="dxa"/>
            <w:left w:w="0" w:type="dxa"/>
            <w:bottom w:w="0" w:type="dxa"/>
            <w:right w:w="0" w:type="dxa"/>
          </w:tblCellMar>
        </w:tblPrEx>
        <w:trPr>
          <w:trHeight w:val="580" w:hRule="atLeast"/>
          <w:jc w:val="center"/>
        </w:trPr>
        <w:tc>
          <w:tcPr>
            <w:tcW w:w="8540" w:type="dxa"/>
            <w:gridSpan w:val="5"/>
            <w:tcBorders>
              <w:top w:val="nil"/>
              <w:left w:val="nil"/>
              <w:bottom w:val="nil"/>
              <w:right w:val="nil"/>
            </w:tcBorders>
            <w:noWrap w:val="0"/>
            <w:tcMar>
              <w:top w:w="12" w:type="dxa"/>
              <w:left w:w="12" w:type="dxa"/>
              <w:right w:w="12" w:type="dxa"/>
            </w:tcMar>
            <w:vAlign w:val="center"/>
          </w:tcPr>
          <w:p>
            <w:pPr>
              <w:widowControl/>
              <w:jc w:val="center"/>
              <w:textAlignment w:val="center"/>
              <w:rPr>
                <w:rFonts w:hint="eastAsia" w:ascii="宋体" w:hAnsi="宋体" w:cs="宋体"/>
                <w:b/>
                <w:color w:val="auto"/>
                <w:sz w:val="44"/>
                <w:szCs w:val="44"/>
                <w:highlight w:val="none"/>
              </w:rPr>
            </w:pPr>
            <w:r>
              <w:rPr>
                <w:rFonts w:hint="eastAsia" w:ascii="宋体" w:hAnsi="宋体" w:cs="宋体"/>
                <w:b/>
                <w:color w:val="auto"/>
                <w:kern w:val="0"/>
                <w:sz w:val="44"/>
                <w:szCs w:val="44"/>
                <w:highlight w:val="none"/>
                <w:lang w:val="en-US" w:eastAsia="zh-CN" w:bidi="ar"/>
              </w:rPr>
              <w:t>安装</w:t>
            </w:r>
            <w:r>
              <w:rPr>
                <w:rFonts w:hint="eastAsia" w:ascii="宋体" w:hAnsi="宋体" w:cs="宋体"/>
                <w:b/>
                <w:color w:val="auto"/>
                <w:kern w:val="0"/>
                <w:sz w:val="44"/>
                <w:szCs w:val="44"/>
                <w:highlight w:val="none"/>
                <w:lang w:bidi="ar"/>
              </w:rPr>
              <w:t>编制期价差明细表</w:t>
            </w:r>
          </w:p>
        </w:tc>
      </w:tr>
      <w:tr>
        <w:tblPrEx>
          <w:tblCellMar>
            <w:top w:w="0" w:type="dxa"/>
            <w:left w:w="0" w:type="dxa"/>
            <w:bottom w:w="0" w:type="dxa"/>
            <w:right w:w="0" w:type="dxa"/>
          </w:tblCellMar>
        </w:tblPrEx>
        <w:trPr>
          <w:trHeight w:val="296" w:hRule="atLeast"/>
          <w:jc w:val="center"/>
        </w:trPr>
        <w:tc>
          <w:tcPr>
            <w:tcW w:w="0" w:type="auto"/>
            <w:tcBorders>
              <w:top w:val="nil"/>
              <w:left w:val="nil"/>
              <w:bottom w:val="nil"/>
              <w:right w:val="nil"/>
            </w:tcBorders>
            <w:shd w:val="clear" w:color="auto" w:fill="auto"/>
            <w:noWrap/>
            <w:tcMar>
              <w:top w:w="12" w:type="dxa"/>
              <w:left w:w="12" w:type="dxa"/>
              <w:right w:w="12" w:type="dxa"/>
            </w:tcMar>
            <w:vAlign w:val="center"/>
          </w:tcPr>
          <w:p>
            <w:pPr>
              <w:jc w:val="left"/>
              <w:rPr>
                <w:rFonts w:hint="eastAsia" w:ascii="宋体" w:hAnsi="宋体" w:cs="宋体"/>
                <w:color w:val="auto"/>
                <w:sz w:val="18"/>
                <w:szCs w:val="18"/>
                <w:highlight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left"/>
              <w:rPr>
                <w:rFonts w:hint="eastAsia" w:ascii="宋体" w:hAnsi="宋体" w:cs="宋体"/>
                <w:color w:val="auto"/>
                <w:sz w:val="18"/>
                <w:szCs w:val="18"/>
                <w:highlight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jc w:val="left"/>
              <w:rPr>
                <w:rFonts w:hint="eastAsia" w:ascii="宋体" w:hAnsi="宋体" w:cs="宋体"/>
                <w:color w:val="auto"/>
                <w:sz w:val="18"/>
                <w:szCs w:val="18"/>
                <w:highlight w:val="none"/>
              </w:rPr>
            </w:pPr>
          </w:p>
        </w:tc>
        <w:tc>
          <w:tcPr>
            <w:tcW w:w="0" w:type="auto"/>
            <w:tcBorders>
              <w:top w:val="nil"/>
              <w:left w:val="nil"/>
              <w:bottom w:val="nil"/>
              <w:right w:val="nil"/>
            </w:tcBorders>
            <w:shd w:val="clear" w:color="auto" w:fill="FFFFFF"/>
            <w:noWrap/>
            <w:tcMar>
              <w:top w:w="12" w:type="dxa"/>
              <w:left w:w="12" w:type="dxa"/>
              <w:right w:w="12" w:type="dxa"/>
            </w:tcMar>
            <w:vAlign w:val="center"/>
          </w:tcPr>
          <w:p>
            <w:pPr>
              <w:rPr>
                <w:rFonts w:hint="eastAsia" w:ascii="宋体" w:hAnsi="宋体" w:cs="宋体"/>
                <w:color w:val="auto"/>
                <w:sz w:val="22"/>
                <w:szCs w:val="22"/>
                <w:highlight w:val="none"/>
              </w:rPr>
            </w:pPr>
          </w:p>
        </w:tc>
        <w:tc>
          <w:tcPr>
            <w:tcW w:w="0" w:type="auto"/>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金额单位:元</w:t>
            </w:r>
          </w:p>
        </w:tc>
      </w:tr>
      <w:tr>
        <w:tblPrEx>
          <w:tblCellMar>
            <w:top w:w="0" w:type="dxa"/>
            <w:left w:w="0" w:type="dxa"/>
            <w:bottom w:w="0" w:type="dxa"/>
            <w:right w:w="0" w:type="dxa"/>
          </w:tblCellMar>
        </w:tblPrEx>
        <w:trPr>
          <w:trHeight w:val="589" w:hRule="atLeast"/>
          <w:jc w:val="center"/>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序号</w:t>
            </w:r>
          </w:p>
        </w:tc>
        <w:tc>
          <w:tcPr>
            <w:tcW w:w="4754"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费用名称</w:t>
            </w: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金额</w:t>
            </w: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备注</w:t>
            </w:r>
          </w:p>
        </w:tc>
        <w:tc>
          <w:tcPr>
            <w:tcW w:w="1711"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费用编码</w:t>
            </w:r>
          </w:p>
        </w:tc>
      </w:tr>
      <w:tr>
        <w:tblPrEx>
          <w:tblCellMar>
            <w:top w:w="0" w:type="dxa"/>
            <w:left w:w="0" w:type="dxa"/>
            <w:bottom w:w="0" w:type="dxa"/>
            <w:right w:w="0" w:type="dxa"/>
          </w:tblCellMar>
        </w:tblPrEx>
        <w:trPr>
          <w:trHeight w:val="3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left"/>
              <w:rPr>
                <w:rFonts w:hint="eastAsia" w:ascii="宋体" w:hAnsi="宋体" w:cs="宋体"/>
                <w:color w:val="auto"/>
                <w:sz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rPr>
                <w:rFonts w:hint="eastAsia" w:ascii="宋体" w:hAnsi="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rPr>
                <w:rFonts w:hint="eastAsia" w:ascii="宋体" w:hAnsi="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3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rPr>
                <w:rFonts w:hint="eastAsia" w:ascii="宋体" w:hAnsi="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rPr>
                <w:rFonts w:hint="eastAsia" w:ascii="宋体" w:hAnsi="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3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widowControl/>
              <w:jc w:val="left"/>
              <w:textAlignment w:val="bottom"/>
              <w:rPr>
                <w:rFonts w:hint="eastAsia" w:ascii="宋体" w:hAnsi="宋体" w:cs="宋体"/>
                <w:color w:val="auto"/>
                <w:sz w:val="20"/>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rPr>
                <w:rFonts w:hint="eastAsia" w:ascii="宋体" w:hAnsi="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rPr>
                <w:rFonts w:hint="eastAsia" w:ascii="宋体" w:hAnsi="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hint="eastAsia" w:ascii="宋体" w:hAnsi="宋体" w:cs="宋体"/>
                <w:color w:val="auto"/>
                <w:sz w:val="18"/>
                <w:szCs w:val="18"/>
                <w:highlight w:val="none"/>
              </w:rPr>
            </w:pPr>
          </w:p>
        </w:tc>
      </w:tr>
    </w:tbl>
    <w:p>
      <w:pPr>
        <w:rPr>
          <w:rFonts w:hint="eastAsia"/>
          <w:color w:val="auto"/>
          <w:highlight w:val="none"/>
          <w:lang w:val="en-US" w:eastAsia="zh-CN"/>
        </w:rPr>
      </w:pPr>
    </w:p>
    <w:tbl>
      <w:tblPr>
        <w:tblStyle w:val="43"/>
        <w:tblW w:w="8872" w:type="dxa"/>
        <w:jc w:val="center"/>
        <w:tblLayout w:type="autofit"/>
        <w:tblCellMar>
          <w:top w:w="0" w:type="dxa"/>
          <w:left w:w="0" w:type="dxa"/>
          <w:bottom w:w="0" w:type="dxa"/>
          <w:right w:w="0" w:type="dxa"/>
        </w:tblCellMar>
      </w:tblPr>
      <w:tblGrid>
        <w:gridCol w:w="861"/>
        <w:gridCol w:w="2347"/>
        <w:gridCol w:w="671"/>
        <w:gridCol w:w="671"/>
        <w:gridCol w:w="863"/>
        <w:gridCol w:w="863"/>
        <w:gridCol w:w="671"/>
        <w:gridCol w:w="671"/>
        <w:gridCol w:w="1254"/>
      </w:tblGrid>
      <w:tr>
        <w:tblPrEx>
          <w:tblCellMar>
            <w:top w:w="0" w:type="dxa"/>
            <w:left w:w="0" w:type="dxa"/>
            <w:bottom w:w="0" w:type="dxa"/>
            <w:right w:w="0" w:type="dxa"/>
          </w:tblCellMar>
        </w:tblPrEx>
        <w:trPr>
          <w:trHeight w:val="647" w:hRule="atLeast"/>
          <w:jc w:val="center"/>
        </w:trPr>
        <w:tc>
          <w:tcPr>
            <w:tcW w:w="8480" w:type="dxa"/>
            <w:gridSpan w:val="9"/>
            <w:tcBorders>
              <w:top w:val="nil"/>
              <w:left w:val="nil"/>
              <w:bottom w:val="nil"/>
              <w:right w:val="nil"/>
            </w:tcBorders>
            <w:noWrap w:val="0"/>
            <w:tcMar>
              <w:top w:w="12" w:type="dxa"/>
              <w:left w:w="12" w:type="dxa"/>
              <w:right w:w="12" w:type="dxa"/>
            </w:tcMar>
            <w:vAlign w:val="center"/>
          </w:tcPr>
          <w:p>
            <w:pPr>
              <w:widowControl/>
              <w:jc w:val="center"/>
              <w:textAlignment w:val="center"/>
              <w:rPr>
                <w:rFonts w:hint="eastAsia" w:ascii="宋体" w:hAnsi="宋体" w:cs="宋体"/>
                <w:b/>
                <w:color w:val="auto"/>
                <w:sz w:val="44"/>
                <w:szCs w:val="44"/>
                <w:highlight w:val="none"/>
              </w:rPr>
            </w:pPr>
            <w:r>
              <w:rPr>
                <w:rFonts w:hint="eastAsia" w:ascii="宋体" w:hAnsi="宋体" w:cs="宋体"/>
                <w:b/>
                <w:color w:val="auto"/>
                <w:kern w:val="0"/>
                <w:sz w:val="44"/>
                <w:szCs w:val="44"/>
                <w:highlight w:val="none"/>
                <w:lang w:bidi="ar"/>
              </w:rPr>
              <w:t>建筑工程乙供主材汇总表</w:t>
            </w:r>
          </w:p>
        </w:tc>
      </w:tr>
      <w:tr>
        <w:tblPrEx>
          <w:tblCellMar>
            <w:top w:w="0" w:type="dxa"/>
            <w:left w:w="0" w:type="dxa"/>
            <w:bottom w:w="0" w:type="dxa"/>
            <w:right w:w="0" w:type="dxa"/>
          </w:tblCellMar>
        </w:tblPrEx>
        <w:trPr>
          <w:trHeight w:val="335" w:hRule="atLeast"/>
          <w:jc w:val="center"/>
        </w:trPr>
        <w:tc>
          <w:tcPr>
            <w:tcW w:w="824"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color w:val="auto"/>
                <w:sz w:val="18"/>
                <w:szCs w:val="18"/>
                <w:highlight w:val="none"/>
              </w:rPr>
            </w:pPr>
          </w:p>
        </w:tc>
        <w:tc>
          <w:tcPr>
            <w:tcW w:w="2243"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color w:val="auto"/>
                <w:sz w:val="18"/>
                <w:szCs w:val="18"/>
                <w:highlight w:val="none"/>
              </w:rPr>
            </w:pPr>
          </w:p>
        </w:tc>
        <w:tc>
          <w:tcPr>
            <w:tcW w:w="641"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color w:val="auto"/>
                <w:sz w:val="18"/>
                <w:szCs w:val="18"/>
                <w:highlight w:val="none"/>
              </w:rPr>
            </w:pPr>
          </w:p>
        </w:tc>
        <w:tc>
          <w:tcPr>
            <w:tcW w:w="641"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color w:val="auto"/>
                <w:sz w:val="18"/>
                <w:szCs w:val="18"/>
                <w:highlight w:val="none"/>
              </w:rPr>
            </w:pPr>
          </w:p>
        </w:tc>
        <w:tc>
          <w:tcPr>
            <w:tcW w:w="825"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color w:val="auto"/>
                <w:sz w:val="18"/>
                <w:szCs w:val="18"/>
                <w:highlight w:val="none"/>
              </w:rPr>
            </w:pPr>
          </w:p>
        </w:tc>
        <w:tc>
          <w:tcPr>
            <w:tcW w:w="825"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color w:val="auto"/>
                <w:sz w:val="18"/>
                <w:szCs w:val="18"/>
                <w:highlight w:val="none"/>
              </w:rPr>
            </w:pPr>
          </w:p>
        </w:tc>
        <w:tc>
          <w:tcPr>
            <w:tcW w:w="641"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color w:val="auto"/>
                <w:sz w:val="18"/>
                <w:szCs w:val="18"/>
                <w:highlight w:val="none"/>
              </w:rPr>
            </w:pPr>
          </w:p>
        </w:tc>
        <w:tc>
          <w:tcPr>
            <w:tcW w:w="641"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color w:val="auto"/>
                <w:sz w:val="18"/>
                <w:szCs w:val="18"/>
                <w:highlight w:val="none"/>
              </w:rPr>
            </w:pPr>
          </w:p>
        </w:tc>
        <w:tc>
          <w:tcPr>
            <w:tcW w:w="1199" w:type="dxa"/>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金额单位:元</w:t>
            </w:r>
          </w:p>
        </w:tc>
      </w:tr>
      <w:tr>
        <w:tblPrEx>
          <w:tblCellMar>
            <w:top w:w="0" w:type="dxa"/>
            <w:left w:w="0" w:type="dxa"/>
            <w:bottom w:w="0" w:type="dxa"/>
            <w:right w:w="0" w:type="dxa"/>
          </w:tblCellMar>
        </w:tblPrEx>
        <w:trPr>
          <w:trHeight w:val="355" w:hRule="atLeast"/>
          <w:jc w:val="center"/>
        </w:trPr>
        <w:tc>
          <w:tcPr>
            <w:tcW w:w="82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编号</w:t>
            </w:r>
          </w:p>
        </w:tc>
        <w:tc>
          <w:tcPr>
            <w:tcW w:w="2243" w:type="dxa"/>
            <w:vMerge w:val="restart"/>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材料名称</w:t>
            </w:r>
          </w:p>
        </w:tc>
        <w:tc>
          <w:tcPr>
            <w:tcW w:w="64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单位</w:t>
            </w:r>
          </w:p>
        </w:tc>
        <w:tc>
          <w:tcPr>
            <w:tcW w:w="2291"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限价（报价）</w:t>
            </w:r>
          </w:p>
        </w:tc>
        <w:tc>
          <w:tcPr>
            <w:tcW w:w="1282"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重量</w:t>
            </w:r>
          </w:p>
        </w:tc>
        <w:tc>
          <w:tcPr>
            <w:tcW w:w="119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费用编码</w:t>
            </w:r>
          </w:p>
        </w:tc>
      </w:tr>
      <w:tr>
        <w:tblPrEx>
          <w:tblCellMar>
            <w:top w:w="0" w:type="dxa"/>
            <w:left w:w="0" w:type="dxa"/>
            <w:bottom w:w="0" w:type="dxa"/>
            <w:right w:w="0" w:type="dxa"/>
          </w:tblCellMar>
        </w:tblPrEx>
        <w:trPr>
          <w:trHeight w:val="355" w:hRule="atLeast"/>
          <w:jc w:val="center"/>
        </w:trPr>
        <w:tc>
          <w:tcPr>
            <w:tcW w:w="82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2"/>
                <w:szCs w:val="22"/>
                <w:highlight w:val="none"/>
              </w:rPr>
            </w:pPr>
          </w:p>
        </w:tc>
        <w:tc>
          <w:tcPr>
            <w:tcW w:w="2243" w:type="dxa"/>
            <w:vMerge w:val="continue"/>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jc w:val="center"/>
              <w:rPr>
                <w:rFonts w:hint="eastAsia" w:ascii="宋体" w:hAnsi="宋体" w:cs="宋体"/>
                <w:color w:val="auto"/>
                <w:sz w:val="22"/>
                <w:szCs w:val="22"/>
                <w:highlight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2"/>
                <w:szCs w:val="22"/>
                <w:highlight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数量</w:t>
            </w:r>
          </w:p>
        </w:tc>
        <w:tc>
          <w:tcPr>
            <w:tcW w:w="8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单价</w:t>
            </w:r>
          </w:p>
        </w:tc>
        <w:tc>
          <w:tcPr>
            <w:tcW w:w="8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合价</w:t>
            </w:r>
          </w:p>
        </w:tc>
        <w:tc>
          <w:tcPr>
            <w:tcW w:w="6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单重</w:t>
            </w:r>
          </w:p>
        </w:tc>
        <w:tc>
          <w:tcPr>
            <w:tcW w:w="6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总重</w:t>
            </w: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355" w:hRule="atLeast"/>
          <w:jc w:val="center"/>
        </w:trPr>
        <w:tc>
          <w:tcPr>
            <w:tcW w:w="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224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641" w:type="dxa"/>
            <w:tcBorders>
              <w:top w:val="nil"/>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641" w:type="dxa"/>
            <w:tcBorders>
              <w:top w:val="nil"/>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825" w:type="dxa"/>
            <w:tcBorders>
              <w:top w:val="nil"/>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825" w:type="dxa"/>
            <w:tcBorders>
              <w:top w:val="nil"/>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119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r>
      <w:tr>
        <w:tblPrEx>
          <w:tblCellMar>
            <w:top w:w="0" w:type="dxa"/>
            <w:left w:w="0" w:type="dxa"/>
            <w:bottom w:w="0" w:type="dxa"/>
            <w:right w:w="0" w:type="dxa"/>
          </w:tblCellMar>
        </w:tblPrEx>
        <w:trPr>
          <w:trHeight w:val="355" w:hRule="atLeast"/>
          <w:jc w:val="center"/>
        </w:trPr>
        <w:tc>
          <w:tcPr>
            <w:tcW w:w="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224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119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r>
      <w:tr>
        <w:tblPrEx>
          <w:tblCellMar>
            <w:top w:w="0" w:type="dxa"/>
            <w:left w:w="0" w:type="dxa"/>
            <w:bottom w:w="0" w:type="dxa"/>
            <w:right w:w="0" w:type="dxa"/>
          </w:tblCellMar>
        </w:tblPrEx>
        <w:trPr>
          <w:trHeight w:val="355" w:hRule="atLeast"/>
          <w:jc w:val="center"/>
        </w:trPr>
        <w:tc>
          <w:tcPr>
            <w:tcW w:w="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224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119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r>
      <w:tr>
        <w:tblPrEx>
          <w:tblCellMar>
            <w:top w:w="0" w:type="dxa"/>
            <w:left w:w="0" w:type="dxa"/>
            <w:bottom w:w="0" w:type="dxa"/>
            <w:right w:w="0" w:type="dxa"/>
          </w:tblCellMar>
        </w:tblPrEx>
        <w:trPr>
          <w:trHeight w:val="355" w:hRule="atLeast"/>
          <w:jc w:val="center"/>
        </w:trPr>
        <w:tc>
          <w:tcPr>
            <w:tcW w:w="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224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119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r>
      <w:tr>
        <w:tblPrEx>
          <w:tblCellMar>
            <w:top w:w="0" w:type="dxa"/>
            <w:left w:w="0" w:type="dxa"/>
            <w:bottom w:w="0" w:type="dxa"/>
            <w:right w:w="0" w:type="dxa"/>
          </w:tblCellMar>
        </w:tblPrEx>
        <w:trPr>
          <w:trHeight w:val="325" w:hRule="atLeast"/>
          <w:jc w:val="center"/>
        </w:trPr>
        <w:tc>
          <w:tcPr>
            <w:tcW w:w="8480" w:type="dxa"/>
            <w:gridSpan w:val="9"/>
            <w:tcBorders>
              <w:top w:val="nil"/>
              <w:left w:val="nil"/>
              <w:bottom w:val="nil"/>
              <w:right w:val="nil"/>
            </w:tcBorders>
            <w:noWrap w:val="0"/>
            <w:tcMar>
              <w:top w:w="12" w:type="dxa"/>
              <w:left w:w="12" w:type="dxa"/>
              <w:right w:w="12" w:type="dxa"/>
            </w:tcMar>
            <w:vAlign w:val="center"/>
          </w:tcPr>
          <w:p>
            <w:pPr>
              <w:widowControl/>
              <w:jc w:val="left"/>
              <w:textAlignment w:val="center"/>
              <w:rPr>
                <w:rFonts w:hint="eastAsia" w:ascii="宋体" w:hAnsi="宋体" w:eastAsia="宋体" w:cs="宋体"/>
                <w:color w:val="auto"/>
                <w:kern w:val="0"/>
                <w:sz w:val="20"/>
                <w:highlight w:val="none"/>
                <w:lang w:eastAsia="zh-CN" w:bidi="ar"/>
              </w:rPr>
            </w:pPr>
            <w:r>
              <w:rPr>
                <w:rFonts w:hint="eastAsia" w:ascii="宋体" w:hAnsi="宋体" w:cs="宋体"/>
                <w:color w:val="auto"/>
                <w:kern w:val="0"/>
                <w:sz w:val="20"/>
                <w:highlight w:val="none"/>
                <w:lang w:bidi="ar"/>
              </w:rPr>
              <w:t>填表说明：</w:t>
            </w:r>
          </w:p>
          <w:p>
            <w:pPr>
              <w:widowControl/>
              <w:jc w:val="left"/>
              <w:textAlignment w:val="center"/>
              <w:rPr>
                <w:rFonts w:hint="eastAsia" w:ascii="宋体" w:hAnsi="宋体" w:eastAsia="宋体" w:cs="宋体"/>
                <w:color w:val="auto"/>
                <w:kern w:val="0"/>
                <w:sz w:val="20"/>
                <w:highlight w:val="none"/>
                <w:lang w:eastAsia="zh-CN" w:bidi="ar"/>
              </w:rPr>
            </w:pPr>
            <w:r>
              <w:rPr>
                <w:rFonts w:hint="eastAsia" w:ascii="宋体" w:hAnsi="宋体" w:cs="宋体"/>
                <w:color w:val="auto"/>
                <w:kern w:val="0"/>
                <w:sz w:val="20"/>
                <w:highlight w:val="none"/>
                <w:lang w:bidi="ar"/>
              </w:rPr>
              <w:t>1、报表需按最小级项目划分结构输出，并采用标准的费用编码。</w:t>
            </w:r>
          </w:p>
          <w:p>
            <w:pPr>
              <w:widowControl/>
              <w:jc w:val="left"/>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2、针对报表中的主材需标明编号。</w:t>
            </w:r>
          </w:p>
        </w:tc>
      </w:tr>
    </w:tbl>
    <w:p>
      <w:pPr>
        <w:rPr>
          <w:rFonts w:hint="eastAsia"/>
          <w:color w:val="auto"/>
          <w:highlight w:val="none"/>
          <w:lang w:val="en-US" w:eastAsia="zh-CN"/>
        </w:rPr>
      </w:pPr>
    </w:p>
    <w:tbl>
      <w:tblPr>
        <w:tblStyle w:val="43"/>
        <w:tblW w:w="8872" w:type="dxa"/>
        <w:jc w:val="center"/>
        <w:tblLayout w:type="autofit"/>
        <w:tblCellMar>
          <w:top w:w="0" w:type="dxa"/>
          <w:left w:w="0" w:type="dxa"/>
          <w:bottom w:w="0" w:type="dxa"/>
          <w:right w:w="0" w:type="dxa"/>
        </w:tblCellMar>
      </w:tblPr>
      <w:tblGrid>
        <w:gridCol w:w="861"/>
        <w:gridCol w:w="2347"/>
        <w:gridCol w:w="671"/>
        <w:gridCol w:w="671"/>
        <w:gridCol w:w="863"/>
        <w:gridCol w:w="863"/>
        <w:gridCol w:w="671"/>
        <w:gridCol w:w="671"/>
        <w:gridCol w:w="1254"/>
      </w:tblGrid>
      <w:tr>
        <w:tblPrEx>
          <w:tblCellMar>
            <w:top w:w="0" w:type="dxa"/>
            <w:left w:w="0" w:type="dxa"/>
            <w:bottom w:w="0" w:type="dxa"/>
            <w:right w:w="0" w:type="dxa"/>
          </w:tblCellMar>
        </w:tblPrEx>
        <w:trPr>
          <w:trHeight w:val="647" w:hRule="atLeast"/>
          <w:jc w:val="center"/>
        </w:trPr>
        <w:tc>
          <w:tcPr>
            <w:tcW w:w="8480" w:type="dxa"/>
            <w:gridSpan w:val="9"/>
            <w:tcBorders>
              <w:top w:val="nil"/>
              <w:left w:val="nil"/>
              <w:bottom w:val="nil"/>
              <w:right w:val="nil"/>
            </w:tcBorders>
            <w:noWrap w:val="0"/>
            <w:tcMar>
              <w:top w:w="12" w:type="dxa"/>
              <w:left w:w="12" w:type="dxa"/>
              <w:right w:w="12" w:type="dxa"/>
            </w:tcMar>
            <w:vAlign w:val="center"/>
          </w:tcPr>
          <w:p>
            <w:pPr>
              <w:widowControl/>
              <w:jc w:val="center"/>
              <w:textAlignment w:val="center"/>
              <w:rPr>
                <w:rFonts w:hint="eastAsia" w:ascii="宋体" w:hAnsi="宋体" w:cs="宋体"/>
                <w:b/>
                <w:color w:val="auto"/>
                <w:sz w:val="44"/>
                <w:szCs w:val="44"/>
                <w:highlight w:val="none"/>
              </w:rPr>
            </w:pPr>
            <w:r>
              <w:rPr>
                <w:rFonts w:hint="eastAsia" w:ascii="宋体" w:hAnsi="宋体" w:cs="宋体"/>
                <w:b/>
                <w:color w:val="auto"/>
                <w:kern w:val="0"/>
                <w:sz w:val="44"/>
                <w:szCs w:val="44"/>
                <w:highlight w:val="none"/>
                <w:lang w:val="en-US" w:eastAsia="zh-CN" w:bidi="ar"/>
              </w:rPr>
              <w:t>安装</w:t>
            </w:r>
            <w:r>
              <w:rPr>
                <w:rFonts w:hint="eastAsia" w:ascii="宋体" w:hAnsi="宋体" w:cs="宋体"/>
                <w:b/>
                <w:color w:val="auto"/>
                <w:kern w:val="0"/>
                <w:sz w:val="44"/>
                <w:szCs w:val="44"/>
                <w:highlight w:val="none"/>
                <w:lang w:bidi="ar"/>
              </w:rPr>
              <w:t>工程乙供主材汇总表</w:t>
            </w:r>
          </w:p>
        </w:tc>
      </w:tr>
      <w:tr>
        <w:tblPrEx>
          <w:tblCellMar>
            <w:top w:w="0" w:type="dxa"/>
            <w:left w:w="0" w:type="dxa"/>
            <w:bottom w:w="0" w:type="dxa"/>
            <w:right w:w="0" w:type="dxa"/>
          </w:tblCellMar>
        </w:tblPrEx>
        <w:trPr>
          <w:trHeight w:val="335" w:hRule="atLeast"/>
          <w:jc w:val="center"/>
        </w:trPr>
        <w:tc>
          <w:tcPr>
            <w:tcW w:w="824"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color w:val="auto"/>
                <w:sz w:val="18"/>
                <w:szCs w:val="18"/>
                <w:highlight w:val="none"/>
              </w:rPr>
            </w:pPr>
          </w:p>
        </w:tc>
        <w:tc>
          <w:tcPr>
            <w:tcW w:w="2243"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color w:val="auto"/>
                <w:sz w:val="18"/>
                <w:szCs w:val="18"/>
                <w:highlight w:val="none"/>
              </w:rPr>
            </w:pPr>
          </w:p>
        </w:tc>
        <w:tc>
          <w:tcPr>
            <w:tcW w:w="641"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color w:val="auto"/>
                <w:sz w:val="18"/>
                <w:szCs w:val="18"/>
                <w:highlight w:val="none"/>
              </w:rPr>
            </w:pPr>
          </w:p>
        </w:tc>
        <w:tc>
          <w:tcPr>
            <w:tcW w:w="641"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color w:val="auto"/>
                <w:sz w:val="18"/>
                <w:szCs w:val="18"/>
                <w:highlight w:val="none"/>
              </w:rPr>
            </w:pPr>
          </w:p>
        </w:tc>
        <w:tc>
          <w:tcPr>
            <w:tcW w:w="825"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color w:val="auto"/>
                <w:sz w:val="18"/>
                <w:szCs w:val="18"/>
                <w:highlight w:val="none"/>
              </w:rPr>
            </w:pPr>
          </w:p>
        </w:tc>
        <w:tc>
          <w:tcPr>
            <w:tcW w:w="825"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color w:val="auto"/>
                <w:sz w:val="18"/>
                <w:szCs w:val="18"/>
                <w:highlight w:val="none"/>
              </w:rPr>
            </w:pPr>
          </w:p>
        </w:tc>
        <w:tc>
          <w:tcPr>
            <w:tcW w:w="641"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color w:val="auto"/>
                <w:sz w:val="18"/>
                <w:szCs w:val="18"/>
                <w:highlight w:val="none"/>
              </w:rPr>
            </w:pPr>
          </w:p>
        </w:tc>
        <w:tc>
          <w:tcPr>
            <w:tcW w:w="641"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color w:val="auto"/>
                <w:sz w:val="18"/>
                <w:szCs w:val="18"/>
                <w:highlight w:val="none"/>
              </w:rPr>
            </w:pPr>
          </w:p>
        </w:tc>
        <w:tc>
          <w:tcPr>
            <w:tcW w:w="1199" w:type="dxa"/>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金额单位:元</w:t>
            </w:r>
          </w:p>
        </w:tc>
      </w:tr>
      <w:tr>
        <w:tblPrEx>
          <w:tblCellMar>
            <w:top w:w="0" w:type="dxa"/>
            <w:left w:w="0" w:type="dxa"/>
            <w:bottom w:w="0" w:type="dxa"/>
            <w:right w:w="0" w:type="dxa"/>
          </w:tblCellMar>
        </w:tblPrEx>
        <w:trPr>
          <w:trHeight w:val="355" w:hRule="atLeast"/>
          <w:jc w:val="center"/>
        </w:trPr>
        <w:tc>
          <w:tcPr>
            <w:tcW w:w="82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编号</w:t>
            </w:r>
          </w:p>
        </w:tc>
        <w:tc>
          <w:tcPr>
            <w:tcW w:w="2243" w:type="dxa"/>
            <w:vMerge w:val="restart"/>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材料名称</w:t>
            </w:r>
          </w:p>
        </w:tc>
        <w:tc>
          <w:tcPr>
            <w:tcW w:w="64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单位</w:t>
            </w:r>
          </w:p>
        </w:tc>
        <w:tc>
          <w:tcPr>
            <w:tcW w:w="2291"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限价（报价）</w:t>
            </w:r>
          </w:p>
        </w:tc>
        <w:tc>
          <w:tcPr>
            <w:tcW w:w="1282"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重量</w:t>
            </w:r>
          </w:p>
        </w:tc>
        <w:tc>
          <w:tcPr>
            <w:tcW w:w="119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费用编码</w:t>
            </w:r>
          </w:p>
        </w:tc>
      </w:tr>
      <w:tr>
        <w:tblPrEx>
          <w:tblCellMar>
            <w:top w:w="0" w:type="dxa"/>
            <w:left w:w="0" w:type="dxa"/>
            <w:bottom w:w="0" w:type="dxa"/>
            <w:right w:w="0" w:type="dxa"/>
          </w:tblCellMar>
        </w:tblPrEx>
        <w:trPr>
          <w:trHeight w:val="355" w:hRule="atLeast"/>
          <w:jc w:val="center"/>
        </w:trPr>
        <w:tc>
          <w:tcPr>
            <w:tcW w:w="82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2"/>
                <w:szCs w:val="22"/>
                <w:highlight w:val="none"/>
              </w:rPr>
            </w:pPr>
          </w:p>
        </w:tc>
        <w:tc>
          <w:tcPr>
            <w:tcW w:w="2243" w:type="dxa"/>
            <w:vMerge w:val="continue"/>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jc w:val="center"/>
              <w:rPr>
                <w:rFonts w:hint="eastAsia" w:ascii="宋体" w:hAnsi="宋体" w:cs="宋体"/>
                <w:color w:val="auto"/>
                <w:sz w:val="22"/>
                <w:szCs w:val="22"/>
                <w:highlight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2"/>
                <w:szCs w:val="22"/>
                <w:highlight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数量</w:t>
            </w:r>
          </w:p>
        </w:tc>
        <w:tc>
          <w:tcPr>
            <w:tcW w:w="8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单价</w:t>
            </w:r>
          </w:p>
        </w:tc>
        <w:tc>
          <w:tcPr>
            <w:tcW w:w="8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合价</w:t>
            </w:r>
          </w:p>
        </w:tc>
        <w:tc>
          <w:tcPr>
            <w:tcW w:w="6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单重</w:t>
            </w:r>
          </w:p>
        </w:tc>
        <w:tc>
          <w:tcPr>
            <w:tcW w:w="6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总重</w:t>
            </w: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355" w:hRule="atLeast"/>
          <w:jc w:val="center"/>
        </w:trPr>
        <w:tc>
          <w:tcPr>
            <w:tcW w:w="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224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641" w:type="dxa"/>
            <w:tcBorders>
              <w:top w:val="nil"/>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641" w:type="dxa"/>
            <w:tcBorders>
              <w:top w:val="nil"/>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825" w:type="dxa"/>
            <w:tcBorders>
              <w:top w:val="nil"/>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825" w:type="dxa"/>
            <w:tcBorders>
              <w:top w:val="nil"/>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119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r>
      <w:tr>
        <w:tblPrEx>
          <w:tblCellMar>
            <w:top w:w="0" w:type="dxa"/>
            <w:left w:w="0" w:type="dxa"/>
            <w:bottom w:w="0" w:type="dxa"/>
            <w:right w:w="0" w:type="dxa"/>
          </w:tblCellMar>
        </w:tblPrEx>
        <w:trPr>
          <w:trHeight w:val="355" w:hRule="atLeast"/>
          <w:jc w:val="center"/>
        </w:trPr>
        <w:tc>
          <w:tcPr>
            <w:tcW w:w="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224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119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r>
      <w:tr>
        <w:tblPrEx>
          <w:tblCellMar>
            <w:top w:w="0" w:type="dxa"/>
            <w:left w:w="0" w:type="dxa"/>
            <w:bottom w:w="0" w:type="dxa"/>
            <w:right w:w="0" w:type="dxa"/>
          </w:tblCellMar>
        </w:tblPrEx>
        <w:trPr>
          <w:trHeight w:val="355" w:hRule="atLeast"/>
          <w:jc w:val="center"/>
        </w:trPr>
        <w:tc>
          <w:tcPr>
            <w:tcW w:w="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224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119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r>
      <w:tr>
        <w:tblPrEx>
          <w:tblCellMar>
            <w:top w:w="0" w:type="dxa"/>
            <w:left w:w="0" w:type="dxa"/>
            <w:bottom w:w="0" w:type="dxa"/>
            <w:right w:w="0" w:type="dxa"/>
          </w:tblCellMar>
        </w:tblPrEx>
        <w:trPr>
          <w:trHeight w:val="355" w:hRule="atLeast"/>
          <w:jc w:val="center"/>
        </w:trPr>
        <w:tc>
          <w:tcPr>
            <w:tcW w:w="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224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c>
          <w:tcPr>
            <w:tcW w:w="119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cs="宋体"/>
                <w:b/>
                <w:color w:val="auto"/>
                <w:sz w:val="22"/>
                <w:szCs w:val="22"/>
                <w:highlight w:val="none"/>
              </w:rPr>
            </w:pPr>
          </w:p>
        </w:tc>
      </w:tr>
      <w:tr>
        <w:tblPrEx>
          <w:tblCellMar>
            <w:top w:w="0" w:type="dxa"/>
            <w:left w:w="0" w:type="dxa"/>
            <w:bottom w:w="0" w:type="dxa"/>
            <w:right w:w="0" w:type="dxa"/>
          </w:tblCellMar>
        </w:tblPrEx>
        <w:trPr>
          <w:trHeight w:val="325" w:hRule="atLeast"/>
          <w:jc w:val="center"/>
        </w:trPr>
        <w:tc>
          <w:tcPr>
            <w:tcW w:w="8480" w:type="dxa"/>
            <w:gridSpan w:val="9"/>
            <w:tcBorders>
              <w:top w:val="nil"/>
              <w:left w:val="nil"/>
              <w:bottom w:val="nil"/>
              <w:right w:val="nil"/>
            </w:tcBorders>
            <w:noWrap w:val="0"/>
            <w:tcMar>
              <w:top w:w="12" w:type="dxa"/>
              <w:left w:w="12" w:type="dxa"/>
              <w:right w:w="12" w:type="dxa"/>
            </w:tcMar>
            <w:vAlign w:val="center"/>
          </w:tcPr>
          <w:p>
            <w:pPr>
              <w:widowControl/>
              <w:jc w:val="left"/>
              <w:textAlignment w:val="center"/>
              <w:rPr>
                <w:rFonts w:hint="eastAsia" w:ascii="宋体" w:hAnsi="宋体" w:eastAsia="宋体" w:cs="宋体"/>
                <w:color w:val="auto"/>
                <w:kern w:val="0"/>
                <w:sz w:val="20"/>
                <w:highlight w:val="none"/>
                <w:lang w:eastAsia="zh-CN" w:bidi="ar"/>
              </w:rPr>
            </w:pPr>
            <w:r>
              <w:rPr>
                <w:rFonts w:hint="eastAsia" w:ascii="宋体" w:hAnsi="宋体" w:cs="宋体"/>
                <w:color w:val="auto"/>
                <w:kern w:val="0"/>
                <w:sz w:val="20"/>
                <w:highlight w:val="none"/>
                <w:lang w:bidi="ar"/>
              </w:rPr>
              <w:t>填表说明：</w:t>
            </w:r>
          </w:p>
          <w:p>
            <w:pPr>
              <w:widowControl/>
              <w:jc w:val="left"/>
              <w:textAlignment w:val="center"/>
              <w:rPr>
                <w:rFonts w:hint="eastAsia" w:ascii="宋体" w:hAnsi="宋体" w:eastAsia="宋体" w:cs="宋体"/>
                <w:color w:val="auto"/>
                <w:kern w:val="0"/>
                <w:sz w:val="20"/>
                <w:highlight w:val="none"/>
                <w:lang w:eastAsia="zh-CN" w:bidi="ar"/>
              </w:rPr>
            </w:pPr>
            <w:r>
              <w:rPr>
                <w:rFonts w:hint="eastAsia" w:ascii="宋体" w:hAnsi="宋体" w:cs="宋体"/>
                <w:color w:val="auto"/>
                <w:kern w:val="0"/>
                <w:sz w:val="20"/>
                <w:highlight w:val="none"/>
                <w:lang w:bidi="ar"/>
              </w:rPr>
              <w:t>1、报表需按最小级项目划分结构输出，并采用标准的费用编码。</w:t>
            </w:r>
          </w:p>
          <w:p>
            <w:pPr>
              <w:widowControl/>
              <w:jc w:val="left"/>
              <w:textAlignment w:val="center"/>
              <w:rPr>
                <w:rFonts w:hint="eastAsia" w:ascii="宋体" w:hAnsi="宋体" w:cs="宋体"/>
                <w:color w:val="auto"/>
                <w:sz w:val="20"/>
                <w:highlight w:val="none"/>
              </w:rPr>
            </w:pPr>
            <w:r>
              <w:rPr>
                <w:rFonts w:hint="eastAsia" w:ascii="宋体" w:hAnsi="宋体" w:cs="宋体"/>
                <w:color w:val="auto"/>
                <w:kern w:val="0"/>
                <w:sz w:val="20"/>
                <w:highlight w:val="none"/>
                <w:lang w:bidi="ar"/>
              </w:rPr>
              <w:t>2、针对报表中的主材需标明编号。</w:t>
            </w:r>
          </w:p>
        </w:tc>
      </w:tr>
    </w:tbl>
    <w:p>
      <w:pPr>
        <w:rPr>
          <w:rFonts w:hint="eastAsia"/>
          <w:color w:val="auto"/>
          <w:highlight w:val="none"/>
          <w:lang w:val="en-US" w:eastAsia="zh-CN"/>
        </w:rPr>
      </w:pPr>
      <w:r>
        <w:rPr>
          <w:rFonts w:hint="eastAsia"/>
          <w:color w:val="auto"/>
          <w:highlight w:val="none"/>
          <w:lang w:val="en-US" w:eastAsia="zh-CN"/>
        </w:rPr>
        <w:br w:type="page"/>
      </w:r>
    </w:p>
    <w:tbl>
      <w:tblPr>
        <w:tblStyle w:val="43"/>
        <w:tblW w:w="8881" w:type="dxa"/>
        <w:jc w:val="center"/>
        <w:tblLayout w:type="autofit"/>
        <w:tblCellMar>
          <w:top w:w="0" w:type="dxa"/>
          <w:left w:w="0" w:type="dxa"/>
          <w:bottom w:w="0" w:type="dxa"/>
          <w:right w:w="0" w:type="dxa"/>
        </w:tblCellMar>
      </w:tblPr>
      <w:tblGrid>
        <w:gridCol w:w="554"/>
        <w:gridCol w:w="1112"/>
        <w:gridCol w:w="556"/>
        <w:gridCol w:w="557"/>
        <w:gridCol w:w="874"/>
        <w:gridCol w:w="874"/>
        <w:gridCol w:w="874"/>
        <w:gridCol w:w="755"/>
        <w:gridCol w:w="755"/>
        <w:gridCol w:w="885"/>
        <w:gridCol w:w="1085"/>
      </w:tblGrid>
      <w:tr>
        <w:tblPrEx>
          <w:tblCellMar>
            <w:top w:w="0" w:type="dxa"/>
            <w:left w:w="0" w:type="dxa"/>
            <w:bottom w:w="0" w:type="dxa"/>
            <w:right w:w="0" w:type="dxa"/>
          </w:tblCellMar>
        </w:tblPrEx>
        <w:trPr>
          <w:trHeight w:val="625" w:hRule="atLeast"/>
          <w:jc w:val="center"/>
        </w:trPr>
        <w:tc>
          <w:tcPr>
            <w:tcW w:w="7461" w:type="dxa"/>
            <w:gridSpan w:val="10"/>
            <w:tcBorders>
              <w:top w:val="nil"/>
              <w:left w:val="nil"/>
              <w:bottom w:val="nil"/>
              <w:right w:val="nil"/>
            </w:tcBorders>
            <w:noWrap w:val="0"/>
            <w:tcMar>
              <w:top w:w="12" w:type="dxa"/>
              <w:left w:w="12" w:type="dxa"/>
              <w:right w:w="12" w:type="dxa"/>
            </w:tcMar>
            <w:vAlign w:val="center"/>
          </w:tcPr>
          <w:p>
            <w:pPr>
              <w:widowControl/>
              <w:jc w:val="center"/>
              <w:textAlignment w:val="center"/>
              <w:rPr>
                <w:rFonts w:hint="eastAsia" w:ascii="宋体" w:hAnsi="宋体" w:cs="宋体"/>
                <w:b/>
                <w:strike w:val="0"/>
                <w:dstrike w:val="0"/>
                <w:color w:val="auto"/>
                <w:sz w:val="44"/>
                <w:szCs w:val="44"/>
                <w:highlight w:val="none"/>
              </w:rPr>
            </w:pPr>
            <w:r>
              <w:rPr>
                <w:rFonts w:hint="eastAsia" w:ascii="宋体" w:hAnsi="宋体" w:cs="宋体"/>
                <w:b/>
                <w:strike w:val="0"/>
                <w:dstrike w:val="0"/>
                <w:color w:val="auto"/>
                <w:kern w:val="0"/>
                <w:sz w:val="44"/>
                <w:szCs w:val="44"/>
                <w:highlight w:val="none"/>
                <w:lang w:bidi="ar"/>
              </w:rPr>
              <w:t>建筑工程乙供设备汇总表</w:t>
            </w:r>
          </w:p>
        </w:tc>
        <w:tc>
          <w:tcPr>
            <w:tcW w:w="1038"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r>
      <w:tr>
        <w:tblPrEx>
          <w:tblCellMar>
            <w:top w:w="0" w:type="dxa"/>
            <w:left w:w="0" w:type="dxa"/>
            <w:bottom w:w="0" w:type="dxa"/>
            <w:right w:w="0" w:type="dxa"/>
          </w:tblCellMar>
        </w:tblPrEx>
        <w:trPr>
          <w:trHeight w:val="319" w:hRule="atLeast"/>
          <w:jc w:val="center"/>
        </w:trPr>
        <w:tc>
          <w:tcPr>
            <w:tcW w:w="531"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1064"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532"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533"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836"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836"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836"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723"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723"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847"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1038" w:type="dxa"/>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宋体" w:hAnsi="宋体" w:cs="宋体"/>
                <w:strike w:val="0"/>
                <w:dstrike w:val="0"/>
                <w:color w:val="auto"/>
                <w:sz w:val="18"/>
                <w:szCs w:val="18"/>
                <w:highlight w:val="none"/>
              </w:rPr>
            </w:pPr>
            <w:r>
              <w:rPr>
                <w:rFonts w:hint="eastAsia" w:ascii="宋体" w:hAnsi="宋体" w:cs="宋体"/>
                <w:strike w:val="0"/>
                <w:dstrike w:val="0"/>
                <w:color w:val="auto"/>
                <w:kern w:val="0"/>
                <w:sz w:val="18"/>
                <w:szCs w:val="18"/>
                <w:highlight w:val="none"/>
                <w:lang w:bidi="ar"/>
              </w:rPr>
              <w:t>金额单位:元</w:t>
            </w:r>
          </w:p>
        </w:tc>
      </w:tr>
      <w:tr>
        <w:tblPrEx>
          <w:tblCellMar>
            <w:top w:w="0" w:type="dxa"/>
            <w:left w:w="0" w:type="dxa"/>
            <w:bottom w:w="0" w:type="dxa"/>
            <w:right w:w="0" w:type="dxa"/>
          </w:tblCellMar>
        </w:tblPrEx>
        <w:trPr>
          <w:trHeight w:val="329" w:hRule="atLeast"/>
          <w:jc w:val="center"/>
        </w:trPr>
        <w:tc>
          <w:tcPr>
            <w:tcW w:w="53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strike w:val="0"/>
                <w:dstrike w:val="0"/>
                <w:color w:val="auto"/>
                <w:sz w:val="22"/>
                <w:szCs w:val="22"/>
                <w:highlight w:val="none"/>
              </w:rPr>
            </w:pPr>
            <w:r>
              <w:rPr>
                <w:rFonts w:hint="eastAsia" w:ascii="宋体" w:hAnsi="宋体" w:cs="宋体"/>
                <w:strike w:val="0"/>
                <w:dstrike w:val="0"/>
                <w:color w:val="auto"/>
                <w:kern w:val="0"/>
                <w:sz w:val="22"/>
                <w:szCs w:val="22"/>
                <w:highlight w:val="none"/>
                <w:lang w:bidi="ar"/>
              </w:rPr>
              <w:t>编号</w:t>
            </w:r>
          </w:p>
        </w:tc>
        <w:tc>
          <w:tcPr>
            <w:tcW w:w="106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strike w:val="0"/>
                <w:dstrike w:val="0"/>
                <w:color w:val="auto"/>
                <w:sz w:val="22"/>
                <w:szCs w:val="22"/>
                <w:highlight w:val="none"/>
              </w:rPr>
            </w:pPr>
            <w:r>
              <w:rPr>
                <w:rFonts w:hint="eastAsia" w:ascii="宋体" w:hAnsi="宋体" w:cs="宋体"/>
                <w:strike w:val="0"/>
                <w:dstrike w:val="0"/>
                <w:color w:val="auto"/>
                <w:kern w:val="0"/>
                <w:sz w:val="22"/>
                <w:szCs w:val="22"/>
                <w:highlight w:val="none"/>
                <w:lang w:bidi="ar"/>
              </w:rPr>
              <w:t>设备名称</w:t>
            </w:r>
          </w:p>
        </w:tc>
        <w:tc>
          <w:tcPr>
            <w:tcW w:w="53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strike w:val="0"/>
                <w:dstrike w:val="0"/>
                <w:color w:val="auto"/>
                <w:sz w:val="22"/>
                <w:szCs w:val="22"/>
                <w:highlight w:val="none"/>
              </w:rPr>
            </w:pPr>
            <w:r>
              <w:rPr>
                <w:rFonts w:hint="eastAsia" w:ascii="宋体" w:hAnsi="宋体" w:cs="宋体"/>
                <w:strike w:val="0"/>
                <w:dstrike w:val="0"/>
                <w:color w:val="auto"/>
                <w:kern w:val="0"/>
                <w:sz w:val="22"/>
                <w:szCs w:val="22"/>
                <w:highlight w:val="none"/>
                <w:lang w:bidi="ar"/>
              </w:rPr>
              <w:t>单位</w:t>
            </w:r>
          </w:p>
        </w:tc>
        <w:tc>
          <w:tcPr>
            <w:tcW w:w="5334" w:type="dxa"/>
            <w:gridSpan w:val="7"/>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宋体" w:hAnsi="宋体" w:cs="宋体"/>
                <w:strike w:val="0"/>
                <w:dstrike w:val="0"/>
                <w:color w:val="auto"/>
                <w:sz w:val="22"/>
                <w:szCs w:val="22"/>
                <w:highlight w:val="none"/>
              </w:rPr>
            </w:pPr>
            <w:r>
              <w:rPr>
                <w:rFonts w:hint="eastAsia" w:ascii="宋体" w:hAnsi="宋体" w:cs="宋体"/>
                <w:strike w:val="0"/>
                <w:dstrike w:val="0"/>
                <w:color w:val="auto"/>
                <w:kern w:val="0"/>
                <w:sz w:val="22"/>
                <w:szCs w:val="22"/>
                <w:highlight w:val="none"/>
                <w:lang w:bidi="ar"/>
              </w:rPr>
              <w:t>限价（报价）</w:t>
            </w:r>
          </w:p>
        </w:tc>
        <w:tc>
          <w:tcPr>
            <w:tcW w:w="103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strike w:val="0"/>
                <w:dstrike w:val="0"/>
                <w:color w:val="auto"/>
                <w:sz w:val="22"/>
                <w:szCs w:val="22"/>
                <w:highlight w:val="none"/>
              </w:rPr>
            </w:pPr>
            <w:r>
              <w:rPr>
                <w:rFonts w:hint="eastAsia" w:ascii="宋体" w:hAnsi="宋体" w:cs="宋体"/>
                <w:strike w:val="0"/>
                <w:dstrike w:val="0"/>
                <w:color w:val="auto"/>
                <w:kern w:val="0"/>
                <w:sz w:val="22"/>
                <w:szCs w:val="22"/>
                <w:highlight w:val="none"/>
                <w:lang w:bidi="ar"/>
              </w:rPr>
              <w:t>费用编码</w:t>
            </w:r>
          </w:p>
        </w:tc>
      </w:tr>
      <w:tr>
        <w:tblPrEx>
          <w:tblCellMar>
            <w:top w:w="0" w:type="dxa"/>
            <w:left w:w="0" w:type="dxa"/>
            <w:bottom w:w="0" w:type="dxa"/>
            <w:right w:w="0" w:type="dxa"/>
          </w:tblCellMar>
        </w:tblPrEx>
        <w:trPr>
          <w:trHeight w:val="329"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strike w:val="0"/>
                <w:dstrike w:val="0"/>
                <w:color w:val="auto"/>
                <w:sz w:val="22"/>
                <w:szCs w:val="22"/>
                <w:highlight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strike w:val="0"/>
                <w:dstrike w:val="0"/>
                <w:color w:val="auto"/>
                <w:sz w:val="22"/>
                <w:szCs w:val="22"/>
                <w:highlight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strike w:val="0"/>
                <w:dstrike w:val="0"/>
                <w:color w:val="auto"/>
                <w:sz w:val="22"/>
                <w:szCs w:val="22"/>
                <w:highlight w:val="none"/>
              </w:rPr>
            </w:pPr>
          </w:p>
        </w:tc>
        <w:tc>
          <w:tcPr>
            <w:tcW w:w="53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strike w:val="0"/>
                <w:dstrike w:val="0"/>
                <w:color w:val="auto"/>
                <w:sz w:val="22"/>
                <w:szCs w:val="22"/>
                <w:highlight w:val="none"/>
              </w:rPr>
            </w:pPr>
            <w:r>
              <w:rPr>
                <w:rFonts w:hint="eastAsia" w:ascii="宋体" w:hAnsi="宋体" w:cs="宋体"/>
                <w:strike w:val="0"/>
                <w:dstrike w:val="0"/>
                <w:color w:val="auto"/>
                <w:kern w:val="0"/>
                <w:sz w:val="22"/>
                <w:szCs w:val="22"/>
                <w:highlight w:val="none"/>
                <w:lang w:bidi="ar"/>
              </w:rPr>
              <w:t>数量</w:t>
            </w:r>
          </w:p>
        </w:tc>
        <w:tc>
          <w:tcPr>
            <w:tcW w:w="250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strike w:val="0"/>
                <w:dstrike w:val="0"/>
                <w:color w:val="auto"/>
                <w:sz w:val="22"/>
                <w:szCs w:val="22"/>
                <w:highlight w:val="none"/>
              </w:rPr>
            </w:pPr>
            <w:r>
              <w:rPr>
                <w:rFonts w:hint="eastAsia" w:ascii="宋体" w:hAnsi="宋体" w:cs="宋体"/>
                <w:strike w:val="0"/>
                <w:dstrike w:val="0"/>
                <w:color w:val="auto"/>
                <w:kern w:val="0"/>
                <w:sz w:val="22"/>
                <w:szCs w:val="22"/>
                <w:highlight w:val="none"/>
                <w:lang w:bidi="ar"/>
              </w:rPr>
              <w:t>单价</w:t>
            </w:r>
          </w:p>
        </w:tc>
        <w:tc>
          <w:tcPr>
            <w:tcW w:w="2293"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strike w:val="0"/>
                <w:dstrike w:val="0"/>
                <w:color w:val="auto"/>
                <w:sz w:val="22"/>
                <w:szCs w:val="22"/>
                <w:highlight w:val="none"/>
              </w:rPr>
            </w:pPr>
            <w:r>
              <w:rPr>
                <w:rFonts w:hint="eastAsia" w:ascii="宋体" w:hAnsi="宋体" w:cs="宋体"/>
                <w:strike w:val="0"/>
                <w:dstrike w:val="0"/>
                <w:color w:val="auto"/>
                <w:kern w:val="0"/>
                <w:sz w:val="22"/>
                <w:szCs w:val="22"/>
                <w:highlight w:val="none"/>
                <w:lang w:bidi="ar"/>
              </w:rPr>
              <w:t>合价</w:t>
            </w:r>
          </w:p>
        </w:tc>
        <w:tc>
          <w:tcPr>
            <w:tcW w:w="103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strike w:val="0"/>
                <w:dstrike w:val="0"/>
                <w:color w:val="auto"/>
                <w:sz w:val="22"/>
                <w:szCs w:val="22"/>
                <w:highlight w:val="none"/>
              </w:rPr>
            </w:pPr>
          </w:p>
        </w:tc>
      </w:tr>
      <w:tr>
        <w:tblPrEx>
          <w:tblCellMar>
            <w:top w:w="0" w:type="dxa"/>
            <w:left w:w="0" w:type="dxa"/>
            <w:bottom w:w="0" w:type="dxa"/>
            <w:right w:w="0" w:type="dxa"/>
          </w:tblCellMar>
        </w:tblPrEx>
        <w:trPr>
          <w:trHeight w:val="329"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strike w:val="0"/>
                <w:dstrike w:val="0"/>
                <w:color w:val="auto"/>
                <w:sz w:val="22"/>
                <w:szCs w:val="22"/>
                <w:highlight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strike w:val="0"/>
                <w:dstrike w:val="0"/>
                <w:color w:val="auto"/>
                <w:sz w:val="22"/>
                <w:szCs w:val="22"/>
                <w:highlight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strike w:val="0"/>
                <w:dstrike w:val="0"/>
                <w:color w:val="auto"/>
                <w:sz w:val="22"/>
                <w:szCs w:val="22"/>
                <w:highlight w:val="none"/>
              </w:rPr>
            </w:pPr>
          </w:p>
        </w:tc>
        <w:tc>
          <w:tcPr>
            <w:tcW w:w="53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strike w:val="0"/>
                <w:dstrike w:val="0"/>
                <w:color w:val="auto"/>
                <w:sz w:val="22"/>
                <w:szCs w:val="22"/>
                <w:highlight w:val="none"/>
              </w:rPr>
            </w:pPr>
          </w:p>
        </w:tc>
        <w:tc>
          <w:tcPr>
            <w:tcW w:w="8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strike w:val="0"/>
                <w:dstrike w:val="0"/>
                <w:color w:val="auto"/>
                <w:sz w:val="22"/>
                <w:szCs w:val="22"/>
                <w:highlight w:val="none"/>
              </w:rPr>
            </w:pPr>
            <w:r>
              <w:rPr>
                <w:rFonts w:hint="eastAsia" w:ascii="宋体" w:hAnsi="宋体" w:cs="宋体"/>
                <w:strike w:val="0"/>
                <w:dstrike w:val="0"/>
                <w:color w:val="auto"/>
                <w:kern w:val="0"/>
                <w:sz w:val="22"/>
                <w:szCs w:val="22"/>
                <w:highlight w:val="none"/>
                <w:lang w:bidi="ar"/>
              </w:rPr>
              <w:t>市场价</w:t>
            </w:r>
          </w:p>
        </w:tc>
        <w:tc>
          <w:tcPr>
            <w:tcW w:w="8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strike w:val="0"/>
                <w:dstrike w:val="0"/>
                <w:color w:val="auto"/>
                <w:sz w:val="22"/>
                <w:szCs w:val="22"/>
                <w:highlight w:val="none"/>
              </w:rPr>
            </w:pPr>
            <w:r>
              <w:rPr>
                <w:rFonts w:hint="eastAsia" w:ascii="宋体" w:hAnsi="宋体" w:cs="宋体"/>
                <w:strike w:val="0"/>
                <w:dstrike w:val="0"/>
                <w:color w:val="auto"/>
                <w:kern w:val="0"/>
                <w:sz w:val="22"/>
                <w:szCs w:val="22"/>
                <w:highlight w:val="none"/>
                <w:lang w:bidi="ar"/>
              </w:rPr>
              <w:t>运杂费</w:t>
            </w:r>
          </w:p>
        </w:tc>
        <w:tc>
          <w:tcPr>
            <w:tcW w:w="8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strike w:val="0"/>
                <w:dstrike w:val="0"/>
                <w:color w:val="auto"/>
                <w:sz w:val="22"/>
                <w:szCs w:val="22"/>
                <w:highlight w:val="none"/>
              </w:rPr>
            </w:pPr>
            <w:r>
              <w:rPr>
                <w:rFonts w:hint="eastAsia" w:ascii="宋体" w:hAnsi="宋体" w:cs="宋体"/>
                <w:strike w:val="0"/>
                <w:dstrike w:val="0"/>
                <w:color w:val="auto"/>
                <w:kern w:val="0"/>
                <w:sz w:val="22"/>
                <w:szCs w:val="22"/>
                <w:highlight w:val="none"/>
                <w:lang w:bidi="ar"/>
              </w:rPr>
              <w:t>合计</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strike w:val="0"/>
                <w:dstrike w:val="0"/>
                <w:color w:val="auto"/>
                <w:sz w:val="22"/>
                <w:szCs w:val="22"/>
                <w:highlight w:val="none"/>
              </w:rPr>
            </w:pPr>
            <w:r>
              <w:rPr>
                <w:rFonts w:hint="eastAsia" w:ascii="宋体" w:hAnsi="宋体" w:cs="宋体"/>
                <w:strike w:val="0"/>
                <w:dstrike w:val="0"/>
                <w:color w:val="auto"/>
                <w:kern w:val="0"/>
                <w:sz w:val="22"/>
                <w:szCs w:val="22"/>
                <w:highlight w:val="none"/>
                <w:lang w:bidi="ar"/>
              </w:rPr>
              <w:t>市场价</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strike w:val="0"/>
                <w:dstrike w:val="0"/>
                <w:color w:val="auto"/>
                <w:sz w:val="22"/>
                <w:szCs w:val="22"/>
                <w:highlight w:val="none"/>
              </w:rPr>
            </w:pPr>
            <w:r>
              <w:rPr>
                <w:rFonts w:hint="eastAsia" w:ascii="宋体" w:hAnsi="宋体" w:cs="宋体"/>
                <w:strike w:val="0"/>
                <w:dstrike w:val="0"/>
                <w:color w:val="auto"/>
                <w:kern w:val="0"/>
                <w:sz w:val="22"/>
                <w:szCs w:val="22"/>
                <w:highlight w:val="none"/>
                <w:lang w:bidi="ar"/>
              </w:rPr>
              <w:t>运杂费</w:t>
            </w:r>
          </w:p>
        </w:tc>
        <w:tc>
          <w:tcPr>
            <w:tcW w:w="8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strike w:val="0"/>
                <w:dstrike w:val="0"/>
                <w:color w:val="auto"/>
                <w:sz w:val="22"/>
                <w:szCs w:val="22"/>
                <w:highlight w:val="none"/>
              </w:rPr>
            </w:pPr>
            <w:r>
              <w:rPr>
                <w:rFonts w:hint="eastAsia" w:ascii="宋体" w:hAnsi="宋体" w:cs="宋体"/>
                <w:strike w:val="0"/>
                <w:dstrike w:val="0"/>
                <w:color w:val="auto"/>
                <w:kern w:val="0"/>
                <w:sz w:val="22"/>
                <w:szCs w:val="22"/>
                <w:highlight w:val="none"/>
                <w:lang w:bidi="ar"/>
              </w:rPr>
              <w:t>合计</w:t>
            </w:r>
          </w:p>
        </w:tc>
        <w:tc>
          <w:tcPr>
            <w:tcW w:w="103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strike w:val="0"/>
                <w:dstrike w:val="0"/>
                <w:color w:val="auto"/>
                <w:sz w:val="22"/>
                <w:szCs w:val="22"/>
                <w:highlight w:val="none"/>
              </w:rPr>
            </w:pPr>
          </w:p>
        </w:tc>
      </w:tr>
      <w:tr>
        <w:tblPrEx>
          <w:tblCellMar>
            <w:top w:w="0" w:type="dxa"/>
            <w:left w:w="0" w:type="dxa"/>
            <w:bottom w:w="0" w:type="dxa"/>
            <w:right w:w="0" w:type="dxa"/>
          </w:tblCellMar>
        </w:tblPrEx>
        <w:trPr>
          <w:trHeight w:val="329" w:hRule="atLeast"/>
          <w:jc w:val="center"/>
        </w:trPr>
        <w:tc>
          <w:tcPr>
            <w:tcW w:w="5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strike w:val="0"/>
                <w:dstrike w:val="0"/>
                <w:color w:val="auto"/>
                <w:sz w:val="18"/>
                <w:szCs w:val="18"/>
                <w:highlight w:val="none"/>
              </w:rPr>
            </w:pPr>
          </w:p>
        </w:tc>
        <w:tc>
          <w:tcPr>
            <w:tcW w:w="5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8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8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8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7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7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84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10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r>
      <w:tr>
        <w:tblPrEx>
          <w:tblCellMar>
            <w:top w:w="0" w:type="dxa"/>
            <w:left w:w="0" w:type="dxa"/>
            <w:bottom w:w="0" w:type="dxa"/>
            <w:right w:w="0" w:type="dxa"/>
          </w:tblCellMar>
        </w:tblPrEx>
        <w:trPr>
          <w:trHeight w:val="329" w:hRule="atLeast"/>
          <w:jc w:val="center"/>
        </w:trPr>
        <w:tc>
          <w:tcPr>
            <w:tcW w:w="5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strike w:val="0"/>
                <w:dstrike w:val="0"/>
                <w:color w:val="auto"/>
                <w:sz w:val="18"/>
                <w:szCs w:val="18"/>
                <w:highlight w:val="none"/>
              </w:rPr>
            </w:pPr>
          </w:p>
        </w:tc>
        <w:tc>
          <w:tcPr>
            <w:tcW w:w="5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8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8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8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7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7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84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10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r>
      <w:tr>
        <w:tblPrEx>
          <w:tblCellMar>
            <w:top w:w="0" w:type="dxa"/>
            <w:left w:w="0" w:type="dxa"/>
            <w:bottom w:w="0" w:type="dxa"/>
            <w:right w:w="0" w:type="dxa"/>
          </w:tblCellMar>
        </w:tblPrEx>
        <w:trPr>
          <w:trHeight w:val="329" w:hRule="atLeast"/>
          <w:jc w:val="center"/>
        </w:trPr>
        <w:tc>
          <w:tcPr>
            <w:tcW w:w="5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strike w:val="0"/>
                <w:dstrike w:val="0"/>
                <w:color w:val="auto"/>
                <w:sz w:val="18"/>
                <w:szCs w:val="18"/>
                <w:highlight w:val="none"/>
              </w:rPr>
            </w:pPr>
          </w:p>
        </w:tc>
        <w:tc>
          <w:tcPr>
            <w:tcW w:w="5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8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8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8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7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7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84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10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r>
      <w:tr>
        <w:tblPrEx>
          <w:tblCellMar>
            <w:top w:w="0" w:type="dxa"/>
            <w:left w:w="0" w:type="dxa"/>
            <w:bottom w:w="0" w:type="dxa"/>
            <w:right w:w="0" w:type="dxa"/>
          </w:tblCellMar>
        </w:tblPrEx>
        <w:trPr>
          <w:trHeight w:val="329" w:hRule="atLeast"/>
          <w:jc w:val="center"/>
        </w:trPr>
        <w:tc>
          <w:tcPr>
            <w:tcW w:w="5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strike w:val="0"/>
                <w:dstrike w:val="0"/>
                <w:color w:val="auto"/>
                <w:sz w:val="18"/>
                <w:szCs w:val="18"/>
                <w:highlight w:val="none"/>
              </w:rPr>
            </w:pPr>
          </w:p>
        </w:tc>
        <w:tc>
          <w:tcPr>
            <w:tcW w:w="5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8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8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8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7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7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84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10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r>
      <w:tr>
        <w:tblPrEx>
          <w:tblCellMar>
            <w:top w:w="0" w:type="dxa"/>
            <w:left w:w="0" w:type="dxa"/>
            <w:bottom w:w="0" w:type="dxa"/>
            <w:right w:w="0" w:type="dxa"/>
          </w:tblCellMar>
        </w:tblPrEx>
        <w:trPr>
          <w:trHeight w:val="329" w:hRule="atLeast"/>
          <w:jc w:val="center"/>
        </w:trPr>
        <w:tc>
          <w:tcPr>
            <w:tcW w:w="531"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1064"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532"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533"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836"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836"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836"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723"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723"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847"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1038"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r>
      <w:tr>
        <w:tblPrEx>
          <w:tblCellMar>
            <w:top w:w="0" w:type="dxa"/>
            <w:left w:w="0" w:type="dxa"/>
            <w:bottom w:w="0" w:type="dxa"/>
            <w:right w:w="0" w:type="dxa"/>
          </w:tblCellMar>
        </w:tblPrEx>
        <w:trPr>
          <w:trHeight w:val="319" w:hRule="atLeast"/>
          <w:jc w:val="center"/>
        </w:trPr>
        <w:tc>
          <w:tcPr>
            <w:tcW w:w="7461" w:type="dxa"/>
            <w:gridSpan w:val="10"/>
            <w:vMerge w:val="restart"/>
            <w:tcBorders>
              <w:top w:val="nil"/>
              <w:left w:val="nil"/>
              <w:bottom w:val="nil"/>
              <w:right w:val="nil"/>
            </w:tcBorders>
            <w:noWrap w:val="0"/>
            <w:tcMar>
              <w:top w:w="12" w:type="dxa"/>
              <w:left w:w="12" w:type="dxa"/>
              <w:right w:w="12" w:type="dxa"/>
            </w:tcMar>
            <w:vAlign w:val="center"/>
          </w:tcPr>
          <w:p>
            <w:pPr>
              <w:widowControl/>
              <w:jc w:val="left"/>
              <w:textAlignment w:val="center"/>
              <w:rPr>
                <w:rFonts w:hint="eastAsia" w:ascii="宋体" w:hAnsi="宋体" w:eastAsia="宋体" w:cs="宋体"/>
                <w:strike w:val="0"/>
                <w:dstrike w:val="0"/>
                <w:color w:val="auto"/>
                <w:kern w:val="0"/>
                <w:sz w:val="20"/>
                <w:highlight w:val="none"/>
                <w:lang w:eastAsia="zh-CN" w:bidi="ar"/>
              </w:rPr>
            </w:pPr>
            <w:r>
              <w:rPr>
                <w:rFonts w:hint="eastAsia" w:ascii="宋体" w:hAnsi="宋体" w:cs="宋体"/>
                <w:strike w:val="0"/>
                <w:dstrike w:val="0"/>
                <w:color w:val="auto"/>
                <w:kern w:val="0"/>
                <w:sz w:val="20"/>
                <w:highlight w:val="none"/>
                <w:lang w:bidi="ar"/>
              </w:rPr>
              <w:t>填表说明：</w:t>
            </w:r>
          </w:p>
          <w:p>
            <w:pPr>
              <w:widowControl/>
              <w:jc w:val="left"/>
              <w:textAlignment w:val="center"/>
              <w:rPr>
                <w:rFonts w:hint="eastAsia" w:ascii="宋体" w:hAnsi="宋体" w:eastAsia="宋体" w:cs="宋体"/>
                <w:strike w:val="0"/>
                <w:dstrike w:val="0"/>
                <w:color w:val="auto"/>
                <w:kern w:val="0"/>
                <w:sz w:val="20"/>
                <w:highlight w:val="none"/>
                <w:lang w:eastAsia="zh-CN" w:bidi="ar"/>
              </w:rPr>
            </w:pPr>
            <w:r>
              <w:rPr>
                <w:rFonts w:hint="eastAsia" w:ascii="宋体" w:hAnsi="宋体" w:cs="宋体"/>
                <w:strike w:val="0"/>
                <w:dstrike w:val="0"/>
                <w:color w:val="auto"/>
                <w:kern w:val="0"/>
                <w:sz w:val="20"/>
                <w:highlight w:val="none"/>
                <w:lang w:bidi="ar"/>
              </w:rPr>
              <w:t>1、报表需按最小级项目划分结构输出，并采用标准的费用编码。</w:t>
            </w:r>
          </w:p>
          <w:p>
            <w:pPr>
              <w:widowControl/>
              <w:jc w:val="left"/>
              <w:textAlignment w:val="center"/>
              <w:rPr>
                <w:rFonts w:hint="eastAsia" w:ascii="宋体" w:hAnsi="宋体" w:cs="宋体"/>
                <w:strike w:val="0"/>
                <w:dstrike w:val="0"/>
                <w:color w:val="auto"/>
                <w:sz w:val="20"/>
                <w:highlight w:val="none"/>
              </w:rPr>
            </w:pPr>
            <w:r>
              <w:rPr>
                <w:rFonts w:hint="eastAsia" w:ascii="宋体" w:hAnsi="宋体" w:cs="宋体"/>
                <w:strike w:val="0"/>
                <w:dstrike w:val="0"/>
                <w:color w:val="auto"/>
                <w:kern w:val="0"/>
                <w:sz w:val="20"/>
                <w:highlight w:val="none"/>
                <w:lang w:bidi="ar"/>
              </w:rPr>
              <w:t>2、针对报表中的设备需标明编号。</w:t>
            </w:r>
          </w:p>
        </w:tc>
        <w:tc>
          <w:tcPr>
            <w:tcW w:w="1038"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r>
      <w:tr>
        <w:tblPrEx>
          <w:tblCellMar>
            <w:top w:w="0" w:type="dxa"/>
            <w:left w:w="0" w:type="dxa"/>
            <w:bottom w:w="0" w:type="dxa"/>
            <w:right w:w="0" w:type="dxa"/>
          </w:tblCellMar>
        </w:tblPrEx>
        <w:trPr>
          <w:trHeight w:val="319" w:hRule="atLeast"/>
          <w:jc w:val="center"/>
        </w:trPr>
        <w:tc>
          <w:tcPr>
            <w:tcW w:w="7461" w:type="dxa"/>
            <w:gridSpan w:val="10"/>
            <w:vMerge w:val="continue"/>
            <w:tcBorders>
              <w:top w:val="nil"/>
              <w:left w:val="nil"/>
              <w:bottom w:val="nil"/>
              <w:right w:val="nil"/>
            </w:tcBorders>
            <w:noWrap w:val="0"/>
            <w:tcMar>
              <w:top w:w="12" w:type="dxa"/>
              <w:left w:w="12" w:type="dxa"/>
              <w:right w:w="12" w:type="dxa"/>
            </w:tcMar>
            <w:vAlign w:val="center"/>
          </w:tcPr>
          <w:p>
            <w:pPr>
              <w:jc w:val="left"/>
              <w:rPr>
                <w:rFonts w:hint="eastAsia" w:ascii="宋体" w:hAnsi="宋体" w:cs="宋体"/>
                <w:strike w:val="0"/>
                <w:dstrike w:val="0"/>
                <w:color w:val="auto"/>
                <w:sz w:val="20"/>
                <w:highlight w:val="none"/>
              </w:rPr>
            </w:pPr>
          </w:p>
        </w:tc>
        <w:tc>
          <w:tcPr>
            <w:tcW w:w="1038"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r>
      <w:tr>
        <w:tblPrEx>
          <w:tblCellMar>
            <w:top w:w="0" w:type="dxa"/>
            <w:left w:w="0" w:type="dxa"/>
            <w:bottom w:w="0" w:type="dxa"/>
            <w:right w:w="0" w:type="dxa"/>
          </w:tblCellMar>
        </w:tblPrEx>
        <w:trPr>
          <w:trHeight w:val="705" w:hRule="atLeast"/>
          <w:jc w:val="center"/>
        </w:trPr>
        <w:tc>
          <w:tcPr>
            <w:tcW w:w="7461" w:type="dxa"/>
            <w:gridSpan w:val="10"/>
            <w:vMerge w:val="continue"/>
            <w:tcBorders>
              <w:top w:val="nil"/>
              <w:left w:val="nil"/>
              <w:bottom w:val="nil"/>
              <w:right w:val="nil"/>
            </w:tcBorders>
            <w:noWrap w:val="0"/>
            <w:tcMar>
              <w:top w:w="12" w:type="dxa"/>
              <w:left w:w="12" w:type="dxa"/>
              <w:right w:w="12" w:type="dxa"/>
            </w:tcMar>
            <w:vAlign w:val="center"/>
          </w:tcPr>
          <w:p>
            <w:pPr>
              <w:jc w:val="left"/>
              <w:rPr>
                <w:rFonts w:hint="eastAsia" w:ascii="宋体" w:hAnsi="宋体" w:cs="宋体"/>
                <w:strike w:val="0"/>
                <w:dstrike w:val="0"/>
                <w:color w:val="auto"/>
                <w:sz w:val="20"/>
                <w:highlight w:val="none"/>
              </w:rPr>
            </w:pPr>
          </w:p>
        </w:tc>
        <w:tc>
          <w:tcPr>
            <w:tcW w:w="1038"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r>
    </w:tbl>
    <w:p>
      <w:pPr>
        <w:rPr>
          <w:rFonts w:hint="eastAsia"/>
          <w:color w:val="auto"/>
          <w:highlight w:val="none"/>
          <w:lang w:val="en-US" w:eastAsia="zh-CN"/>
        </w:rPr>
      </w:pPr>
    </w:p>
    <w:tbl>
      <w:tblPr>
        <w:tblStyle w:val="43"/>
        <w:tblW w:w="8881" w:type="dxa"/>
        <w:jc w:val="center"/>
        <w:tblLayout w:type="autofit"/>
        <w:tblCellMar>
          <w:top w:w="0" w:type="dxa"/>
          <w:left w:w="0" w:type="dxa"/>
          <w:bottom w:w="0" w:type="dxa"/>
          <w:right w:w="0" w:type="dxa"/>
        </w:tblCellMar>
      </w:tblPr>
      <w:tblGrid>
        <w:gridCol w:w="554"/>
        <w:gridCol w:w="1112"/>
        <w:gridCol w:w="556"/>
        <w:gridCol w:w="557"/>
        <w:gridCol w:w="874"/>
        <w:gridCol w:w="874"/>
        <w:gridCol w:w="874"/>
        <w:gridCol w:w="755"/>
        <w:gridCol w:w="755"/>
        <w:gridCol w:w="885"/>
        <w:gridCol w:w="1085"/>
      </w:tblGrid>
      <w:tr>
        <w:tblPrEx>
          <w:tblCellMar>
            <w:top w:w="0" w:type="dxa"/>
            <w:left w:w="0" w:type="dxa"/>
            <w:bottom w:w="0" w:type="dxa"/>
            <w:right w:w="0" w:type="dxa"/>
          </w:tblCellMar>
        </w:tblPrEx>
        <w:trPr>
          <w:trHeight w:val="625" w:hRule="atLeast"/>
          <w:jc w:val="center"/>
        </w:trPr>
        <w:tc>
          <w:tcPr>
            <w:tcW w:w="7461" w:type="dxa"/>
            <w:gridSpan w:val="10"/>
            <w:tcBorders>
              <w:top w:val="nil"/>
              <w:left w:val="nil"/>
              <w:bottom w:val="nil"/>
              <w:right w:val="nil"/>
            </w:tcBorders>
            <w:noWrap w:val="0"/>
            <w:tcMar>
              <w:top w:w="12" w:type="dxa"/>
              <w:left w:w="12" w:type="dxa"/>
              <w:right w:w="12" w:type="dxa"/>
            </w:tcMar>
            <w:vAlign w:val="center"/>
          </w:tcPr>
          <w:p>
            <w:pPr>
              <w:widowControl/>
              <w:jc w:val="center"/>
              <w:textAlignment w:val="center"/>
              <w:rPr>
                <w:rFonts w:hint="eastAsia" w:ascii="宋体" w:hAnsi="宋体" w:cs="宋体"/>
                <w:b/>
                <w:strike w:val="0"/>
                <w:dstrike w:val="0"/>
                <w:color w:val="auto"/>
                <w:sz w:val="44"/>
                <w:szCs w:val="44"/>
                <w:highlight w:val="none"/>
              </w:rPr>
            </w:pPr>
            <w:r>
              <w:rPr>
                <w:rFonts w:hint="eastAsia" w:ascii="宋体" w:hAnsi="宋体" w:cs="宋体"/>
                <w:b/>
                <w:strike w:val="0"/>
                <w:dstrike w:val="0"/>
                <w:color w:val="auto"/>
                <w:kern w:val="0"/>
                <w:sz w:val="44"/>
                <w:szCs w:val="44"/>
                <w:highlight w:val="none"/>
                <w:lang w:val="en-US" w:eastAsia="zh-CN" w:bidi="ar"/>
              </w:rPr>
              <w:t>安装</w:t>
            </w:r>
            <w:r>
              <w:rPr>
                <w:rFonts w:hint="eastAsia" w:ascii="宋体" w:hAnsi="宋体" w:cs="宋体"/>
                <w:b/>
                <w:strike w:val="0"/>
                <w:dstrike w:val="0"/>
                <w:color w:val="auto"/>
                <w:kern w:val="0"/>
                <w:sz w:val="44"/>
                <w:szCs w:val="44"/>
                <w:highlight w:val="none"/>
                <w:lang w:bidi="ar"/>
              </w:rPr>
              <w:t>工程乙供设备汇总表</w:t>
            </w:r>
          </w:p>
        </w:tc>
        <w:tc>
          <w:tcPr>
            <w:tcW w:w="1038"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r>
      <w:tr>
        <w:tblPrEx>
          <w:tblCellMar>
            <w:top w:w="0" w:type="dxa"/>
            <w:left w:w="0" w:type="dxa"/>
            <w:bottom w:w="0" w:type="dxa"/>
            <w:right w:w="0" w:type="dxa"/>
          </w:tblCellMar>
        </w:tblPrEx>
        <w:trPr>
          <w:trHeight w:val="319" w:hRule="atLeast"/>
          <w:jc w:val="center"/>
        </w:trPr>
        <w:tc>
          <w:tcPr>
            <w:tcW w:w="531"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1064"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532"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533"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836"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836"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836"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723"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723"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847"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1038" w:type="dxa"/>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宋体" w:hAnsi="宋体" w:cs="宋体"/>
                <w:strike w:val="0"/>
                <w:dstrike w:val="0"/>
                <w:color w:val="auto"/>
                <w:sz w:val="18"/>
                <w:szCs w:val="18"/>
                <w:highlight w:val="none"/>
              </w:rPr>
            </w:pPr>
            <w:r>
              <w:rPr>
                <w:rFonts w:hint="eastAsia" w:ascii="宋体" w:hAnsi="宋体" w:cs="宋体"/>
                <w:strike w:val="0"/>
                <w:dstrike w:val="0"/>
                <w:color w:val="auto"/>
                <w:kern w:val="0"/>
                <w:sz w:val="18"/>
                <w:szCs w:val="18"/>
                <w:highlight w:val="none"/>
                <w:lang w:bidi="ar"/>
              </w:rPr>
              <w:t>金额单位:元</w:t>
            </w:r>
          </w:p>
        </w:tc>
      </w:tr>
      <w:tr>
        <w:tblPrEx>
          <w:tblCellMar>
            <w:top w:w="0" w:type="dxa"/>
            <w:left w:w="0" w:type="dxa"/>
            <w:bottom w:w="0" w:type="dxa"/>
            <w:right w:w="0" w:type="dxa"/>
          </w:tblCellMar>
        </w:tblPrEx>
        <w:trPr>
          <w:trHeight w:val="329" w:hRule="atLeast"/>
          <w:jc w:val="center"/>
        </w:trPr>
        <w:tc>
          <w:tcPr>
            <w:tcW w:w="53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strike w:val="0"/>
                <w:dstrike w:val="0"/>
                <w:color w:val="auto"/>
                <w:sz w:val="22"/>
                <w:szCs w:val="22"/>
                <w:highlight w:val="none"/>
              </w:rPr>
            </w:pPr>
            <w:r>
              <w:rPr>
                <w:rFonts w:hint="eastAsia" w:ascii="宋体" w:hAnsi="宋体" w:cs="宋体"/>
                <w:strike w:val="0"/>
                <w:dstrike w:val="0"/>
                <w:color w:val="auto"/>
                <w:kern w:val="0"/>
                <w:sz w:val="22"/>
                <w:szCs w:val="22"/>
                <w:highlight w:val="none"/>
                <w:lang w:bidi="ar"/>
              </w:rPr>
              <w:t>编号</w:t>
            </w:r>
          </w:p>
        </w:tc>
        <w:tc>
          <w:tcPr>
            <w:tcW w:w="106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strike w:val="0"/>
                <w:dstrike w:val="0"/>
                <w:color w:val="auto"/>
                <w:sz w:val="22"/>
                <w:szCs w:val="22"/>
                <w:highlight w:val="none"/>
              </w:rPr>
            </w:pPr>
            <w:r>
              <w:rPr>
                <w:rFonts w:hint="eastAsia" w:ascii="宋体" w:hAnsi="宋体" w:cs="宋体"/>
                <w:strike w:val="0"/>
                <w:dstrike w:val="0"/>
                <w:color w:val="auto"/>
                <w:kern w:val="0"/>
                <w:sz w:val="22"/>
                <w:szCs w:val="22"/>
                <w:highlight w:val="none"/>
                <w:lang w:bidi="ar"/>
              </w:rPr>
              <w:t>设备名称</w:t>
            </w:r>
          </w:p>
        </w:tc>
        <w:tc>
          <w:tcPr>
            <w:tcW w:w="53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strike w:val="0"/>
                <w:dstrike w:val="0"/>
                <w:color w:val="auto"/>
                <w:sz w:val="22"/>
                <w:szCs w:val="22"/>
                <w:highlight w:val="none"/>
              </w:rPr>
            </w:pPr>
            <w:r>
              <w:rPr>
                <w:rFonts w:hint="eastAsia" w:ascii="宋体" w:hAnsi="宋体" w:cs="宋体"/>
                <w:strike w:val="0"/>
                <w:dstrike w:val="0"/>
                <w:color w:val="auto"/>
                <w:kern w:val="0"/>
                <w:sz w:val="22"/>
                <w:szCs w:val="22"/>
                <w:highlight w:val="none"/>
                <w:lang w:bidi="ar"/>
              </w:rPr>
              <w:t>单位</w:t>
            </w:r>
          </w:p>
        </w:tc>
        <w:tc>
          <w:tcPr>
            <w:tcW w:w="5334" w:type="dxa"/>
            <w:gridSpan w:val="7"/>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宋体" w:hAnsi="宋体" w:cs="宋体"/>
                <w:strike w:val="0"/>
                <w:dstrike w:val="0"/>
                <w:color w:val="auto"/>
                <w:sz w:val="22"/>
                <w:szCs w:val="22"/>
                <w:highlight w:val="none"/>
              </w:rPr>
            </w:pPr>
            <w:r>
              <w:rPr>
                <w:rFonts w:hint="eastAsia" w:ascii="宋体" w:hAnsi="宋体" w:cs="宋体"/>
                <w:strike w:val="0"/>
                <w:dstrike w:val="0"/>
                <w:color w:val="auto"/>
                <w:kern w:val="0"/>
                <w:sz w:val="22"/>
                <w:szCs w:val="22"/>
                <w:highlight w:val="none"/>
                <w:lang w:bidi="ar"/>
              </w:rPr>
              <w:t>限价（报价）</w:t>
            </w:r>
          </w:p>
        </w:tc>
        <w:tc>
          <w:tcPr>
            <w:tcW w:w="103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strike w:val="0"/>
                <w:dstrike w:val="0"/>
                <w:color w:val="auto"/>
                <w:sz w:val="22"/>
                <w:szCs w:val="22"/>
                <w:highlight w:val="none"/>
              </w:rPr>
            </w:pPr>
            <w:r>
              <w:rPr>
                <w:rFonts w:hint="eastAsia" w:ascii="宋体" w:hAnsi="宋体" w:cs="宋体"/>
                <w:strike w:val="0"/>
                <w:dstrike w:val="0"/>
                <w:color w:val="auto"/>
                <w:kern w:val="0"/>
                <w:sz w:val="22"/>
                <w:szCs w:val="22"/>
                <w:highlight w:val="none"/>
                <w:lang w:bidi="ar"/>
              </w:rPr>
              <w:t>费用编码</w:t>
            </w:r>
          </w:p>
        </w:tc>
      </w:tr>
      <w:tr>
        <w:tblPrEx>
          <w:tblCellMar>
            <w:top w:w="0" w:type="dxa"/>
            <w:left w:w="0" w:type="dxa"/>
            <w:bottom w:w="0" w:type="dxa"/>
            <w:right w:w="0" w:type="dxa"/>
          </w:tblCellMar>
        </w:tblPrEx>
        <w:trPr>
          <w:trHeight w:val="329"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strike w:val="0"/>
                <w:dstrike w:val="0"/>
                <w:color w:val="auto"/>
                <w:sz w:val="22"/>
                <w:szCs w:val="22"/>
                <w:highlight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strike w:val="0"/>
                <w:dstrike w:val="0"/>
                <w:color w:val="auto"/>
                <w:sz w:val="22"/>
                <w:szCs w:val="22"/>
                <w:highlight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strike w:val="0"/>
                <w:dstrike w:val="0"/>
                <w:color w:val="auto"/>
                <w:sz w:val="22"/>
                <w:szCs w:val="22"/>
                <w:highlight w:val="none"/>
              </w:rPr>
            </w:pPr>
          </w:p>
        </w:tc>
        <w:tc>
          <w:tcPr>
            <w:tcW w:w="53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strike w:val="0"/>
                <w:dstrike w:val="0"/>
                <w:color w:val="auto"/>
                <w:sz w:val="22"/>
                <w:szCs w:val="22"/>
                <w:highlight w:val="none"/>
              </w:rPr>
            </w:pPr>
            <w:r>
              <w:rPr>
                <w:rFonts w:hint="eastAsia" w:ascii="宋体" w:hAnsi="宋体" w:cs="宋体"/>
                <w:strike w:val="0"/>
                <w:dstrike w:val="0"/>
                <w:color w:val="auto"/>
                <w:kern w:val="0"/>
                <w:sz w:val="22"/>
                <w:szCs w:val="22"/>
                <w:highlight w:val="none"/>
                <w:lang w:bidi="ar"/>
              </w:rPr>
              <w:t>数量</w:t>
            </w:r>
          </w:p>
        </w:tc>
        <w:tc>
          <w:tcPr>
            <w:tcW w:w="250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strike w:val="0"/>
                <w:dstrike w:val="0"/>
                <w:color w:val="auto"/>
                <w:sz w:val="22"/>
                <w:szCs w:val="22"/>
                <w:highlight w:val="none"/>
              </w:rPr>
            </w:pPr>
            <w:r>
              <w:rPr>
                <w:rFonts w:hint="eastAsia" w:ascii="宋体" w:hAnsi="宋体" w:cs="宋体"/>
                <w:strike w:val="0"/>
                <w:dstrike w:val="0"/>
                <w:color w:val="auto"/>
                <w:kern w:val="0"/>
                <w:sz w:val="22"/>
                <w:szCs w:val="22"/>
                <w:highlight w:val="none"/>
                <w:lang w:bidi="ar"/>
              </w:rPr>
              <w:t>单价</w:t>
            </w:r>
          </w:p>
        </w:tc>
        <w:tc>
          <w:tcPr>
            <w:tcW w:w="2293"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strike w:val="0"/>
                <w:dstrike w:val="0"/>
                <w:color w:val="auto"/>
                <w:sz w:val="22"/>
                <w:szCs w:val="22"/>
                <w:highlight w:val="none"/>
              </w:rPr>
            </w:pPr>
            <w:r>
              <w:rPr>
                <w:rFonts w:hint="eastAsia" w:ascii="宋体" w:hAnsi="宋体" w:cs="宋体"/>
                <w:strike w:val="0"/>
                <w:dstrike w:val="0"/>
                <w:color w:val="auto"/>
                <w:kern w:val="0"/>
                <w:sz w:val="22"/>
                <w:szCs w:val="22"/>
                <w:highlight w:val="none"/>
                <w:lang w:bidi="ar"/>
              </w:rPr>
              <w:t>合价</w:t>
            </w:r>
          </w:p>
        </w:tc>
        <w:tc>
          <w:tcPr>
            <w:tcW w:w="103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strike w:val="0"/>
                <w:dstrike w:val="0"/>
                <w:color w:val="auto"/>
                <w:sz w:val="22"/>
                <w:szCs w:val="22"/>
                <w:highlight w:val="none"/>
              </w:rPr>
            </w:pPr>
          </w:p>
        </w:tc>
      </w:tr>
      <w:tr>
        <w:tblPrEx>
          <w:tblCellMar>
            <w:top w:w="0" w:type="dxa"/>
            <w:left w:w="0" w:type="dxa"/>
            <w:bottom w:w="0" w:type="dxa"/>
            <w:right w:w="0" w:type="dxa"/>
          </w:tblCellMar>
        </w:tblPrEx>
        <w:trPr>
          <w:trHeight w:val="329"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strike w:val="0"/>
                <w:dstrike w:val="0"/>
                <w:color w:val="auto"/>
                <w:sz w:val="22"/>
                <w:szCs w:val="22"/>
                <w:highlight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strike w:val="0"/>
                <w:dstrike w:val="0"/>
                <w:color w:val="auto"/>
                <w:sz w:val="22"/>
                <w:szCs w:val="22"/>
                <w:highlight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strike w:val="0"/>
                <w:dstrike w:val="0"/>
                <w:color w:val="auto"/>
                <w:sz w:val="22"/>
                <w:szCs w:val="22"/>
                <w:highlight w:val="none"/>
              </w:rPr>
            </w:pPr>
          </w:p>
        </w:tc>
        <w:tc>
          <w:tcPr>
            <w:tcW w:w="53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strike w:val="0"/>
                <w:dstrike w:val="0"/>
                <w:color w:val="auto"/>
                <w:sz w:val="22"/>
                <w:szCs w:val="22"/>
                <w:highlight w:val="none"/>
              </w:rPr>
            </w:pPr>
          </w:p>
        </w:tc>
        <w:tc>
          <w:tcPr>
            <w:tcW w:w="8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strike w:val="0"/>
                <w:dstrike w:val="0"/>
                <w:color w:val="auto"/>
                <w:sz w:val="22"/>
                <w:szCs w:val="22"/>
                <w:highlight w:val="none"/>
              </w:rPr>
            </w:pPr>
            <w:r>
              <w:rPr>
                <w:rFonts w:hint="eastAsia" w:ascii="宋体" w:hAnsi="宋体" w:cs="宋体"/>
                <w:strike w:val="0"/>
                <w:dstrike w:val="0"/>
                <w:color w:val="auto"/>
                <w:kern w:val="0"/>
                <w:sz w:val="22"/>
                <w:szCs w:val="22"/>
                <w:highlight w:val="none"/>
                <w:lang w:bidi="ar"/>
              </w:rPr>
              <w:t>市场价</w:t>
            </w:r>
          </w:p>
        </w:tc>
        <w:tc>
          <w:tcPr>
            <w:tcW w:w="8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strike w:val="0"/>
                <w:dstrike w:val="0"/>
                <w:color w:val="auto"/>
                <w:sz w:val="22"/>
                <w:szCs w:val="22"/>
                <w:highlight w:val="none"/>
              </w:rPr>
            </w:pPr>
            <w:r>
              <w:rPr>
                <w:rFonts w:hint="eastAsia" w:ascii="宋体" w:hAnsi="宋体" w:cs="宋体"/>
                <w:strike w:val="0"/>
                <w:dstrike w:val="0"/>
                <w:color w:val="auto"/>
                <w:kern w:val="0"/>
                <w:sz w:val="22"/>
                <w:szCs w:val="22"/>
                <w:highlight w:val="none"/>
                <w:lang w:bidi="ar"/>
              </w:rPr>
              <w:t>运杂费</w:t>
            </w:r>
          </w:p>
        </w:tc>
        <w:tc>
          <w:tcPr>
            <w:tcW w:w="8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strike w:val="0"/>
                <w:dstrike w:val="0"/>
                <w:color w:val="auto"/>
                <w:sz w:val="22"/>
                <w:szCs w:val="22"/>
                <w:highlight w:val="none"/>
              </w:rPr>
            </w:pPr>
            <w:r>
              <w:rPr>
                <w:rFonts w:hint="eastAsia" w:ascii="宋体" w:hAnsi="宋体" w:cs="宋体"/>
                <w:strike w:val="0"/>
                <w:dstrike w:val="0"/>
                <w:color w:val="auto"/>
                <w:kern w:val="0"/>
                <w:sz w:val="22"/>
                <w:szCs w:val="22"/>
                <w:highlight w:val="none"/>
                <w:lang w:bidi="ar"/>
              </w:rPr>
              <w:t>合计</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strike w:val="0"/>
                <w:dstrike w:val="0"/>
                <w:color w:val="auto"/>
                <w:sz w:val="22"/>
                <w:szCs w:val="22"/>
                <w:highlight w:val="none"/>
              </w:rPr>
            </w:pPr>
            <w:r>
              <w:rPr>
                <w:rFonts w:hint="eastAsia" w:ascii="宋体" w:hAnsi="宋体" w:cs="宋体"/>
                <w:strike w:val="0"/>
                <w:dstrike w:val="0"/>
                <w:color w:val="auto"/>
                <w:kern w:val="0"/>
                <w:sz w:val="22"/>
                <w:szCs w:val="22"/>
                <w:highlight w:val="none"/>
                <w:lang w:bidi="ar"/>
              </w:rPr>
              <w:t>市场价</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strike w:val="0"/>
                <w:dstrike w:val="0"/>
                <w:color w:val="auto"/>
                <w:sz w:val="22"/>
                <w:szCs w:val="22"/>
                <w:highlight w:val="none"/>
              </w:rPr>
            </w:pPr>
            <w:r>
              <w:rPr>
                <w:rFonts w:hint="eastAsia" w:ascii="宋体" w:hAnsi="宋体" w:cs="宋体"/>
                <w:strike w:val="0"/>
                <w:dstrike w:val="0"/>
                <w:color w:val="auto"/>
                <w:kern w:val="0"/>
                <w:sz w:val="22"/>
                <w:szCs w:val="22"/>
                <w:highlight w:val="none"/>
                <w:lang w:bidi="ar"/>
              </w:rPr>
              <w:t>运杂费</w:t>
            </w:r>
          </w:p>
        </w:tc>
        <w:tc>
          <w:tcPr>
            <w:tcW w:w="8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strike w:val="0"/>
                <w:dstrike w:val="0"/>
                <w:color w:val="auto"/>
                <w:sz w:val="22"/>
                <w:szCs w:val="22"/>
                <w:highlight w:val="none"/>
              </w:rPr>
            </w:pPr>
            <w:r>
              <w:rPr>
                <w:rFonts w:hint="eastAsia" w:ascii="宋体" w:hAnsi="宋体" w:cs="宋体"/>
                <w:strike w:val="0"/>
                <w:dstrike w:val="0"/>
                <w:color w:val="auto"/>
                <w:kern w:val="0"/>
                <w:sz w:val="22"/>
                <w:szCs w:val="22"/>
                <w:highlight w:val="none"/>
                <w:lang w:bidi="ar"/>
              </w:rPr>
              <w:t>合计</w:t>
            </w:r>
          </w:p>
        </w:tc>
        <w:tc>
          <w:tcPr>
            <w:tcW w:w="103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strike w:val="0"/>
                <w:dstrike w:val="0"/>
                <w:color w:val="auto"/>
                <w:sz w:val="22"/>
                <w:szCs w:val="22"/>
                <w:highlight w:val="none"/>
              </w:rPr>
            </w:pPr>
          </w:p>
        </w:tc>
      </w:tr>
      <w:tr>
        <w:tblPrEx>
          <w:tblCellMar>
            <w:top w:w="0" w:type="dxa"/>
            <w:left w:w="0" w:type="dxa"/>
            <w:bottom w:w="0" w:type="dxa"/>
            <w:right w:w="0" w:type="dxa"/>
          </w:tblCellMar>
        </w:tblPrEx>
        <w:trPr>
          <w:trHeight w:val="329" w:hRule="atLeast"/>
          <w:jc w:val="center"/>
        </w:trPr>
        <w:tc>
          <w:tcPr>
            <w:tcW w:w="5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strike w:val="0"/>
                <w:dstrike w:val="0"/>
                <w:color w:val="auto"/>
                <w:sz w:val="18"/>
                <w:szCs w:val="18"/>
                <w:highlight w:val="none"/>
              </w:rPr>
            </w:pPr>
          </w:p>
        </w:tc>
        <w:tc>
          <w:tcPr>
            <w:tcW w:w="5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8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8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8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7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7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84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10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r>
      <w:tr>
        <w:tblPrEx>
          <w:tblCellMar>
            <w:top w:w="0" w:type="dxa"/>
            <w:left w:w="0" w:type="dxa"/>
            <w:bottom w:w="0" w:type="dxa"/>
            <w:right w:w="0" w:type="dxa"/>
          </w:tblCellMar>
        </w:tblPrEx>
        <w:trPr>
          <w:trHeight w:val="329" w:hRule="atLeast"/>
          <w:jc w:val="center"/>
        </w:trPr>
        <w:tc>
          <w:tcPr>
            <w:tcW w:w="5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strike w:val="0"/>
                <w:dstrike w:val="0"/>
                <w:color w:val="auto"/>
                <w:sz w:val="18"/>
                <w:szCs w:val="18"/>
                <w:highlight w:val="none"/>
              </w:rPr>
            </w:pPr>
          </w:p>
        </w:tc>
        <w:tc>
          <w:tcPr>
            <w:tcW w:w="5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8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8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8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7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7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84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10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r>
      <w:tr>
        <w:tblPrEx>
          <w:tblCellMar>
            <w:top w:w="0" w:type="dxa"/>
            <w:left w:w="0" w:type="dxa"/>
            <w:bottom w:w="0" w:type="dxa"/>
            <w:right w:w="0" w:type="dxa"/>
          </w:tblCellMar>
        </w:tblPrEx>
        <w:trPr>
          <w:trHeight w:val="329" w:hRule="atLeast"/>
          <w:jc w:val="center"/>
        </w:trPr>
        <w:tc>
          <w:tcPr>
            <w:tcW w:w="5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strike w:val="0"/>
                <w:dstrike w:val="0"/>
                <w:color w:val="auto"/>
                <w:sz w:val="18"/>
                <w:szCs w:val="18"/>
                <w:highlight w:val="none"/>
              </w:rPr>
            </w:pPr>
          </w:p>
        </w:tc>
        <w:tc>
          <w:tcPr>
            <w:tcW w:w="5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8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8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8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7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7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84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10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r>
      <w:tr>
        <w:tblPrEx>
          <w:tblCellMar>
            <w:top w:w="0" w:type="dxa"/>
            <w:left w:w="0" w:type="dxa"/>
            <w:bottom w:w="0" w:type="dxa"/>
            <w:right w:w="0" w:type="dxa"/>
          </w:tblCellMar>
        </w:tblPrEx>
        <w:trPr>
          <w:trHeight w:val="329" w:hRule="atLeast"/>
          <w:jc w:val="center"/>
        </w:trPr>
        <w:tc>
          <w:tcPr>
            <w:tcW w:w="5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strike w:val="0"/>
                <w:dstrike w:val="0"/>
                <w:color w:val="auto"/>
                <w:sz w:val="18"/>
                <w:szCs w:val="18"/>
                <w:highlight w:val="none"/>
              </w:rPr>
            </w:pPr>
          </w:p>
        </w:tc>
        <w:tc>
          <w:tcPr>
            <w:tcW w:w="5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8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8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8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7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7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84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cs="宋体"/>
                <w:strike w:val="0"/>
                <w:dstrike w:val="0"/>
                <w:color w:val="auto"/>
                <w:sz w:val="18"/>
                <w:szCs w:val="18"/>
                <w:highlight w:val="none"/>
              </w:rPr>
            </w:pPr>
          </w:p>
        </w:tc>
        <w:tc>
          <w:tcPr>
            <w:tcW w:w="10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r>
      <w:tr>
        <w:tblPrEx>
          <w:tblCellMar>
            <w:top w:w="0" w:type="dxa"/>
            <w:left w:w="0" w:type="dxa"/>
            <w:bottom w:w="0" w:type="dxa"/>
            <w:right w:w="0" w:type="dxa"/>
          </w:tblCellMar>
        </w:tblPrEx>
        <w:trPr>
          <w:trHeight w:val="329" w:hRule="atLeast"/>
          <w:jc w:val="center"/>
        </w:trPr>
        <w:tc>
          <w:tcPr>
            <w:tcW w:w="531"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1064"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532"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533"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836"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836"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836"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723"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723"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847"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c>
          <w:tcPr>
            <w:tcW w:w="1038"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r>
      <w:tr>
        <w:tblPrEx>
          <w:tblCellMar>
            <w:top w:w="0" w:type="dxa"/>
            <w:left w:w="0" w:type="dxa"/>
            <w:bottom w:w="0" w:type="dxa"/>
            <w:right w:w="0" w:type="dxa"/>
          </w:tblCellMar>
        </w:tblPrEx>
        <w:trPr>
          <w:trHeight w:val="319" w:hRule="atLeast"/>
          <w:jc w:val="center"/>
        </w:trPr>
        <w:tc>
          <w:tcPr>
            <w:tcW w:w="7461" w:type="dxa"/>
            <w:gridSpan w:val="10"/>
            <w:vMerge w:val="restart"/>
            <w:tcBorders>
              <w:top w:val="nil"/>
              <w:left w:val="nil"/>
              <w:bottom w:val="nil"/>
              <w:right w:val="nil"/>
            </w:tcBorders>
            <w:noWrap w:val="0"/>
            <w:tcMar>
              <w:top w:w="12" w:type="dxa"/>
              <w:left w:w="12" w:type="dxa"/>
              <w:right w:w="12" w:type="dxa"/>
            </w:tcMar>
            <w:vAlign w:val="center"/>
          </w:tcPr>
          <w:p>
            <w:pPr>
              <w:widowControl/>
              <w:jc w:val="left"/>
              <w:textAlignment w:val="center"/>
              <w:rPr>
                <w:rFonts w:hint="eastAsia" w:ascii="宋体" w:hAnsi="宋体" w:eastAsia="宋体" w:cs="宋体"/>
                <w:strike w:val="0"/>
                <w:dstrike w:val="0"/>
                <w:color w:val="auto"/>
                <w:kern w:val="0"/>
                <w:sz w:val="20"/>
                <w:highlight w:val="none"/>
                <w:lang w:eastAsia="zh-CN" w:bidi="ar"/>
              </w:rPr>
            </w:pPr>
            <w:r>
              <w:rPr>
                <w:rFonts w:hint="eastAsia" w:ascii="宋体" w:hAnsi="宋体" w:cs="宋体"/>
                <w:strike w:val="0"/>
                <w:dstrike w:val="0"/>
                <w:color w:val="auto"/>
                <w:kern w:val="0"/>
                <w:sz w:val="20"/>
                <w:highlight w:val="none"/>
                <w:lang w:bidi="ar"/>
              </w:rPr>
              <w:t>填表说明：</w:t>
            </w:r>
          </w:p>
          <w:p>
            <w:pPr>
              <w:widowControl/>
              <w:jc w:val="left"/>
              <w:textAlignment w:val="center"/>
              <w:rPr>
                <w:rFonts w:hint="eastAsia" w:ascii="宋体" w:hAnsi="宋体" w:eastAsia="宋体" w:cs="宋体"/>
                <w:strike w:val="0"/>
                <w:dstrike w:val="0"/>
                <w:color w:val="auto"/>
                <w:kern w:val="0"/>
                <w:sz w:val="20"/>
                <w:highlight w:val="none"/>
                <w:lang w:eastAsia="zh-CN" w:bidi="ar"/>
              </w:rPr>
            </w:pPr>
            <w:r>
              <w:rPr>
                <w:rFonts w:hint="eastAsia" w:ascii="宋体" w:hAnsi="宋体" w:cs="宋体"/>
                <w:strike w:val="0"/>
                <w:dstrike w:val="0"/>
                <w:color w:val="auto"/>
                <w:kern w:val="0"/>
                <w:sz w:val="20"/>
                <w:highlight w:val="none"/>
                <w:lang w:bidi="ar"/>
              </w:rPr>
              <w:t>1、报表需按最小级项目划分结构输出，并采用标准的费用编码。</w:t>
            </w:r>
          </w:p>
          <w:p>
            <w:pPr>
              <w:widowControl/>
              <w:jc w:val="left"/>
              <w:textAlignment w:val="center"/>
              <w:rPr>
                <w:rFonts w:hint="eastAsia" w:ascii="宋体" w:hAnsi="宋体" w:cs="宋体"/>
                <w:strike w:val="0"/>
                <w:dstrike w:val="0"/>
                <w:color w:val="auto"/>
                <w:sz w:val="20"/>
                <w:highlight w:val="none"/>
              </w:rPr>
            </w:pPr>
            <w:r>
              <w:rPr>
                <w:rFonts w:hint="eastAsia" w:ascii="宋体" w:hAnsi="宋体" w:cs="宋体"/>
                <w:strike w:val="0"/>
                <w:dstrike w:val="0"/>
                <w:color w:val="auto"/>
                <w:kern w:val="0"/>
                <w:sz w:val="20"/>
                <w:highlight w:val="none"/>
                <w:lang w:bidi="ar"/>
              </w:rPr>
              <w:t>2、针对报表中的设备需标明编号。</w:t>
            </w:r>
          </w:p>
        </w:tc>
        <w:tc>
          <w:tcPr>
            <w:tcW w:w="1038"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r>
      <w:tr>
        <w:tblPrEx>
          <w:tblCellMar>
            <w:top w:w="0" w:type="dxa"/>
            <w:left w:w="0" w:type="dxa"/>
            <w:bottom w:w="0" w:type="dxa"/>
            <w:right w:w="0" w:type="dxa"/>
          </w:tblCellMar>
        </w:tblPrEx>
        <w:trPr>
          <w:trHeight w:val="319" w:hRule="atLeast"/>
          <w:jc w:val="center"/>
        </w:trPr>
        <w:tc>
          <w:tcPr>
            <w:tcW w:w="7461" w:type="dxa"/>
            <w:gridSpan w:val="10"/>
            <w:vMerge w:val="continue"/>
            <w:tcBorders>
              <w:top w:val="nil"/>
              <w:left w:val="nil"/>
              <w:bottom w:val="nil"/>
              <w:right w:val="nil"/>
            </w:tcBorders>
            <w:noWrap w:val="0"/>
            <w:tcMar>
              <w:top w:w="12" w:type="dxa"/>
              <w:left w:w="12" w:type="dxa"/>
              <w:right w:w="12" w:type="dxa"/>
            </w:tcMar>
            <w:vAlign w:val="center"/>
          </w:tcPr>
          <w:p>
            <w:pPr>
              <w:jc w:val="left"/>
              <w:rPr>
                <w:rFonts w:hint="eastAsia" w:ascii="宋体" w:hAnsi="宋体" w:cs="宋体"/>
                <w:strike w:val="0"/>
                <w:dstrike w:val="0"/>
                <w:color w:val="auto"/>
                <w:sz w:val="20"/>
                <w:highlight w:val="none"/>
              </w:rPr>
            </w:pPr>
          </w:p>
        </w:tc>
        <w:tc>
          <w:tcPr>
            <w:tcW w:w="1038" w:type="dxa"/>
            <w:tcBorders>
              <w:top w:val="nil"/>
              <w:left w:val="nil"/>
              <w:bottom w:val="nil"/>
              <w:right w:val="nil"/>
            </w:tcBorders>
            <w:noWrap/>
            <w:tcMar>
              <w:top w:w="12" w:type="dxa"/>
              <w:left w:w="12" w:type="dxa"/>
              <w:right w:w="12" w:type="dxa"/>
            </w:tcMar>
            <w:vAlign w:val="center"/>
          </w:tcPr>
          <w:p>
            <w:pPr>
              <w:jc w:val="left"/>
              <w:rPr>
                <w:rFonts w:hint="eastAsia" w:ascii="宋体" w:hAnsi="宋体" w:cs="宋体"/>
                <w:strike w:val="0"/>
                <w:dstrike w:val="0"/>
                <w:color w:val="auto"/>
                <w:sz w:val="18"/>
                <w:szCs w:val="18"/>
                <w:highlight w:val="none"/>
              </w:rPr>
            </w:pPr>
          </w:p>
        </w:tc>
      </w:tr>
    </w:tbl>
    <w:p>
      <w:pPr>
        <w:pStyle w:val="22"/>
        <w:rPr>
          <w:rFonts w:hAnsi="宋体"/>
          <w:b/>
          <w:bCs/>
          <w:color w:val="auto"/>
          <w:highlight w:val="none"/>
        </w:rPr>
      </w:pPr>
      <w:r>
        <w:rPr>
          <w:rFonts w:hint="eastAsia" w:hAnsi="宋体"/>
          <w:b/>
          <w:bCs/>
          <w:color w:val="auto"/>
          <w:highlight w:val="none"/>
        </w:rPr>
        <w:t>说明：</w:t>
      </w:r>
    </w:p>
    <w:p>
      <w:pPr>
        <w:pStyle w:val="22"/>
        <w:numPr>
          <w:ilvl w:val="0"/>
          <w:numId w:val="19"/>
        </w:numPr>
        <w:rPr>
          <w:rFonts w:hint="eastAsia" w:hAnsi="宋体"/>
          <w:b/>
          <w:bCs/>
          <w:color w:val="auto"/>
          <w:highlight w:val="none"/>
        </w:rPr>
      </w:pPr>
      <w:r>
        <w:rPr>
          <w:rFonts w:hint="eastAsia" w:hAnsi="宋体"/>
          <w:b/>
          <w:bCs/>
          <w:color w:val="auto"/>
          <w:highlight w:val="none"/>
        </w:rPr>
        <w:t>安全文明施工费采用固定总价的方式各个投标单位根据定额直接费报价比例进行分摊。</w:t>
      </w:r>
    </w:p>
    <w:p>
      <w:pPr>
        <w:pStyle w:val="22"/>
        <w:numPr>
          <w:ilvl w:val="0"/>
          <w:numId w:val="19"/>
        </w:numPr>
        <w:rPr>
          <w:rFonts w:hint="eastAsia" w:hAnsi="宋体"/>
          <w:b/>
          <w:bCs/>
          <w:color w:val="auto"/>
          <w:highlight w:val="none"/>
        </w:rPr>
      </w:pPr>
      <w:r>
        <w:rPr>
          <w:rFonts w:hint="eastAsia" w:hAnsi="宋体"/>
          <w:b/>
          <w:bCs/>
          <w:color w:val="auto"/>
          <w:highlight w:val="none"/>
        </w:rPr>
        <w:t>表四《其它费用报价》中未列出的其他费用项目，如投标人认为有必要的，只能增加子项。</w:t>
      </w:r>
    </w:p>
    <w:p>
      <w:pPr>
        <w:rPr>
          <w:rFonts w:hint="eastAsia"/>
          <w:color w:val="auto"/>
          <w:highlight w:val="none"/>
          <w:lang w:val="en-US" w:eastAsia="zh-CN"/>
        </w:rPr>
      </w:pPr>
      <w:r>
        <w:rPr>
          <w:rFonts w:hint="eastAsia"/>
          <w:color w:val="auto"/>
          <w:highlight w:val="none"/>
          <w:lang w:val="en-US" w:eastAsia="zh-CN"/>
        </w:rPr>
        <w:br w:type="page"/>
      </w:r>
    </w:p>
    <w:p>
      <w:pPr>
        <w:pStyle w:val="3"/>
        <w:pageBreakBefore/>
        <w:widowControl/>
        <w:numPr>
          <w:ilvl w:val="0"/>
          <w:numId w:val="5"/>
        </w:numPr>
        <w:tabs>
          <w:tab w:val="left" w:pos="2127"/>
        </w:tabs>
        <w:spacing w:before="120" w:after="120" w:line="360" w:lineRule="auto"/>
        <w:jc w:val="center"/>
        <w:rPr>
          <w:rFonts w:asciiTheme="minorEastAsia" w:hAnsiTheme="minorEastAsia" w:eastAsiaTheme="minorEastAsia" w:cstheme="minorEastAsia"/>
          <w:color w:val="auto"/>
          <w:kern w:val="0"/>
          <w:sz w:val="32"/>
          <w:szCs w:val="32"/>
          <w:highlight w:val="none"/>
        </w:rPr>
      </w:pPr>
      <w:bookmarkStart w:id="2234" w:name="_Toc22119"/>
      <w:r>
        <w:rPr>
          <w:rFonts w:hint="eastAsia" w:asciiTheme="minorEastAsia" w:hAnsiTheme="minorEastAsia" w:eastAsiaTheme="minorEastAsia" w:cstheme="minorEastAsia"/>
          <w:color w:val="auto"/>
          <w:kern w:val="0"/>
          <w:sz w:val="32"/>
          <w:szCs w:val="32"/>
          <w:highlight w:val="none"/>
        </w:rPr>
        <w:t>评标办法</w:t>
      </w:r>
      <w:bookmarkEnd w:id="2234"/>
    </w:p>
    <w:p>
      <w:pPr>
        <w:pStyle w:val="4"/>
        <w:jc w:val="left"/>
        <w:rPr>
          <w:rFonts w:asciiTheme="minorEastAsia" w:hAnsiTheme="minorEastAsia" w:eastAsiaTheme="minorEastAsia" w:cstheme="minorEastAsia"/>
          <w:color w:val="auto"/>
          <w:highlight w:val="none"/>
        </w:rPr>
      </w:pPr>
      <w:bookmarkStart w:id="2235" w:name="_Toc14472"/>
      <w:bookmarkStart w:id="2236" w:name="_Toc17634"/>
      <w:bookmarkStart w:id="2237" w:name="_Toc484792256"/>
      <w:bookmarkStart w:id="2238" w:name="_Toc4200"/>
      <w:bookmarkStart w:id="2239" w:name="_Toc8889"/>
      <w:bookmarkStart w:id="2240" w:name="_Toc18990"/>
      <w:bookmarkStart w:id="2241" w:name="_Toc20085"/>
      <w:bookmarkStart w:id="2242" w:name="_Toc9973"/>
      <w:bookmarkStart w:id="2243" w:name="_Toc1234"/>
      <w:bookmarkStart w:id="2244" w:name="_Toc8691"/>
      <w:bookmarkStart w:id="2245" w:name="_Toc18409"/>
      <w:bookmarkStart w:id="2246" w:name="_Toc646"/>
      <w:bookmarkStart w:id="2247" w:name="_Toc21729"/>
      <w:r>
        <w:rPr>
          <w:rFonts w:hint="eastAsia" w:asciiTheme="minorEastAsia" w:hAnsiTheme="minorEastAsia" w:eastAsiaTheme="minorEastAsia" w:cstheme="minorEastAsia"/>
          <w:color w:val="auto"/>
          <w:highlight w:val="none"/>
        </w:rPr>
        <w:t>一</w:t>
      </w:r>
      <w:r>
        <w:rPr>
          <w:rFonts w:hint="eastAsia" w:asciiTheme="minorEastAsia" w:hAnsiTheme="minorEastAsia" w:eastAsiaTheme="minorEastAsia" w:cstheme="minorEastAsia"/>
          <w:color w:val="auto"/>
          <w:highlight w:val="none"/>
          <w:lang w:val="en-US"/>
        </w:rPr>
        <w:t>.</w:t>
      </w:r>
      <w:r>
        <w:rPr>
          <w:rFonts w:hint="eastAsia" w:asciiTheme="minorEastAsia" w:hAnsiTheme="minorEastAsia" w:eastAsiaTheme="minorEastAsia" w:cstheme="minorEastAsia"/>
          <w:color w:val="auto"/>
          <w:highlight w:val="none"/>
        </w:rPr>
        <w:t>评标方法</w:t>
      </w:r>
      <w:bookmarkEnd w:id="2235"/>
      <w:bookmarkEnd w:id="2236"/>
      <w:bookmarkEnd w:id="2237"/>
      <w:bookmarkEnd w:id="2238"/>
      <w:bookmarkEnd w:id="2239"/>
      <w:bookmarkEnd w:id="2240"/>
      <w:bookmarkEnd w:id="2241"/>
      <w:bookmarkEnd w:id="2242"/>
      <w:bookmarkEnd w:id="2243"/>
      <w:bookmarkEnd w:id="2244"/>
      <w:bookmarkEnd w:id="2245"/>
      <w:bookmarkEnd w:id="2246"/>
      <w:bookmarkEnd w:id="2247"/>
    </w:p>
    <w:p>
      <w:pPr>
        <w:spacing w:before="21" w:line="220" w:lineRule="auto"/>
        <w:ind w:left="4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本项目采用</w:t>
      </w:r>
      <w:r>
        <w:rPr>
          <w:rFonts w:ascii="宋体" w:hAnsi="宋体" w:eastAsia="宋体" w:cs="宋体"/>
          <w:color w:val="auto"/>
          <w:sz w:val="21"/>
          <w:szCs w:val="21"/>
          <w:highlight w:val="none"/>
        </w:rPr>
        <w:t>资格后审的综合评分法进行评标。</w:t>
      </w:r>
    </w:p>
    <w:p>
      <w:pPr>
        <w:spacing w:before="157" w:line="221" w:lineRule="auto"/>
        <w:ind w:left="4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综合得分(满</w:t>
      </w:r>
      <w:r>
        <w:rPr>
          <w:rFonts w:ascii="宋体" w:hAnsi="宋体" w:eastAsia="宋体" w:cs="宋体"/>
          <w:color w:val="auto"/>
          <w:sz w:val="21"/>
          <w:szCs w:val="21"/>
          <w:highlight w:val="none"/>
        </w:rPr>
        <w:t>分 100 分) =商务评分×30%+技术评分×30%+价格评分×40%</w:t>
      </w:r>
    </w:p>
    <w:p>
      <w:pPr>
        <w:pStyle w:val="41"/>
        <w:spacing w:line="360" w:lineRule="auto"/>
        <w:ind w:firstLine="211"/>
        <w:rPr>
          <w:rFonts w:hint="eastAsia" w:asciiTheme="minorEastAsia" w:hAnsiTheme="minorEastAsia" w:eastAsiaTheme="minorEastAsia" w:cstheme="minorEastAsia"/>
          <w:b/>
          <w:bCs/>
          <w:color w:val="auto"/>
          <w:kern w:val="0"/>
          <w:szCs w:val="21"/>
          <w:highlight w:val="none"/>
        </w:rPr>
      </w:pPr>
    </w:p>
    <w:p>
      <w:pPr>
        <w:pStyle w:val="41"/>
        <w:spacing w:line="360" w:lineRule="auto"/>
        <w:ind w:firstLine="211"/>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初步评审内容详见下表：</w:t>
      </w:r>
    </w:p>
    <w:tbl>
      <w:tblPr>
        <w:tblStyle w:val="43"/>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578"/>
        <w:gridCol w:w="1329"/>
        <w:gridCol w:w="5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blHeader/>
          <w:jc w:val="center"/>
        </w:trPr>
        <w:tc>
          <w:tcPr>
            <w:tcW w:w="8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条款号</w:t>
            </w:r>
          </w:p>
        </w:tc>
        <w:tc>
          <w:tcPr>
            <w:tcW w:w="157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评审标准</w:t>
            </w:r>
          </w:p>
        </w:tc>
        <w:tc>
          <w:tcPr>
            <w:tcW w:w="13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初评因素</w:t>
            </w:r>
          </w:p>
        </w:tc>
        <w:tc>
          <w:tcPr>
            <w:tcW w:w="531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详细内容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w:t>
            </w:r>
          </w:p>
        </w:tc>
        <w:tc>
          <w:tcPr>
            <w:tcW w:w="157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形式评审标准</w:t>
            </w:r>
          </w:p>
        </w:tc>
        <w:tc>
          <w:tcPr>
            <w:tcW w:w="13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p>
        </w:tc>
        <w:tc>
          <w:tcPr>
            <w:tcW w:w="531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5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kern w:val="0"/>
                <w:szCs w:val="21"/>
                <w:highlight w:val="none"/>
              </w:rPr>
            </w:pPr>
          </w:p>
        </w:tc>
        <w:tc>
          <w:tcPr>
            <w:tcW w:w="157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kern w:val="0"/>
                <w:szCs w:val="21"/>
                <w:highlight w:val="none"/>
              </w:rPr>
            </w:pPr>
          </w:p>
        </w:tc>
        <w:tc>
          <w:tcPr>
            <w:tcW w:w="13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投标文件签字盖章</w:t>
            </w:r>
          </w:p>
        </w:tc>
        <w:tc>
          <w:tcPr>
            <w:tcW w:w="531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投标文件全部采用电子文档，投标文件所附证书证件均为原件扫描件，并采用单位数字证书，按招标文件要求在相应位置加盖电子印章。投标文件中需签字或盖章的，应完成签字盖章后扫描上传。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5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kern w:val="0"/>
                <w:szCs w:val="21"/>
                <w:highlight w:val="none"/>
              </w:rPr>
            </w:pPr>
          </w:p>
        </w:tc>
        <w:tc>
          <w:tcPr>
            <w:tcW w:w="157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kern w:val="0"/>
                <w:szCs w:val="21"/>
                <w:highlight w:val="none"/>
              </w:rPr>
            </w:pPr>
          </w:p>
        </w:tc>
        <w:tc>
          <w:tcPr>
            <w:tcW w:w="13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投标文件格式</w:t>
            </w:r>
          </w:p>
        </w:tc>
        <w:tc>
          <w:tcPr>
            <w:tcW w:w="531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不存在下列任何一种情况：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rPr>
              <w:t>投标函未按招标文件规定的格式。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未按招标文件要求的格式提供企业诚信承诺书、严格执行“管理规范和技术(规范)标准”的承诺函、近三年的无行贿犯罪记录承诺书等相关文件。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投标文件封面及投标函的工程名称与招标文件规定的工程名称实质性不响应</w:t>
            </w:r>
            <w:r>
              <w:rPr>
                <w:rFonts w:hint="eastAsia" w:ascii="宋体" w:hAnsi="宋体" w:eastAsia="宋体" w:cs="宋体"/>
                <w:color w:val="auto"/>
                <w:kern w:val="0"/>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投标文件内容的招标人名称与招标文件规定的招标人名称实质性不响应。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5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kern w:val="0"/>
                <w:szCs w:val="21"/>
                <w:highlight w:val="none"/>
              </w:rPr>
            </w:pPr>
          </w:p>
        </w:tc>
        <w:tc>
          <w:tcPr>
            <w:tcW w:w="157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kern w:val="0"/>
                <w:szCs w:val="21"/>
                <w:highlight w:val="none"/>
              </w:rPr>
            </w:pPr>
          </w:p>
        </w:tc>
        <w:tc>
          <w:tcPr>
            <w:tcW w:w="13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联合体投标</w:t>
            </w:r>
          </w:p>
        </w:tc>
        <w:tc>
          <w:tcPr>
            <w:tcW w:w="531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5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157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资格评审标准</w:t>
            </w:r>
          </w:p>
        </w:tc>
        <w:tc>
          <w:tcPr>
            <w:tcW w:w="13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营业执照</w:t>
            </w:r>
          </w:p>
        </w:tc>
        <w:tc>
          <w:tcPr>
            <w:tcW w:w="531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符合：具有独立法人资格，持有合法有效的企业法人营业执照。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5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kern w:val="0"/>
                <w:szCs w:val="21"/>
                <w:highlight w:val="none"/>
              </w:rPr>
            </w:pPr>
          </w:p>
        </w:tc>
        <w:tc>
          <w:tcPr>
            <w:tcW w:w="157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kern w:val="0"/>
                <w:szCs w:val="21"/>
                <w:highlight w:val="none"/>
              </w:rPr>
            </w:pPr>
          </w:p>
        </w:tc>
        <w:tc>
          <w:tcPr>
            <w:tcW w:w="13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资质要求</w:t>
            </w:r>
          </w:p>
        </w:tc>
        <w:tc>
          <w:tcPr>
            <w:tcW w:w="531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具备电力工程施工总承包叁级或以上资质。同时具备建设行政主管部门颁发的在有效期内安全生产许可证。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8" w:hRule="atLeast"/>
          <w:jc w:val="center"/>
        </w:trPr>
        <w:tc>
          <w:tcPr>
            <w:tcW w:w="85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kern w:val="0"/>
                <w:szCs w:val="21"/>
                <w:highlight w:val="none"/>
              </w:rPr>
            </w:pPr>
          </w:p>
        </w:tc>
        <w:tc>
          <w:tcPr>
            <w:tcW w:w="157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kern w:val="0"/>
                <w:szCs w:val="21"/>
                <w:highlight w:val="none"/>
              </w:rPr>
            </w:pPr>
          </w:p>
        </w:tc>
        <w:tc>
          <w:tcPr>
            <w:tcW w:w="13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项目经理(项目负责人)</w:t>
            </w:r>
          </w:p>
        </w:tc>
        <w:tc>
          <w:tcPr>
            <w:tcW w:w="531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color w:val="auto"/>
                <w:highlight w:val="none"/>
              </w:rPr>
            </w:pPr>
            <w:r>
              <w:rPr>
                <w:rFonts w:hint="eastAsia"/>
                <w:color w:val="auto"/>
                <w:highlight w:val="none"/>
              </w:rPr>
              <w:t>拟派驻的项目经理要求已取得二级或以上注册建造师执业证书(建筑工程专业)，同时持有项目经理安全生产考核合格证(B类)，相关证书均在有效期内并在投标单位注册，且须提供在本单位投标截止日期前半年内连续3个月的社保证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color w:val="auto"/>
                <w:highlight w:val="none"/>
              </w:rPr>
            </w:pPr>
            <w:r>
              <w:rPr>
                <w:rFonts w:hint="eastAsia"/>
                <w:color w:val="auto"/>
                <w:highlight w:val="none"/>
              </w:rPr>
              <w:t>注：根据广东省住建厅《关于明确二级建造师注册执业有关问题的通知》（粤建市函〔2023〕469号），二级建造师应在考试取得执业资格的省、自治区、直辖市申请注册，二级注册建造师可随注册企业在全国范围内执业。项目经理未担任其他在施(包括已中标未开工、已建成未竣工)建设工程项目的项目经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color w:val="auto"/>
                <w:highlight w:val="none"/>
              </w:rPr>
            </w:pPr>
            <w:r>
              <w:rPr>
                <w:rFonts w:hint="eastAsia"/>
                <w:color w:val="auto"/>
                <w:highlight w:val="none"/>
              </w:rPr>
              <w:t>根据《住房和城乡建设部办公厅关于全面实行一级建造师电子注册证书的通知》(建办市〔2021〕40 号)自2022年1月1日起，一级建造师统一使用电子注册证书，并使用电子注册证书上的注册编号，纸质注册证书作废；注册专业有效期届满且未提出延续注册申请的，自2022年1月1日起注册专业失效；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5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kern w:val="0"/>
                <w:szCs w:val="21"/>
                <w:highlight w:val="none"/>
              </w:rPr>
            </w:pPr>
          </w:p>
        </w:tc>
        <w:tc>
          <w:tcPr>
            <w:tcW w:w="157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kern w:val="0"/>
                <w:szCs w:val="21"/>
                <w:highlight w:val="none"/>
              </w:rPr>
            </w:pPr>
          </w:p>
        </w:tc>
        <w:tc>
          <w:tcPr>
            <w:tcW w:w="13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其他要求</w:t>
            </w:r>
          </w:p>
        </w:tc>
        <w:tc>
          <w:tcPr>
            <w:tcW w:w="531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已在广州公共资源交易中心办理企业信息登记，且拟担任本工程项目经理(项目负责人)须是本企业在广州公共资源交易中心的企业信息登记在册人员。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5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kern w:val="0"/>
                <w:szCs w:val="21"/>
                <w:highlight w:val="none"/>
              </w:rPr>
            </w:pPr>
          </w:p>
        </w:tc>
        <w:tc>
          <w:tcPr>
            <w:tcW w:w="157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kern w:val="0"/>
                <w:szCs w:val="21"/>
                <w:highlight w:val="none"/>
              </w:rPr>
            </w:pPr>
          </w:p>
        </w:tc>
        <w:tc>
          <w:tcPr>
            <w:tcW w:w="13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投标人不得存在的情形</w:t>
            </w:r>
          </w:p>
        </w:tc>
        <w:tc>
          <w:tcPr>
            <w:tcW w:w="531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不存在以下情形之一：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为招标人不具有独立法人资格的附属机构(单位)；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与招标人存在利害关系且可能影响招标公正性；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为本标段前期准备提供设计或咨询服务的；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为本标段的监理人；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 为本标段的代建人；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 为本标段提供招标代理服务的；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 与本标段的监理人或代建人或招标代理机构同为一个法定代表人的；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 与本标段的监理人或代建人或招标代理机构存在控股或参股关系；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(9)与本标段的监理人或代建人或招标代理机构有员工相互任职或工作的；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 与本标段的其他投标人为同一个单位负责人；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 与本标段的其他投标人存在控股、管理关系；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 被依法暂停或者取消投标资格；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 财产被接管或冻结的；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 在最近三年内有骗取中标或严重违约或重大工程质量问题的；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(15)在工程所在地政府或中国南方电网有限责任公司或广东电网有限责任公司</w:t>
            </w:r>
            <w:r>
              <w:rPr>
                <w:rFonts w:hint="eastAsia" w:ascii="宋体" w:hAnsi="宋体" w:cs="宋体"/>
                <w:color w:val="auto"/>
                <w:kern w:val="0"/>
                <w:szCs w:val="21"/>
                <w:highlight w:val="none"/>
                <w:lang w:val="en-US" w:eastAsia="zh-CN"/>
              </w:rPr>
              <w:t>或广州市公共交通集团有限公司</w:t>
            </w:r>
            <w:r>
              <w:rPr>
                <w:rFonts w:hint="eastAsia" w:ascii="宋体" w:hAnsi="宋体" w:eastAsia="宋体" w:cs="宋体"/>
                <w:color w:val="auto"/>
                <w:kern w:val="0"/>
                <w:szCs w:val="21"/>
                <w:highlight w:val="none"/>
              </w:rPr>
              <w:t>处于限制投标期内的；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 被责令停产停业、暂扣或者吊销许可证、暂扣或者吊销执照；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 进入清算程序，或被宣告破产，或其他丧失履约能力的情形；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(18)被工商行政管理机关在国家企业信用信息公示系统中列入严重违 法失信企业名单；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(19)被“信用中国”网站(www.creditchina.gov.cn)或各级信用信 息共享平台中列入失信被执行人名单；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(20)在近三年内投标人或其法定代表人、拟委任的项目负责人有行贿 犯罪行为的；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已放弃中标的单位重新参与此标段重新招标的投标；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法律、行政法规规定的其他条件。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5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157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响应性评审</w:t>
            </w:r>
          </w:p>
        </w:tc>
        <w:tc>
          <w:tcPr>
            <w:tcW w:w="13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531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投标函只能有一个有效报价，且符合：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(1)有效投标报价：投标总价≤最高投标限价（公布最高投标限价的总价及各单项工程）。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成本警示价：最高投标限价的90%。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(3)安全文明施工费、暂估价等非竞争性费用报价项(如有)按照最高投标限价公布的金额固定报价，不得自行变更，否则视为原则性不响应招标文件要求，作否决投标处理。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5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kern w:val="0"/>
                <w:szCs w:val="21"/>
                <w:highlight w:val="none"/>
              </w:rPr>
            </w:pPr>
          </w:p>
        </w:tc>
        <w:tc>
          <w:tcPr>
            <w:tcW w:w="157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kern w:val="0"/>
                <w:szCs w:val="21"/>
                <w:highlight w:val="none"/>
                <w:u w:val="none"/>
              </w:rPr>
            </w:pPr>
          </w:p>
        </w:tc>
        <w:tc>
          <w:tcPr>
            <w:tcW w:w="13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工期</w:t>
            </w:r>
          </w:p>
        </w:tc>
        <w:tc>
          <w:tcPr>
            <w:tcW w:w="531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符合：工期要求详见</w:t>
            </w:r>
            <w:r>
              <w:rPr>
                <w:rFonts w:hint="eastAsia" w:ascii="宋体" w:hAnsi="宋体" w:cs="宋体"/>
                <w:color w:val="auto"/>
                <w:kern w:val="0"/>
                <w:szCs w:val="21"/>
                <w:highlight w:val="none"/>
                <w:u w:val="none"/>
                <w:lang w:val="en-US" w:eastAsia="zh-CN"/>
              </w:rPr>
              <w:t>招标公告</w:t>
            </w:r>
            <w:r>
              <w:rPr>
                <w:rFonts w:hint="eastAsia" w:ascii="宋体" w:hAnsi="宋体" w:eastAsia="宋体" w:cs="宋体"/>
                <w:color w:val="auto"/>
                <w:kern w:val="0"/>
                <w:szCs w:val="21"/>
                <w:highlight w:val="none"/>
                <w:u w:val="none"/>
              </w:rPr>
              <w:t>。(实际工期以开工报告、竣工报告为准)。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5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kern w:val="0"/>
                <w:szCs w:val="21"/>
                <w:highlight w:val="none"/>
              </w:rPr>
            </w:pPr>
          </w:p>
        </w:tc>
        <w:tc>
          <w:tcPr>
            <w:tcW w:w="157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kern w:val="0"/>
                <w:szCs w:val="21"/>
                <w:highlight w:val="none"/>
                <w:u w:val="none"/>
              </w:rPr>
            </w:pPr>
          </w:p>
        </w:tc>
        <w:tc>
          <w:tcPr>
            <w:tcW w:w="13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工程质量</w:t>
            </w:r>
          </w:p>
        </w:tc>
        <w:tc>
          <w:tcPr>
            <w:tcW w:w="531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符合：满足国家、行业、中国南方电网有限责任公司质量标准、控制标 准和验收规范，通过各级验收合格并完成启动投产。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5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kern w:val="0"/>
                <w:szCs w:val="21"/>
                <w:highlight w:val="none"/>
              </w:rPr>
            </w:pPr>
          </w:p>
        </w:tc>
        <w:tc>
          <w:tcPr>
            <w:tcW w:w="157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kern w:val="0"/>
                <w:szCs w:val="21"/>
                <w:highlight w:val="none"/>
                <w:u w:val="none"/>
                <w:lang w:val="en-US" w:eastAsia="zh-CN"/>
              </w:rPr>
            </w:pPr>
          </w:p>
        </w:tc>
        <w:tc>
          <w:tcPr>
            <w:tcW w:w="13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u w:val="none"/>
                <w:lang w:val="en-US" w:eastAsia="zh-CN"/>
              </w:rPr>
            </w:pPr>
            <w:r>
              <w:rPr>
                <w:rFonts w:hint="eastAsia" w:ascii="宋体" w:hAnsi="宋体" w:eastAsia="宋体" w:cs="宋体"/>
                <w:color w:val="auto"/>
                <w:kern w:val="0"/>
                <w:szCs w:val="21"/>
                <w:highlight w:val="none"/>
                <w:u w:val="none"/>
                <w:lang w:val="en-US" w:eastAsia="zh-CN"/>
              </w:rPr>
              <w:t>投标保证金</w:t>
            </w:r>
          </w:p>
        </w:tc>
        <w:tc>
          <w:tcPr>
            <w:tcW w:w="5316"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12" w:lineRule="auto"/>
              <w:ind w:right="0" w:rightChars="0"/>
              <w:textAlignment w:val="auto"/>
              <w:rPr>
                <w:rFonts w:hint="eastAsia"/>
                <w:color w:val="auto"/>
                <w:highlight w:val="none"/>
                <w:lang w:val="en-US" w:eastAsia="zh-CN"/>
              </w:rPr>
            </w:pPr>
            <w:r>
              <w:rPr>
                <w:rFonts w:hint="eastAsia"/>
                <w:color w:val="auto"/>
                <w:highlight w:val="none"/>
                <w:lang w:val="en-US" w:eastAsia="zh-CN"/>
              </w:rPr>
              <w:t>1.投标保证金的金额：详见招标文件前附表。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12" w:lineRule="auto"/>
              <w:ind w:right="0" w:rightChars="0"/>
              <w:textAlignment w:val="auto"/>
              <w:rPr>
                <w:rFonts w:hint="eastAsia"/>
                <w:color w:val="auto"/>
                <w:highlight w:val="none"/>
                <w:lang w:val="en-US" w:eastAsia="zh-CN"/>
              </w:rPr>
            </w:pPr>
            <w:r>
              <w:rPr>
                <w:rFonts w:hint="eastAsia"/>
                <w:color w:val="auto"/>
                <w:highlight w:val="none"/>
                <w:lang w:val="en-US" w:eastAsia="zh-CN"/>
              </w:rPr>
              <w:t>2.投标保证金有效期：与投标有效期一致。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12" w:lineRule="auto"/>
              <w:ind w:right="0" w:rightChars="0"/>
              <w:textAlignment w:val="auto"/>
              <w:rPr>
                <w:rFonts w:hint="eastAsia"/>
                <w:color w:val="auto"/>
                <w:highlight w:val="none"/>
                <w:lang w:val="en-US" w:eastAsia="zh-CN"/>
              </w:rPr>
            </w:pPr>
            <w:r>
              <w:rPr>
                <w:rFonts w:hint="eastAsia"/>
                <w:color w:val="auto"/>
                <w:highlight w:val="none"/>
                <w:lang w:val="en-US" w:eastAsia="zh-CN"/>
              </w:rPr>
              <w:t>3.投标保证金可采用转账、现金、支票、投标保函或保险4.的形式， 须在 递交投标文件截止时间前完成缴纳。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12" w:lineRule="auto"/>
              <w:ind w:right="0" w:rightChars="0"/>
              <w:textAlignment w:val="auto"/>
              <w:rPr>
                <w:rFonts w:hint="eastAsia"/>
                <w:color w:val="auto"/>
                <w:highlight w:val="none"/>
                <w:lang w:val="en-US" w:eastAsia="zh-CN"/>
              </w:rPr>
            </w:pPr>
            <w:r>
              <w:rPr>
                <w:rFonts w:hint="eastAsia"/>
                <w:color w:val="auto"/>
                <w:highlight w:val="none"/>
                <w:lang w:val="en-US" w:eastAsia="zh-CN"/>
              </w:rPr>
              <w:t>如采用转账、现金、支票形式提交的，投标保证金须从投标人基本账户递交，由广州公共资源交易中心代收。具体操作要求详见广州公共资源交易中心有关指引，递交事宜请自行咨询交易中心；请各投标人在投标文件递交截止时间前按上述金额递交至广州公共资源交易中心，缴纳情况以广州公共资源交易中心查询为准。电汇(转账)方式缴纳情况以广州公共资源交易中心数据库记录的信息为准。</w:t>
            </w:r>
          </w:p>
          <w:p>
            <w:pPr>
              <w:pStyle w:val="16"/>
              <w:rPr>
                <w:rFonts w:hint="eastAsia"/>
                <w:color w:val="auto"/>
                <w:highlight w:val="none"/>
                <w:lang w:val="en-US" w:eastAsia="zh-CN"/>
              </w:rPr>
            </w:pPr>
            <w:r>
              <w:rPr>
                <w:rFonts w:hint="eastAsia"/>
                <w:color w:val="auto"/>
                <w:highlight w:val="none"/>
                <w:lang w:val="en-US" w:eastAsia="zh-CN"/>
              </w:rPr>
              <w:t>5.如采用保函、保证保险形式提交的,需开具给招标人。</w:t>
            </w:r>
          </w:p>
          <w:p>
            <w:pPr>
              <w:pStyle w:val="16"/>
              <w:rPr>
                <w:rFonts w:hint="eastAsia"/>
                <w:color w:val="auto"/>
                <w:highlight w:val="none"/>
                <w:lang w:val="en-US" w:eastAsia="zh-CN"/>
              </w:rPr>
            </w:pPr>
            <w:r>
              <w:rPr>
                <w:rFonts w:hint="eastAsia"/>
                <w:color w:val="auto"/>
                <w:highlight w:val="none"/>
                <w:lang w:val="en-US" w:eastAsia="zh-CN"/>
              </w:rPr>
              <w:t>6.如采用非电子形式的投标保函或投标保证保险提交投标保证金的,投标人应在投标文件中提交投标保函或投标保证保险扫描件并加盖投标人公章或电子章。(并在投标截止时间前保函、保证保险原件递交至招标代理，否则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5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kern w:val="0"/>
                <w:szCs w:val="21"/>
                <w:highlight w:val="none"/>
              </w:rPr>
            </w:pPr>
          </w:p>
        </w:tc>
        <w:tc>
          <w:tcPr>
            <w:tcW w:w="157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kern w:val="0"/>
                <w:szCs w:val="21"/>
                <w:highlight w:val="none"/>
              </w:rPr>
            </w:pPr>
          </w:p>
        </w:tc>
        <w:tc>
          <w:tcPr>
            <w:tcW w:w="13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投标人计算机硬件特征码(机器码)审查</w:t>
            </w:r>
          </w:p>
        </w:tc>
        <w:tc>
          <w:tcPr>
            <w:tcW w:w="531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如采购项目最小独立评审单元(标的/标包/标段)出现不同投标人的加密打包投标文件机器码相同的情形，将否决投标人响应该采购项目及同一采购项目后续采购的全部投标文件。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5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kern w:val="0"/>
                <w:szCs w:val="21"/>
                <w:highlight w:val="none"/>
              </w:rPr>
            </w:pPr>
          </w:p>
        </w:tc>
        <w:tc>
          <w:tcPr>
            <w:tcW w:w="157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kern w:val="0"/>
                <w:szCs w:val="21"/>
                <w:highlight w:val="none"/>
              </w:rPr>
            </w:pPr>
          </w:p>
        </w:tc>
        <w:tc>
          <w:tcPr>
            <w:tcW w:w="132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其他</w:t>
            </w:r>
          </w:p>
        </w:tc>
        <w:tc>
          <w:tcPr>
            <w:tcW w:w="5316"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1、在工程所在地政府及中国南方电网有限责任公司、广东电网有限责任公司</w:t>
            </w:r>
            <w:r>
              <w:rPr>
                <w:rFonts w:hint="eastAsia" w:ascii="宋体" w:hAnsi="宋体" w:cs="宋体"/>
                <w:color w:val="auto"/>
                <w:szCs w:val="20"/>
                <w:highlight w:val="none"/>
                <w:lang w:eastAsia="zh-CN"/>
              </w:rPr>
              <w:t>、</w:t>
            </w:r>
            <w:r>
              <w:rPr>
                <w:rFonts w:hint="eastAsia" w:ascii="宋体" w:hAnsi="宋体" w:cs="宋体"/>
                <w:color w:val="auto"/>
                <w:szCs w:val="20"/>
                <w:highlight w:val="none"/>
                <w:lang w:val="en-US" w:eastAsia="zh-CN"/>
              </w:rPr>
              <w:t>广州市公共交通集团有限公司</w:t>
            </w:r>
            <w:r>
              <w:rPr>
                <w:rFonts w:hint="eastAsia" w:ascii="宋体" w:hAnsi="宋体" w:eastAsia="宋体" w:cs="宋体"/>
                <w:color w:val="auto"/>
                <w:szCs w:val="20"/>
                <w:highlight w:val="none"/>
              </w:rPr>
              <w:t>无处于限制投标资格的处罚。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2、已在广州公共资源交易中心办理企业信息记，且拟担任本工程项目经理(项目负责人)须是本企业在广州公共资源交易中心的企业信息登记在册人员。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3、不得存在：(1)串通投标或弄虚作假或有其他违法行为的；(2)不按评标委员会要求澄清、说明或补正的。</w:t>
            </w:r>
          </w:p>
        </w:tc>
      </w:tr>
    </w:tbl>
    <w:p>
      <w:pPr>
        <w:spacing w:before="29" w:line="221" w:lineRule="auto"/>
        <w:ind w:left="3"/>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说</w:t>
      </w:r>
      <w:r>
        <w:rPr>
          <w:rFonts w:ascii="宋体" w:hAnsi="宋体" w:eastAsia="宋体" w:cs="宋体"/>
          <w:color w:val="auto"/>
          <w:spacing w:val="-12"/>
          <w:sz w:val="21"/>
          <w:szCs w:val="21"/>
          <w:highlight w:val="none"/>
        </w:rPr>
        <w:t>明：</w:t>
      </w:r>
    </w:p>
    <w:p>
      <w:pPr>
        <w:spacing w:before="20" w:line="220" w:lineRule="auto"/>
        <w:ind w:left="7"/>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w:t>
      </w:r>
      <w:r>
        <w:rPr>
          <w:rFonts w:ascii="宋体" w:hAnsi="宋体" w:eastAsia="宋体" w:cs="宋体"/>
          <w:color w:val="auto"/>
          <w:spacing w:val="2"/>
          <w:sz w:val="21"/>
          <w:szCs w:val="21"/>
          <w:highlight w:val="none"/>
        </w:rPr>
        <w:t>1) 经评标委员会审核后，出现一个不通过结论的，即按否决投标处理；</w:t>
      </w:r>
    </w:p>
    <w:p>
      <w:pPr>
        <w:spacing w:before="23" w:line="221" w:lineRule="auto"/>
        <w:ind w:left="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 全部条件满足为“通过”</w:t>
      </w:r>
      <w:r>
        <w:rPr>
          <w:rFonts w:ascii="宋体" w:hAnsi="宋体" w:eastAsia="宋体" w:cs="宋体"/>
          <w:color w:val="auto"/>
          <w:spacing w:val="-1"/>
          <w:sz w:val="21"/>
          <w:szCs w:val="21"/>
          <w:highlight w:val="none"/>
        </w:rPr>
        <w:t>，方可进入下一阶段评审；</w:t>
      </w:r>
    </w:p>
    <w:p>
      <w:pPr>
        <w:spacing w:before="20" w:line="231" w:lineRule="auto"/>
        <w:ind w:firstLine="7"/>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(3) 若评委意见不一致时，则按</w:t>
      </w:r>
      <w:r>
        <w:rPr>
          <w:rFonts w:ascii="宋体" w:hAnsi="宋体" w:eastAsia="宋体" w:cs="宋体"/>
          <w:color w:val="auto"/>
          <w:spacing w:val="-2"/>
          <w:sz w:val="21"/>
          <w:szCs w:val="21"/>
          <w:highlight w:val="none"/>
        </w:rPr>
        <w:t>少数服从多数的原则，决定该投标人是否通过符合性审查，进入下一阶段</w:t>
      </w:r>
      <w:r>
        <w:rPr>
          <w:rFonts w:ascii="宋体" w:hAnsi="宋体" w:eastAsia="宋体" w:cs="宋体"/>
          <w:color w:val="auto"/>
          <w:spacing w:val="-9"/>
          <w:sz w:val="21"/>
          <w:szCs w:val="21"/>
          <w:highlight w:val="none"/>
        </w:rPr>
        <w:t>评</w:t>
      </w:r>
      <w:r>
        <w:rPr>
          <w:rFonts w:ascii="宋体" w:hAnsi="宋体" w:eastAsia="宋体" w:cs="宋体"/>
          <w:color w:val="auto"/>
          <w:spacing w:val="-7"/>
          <w:sz w:val="21"/>
          <w:szCs w:val="21"/>
          <w:highlight w:val="none"/>
        </w:rPr>
        <w:t>审。</w:t>
      </w:r>
    </w:p>
    <w:p>
      <w:pPr>
        <w:spacing w:before="261" w:line="221" w:lineRule="auto"/>
        <w:ind w:left="3"/>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2.2 商务评分标准</w:t>
      </w:r>
      <w:r>
        <w:rPr>
          <w:rFonts w:ascii="宋体" w:hAnsi="宋体" w:eastAsia="宋体" w:cs="宋体"/>
          <w:color w:val="auto"/>
          <w:spacing w:val="-2"/>
          <w:sz w:val="21"/>
          <w:szCs w:val="21"/>
          <w:highlight w:val="none"/>
        </w:rPr>
        <w:t>：</w:t>
      </w:r>
    </w:p>
    <w:p>
      <w:pPr>
        <w:spacing w:before="21" w:line="214" w:lineRule="auto"/>
        <w:ind w:left="3"/>
        <w:rPr>
          <w:rFonts w:ascii="宋体" w:hAnsi="宋体" w:eastAsia="宋体" w:cs="宋体"/>
          <w:color w:val="auto"/>
          <w:sz w:val="21"/>
          <w:szCs w:val="21"/>
          <w:highlight w:val="none"/>
        </w:rPr>
      </w:pPr>
      <w:r>
        <w:rPr>
          <w:rFonts w:ascii="宋体" w:hAnsi="宋体" w:eastAsia="宋体" w:cs="宋体"/>
          <w:color w:val="auto"/>
          <w:spacing w:val="16"/>
          <w:sz w:val="21"/>
          <w:szCs w:val="21"/>
          <w:highlight w:val="none"/>
        </w:rPr>
        <w:t>2</w:t>
      </w:r>
      <w:r>
        <w:rPr>
          <w:rFonts w:ascii="宋体" w:hAnsi="宋体" w:eastAsia="宋体" w:cs="宋体"/>
          <w:color w:val="auto"/>
          <w:spacing w:val="11"/>
          <w:sz w:val="21"/>
          <w:szCs w:val="21"/>
          <w:highlight w:val="none"/>
        </w:rPr>
        <w:t>.</w:t>
      </w:r>
      <w:r>
        <w:rPr>
          <w:rFonts w:ascii="宋体" w:hAnsi="宋体" w:eastAsia="宋体" w:cs="宋体"/>
          <w:color w:val="auto"/>
          <w:spacing w:val="8"/>
          <w:sz w:val="21"/>
          <w:szCs w:val="21"/>
          <w:highlight w:val="none"/>
        </w:rPr>
        <w:t>2.1 商务评审(100)分</w:t>
      </w:r>
    </w:p>
    <w:tbl>
      <w:tblPr>
        <w:tblStyle w:val="4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943"/>
        <w:gridCol w:w="676"/>
        <w:gridCol w:w="3790"/>
        <w:gridCol w:w="3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508" w:type="pct"/>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评审项</w:t>
            </w:r>
          </w:p>
        </w:tc>
        <w:tc>
          <w:tcPr>
            <w:tcW w:w="364" w:type="pct"/>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分值</w:t>
            </w:r>
          </w:p>
        </w:tc>
        <w:tc>
          <w:tcPr>
            <w:tcW w:w="2041" w:type="pct"/>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评分标准</w:t>
            </w:r>
          </w:p>
        </w:tc>
        <w:tc>
          <w:tcPr>
            <w:tcW w:w="1669" w:type="pct"/>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508" w:type="pct"/>
            <w:vAlign w:val="center"/>
          </w:tcPr>
          <w:p>
            <w:pPr>
              <w:widowControl/>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pacing w:val="-2"/>
                <w:sz w:val="21"/>
                <w:szCs w:val="21"/>
                <w:highlight w:val="none"/>
              </w:rPr>
              <w:t>质量事</w:t>
            </w:r>
            <w:r>
              <w:rPr>
                <w:rFonts w:hint="eastAsia" w:ascii="宋体" w:hAnsi="宋体" w:eastAsia="宋体" w:cs="宋体"/>
                <w:color w:val="auto"/>
                <w:spacing w:val="-1"/>
                <w:sz w:val="21"/>
                <w:szCs w:val="21"/>
                <w:highlight w:val="none"/>
              </w:rPr>
              <w:t>故</w:t>
            </w:r>
            <w:r>
              <w:rPr>
                <w:rFonts w:hint="eastAsia" w:ascii="宋体" w:hAnsi="宋体" w:eastAsia="宋体" w:cs="宋体"/>
                <w:color w:val="auto"/>
                <w:spacing w:val="-3"/>
                <w:sz w:val="21"/>
                <w:szCs w:val="21"/>
                <w:highlight w:val="none"/>
              </w:rPr>
              <w:t>指</w:t>
            </w:r>
            <w:r>
              <w:rPr>
                <w:rFonts w:hint="eastAsia" w:ascii="宋体" w:hAnsi="宋体" w:eastAsia="宋体" w:cs="宋体"/>
                <w:color w:val="auto"/>
                <w:spacing w:val="-2"/>
                <w:sz w:val="21"/>
                <w:szCs w:val="21"/>
                <w:highlight w:val="none"/>
              </w:rPr>
              <w:t>标考核</w:t>
            </w:r>
          </w:p>
        </w:tc>
        <w:tc>
          <w:tcPr>
            <w:tcW w:w="364" w:type="pct"/>
            <w:vAlign w:val="center"/>
          </w:tcPr>
          <w:p>
            <w:pPr>
              <w:widowControl/>
              <w:spacing w:line="360" w:lineRule="auto"/>
              <w:jc w:val="center"/>
              <w:rPr>
                <w:rFonts w:hint="eastAsia" w:ascii="宋体" w:hAnsi="宋体" w:eastAsia="宋体" w:cs="宋体"/>
                <w:color w:val="auto"/>
                <w:spacing w:val="5"/>
                <w:sz w:val="21"/>
                <w:szCs w:val="21"/>
                <w:highlight w:val="none"/>
              </w:rPr>
            </w:pPr>
            <w:r>
              <w:rPr>
                <w:rFonts w:hint="eastAsia" w:ascii="宋体" w:hAnsi="宋体" w:eastAsia="宋体" w:cs="宋体"/>
                <w:color w:val="auto"/>
                <w:spacing w:val="-2"/>
                <w:sz w:val="21"/>
                <w:szCs w:val="21"/>
                <w:highlight w:val="none"/>
              </w:rPr>
              <w:t>2.5</w:t>
            </w:r>
          </w:p>
        </w:tc>
        <w:tc>
          <w:tcPr>
            <w:tcW w:w="2041" w:type="pct"/>
            <w:vAlign w:val="center"/>
          </w:tcPr>
          <w:p>
            <w:pPr>
              <w:widowControl/>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pacing w:val="5"/>
                <w:sz w:val="21"/>
                <w:szCs w:val="21"/>
                <w:highlight w:val="none"/>
              </w:rPr>
              <w:t>近年(2020年至今)没有发生过一</w:t>
            </w:r>
            <w:r>
              <w:rPr>
                <w:rFonts w:hint="eastAsia" w:ascii="宋体" w:hAnsi="宋体" w:eastAsia="宋体" w:cs="宋体"/>
                <w:color w:val="auto"/>
                <w:spacing w:val="1"/>
                <w:sz w:val="21"/>
                <w:szCs w:val="21"/>
                <w:highlight w:val="none"/>
              </w:rPr>
              <w:t>般</w:t>
            </w:r>
            <w:r>
              <w:rPr>
                <w:rFonts w:hint="eastAsia" w:ascii="宋体" w:hAnsi="宋体" w:eastAsia="宋体" w:cs="宋体"/>
                <w:color w:val="auto"/>
                <w:spacing w:val="6"/>
                <w:sz w:val="21"/>
                <w:szCs w:val="21"/>
                <w:highlight w:val="none"/>
              </w:rPr>
              <w:t>及以上事故、无重大设备、重大质</w:t>
            </w:r>
            <w:r>
              <w:rPr>
                <w:rFonts w:hint="eastAsia" w:ascii="宋体" w:hAnsi="宋体" w:eastAsia="宋体" w:cs="宋体"/>
                <w:color w:val="auto"/>
                <w:spacing w:val="3"/>
                <w:sz w:val="21"/>
                <w:szCs w:val="21"/>
                <w:highlight w:val="none"/>
              </w:rPr>
              <w:t>量</w:t>
            </w:r>
            <w:r>
              <w:rPr>
                <w:rFonts w:hint="eastAsia" w:ascii="宋体" w:hAnsi="宋体" w:eastAsia="宋体" w:cs="宋体"/>
                <w:color w:val="auto"/>
                <w:spacing w:val="-17"/>
                <w:sz w:val="21"/>
                <w:szCs w:val="21"/>
                <w:highlight w:val="none"/>
              </w:rPr>
              <w:t>事</w:t>
            </w:r>
            <w:r>
              <w:rPr>
                <w:rFonts w:hint="eastAsia" w:ascii="宋体" w:hAnsi="宋体" w:eastAsia="宋体" w:cs="宋体"/>
                <w:color w:val="auto"/>
                <w:spacing w:val="-13"/>
                <w:sz w:val="21"/>
                <w:szCs w:val="21"/>
                <w:highlight w:val="none"/>
              </w:rPr>
              <w:t>故得2.5分，否则0分。</w:t>
            </w:r>
          </w:p>
        </w:tc>
        <w:tc>
          <w:tcPr>
            <w:tcW w:w="1669" w:type="pct"/>
            <w:vAlign w:val="center"/>
          </w:tcPr>
          <w:p>
            <w:pPr>
              <w:widowControl/>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pacing w:val="14"/>
                <w:sz w:val="21"/>
                <w:szCs w:val="21"/>
                <w:highlight w:val="none"/>
              </w:rPr>
              <w:t>质</w:t>
            </w:r>
            <w:r>
              <w:rPr>
                <w:rFonts w:hint="eastAsia" w:ascii="宋体" w:hAnsi="宋体" w:eastAsia="宋体" w:cs="宋体"/>
                <w:color w:val="auto"/>
                <w:spacing w:val="12"/>
                <w:sz w:val="21"/>
                <w:szCs w:val="21"/>
                <w:highlight w:val="none"/>
              </w:rPr>
              <w:t>量事故指标考核由投标单位</w:t>
            </w:r>
            <w:r>
              <w:rPr>
                <w:rFonts w:hint="eastAsia" w:ascii="宋体" w:hAnsi="宋体" w:eastAsia="宋体" w:cs="宋体"/>
                <w:color w:val="auto"/>
                <w:spacing w:val="-11"/>
                <w:sz w:val="21"/>
                <w:szCs w:val="21"/>
                <w:highlight w:val="none"/>
              </w:rPr>
              <w:t>自行承诺。如</w:t>
            </w:r>
            <w:r>
              <w:rPr>
                <w:rFonts w:hint="eastAsia" w:ascii="宋体" w:hAnsi="宋体" w:cs="宋体"/>
                <w:color w:val="auto"/>
                <w:spacing w:val="-11"/>
                <w:sz w:val="21"/>
                <w:szCs w:val="21"/>
                <w:highlight w:val="none"/>
                <w:lang w:val="en-US" w:eastAsia="zh-CN"/>
              </w:rPr>
              <w:t>虚假承诺</w:t>
            </w:r>
            <w:r>
              <w:rPr>
                <w:rFonts w:hint="eastAsia" w:ascii="宋体" w:hAnsi="宋体" w:eastAsia="宋体" w:cs="宋体"/>
                <w:color w:val="auto"/>
                <w:spacing w:val="-11"/>
                <w:sz w:val="21"/>
                <w:szCs w:val="21"/>
                <w:highlight w:val="none"/>
              </w:rPr>
              <w:t>，所造成的损失、不良后果及法律责任，一律由</w:t>
            </w:r>
            <w:r>
              <w:rPr>
                <w:rFonts w:hint="eastAsia" w:ascii="宋体" w:hAnsi="宋体" w:eastAsia="宋体" w:cs="宋体"/>
                <w:color w:val="auto"/>
                <w:spacing w:val="12"/>
                <w:sz w:val="21"/>
                <w:szCs w:val="21"/>
                <w:highlight w:val="none"/>
              </w:rPr>
              <w:t>投标单位</w:t>
            </w:r>
            <w:r>
              <w:rPr>
                <w:rFonts w:hint="eastAsia" w:ascii="宋体" w:hAnsi="宋体" w:eastAsia="宋体" w:cs="宋体"/>
                <w:color w:val="auto"/>
                <w:spacing w:val="-11"/>
                <w:sz w:val="21"/>
                <w:szCs w:val="21"/>
                <w:highlight w:val="none"/>
              </w:rPr>
              <w:t>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508" w:type="pct"/>
            <w:vAlign w:val="center"/>
          </w:tcPr>
          <w:p>
            <w:pPr>
              <w:widowControl/>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pacing w:val="-4"/>
                <w:sz w:val="21"/>
                <w:szCs w:val="21"/>
                <w:highlight w:val="none"/>
              </w:rPr>
              <w:t>安</w:t>
            </w:r>
            <w:r>
              <w:rPr>
                <w:rFonts w:hint="eastAsia" w:ascii="宋体" w:hAnsi="宋体" w:eastAsia="宋体" w:cs="宋体"/>
                <w:color w:val="auto"/>
                <w:spacing w:val="-2"/>
                <w:sz w:val="21"/>
                <w:szCs w:val="21"/>
                <w:highlight w:val="none"/>
              </w:rPr>
              <w:t>全事故</w:t>
            </w:r>
            <w:r>
              <w:rPr>
                <w:rFonts w:hint="eastAsia" w:ascii="宋体" w:hAnsi="宋体" w:eastAsia="宋体" w:cs="宋体"/>
                <w:color w:val="auto"/>
                <w:spacing w:val="-3"/>
                <w:sz w:val="21"/>
                <w:szCs w:val="21"/>
                <w:highlight w:val="none"/>
              </w:rPr>
              <w:t>指</w:t>
            </w:r>
            <w:r>
              <w:rPr>
                <w:rFonts w:hint="eastAsia" w:ascii="宋体" w:hAnsi="宋体" w:eastAsia="宋体" w:cs="宋体"/>
                <w:color w:val="auto"/>
                <w:spacing w:val="-2"/>
                <w:sz w:val="21"/>
                <w:szCs w:val="21"/>
                <w:highlight w:val="none"/>
              </w:rPr>
              <w:t>标考核</w:t>
            </w:r>
          </w:p>
        </w:tc>
        <w:tc>
          <w:tcPr>
            <w:tcW w:w="364" w:type="pct"/>
            <w:vAlign w:val="center"/>
          </w:tcPr>
          <w:p>
            <w:pPr>
              <w:widowControl/>
              <w:spacing w:line="360" w:lineRule="auto"/>
              <w:jc w:val="center"/>
              <w:rPr>
                <w:rFonts w:hint="eastAsia" w:ascii="宋体" w:hAnsi="宋体" w:eastAsia="宋体" w:cs="宋体"/>
                <w:color w:val="auto"/>
                <w:spacing w:val="5"/>
                <w:sz w:val="21"/>
                <w:szCs w:val="21"/>
                <w:highlight w:val="none"/>
              </w:rPr>
            </w:pPr>
            <w:r>
              <w:rPr>
                <w:rFonts w:hint="eastAsia" w:ascii="宋体" w:hAnsi="宋体" w:eastAsia="宋体" w:cs="宋体"/>
                <w:color w:val="auto"/>
                <w:spacing w:val="-2"/>
                <w:sz w:val="21"/>
                <w:szCs w:val="21"/>
                <w:highlight w:val="none"/>
              </w:rPr>
              <w:t>2.5</w:t>
            </w:r>
          </w:p>
        </w:tc>
        <w:tc>
          <w:tcPr>
            <w:tcW w:w="2041"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pacing w:val="5"/>
                <w:sz w:val="21"/>
                <w:szCs w:val="21"/>
                <w:highlight w:val="none"/>
              </w:rPr>
              <w:t>近年(2020年至今)没有发生过一</w:t>
            </w:r>
            <w:r>
              <w:rPr>
                <w:rFonts w:hint="eastAsia" w:ascii="宋体" w:hAnsi="宋体" w:eastAsia="宋体" w:cs="宋体"/>
                <w:color w:val="auto"/>
                <w:spacing w:val="1"/>
                <w:sz w:val="21"/>
                <w:szCs w:val="21"/>
                <w:highlight w:val="none"/>
              </w:rPr>
              <w:t>般</w:t>
            </w:r>
            <w:r>
              <w:rPr>
                <w:rFonts w:hint="eastAsia" w:ascii="宋体" w:hAnsi="宋体" w:eastAsia="宋体" w:cs="宋体"/>
                <w:color w:val="auto"/>
                <w:spacing w:val="8"/>
                <w:sz w:val="21"/>
                <w:szCs w:val="21"/>
                <w:highlight w:val="none"/>
              </w:rPr>
              <w:t>及</w:t>
            </w:r>
            <w:r>
              <w:rPr>
                <w:rFonts w:hint="eastAsia" w:ascii="宋体" w:hAnsi="宋体" w:eastAsia="宋体" w:cs="宋体"/>
                <w:color w:val="auto"/>
                <w:spacing w:val="5"/>
                <w:sz w:val="21"/>
                <w:szCs w:val="21"/>
                <w:highlight w:val="none"/>
              </w:rPr>
              <w:t>以上事故、无重大安全事故得2.5</w:t>
            </w:r>
            <w:r>
              <w:rPr>
                <w:rFonts w:hint="eastAsia" w:ascii="宋体" w:hAnsi="宋体" w:eastAsia="宋体" w:cs="宋体"/>
                <w:color w:val="auto"/>
                <w:spacing w:val="-16"/>
                <w:sz w:val="21"/>
                <w:szCs w:val="21"/>
                <w:highlight w:val="none"/>
              </w:rPr>
              <w:t>分</w:t>
            </w:r>
            <w:r>
              <w:rPr>
                <w:rFonts w:hint="eastAsia" w:ascii="宋体" w:hAnsi="宋体" w:eastAsia="宋体" w:cs="宋体"/>
                <w:color w:val="auto"/>
                <w:spacing w:val="-13"/>
                <w:sz w:val="21"/>
                <w:szCs w:val="21"/>
                <w:highlight w:val="none"/>
              </w:rPr>
              <w:t>，否则0分。</w:t>
            </w:r>
          </w:p>
        </w:tc>
        <w:tc>
          <w:tcPr>
            <w:tcW w:w="1669" w:type="pct"/>
            <w:vAlign w:val="center"/>
          </w:tcPr>
          <w:p>
            <w:pPr>
              <w:widowControl/>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pacing w:val="12"/>
                <w:sz w:val="21"/>
                <w:szCs w:val="21"/>
                <w:highlight w:val="none"/>
              </w:rPr>
              <w:t>安全事故指标考核由投标单</w:t>
            </w:r>
            <w:r>
              <w:rPr>
                <w:rFonts w:hint="eastAsia" w:ascii="宋体" w:hAnsi="宋体" w:eastAsia="宋体" w:cs="宋体"/>
                <w:color w:val="auto"/>
                <w:spacing w:val="10"/>
                <w:sz w:val="21"/>
                <w:szCs w:val="21"/>
                <w:highlight w:val="none"/>
              </w:rPr>
              <w:t>位</w:t>
            </w:r>
            <w:r>
              <w:rPr>
                <w:rFonts w:hint="eastAsia" w:ascii="宋体" w:hAnsi="宋体" w:eastAsia="宋体" w:cs="宋体"/>
                <w:color w:val="auto"/>
                <w:spacing w:val="-11"/>
                <w:sz w:val="21"/>
                <w:szCs w:val="21"/>
                <w:highlight w:val="none"/>
              </w:rPr>
              <w:t>自行承诺。如</w:t>
            </w:r>
            <w:r>
              <w:rPr>
                <w:rFonts w:hint="eastAsia" w:ascii="宋体" w:hAnsi="宋体" w:cs="宋体"/>
                <w:color w:val="auto"/>
                <w:spacing w:val="-11"/>
                <w:sz w:val="21"/>
                <w:szCs w:val="21"/>
                <w:highlight w:val="none"/>
                <w:lang w:val="en-US" w:eastAsia="zh-CN"/>
              </w:rPr>
              <w:t>虚假承诺</w:t>
            </w:r>
            <w:r>
              <w:rPr>
                <w:rFonts w:hint="eastAsia" w:ascii="宋体" w:hAnsi="宋体" w:eastAsia="宋体" w:cs="宋体"/>
                <w:color w:val="auto"/>
                <w:spacing w:val="-11"/>
                <w:sz w:val="21"/>
                <w:szCs w:val="21"/>
                <w:highlight w:val="none"/>
              </w:rPr>
              <w:t>，所造成的损失、不良后果及法律责任，一律由</w:t>
            </w:r>
            <w:r>
              <w:rPr>
                <w:rFonts w:hint="eastAsia" w:ascii="宋体" w:hAnsi="宋体" w:eastAsia="宋体" w:cs="宋体"/>
                <w:color w:val="auto"/>
                <w:spacing w:val="12"/>
                <w:sz w:val="21"/>
                <w:szCs w:val="21"/>
                <w:highlight w:val="none"/>
              </w:rPr>
              <w:t>投标单位</w:t>
            </w:r>
            <w:r>
              <w:rPr>
                <w:rFonts w:hint="eastAsia" w:ascii="宋体" w:hAnsi="宋体" w:eastAsia="宋体" w:cs="宋体"/>
                <w:color w:val="auto"/>
                <w:spacing w:val="-11"/>
                <w:sz w:val="21"/>
                <w:szCs w:val="21"/>
                <w:highlight w:val="none"/>
              </w:rPr>
              <w:t>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508" w:type="pct"/>
            <w:vAlign w:val="center"/>
          </w:tcPr>
          <w:p>
            <w:pPr>
              <w:widowControl/>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pacing w:val="-2"/>
                <w:sz w:val="21"/>
                <w:szCs w:val="21"/>
                <w:highlight w:val="none"/>
              </w:rPr>
              <w:t>纳税信用情</w:t>
            </w:r>
            <w:r>
              <w:rPr>
                <w:rFonts w:hint="eastAsia" w:ascii="宋体" w:hAnsi="宋体" w:eastAsia="宋体" w:cs="宋体"/>
                <w:color w:val="auto"/>
                <w:spacing w:val="-1"/>
                <w:sz w:val="21"/>
                <w:szCs w:val="21"/>
                <w:highlight w:val="none"/>
              </w:rPr>
              <w:t>况</w:t>
            </w:r>
          </w:p>
        </w:tc>
        <w:tc>
          <w:tcPr>
            <w:tcW w:w="364" w:type="pct"/>
            <w:vAlign w:val="center"/>
          </w:tcPr>
          <w:p>
            <w:pPr>
              <w:widowControl/>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8</w:t>
            </w:r>
          </w:p>
        </w:tc>
        <w:tc>
          <w:tcPr>
            <w:tcW w:w="2041"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连续5年(指2018年-2022年)获得税务机关评定为纳税信用A级纳税人的，得8分；</w:t>
            </w:r>
          </w:p>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连续4年(指2019年-2022年)获得税务机关评定为纳税信用A级纳税人的，得5分；</w:t>
            </w:r>
          </w:p>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连续3年(指2020年-2022年)获得税务机关评定为纳税信用A级纳税人的，得3分；</w:t>
            </w:r>
          </w:p>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其他得0分。</w:t>
            </w:r>
          </w:p>
        </w:tc>
        <w:tc>
          <w:tcPr>
            <w:tcW w:w="1669"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pacing w:val="16"/>
                <w:sz w:val="21"/>
                <w:szCs w:val="21"/>
                <w:highlight w:val="none"/>
              </w:rPr>
              <w:t>需</w:t>
            </w:r>
            <w:r>
              <w:rPr>
                <w:rFonts w:hint="eastAsia" w:ascii="宋体" w:hAnsi="宋体" w:eastAsia="宋体" w:cs="宋体"/>
                <w:color w:val="auto"/>
                <w:spacing w:val="11"/>
                <w:sz w:val="21"/>
                <w:szCs w:val="21"/>
                <w:highlight w:val="none"/>
              </w:rPr>
              <w:t>提供国家税务总局网页相关</w:t>
            </w:r>
            <w:r>
              <w:rPr>
                <w:rFonts w:hint="eastAsia" w:ascii="宋体" w:hAnsi="宋体" w:eastAsia="宋体" w:cs="宋体"/>
                <w:color w:val="auto"/>
                <w:spacing w:val="-14"/>
                <w:sz w:val="21"/>
                <w:szCs w:val="21"/>
                <w:highlight w:val="none"/>
              </w:rPr>
              <w:t>截</w:t>
            </w:r>
            <w:r>
              <w:rPr>
                <w:rFonts w:hint="eastAsia" w:ascii="宋体" w:hAnsi="宋体" w:eastAsia="宋体" w:cs="宋体"/>
                <w:color w:val="auto"/>
                <w:spacing w:val="-10"/>
                <w:sz w:val="21"/>
                <w:szCs w:val="21"/>
                <w:highlight w:val="none"/>
              </w:rPr>
              <w:t>图，同时必须提供查询网址，</w:t>
            </w:r>
            <w:r>
              <w:rPr>
                <w:rFonts w:hint="eastAsia" w:ascii="宋体" w:hAnsi="宋体" w:eastAsia="宋体" w:cs="宋体"/>
                <w:color w:val="auto"/>
                <w:spacing w:val="-1"/>
                <w:sz w:val="21"/>
                <w:szCs w:val="21"/>
                <w:highlight w:val="none"/>
              </w:rPr>
              <w:t>否则不得</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508" w:type="pct"/>
            <w:vAlign w:val="center"/>
          </w:tcPr>
          <w:p>
            <w:pPr>
              <w:widowControl/>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pacing w:val="-4"/>
                <w:sz w:val="21"/>
                <w:szCs w:val="21"/>
                <w:highlight w:val="none"/>
              </w:rPr>
              <w:t>企</w:t>
            </w:r>
            <w:r>
              <w:rPr>
                <w:rFonts w:hint="eastAsia" w:ascii="宋体" w:hAnsi="宋体" w:eastAsia="宋体" w:cs="宋体"/>
                <w:color w:val="auto"/>
                <w:spacing w:val="-2"/>
                <w:sz w:val="21"/>
                <w:szCs w:val="21"/>
                <w:highlight w:val="none"/>
              </w:rPr>
              <w:t>业信用情</w:t>
            </w:r>
            <w:r>
              <w:rPr>
                <w:rFonts w:hint="eastAsia" w:ascii="宋体" w:hAnsi="宋体" w:eastAsia="宋体" w:cs="宋体"/>
                <w:color w:val="auto"/>
                <w:spacing w:val="-1"/>
                <w:sz w:val="21"/>
                <w:szCs w:val="21"/>
                <w:highlight w:val="none"/>
              </w:rPr>
              <w:t>况</w:t>
            </w:r>
          </w:p>
        </w:tc>
        <w:tc>
          <w:tcPr>
            <w:tcW w:w="364" w:type="pct"/>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2041" w:type="pct"/>
            <w:vAlign w:val="center"/>
          </w:tcPr>
          <w:p>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1.连续5年(</w:t>
            </w:r>
            <w:r>
              <w:rPr>
                <w:rFonts w:hint="eastAsia" w:ascii="宋体" w:hAnsi="宋体" w:eastAsia="宋体" w:cs="宋体"/>
                <w:color w:val="auto"/>
                <w:spacing w:val="-1"/>
                <w:sz w:val="21"/>
                <w:szCs w:val="21"/>
                <w:highlight w:val="none"/>
              </w:rPr>
              <w:t>指2018年-2022年)获</w:t>
            </w:r>
            <w:r>
              <w:rPr>
                <w:rFonts w:hint="eastAsia" w:ascii="宋体" w:hAnsi="宋体" w:eastAsia="宋体" w:cs="宋体"/>
                <w:color w:val="auto"/>
                <w:spacing w:val="10"/>
                <w:sz w:val="21"/>
                <w:szCs w:val="21"/>
                <w:highlight w:val="none"/>
              </w:rPr>
              <w:t>得中</w:t>
            </w:r>
            <w:r>
              <w:rPr>
                <w:rFonts w:hint="eastAsia" w:ascii="宋体" w:hAnsi="宋体" w:eastAsia="宋体" w:cs="宋体"/>
                <w:color w:val="auto"/>
                <w:spacing w:val="7"/>
                <w:sz w:val="21"/>
                <w:szCs w:val="21"/>
                <w:highlight w:val="none"/>
              </w:rPr>
              <w:t>国</w:t>
            </w:r>
            <w:r>
              <w:rPr>
                <w:rFonts w:hint="eastAsia" w:ascii="宋体" w:hAnsi="宋体" w:eastAsia="宋体" w:cs="宋体"/>
                <w:color w:val="auto"/>
                <w:spacing w:val="5"/>
                <w:sz w:val="21"/>
                <w:szCs w:val="21"/>
                <w:highlight w:val="none"/>
              </w:rPr>
              <w:t>建筑业协会或中国施工企业管</w:t>
            </w:r>
            <w:r>
              <w:rPr>
                <w:rFonts w:hint="eastAsia" w:ascii="宋体" w:hAnsi="宋体" w:eastAsia="宋体" w:cs="宋体"/>
                <w:color w:val="auto"/>
                <w:spacing w:val="-1"/>
                <w:sz w:val="21"/>
                <w:szCs w:val="21"/>
                <w:highlight w:val="none"/>
              </w:rPr>
              <w:t>理协会颁发的</w:t>
            </w:r>
            <w:r>
              <w:rPr>
                <w:rFonts w:hint="eastAsia" w:ascii="宋体" w:hAnsi="宋体" w:eastAsia="宋体" w:cs="宋体"/>
                <w:color w:val="auto"/>
                <w:sz w:val="21"/>
                <w:szCs w:val="21"/>
                <w:highlight w:val="none"/>
              </w:rPr>
              <w:t>AAA</w:t>
            </w:r>
            <w:r>
              <w:rPr>
                <w:rFonts w:hint="eastAsia" w:ascii="宋体" w:hAnsi="宋体" w:eastAsia="宋体" w:cs="宋体"/>
                <w:color w:val="auto"/>
                <w:spacing w:val="-1"/>
                <w:sz w:val="21"/>
                <w:szCs w:val="21"/>
                <w:highlight w:val="none"/>
              </w:rPr>
              <w:t>企业信</w:t>
            </w:r>
            <w:r>
              <w:rPr>
                <w:rFonts w:hint="eastAsia" w:ascii="宋体" w:hAnsi="宋体" w:eastAsia="宋体" w:cs="宋体"/>
                <w:color w:val="auto"/>
                <w:sz w:val="21"/>
                <w:szCs w:val="21"/>
                <w:highlight w:val="none"/>
              </w:rPr>
              <w:t>用等级证书的得8分；</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2.连续5年(指2018年-2022年)获得中国建筑业协会或中国施工企业管理协会颁发的AA(或以上)企业信用等级证书的得5分；</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3.连续5年(指2018年-2022年)获得中国建筑业协会或中国施工企业管理协会颁发的A(或以上)企业信用等级证书的得3分；</w:t>
            </w:r>
          </w:p>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其他得0分。</w:t>
            </w:r>
          </w:p>
        </w:tc>
        <w:tc>
          <w:tcPr>
            <w:tcW w:w="1669" w:type="pct"/>
            <w:vAlign w:val="center"/>
          </w:tcPr>
          <w:p>
            <w:pPr>
              <w:widowControl/>
              <w:spacing w:line="360" w:lineRule="auto"/>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pacing w:val="-14"/>
                <w:sz w:val="21"/>
                <w:szCs w:val="21"/>
                <w:highlight w:val="none"/>
              </w:rPr>
              <w:t>符</w:t>
            </w:r>
            <w:r>
              <w:rPr>
                <w:rFonts w:hint="eastAsia" w:ascii="宋体" w:hAnsi="宋体" w:eastAsia="宋体" w:cs="宋体"/>
                <w:color w:val="auto"/>
                <w:spacing w:val="-10"/>
                <w:sz w:val="21"/>
                <w:szCs w:val="21"/>
                <w:highlight w:val="none"/>
              </w:rPr>
              <w:t>合多种得分情况的，按所提供</w:t>
            </w:r>
            <w:r>
              <w:rPr>
                <w:rFonts w:hint="eastAsia" w:ascii="宋体" w:hAnsi="宋体" w:eastAsia="宋体" w:cs="宋体"/>
                <w:color w:val="auto"/>
                <w:spacing w:val="-6"/>
                <w:sz w:val="21"/>
                <w:szCs w:val="21"/>
                <w:highlight w:val="none"/>
              </w:rPr>
              <w:t>证</w:t>
            </w:r>
            <w:r>
              <w:rPr>
                <w:rFonts w:hint="eastAsia" w:ascii="宋体" w:hAnsi="宋体" w:eastAsia="宋体" w:cs="宋体"/>
                <w:color w:val="auto"/>
                <w:spacing w:val="-5"/>
                <w:sz w:val="21"/>
                <w:szCs w:val="21"/>
                <w:highlight w:val="none"/>
              </w:rPr>
              <w:t>书</w:t>
            </w:r>
            <w:r>
              <w:rPr>
                <w:rFonts w:hint="eastAsia" w:ascii="宋体" w:hAnsi="宋体" w:eastAsia="宋体" w:cs="宋体"/>
                <w:color w:val="auto"/>
                <w:spacing w:val="-3"/>
                <w:sz w:val="21"/>
                <w:szCs w:val="21"/>
                <w:highlight w:val="none"/>
              </w:rPr>
              <w:t>实际情况的最高得分计取，</w:t>
            </w:r>
            <w:r>
              <w:rPr>
                <w:rFonts w:hint="eastAsia" w:ascii="宋体" w:hAnsi="宋体" w:eastAsia="宋体" w:cs="宋体"/>
                <w:color w:val="auto"/>
                <w:spacing w:val="-12"/>
                <w:sz w:val="21"/>
                <w:szCs w:val="21"/>
                <w:highlight w:val="none"/>
              </w:rPr>
              <w:t>不</w:t>
            </w:r>
            <w:r>
              <w:rPr>
                <w:rFonts w:hint="eastAsia" w:ascii="宋体" w:hAnsi="宋体" w:eastAsia="宋体" w:cs="宋体"/>
                <w:color w:val="auto"/>
                <w:spacing w:val="-10"/>
                <w:sz w:val="21"/>
                <w:szCs w:val="21"/>
                <w:highlight w:val="none"/>
              </w:rPr>
              <w:t>累计得分。需提供证书的官</w:t>
            </w:r>
            <w:r>
              <w:rPr>
                <w:rFonts w:hint="eastAsia" w:ascii="宋体" w:hAnsi="宋体" w:eastAsia="宋体" w:cs="宋体"/>
                <w:color w:val="auto"/>
                <w:spacing w:val="-10"/>
                <w:sz w:val="21"/>
                <w:szCs w:val="21"/>
                <w:highlight w:val="none"/>
                <w:lang w:val="en-US" w:eastAsia="zh-CN"/>
              </w:rPr>
              <w:t>方</w:t>
            </w:r>
            <w:r>
              <w:rPr>
                <w:rFonts w:hint="eastAsia" w:ascii="宋体" w:hAnsi="宋体" w:eastAsia="宋体" w:cs="宋体"/>
                <w:color w:val="auto"/>
                <w:spacing w:val="-8"/>
                <w:sz w:val="21"/>
                <w:szCs w:val="21"/>
                <w:highlight w:val="none"/>
              </w:rPr>
              <w:t>网</w:t>
            </w:r>
            <w:r>
              <w:rPr>
                <w:rFonts w:hint="eastAsia" w:ascii="宋体" w:hAnsi="宋体" w:eastAsia="宋体" w:cs="宋体"/>
                <w:color w:val="auto"/>
                <w:spacing w:val="-7"/>
                <w:sz w:val="21"/>
                <w:szCs w:val="21"/>
                <w:highlight w:val="none"/>
              </w:rPr>
              <w:t>页</w:t>
            </w:r>
            <w:r>
              <w:rPr>
                <w:rFonts w:hint="eastAsia" w:ascii="宋体" w:hAnsi="宋体" w:eastAsia="宋体" w:cs="宋体"/>
                <w:color w:val="auto"/>
                <w:spacing w:val="-4"/>
                <w:sz w:val="21"/>
                <w:szCs w:val="21"/>
                <w:highlight w:val="none"/>
              </w:rPr>
              <w:t>截图或原件扫描件，否则不</w:t>
            </w:r>
            <w:r>
              <w:rPr>
                <w:rFonts w:hint="eastAsia" w:ascii="宋体" w:hAnsi="宋体" w:eastAsia="宋体" w:cs="宋体"/>
                <w:color w:val="auto"/>
                <w:spacing w:val="-8"/>
                <w:sz w:val="21"/>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508" w:type="pct"/>
            <w:vAlign w:val="center"/>
          </w:tcPr>
          <w:p>
            <w:pPr>
              <w:widowControl/>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pacing w:val="-4"/>
                <w:sz w:val="21"/>
                <w:szCs w:val="21"/>
                <w:highlight w:val="none"/>
              </w:rPr>
              <w:t>企</w:t>
            </w:r>
            <w:r>
              <w:rPr>
                <w:rFonts w:hint="eastAsia" w:ascii="宋体" w:hAnsi="宋体" w:eastAsia="宋体" w:cs="宋体"/>
                <w:color w:val="auto"/>
                <w:spacing w:val="-2"/>
                <w:sz w:val="21"/>
                <w:szCs w:val="21"/>
                <w:highlight w:val="none"/>
              </w:rPr>
              <w:t>业管理体</w:t>
            </w:r>
            <w:r>
              <w:rPr>
                <w:rFonts w:hint="eastAsia" w:ascii="宋体" w:hAnsi="宋体" w:eastAsia="宋体" w:cs="宋体"/>
                <w:color w:val="auto"/>
                <w:spacing w:val="-1"/>
                <w:sz w:val="21"/>
                <w:szCs w:val="21"/>
                <w:highlight w:val="none"/>
              </w:rPr>
              <w:t>系</w:t>
            </w:r>
          </w:p>
        </w:tc>
        <w:tc>
          <w:tcPr>
            <w:tcW w:w="364" w:type="pct"/>
            <w:vAlign w:val="center"/>
          </w:tcPr>
          <w:p>
            <w:pPr>
              <w:widowControl/>
              <w:spacing w:line="360" w:lineRule="auto"/>
              <w:jc w:val="center"/>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lang w:val="en-US" w:eastAsia="zh-CN"/>
              </w:rPr>
              <w:t>5</w:t>
            </w:r>
          </w:p>
        </w:tc>
        <w:tc>
          <w:tcPr>
            <w:tcW w:w="2041" w:type="pct"/>
            <w:vAlign w:val="center"/>
          </w:tcPr>
          <w:p>
            <w:pPr>
              <w:widowControl/>
              <w:numPr>
                <w:ilvl w:val="0"/>
                <w:numId w:val="0"/>
              </w:numPr>
              <w:spacing w:line="360" w:lineRule="auto"/>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投标人具有有效期内的质量管理体系认证、环境管理体系认证、职业健康安全管理体系认证、知识产权管理体系认证、工程施工安全标准化体系认证证书情况：</w:t>
            </w:r>
          </w:p>
          <w:p>
            <w:pPr>
              <w:widowControl/>
              <w:numPr>
                <w:ilvl w:val="0"/>
                <w:numId w:val="0"/>
              </w:numPr>
              <w:spacing w:line="360" w:lineRule="auto"/>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1.具有质量管理体系认证的，得1分；</w:t>
            </w:r>
          </w:p>
          <w:p>
            <w:pPr>
              <w:widowControl/>
              <w:numPr>
                <w:ilvl w:val="0"/>
                <w:numId w:val="0"/>
              </w:numPr>
              <w:spacing w:line="360" w:lineRule="auto"/>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2.具有环境管理体系认证的，得1分；</w:t>
            </w:r>
          </w:p>
          <w:p>
            <w:pPr>
              <w:widowControl/>
              <w:numPr>
                <w:ilvl w:val="0"/>
                <w:numId w:val="0"/>
              </w:numPr>
              <w:spacing w:line="360" w:lineRule="auto"/>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3.具有职业健康安全管理体系的，得1分；</w:t>
            </w:r>
          </w:p>
          <w:p>
            <w:pPr>
              <w:widowControl/>
              <w:numPr>
                <w:ilvl w:val="0"/>
                <w:numId w:val="0"/>
              </w:numPr>
              <w:spacing w:line="360" w:lineRule="auto"/>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4.具有知识产权管理体系认证的，得1分；</w:t>
            </w:r>
          </w:p>
          <w:p>
            <w:pPr>
              <w:widowControl/>
              <w:numPr>
                <w:ilvl w:val="0"/>
                <w:numId w:val="0"/>
              </w:numPr>
              <w:spacing w:line="360" w:lineRule="auto"/>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5.具有工程施工安全标准化体系认证证书的，得1分。</w:t>
            </w:r>
          </w:p>
          <w:p>
            <w:pPr>
              <w:widowControl/>
              <w:numPr>
                <w:ilvl w:val="0"/>
                <w:numId w:val="0"/>
              </w:numPr>
              <w:spacing w:line="360" w:lineRule="auto"/>
              <w:jc w:val="left"/>
              <w:rPr>
                <w:rFonts w:hint="eastAsia"/>
                <w:color w:val="auto"/>
                <w:highlight w:val="none"/>
              </w:rPr>
            </w:pPr>
            <w:r>
              <w:rPr>
                <w:rFonts w:hint="eastAsia" w:ascii="Times New Roman" w:hAnsi="Times New Roman" w:cs="Times New Roman"/>
                <w:color w:val="auto"/>
                <w:highlight w:val="none"/>
              </w:rPr>
              <w:t>本项累计最高得5分。不满足上述情况的，或未提供相关证明材料的不得分。</w:t>
            </w:r>
          </w:p>
        </w:tc>
        <w:tc>
          <w:tcPr>
            <w:tcW w:w="1669"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pacing w:val="-6"/>
                <w:sz w:val="21"/>
                <w:szCs w:val="21"/>
                <w:highlight w:val="none"/>
              </w:rPr>
              <w:t>提供</w:t>
            </w:r>
            <w:r>
              <w:rPr>
                <w:rFonts w:hint="eastAsia" w:ascii="宋体" w:hAnsi="宋体" w:eastAsia="宋体" w:cs="宋体"/>
                <w:color w:val="auto"/>
                <w:spacing w:val="-3"/>
                <w:sz w:val="21"/>
                <w:szCs w:val="21"/>
                <w:highlight w:val="none"/>
              </w:rPr>
              <w:t>的证书需在有效期内，否则不</w:t>
            </w:r>
            <w:r>
              <w:rPr>
                <w:rFonts w:hint="eastAsia" w:ascii="宋体" w:hAnsi="宋体" w:eastAsia="宋体" w:cs="宋体"/>
                <w:color w:val="auto"/>
                <w:spacing w:val="-2"/>
                <w:sz w:val="21"/>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508" w:type="pct"/>
            <w:vAlign w:val="center"/>
          </w:tcPr>
          <w:p>
            <w:pPr>
              <w:widowControl/>
              <w:spacing w:line="360" w:lineRule="auto"/>
              <w:jc w:val="center"/>
              <w:rPr>
                <w:rFonts w:hint="default" w:ascii="宋体" w:hAnsi="宋体" w:eastAsia="宋体" w:cs="宋体"/>
                <w:color w:val="auto"/>
                <w:sz w:val="21"/>
                <w:szCs w:val="21"/>
                <w:highlight w:val="none"/>
                <w:vertAlign w:val="baseline"/>
                <w:lang w:val="en-US"/>
              </w:rPr>
            </w:pPr>
            <w:r>
              <w:rPr>
                <w:rFonts w:hint="eastAsia" w:ascii="宋体" w:hAnsi="宋体" w:cs="宋体"/>
                <w:color w:val="auto"/>
                <w:spacing w:val="-6"/>
                <w:sz w:val="21"/>
                <w:szCs w:val="21"/>
                <w:highlight w:val="none"/>
                <w:lang w:val="en-US" w:eastAsia="zh-CN"/>
              </w:rPr>
              <w:t>财务状况</w:t>
            </w:r>
          </w:p>
        </w:tc>
        <w:tc>
          <w:tcPr>
            <w:tcW w:w="364" w:type="pct"/>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8</w:t>
            </w:r>
          </w:p>
        </w:tc>
        <w:tc>
          <w:tcPr>
            <w:tcW w:w="2041" w:type="pct"/>
            <w:vAlign w:val="center"/>
          </w:tcPr>
          <w:p>
            <w:pPr>
              <w:widowControl/>
              <w:spacing w:line="360" w:lineRule="auto"/>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1）近3年盈利状况：每有一年盈利得1分，满分</w:t>
            </w:r>
            <w:r>
              <w:rPr>
                <w:rFonts w:hint="eastAsia" w:ascii="宋体" w:hAnsi="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rPr>
              <w:t>分。</w:t>
            </w:r>
          </w:p>
          <w:p>
            <w:pPr>
              <w:widowControl/>
              <w:spacing w:line="360" w:lineRule="auto"/>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2）近1年资产负债率（负债总额/资产总额*100%）：投标人最近1年会计年度财务报表资产负债率为70%或以下的得3分，80%或以下的得2分，90%或以下的得1分，超过90%的不得分。</w:t>
            </w:r>
          </w:p>
          <w:p>
            <w:pPr>
              <w:widowControl/>
              <w:spacing w:line="360" w:lineRule="auto"/>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3）近3年现金流量情况：每有一年净现金流量为正得1分，满分3分。</w:t>
            </w:r>
          </w:p>
        </w:tc>
        <w:tc>
          <w:tcPr>
            <w:tcW w:w="1669"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投标人须提供近3年（2020-2022年度）经独立的会计师事务所审计的财务报表（含审计报告、资产负债表、利润表、现金流量表）的复印件并加盖公章,须提供经独立的会计师事务所审计的财务报表，成立不足三年的提交自成立以来年度的经第三方审计的报表参与评审，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508" w:type="pct"/>
            <w:vAlign w:val="center"/>
          </w:tcPr>
          <w:p>
            <w:pPr>
              <w:spacing w:before="68" w:line="221" w:lineRule="auto"/>
              <w:ind w:left="213"/>
              <w:rPr>
                <w:rFonts w:hint="eastAsia" w:ascii="宋体" w:hAnsi="宋体" w:eastAsia="宋体" w:cs="宋体"/>
                <w:color w:val="auto"/>
                <w:sz w:val="21"/>
                <w:szCs w:val="21"/>
                <w:highlight w:val="none"/>
                <w:vertAlign w:val="baseline"/>
              </w:rPr>
            </w:pPr>
            <w:r>
              <w:rPr>
                <w:rFonts w:hint="eastAsia" w:ascii="宋体" w:hAnsi="宋体" w:eastAsia="宋体" w:cs="宋体"/>
                <w:color w:val="auto"/>
                <w:spacing w:val="-3"/>
                <w:sz w:val="21"/>
                <w:szCs w:val="21"/>
                <w:highlight w:val="none"/>
              </w:rPr>
              <w:t>项</w:t>
            </w:r>
            <w:r>
              <w:rPr>
                <w:rFonts w:hint="eastAsia" w:ascii="宋体" w:hAnsi="宋体" w:eastAsia="宋体" w:cs="宋体"/>
                <w:color w:val="auto"/>
                <w:spacing w:val="-2"/>
                <w:sz w:val="21"/>
                <w:szCs w:val="21"/>
                <w:highlight w:val="none"/>
              </w:rPr>
              <w:t>目经理</w:t>
            </w:r>
            <w:r>
              <w:rPr>
                <w:rFonts w:hint="eastAsia" w:ascii="宋体" w:hAnsi="宋体" w:eastAsia="宋体" w:cs="宋体"/>
                <w:color w:val="auto"/>
                <w:spacing w:val="23"/>
                <w:sz w:val="21"/>
                <w:szCs w:val="21"/>
                <w:highlight w:val="none"/>
              </w:rPr>
              <w:t>(项目负</w:t>
            </w:r>
            <w:r>
              <w:rPr>
                <w:rFonts w:hint="eastAsia" w:ascii="宋体" w:hAnsi="宋体" w:eastAsia="宋体" w:cs="宋体"/>
                <w:color w:val="auto"/>
                <w:spacing w:val="-8"/>
                <w:sz w:val="21"/>
                <w:szCs w:val="21"/>
                <w:highlight w:val="none"/>
              </w:rPr>
              <w:t>责</w:t>
            </w:r>
            <w:r>
              <w:rPr>
                <w:rFonts w:hint="eastAsia" w:ascii="宋体" w:hAnsi="宋体" w:eastAsia="宋体" w:cs="宋体"/>
                <w:color w:val="auto"/>
                <w:spacing w:val="-7"/>
                <w:sz w:val="21"/>
                <w:szCs w:val="21"/>
                <w:highlight w:val="none"/>
              </w:rPr>
              <w:t>人)</w:t>
            </w:r>
          </w:p>
        </w:tc>
        <w:tc>
          <w:tcPr>
            <w:tcW w:w="364" w:type="pct"/>
            <w:vAlign w:val="center"/>
          </w:tcPr>
          <w:p>
            <w:pPr>
              <w:widowControl/>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5</w:t>
            </w:r>
          </w:p>
        </w:tc>
        <w:tc>
          <w:tcPr>
            <w:tcW w:w="2041"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pacing w:val="17"/>
                <w:sz w:val="21"/>
                <w:szCs w:val="21"/>
                <w:highlight w:val="none"/>
              </w:rPr>
              <w:t>项</w:t>
            </w:r>
            <w:r>
              <w:rPr>
                <w:rFonts w:hint="eastAsia" w:ascii="宋体" w:hAnsi="宋体" w:eastAsia="宋体" w:cs="宋体"/>
                <w:color w:val="auto"/>
                <w:spacing w:val="11"/>
                <w:sz w:val="21"/>
                <w:szCs w:val="21"/>
                <w:highlight w:val="none"/>
              </w:rPr>
              <w:t>目经理(项目负责人)：具有建筑</w:t>
            </w:r>
            <w:r>
              <w:rPr>
                <w:rFonts w:hint="eastAsia" w:ascii="宋体" w:hAnsi="宋体" w:eastAsia="宋体" w:cs="宋体"/>
                <w:color w:val="auto"/>
                <w:spacing w:val="-5"/>
                <w:sz w:val="21"/>
                <w:szCs w:val="21"/>
                <w:highlight w:val="none"/>
              </w:rPr>
              <w:t>类</w:t>
            </w:r>
            <w:r>
              <w:rPr>
                <w:rFonts w:hint="eastAsia" w:ascii="宋体" w:hAnsi="宋体" w:eastAsia="宋体" w:cs="宋体"/>
                <w:color w:val="auto"/>
                <w:spacing w:val="-3"/>
                <w:sz w:val="21"/>
                <w:szCs w:val="21"/>
                <w:highlight w:val="none"/>
              </w:rPr>
              <w:t>高级工程师及以上职称的得5分，</w:t>
            </w:r>
            <w:r>
              <w:rPr>
                <w:rFonts w:hint="eastAsia" w:ascii="宋体" w:hAnsi="宋体" w:eastAsia="宋体" w:cs="宋体"/>
                <w:color w:val="auto"/>
                <w:spacing w:val="-16"/>
                <w:sz w:val="21"/>
                <w:szCs w:val="21"/>
                <w:highlight w:val="none"/>
              </w:rPr>
              <w:t>具</w:t>
            </w:r>
            <w:r>
              <w:rPr>
                <w:rFonts w:hint="eastAsia" w:ascii="宋体" w:hAnsi="宋体" w:eastAsia="宋体" w:cs="宋体"/>
                <w:color w:val="auto"/>
                <w:spacing w:val="-9"/>
                <w:sz w:val="21"/>
                <w:szCs w:val="21"/>
                <w:highlight w:val="none"/>
              </w:rPr>
              <w:t>有</w:t>
            </w:r>
            <w:r>
              <w:rPr>
                <w:rFonts w:hint="eastAsia" w:ascii="宋体" w:hAnsi="宋体" w:eastAsia="宋体" w:cs="宋体"/>
                <w:color w:val="auto"/>
                <w:spacing w:val="-8"/>
                <w:sz w:val="21"/>
                <w:szCs w:val="21"/>
                <w:highlight w:val="none"/>
              </w:rPr>
              <w:t>建筑类中级工程师职称的得3分，</w:t>
            </w:r>
            <w:r>
              <w:rPr>
                <w:rFonts w:hint="eastAsia" w:ascii="宋体" w:hAnsi="宋体" w:eastAsia="宋体" w:cs="宋体"/>
                <w:color w:val="auto"/>
                <w:spacing w:val="-1"/>
                <w:sz w:val="21"/>
                <w:szCs w:val="21"/>
                <w:highlight w:val="none"/>
              </w:rPr>
              <w:t>其他不得分</w:t>
            </w:r>
            <w:r>
              <w:rPr>
                <w:rFonts w:hint="eastAsia" w:ascii="宋体" w:hAnsi="宋体" w:eastAsia="宋体" w:cs="宋体"/>
                <w:color w:val="auto"/>
                <w:sz w:val="21"/>
                <w:szCs w:val="21"/>
                <w:highlight w:val="none"/>
              </w:rPr>
              <w:t>。</w:t>
            </w:r>
          </w:p>
        </w:tc>
        <w:tc>
          <w:tcPr>
            <w:tcW w:w="1669"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需提供相应职称证书，职称证书应以人社部门或者在人社部门核准备案的职称评审委员会或人社部门授权具备颁发资格的机构(或单位)颁发的为准，否则不得分。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508" w:type="pct"/>
            <w:vAlign w:val="center"/>
          </w:tcPr>
          <w:p>
            <w:pPr>
              <w:spacing w:before="68" w:line="221" w:lineRule="auto"/>
              <w:ind w:left="209"/>
              <w:rPr>
                <w:rFonts w:hint="eastAsia" w:ascii="宋体" w:hAnsi="宋体" w:eastAsia="宋体" w:cs="宋体"/>
                <w:color w:val="auto"/>
                <w:spacing w:val="23"/>
                <w:sz w:val="21"/>
                <w:szCs w:val="21"/>
                <w:highlight w:val="none"/>
              </w:rPr>
            </w:pPr>
            <w:r>
              <w:rPr>
                <w:rFonts w:hint="eastAsia" w:ascii="宋体" w:hAnsi="宋体" w:eastAsia="宋体" w:cs="宋体"/>
                <w:color w:val="auto"/>
                <w:spacing w:val="-2"/>
                <w:sz w:val="21"/>
                <w:szCs w:val="21"/>
                <w:highlight w:val="none"/>
              </w:rPr>
              <w:t>施</w:t>
            </w:r>
            <w:r>
              <w:rPr>
                <w:rFonts w:hint="eastAsia" w:ascii="宋体" w:hAnsi="宋体" w:eastAsia="宋体" w:cs="宋体"/>
                <w:color w:val="auto"/>
                <w:spacing w:val="-1"/>
                <w:sz w:val="21"/>
                <w:szCs w:val="21"/>
                <w:highlight w:val="none"/>
              </w:rPr>
              <w:t>工管理</w:t>
            </w:r>
            <w:r>
              <w:rPr>
                <w:rFonts w:hint="eastAsia" w:ascii="宋体" w:hAnsi="宋体" w:eastAsia="宋体" w:cs="宋体"/>
                <w:color w:val="auto"/>
                <w:spacing w:val="-2"/>
                <w:sz w:val="21"/>
                <w:szCs w:val="21"/>
                <w:highlight w:val="none"/>
              </w:rPr>
              <w:t>人员综合</w:t>
            </w:r>
            <w:r>
              <w:rPr>
                <w:rFonts w:hint="eastAsia" w:ascii="宋体" w:hAnsi="宋体" w:eastAsia="宋体" w:cs="宋体"/>
                <w:color w:val="auto"/>
                <w:spacing w:val="-3"/>
                <w:sz w:val="21"/>
                <w:szCs w:val="21"/>
                <w:highlight w:val="none"/>
              </w:rPr>
              <w:t>素</w:t>
            </w:r>
            <w:r>
              <w:rPr>
                <w:rFonts w:hint="eastAsia" w:ascii="宋体" w:hAnsi="宋体" w:eastAsia="宋体" w:cs="宋体"/>
                <w:color w:val="auto"/>
                <w:spacing w:val="-2"/>
                <w:sz w:val="21"/>
                <w:szCs w:val="21"/>
                <w:highlight w:val="none"/>
              </w:rPr>
              <w:t>质</w:t>
            </w:r>
          </w:p>
        </w:tc>
        <w:tc>
          <w:tcPr>
            <w:tcW w:w="364" w:type="pct"/>
            <w:vAlign w:val="center"/>
          </w:tcPr>
          <w:p>
            <w:pPr>
              <w:widowControl/>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2"/>
                <w:sz w:val="21"/>
                <w:szCs w:val="21"/>
                <w:highlight w:val="none"/>
              </w:rPr>
              <w:t>1</w:t>
            </w:r>
          </w:p>
        </w:tc>
        <w:tc>
          <w:tcPr>
            <w:tcW w:w="2041" w:type="pct"/>
            <w:vAlign w:val="center"/>
          </w:tcPr>
          <w:p>
            <w:pPr>
              <w:widowControl/>
              <w:numPr>
                <w:ilvl w:val="0"/>
                <w:numId w:val="20"/>
              </w:numPr>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施工现场组织架构人员齐备(包括项目经理、技术负责人、安全负责人、质量负责人、造价负责人)的情况下，得基本分5分，未齐备本项0分且不参与第2点评审；</w:t>
            </w:r>
          </w:p>
          <w:p>
            <w:pPr>
              <w:widowControl/>
              <w:numPr>
                <w:ilvl w:val="0"/>
                <w:numId w:val="0"/>
              </w:numPr>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2.施工管理人员素质：</w:t>
            </w:r>
          </w:p>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(1)具备高级职称(包括建筑、机电、电气、暖通、给排水等专业)10年及以上的，2分/人；(若1人同时具备多个职称证书的，只计取一次)。本项最高得</w:t>
            </w:r>
            <w:r>
              <w:rPr>
                <w:rFonts w:hint="eastAsia" w:ascii="宋体" w:hAnsi="宋体" w:cs="宋体"/>
                <w:color w:val="auto"/>
                <w:sz w:val="21"/>
                <w:szCs w:val="21"/>
                <w:highlight w:val="none"/>
                <w:vertAlign w:val="baseline"/>
                <w:lang w:val="en-US" w:eastAsia="zh-CN"/>
              </w:rPr>
              <w:t>10</w:t>
            </w:r>
            <w:r>
              <w:rPr>
                <w:rFonts w:hint="eastAsia" w:ascii="宋体" w:hAnsi="宋体" w:eastAsia="宋体" w:cs="宋体"/>
                <w:color w:val="auto"/>
                <w:sz w:val="21"/>
                <w:szCs w:val="21"/>
                <w:highlight w:val="none"/>
                <w:vertAlign w:val="baseline"/>
              </w:rPr>
              <w:t>分。</w:t>
            </w:r>
          </w:p>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(2)具备一级注册造价师(土木建筑专业)15年及以上的，得3分；具备一级注册造价师(安装专业)15年及以上的，得3分。本项最高得6分。(若1人同时具备多个专业注册造价师的，只计取一次)。</w:t>
            </w:r>
          </w:p>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(3)若1人同时满足上述2点要求的，得分不相加，只取最高分。</w:t>
            </w:r>
          </w:p>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本评分项最高得分21分。</w:t>
            </w:r>
          </w:p>
        </w:tc>
        <w:tc>
          <w:tcPr>
            <w:tcW w:w="1669" w:type="pct"/>
            <w:vAlign w:val="center"/>
          </w:tcPr>
          <w:p>
            <w:pPr>
              <w:widowControl/>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3"/>
                <w:sz w:val="21"/>
                <w:szCs w:val="21"/>
                <w:highlight w:val="none"/>
              </w:rPr>
              <w:t>1)须提供以下证明材料：①</w:t>
            </w:r>
            <w:r>
              <w:rPr>
                <w:rFonts w:hint="eastAsia" w:ascii="宋体" w:hAnsi="宋体" w:eastAsia="宋体" w:cs="宋体"/>
                <w:color w:val="auto"/>
                <w:spacing w:val="12"/>
                <w:sz w:val="21"/>
                <w:szCs w:val="21"/>
                <w:highlight w:val="none"/>
              </w:rPr>
              <w:t>按上述要求提供人员的注册证</w:t>
            </w:r>
            <w:r>
              <w:rPr>
                <w:rFonts w:hint="eastAsia" w:ascii="宋体" w:hAnsi="宋体" w:eastAsia="宋体" w:cs="宋体"/>
                <w:color w:val="auto"/>
                <w:spacing w:val="6"/>
                <w:sz w:val="21"/>
                <w:szCs w:val="21"/>
                <w:highlight w:val="none"/>
              </w:rPr>
              <w:t>书或</w:t>
            </w:r>
            <w:r>
              <w:rPr>
                <w:rFonts w:hint="eastAsia" w:ascii="宋体" w:hAnsi="宋体" w:eastAsia="宋体" w:cs="宋体"/>
                <w:color w:val="auto"/>
                <w:spacing w:val="3"/>
                <w:sz w:val="21"/>
                <w:szCs w:val="21"/>
                <w:highlight w:val="none"/>
              </w:rPr>
              <w:t>职称证书等相关证书(包括</w:t>
            </w:r>
            <w:r>
              <w:rPr>
                <w:rFonts w:hint="eastAsia" w:ascii="宋体" w:hAnsi="宋体" w:eastAsia="宋体" w:cs="宋体"/>
                <w:color w:val="auto"/>
                <w:spacing w:val="-4"/>
                <w:sz w:val="21"/>
                <w:szCs w:val="21"/>
                <w:highlight w:val="none"/>
              </w:rPr>
              <w:t>身</w:t>
            </w:r>
            <w:r>
              <w:rPr>
                <w:rFonts w:hint="eastAsia" w:ascii="宋体" w:hAnsi="宋体" w:eastAsia="宋体" w:cs="宋体"/>
                <w:color w:val="auto"/>
                <w:spacing w:val="-3"/>
                <w:sz w:val="21"/>
                <w:szCs w:val="21"/>
                <w:highlight w:val="none"/>
              </w:rPr>
              <w:t>份证)的扫描件；②拟派本</w:t>
            </w:r>
            <w:r>
              <w:rPr>
                <w:rFonts w:hint="eastAsia" w:ascii="宋体" w:hAnsi="宋体" w:eastAsia="宋体" w:cs="宋体"/>
                <w:color w:val="auto"/>
                <w:spacing w:val="12"/>
                <w:sz w:val="21"/>
                <w:szCs w:val="21"/>
                <w:highlight w:val="none"/>
              </w:rPr>
              <w:t>项目管理人员须提供在本单位</w:t>
            </w:r>
            <w:r>
              <w:rPr>
                <w:rFonts w:hint="eastAsia" w:ascii="宋体" w:hAnsi="宋体" w:eastAsia="宋体" w:cs="宋体"/>
                <w:color w:val="auto"/>
                <w:spacing w:val="-6"/>
                <w:sz w:val="21"/>
                <w:szCs w:val="21"/>
                <w:highlight w:val="none"/>
              </w:rPr>
              <w:t>投</w:t>
            </w:r>
            <w:r>
              <w:rPr>
                <w:rFonts w:hint="eastAsia" w:ascii="宋体" w:hAnsi="宋体" w:eastAsia="宋体" w:cs="宋体"/>
                <w:color w:val="auto"/>
                <w:spacing w:val="-3"/>
                <w:sz w:val="21"/>
                <w:szCs w:val="21"/>
                <w:highlight w:val="none"/>
              </w:rPr>
              <w:t>标截止日期前半年内连续3个</w:t>
            </w:r>
            <w:r>
              <w:rPr>
                <w:rFonts w:hint="eastAsia" w:ascii="宋体" w:hAnsi="宋体" w:eastAsia="宋体" w:cs="宋体"/>
                <w:color w:val="auto"/>
                <w:spacing w:val="-16"/>
                <w:sz w:val="21"/>
                <w:szCs w:val="21"/>
                <w:highlight w:val="none"/>
              </w:rPr>
              <w:t>月</w:t>
            </w:r>
            <w:r>
              <w:rPr>
                <w:rFonts w:hint="eastAsia" w:ascii="宋体" w:hAnsi="宋体" w:eastAsia="宋体" w:cs="宋体"/>
                <w:color w:val="auto"/>
                <w:spacing w:val="-9"/>
                <w:sz w:val="21"/>
                <w:szCs w:val="21"/>
                <w:highlight w:val="none"/>
              </w:rPr>
              <w:t>的</w:t>
            </w:r>
            <w:r>
              <w:rPr>
                <w:rFonts w:hint="eastAsia" w:ascii="宋体" w:hAnsi="宋体" w:eastAsia="宋体" w:cs="宋体"/>
                <w:color w:val="auto"/>
                <w:spacing w:val="-8"/>
                <w:sz w:val="21"/>
                <w:szCs w:val="21"/>
                <w:highlight w:val="none"/>
              </w:rPr>
              <w:t>社保证明；(2)职称证书</w:t>
            </w:r>
            <w:r>
              <w:rPr>
                <w:rFonts w:hint="eastAsia" w:ascii="宋体" w:hAnsi="宋体" w:eastAsia="宋体" w:cs="宋体"/>
                <w:color w:val="auto"/>
                <w:spacing w:val="14"/>
                <w:sz w:val="21"/>
                <w:szCs w:val="21"/>
                <w:highlight w:val="none"/>
              </w:rPr>
              <w:t>应</w:t>
            </w:r>
            <w:r>
              <w:rPr>
                <w:rFonts w:hint="eastAsia" w:ascii="宋体" w:hAnsi="宋体" w:eastAsia="宋体" w:cs="宋体"/>
                <w:color w:val="auto"/>
                <w:spacing w:val="12"/>
                <w:sz w:val="21"/>
                <w:szCs w:val="21"/>
                <w:highlight w:val="none"/>
              </w:rPr>
              <w:t>以人社部门或者在人社部门</w:t>
            </w:r>
            <w:r>
              <w:rPr>
                <w:rFonts w:hint="eastAsia" w:ascii="宋体" w:hAnsi="宋体" w:eastAsia="宋体" w:cs="宋体"/>
                <w:color w:val="auto"/>
                <w:spacing w:val="15"/>
                <w:sz w:val="21"/>
                <w:szCs w:val="21"/>
                <w:highlight w:val="none"/>
              </w:rPr>
              <w:t>核</w:t>
            </w:r>
            <w:r>
              <w:rPr>
                <w:rFonts w:hint="eastAsia" w:ascii="宋体" w:hAnsi="宋体" w:eastAsia="宋体" w:cs="宋体"/>
                <w:color w:val="auto"/>
                <w:spacing w:val="12"/>
                <w:sz w:val="21"/>
                <w:szCs w:val="21"/>
                <w:highlight w:val="none"/>
              </w:rPr>
              <w:t>准备案的职称评审委员会或</w:t>
            </w:r>
            <w:r>
              <w:rPr>
                <w:rFonts w:hint="eastAsia" w:ascii="宋体" w:hAnsi="宋体" w:eastAsia="宋体" w:cs="宋体"/>
                <w:color w:val="auto"/>
                <w:spacing w:val="16"/>
                <w:sz w:val="21"/>
                <w:szCs w:val="21"/>
                <w:highlight w:val="none"/>
              </w:rPr>
              <w:t>人</w:t>
            </w:r>
            <w:r>
              <w:rPr>
                <w:rFonts w:hint="eastAsia" w:ascii="宋体" w:hAnsi="宋体" w:eastAsia="宋体" w:cs="宋体"/>
                <w:color w:val="auto"/>
                <w:spacing w:val="12"/>
                <w:sz w:val="21"/>
                <w:szCs w:val="21"/>
                <w:highlight w:val="none"/>
              </w:rPr>
              <w:t>社部门授权具备颁发资格的</w:t>
            </w:r>
            <w:r>
              <w:rPr>
                <w:rFonts w:hint="eastAsia" w:ascii="宋体" w:hAnsi="宋体" w:eastAsia="宋体" w:cs="宋体"/>
                <w:color w:val="auto"/>
                <w:spacing w:val="-6"/>
                <w:sz w:val="21"/>
                <w:szCs w:val="21"/>
                <w:highlight w:val="none"/>
              </w:rPr>
              <w:t>机构(</w:t>
            </w:r>
            <w:r>
              <w:rPr>
                <w:rFonts w:hint="eastAsia" w:ascii="宋体" w:hAnsi="宋体" w:eastAsia="宋体" w:cs="宋体"/>
                <w:color w:val="auto"/>
                <w:spacing w:val="-3"/>
                <w:sz w:val="21"/>
                <w:szCs w:val="21"/>
                <w:highlight w:val="none"/>
              </w:rPr>
              <w:t>或单位)颁发的为准。(3)</w:t>
            </w:r>
            <w:r>
              <w:rPr>
                <w:rFonts w:hint="eastAsia" w:ascii="宋体" w:hAnsi="宋体" w:eastAsia="宋体" w:cs="宋体"/>
                <w:color w:val="auto"/>
                <w:spacing w:val="-4"/>
                <w:sz w:val="21"/>
                <w:szCs w:val="21"/>
                <w:highlight w:val="none"/>
              </w:rPr>
              <w:t>招标人</w:t>
            </w:r>
            <w:r>
              <w:rPr>
                <w:rFonts w:hint="eastAsia" w:ascii="宋体" w:hAnsi="宋体" w:eastAsia="宋体" w:cs="宋体"/>
                <w:color w:val="auto"/>
                <w:spacing w:val="-2"/>
                <w:sz w:val="21"/>
                <w:szCs w:val="21"/>
                <w:highlight w:val="none"/>
              </w:rPr>
              <w:t>将对技术、安全、质量、</w:t>
            </w:r>
            <w:r>
              <w:rPr>
                <w:rFonts w:hint="eastAsia" w:ascii="宋体" w:hAnsi="宋体" w:eastAsia="宋体" w:cs="宋体"/>
                <w:color w:val="auto"/>
                <w:spacing w:val="-6"/>
                <w:sz w:val="21"/>
                <w:szCs w:val="21"/>
                <w:highlight w:val="none"/>
              </w:rPr>
              <w:t>造</w:t>
            </w:r>
            <w:r>
              <w:rPr>
                <w:rFonts w:hint="eastAsia" w:ascii="宋体" w:hAnsi="宋体" w:eastAsia="宋体" w:cs="宋体"/>
                <w:color w:val="auto"/>
                <w:spacing w:val="-4"/>
                <w:sz w:val="21"/>
                <w:szCs w:val="21"/>
                <w:highlight w:val="none"/>
              </w:rPr>
              <w:t>价</w:t>
            </w:r>
            <w:r>
              <w:rPr>
                <w:rFonts w:hint="eastAsia" w:ascii="宋体" w:hAnsi="宋体" w:eastAsia="宋体" w:cs="宋体"/>
                <w:color w:val="auto"/>
                <w:spacing w:val="-3"/>
                <w:sz w:val="21"/>
                <w:szCs w:val="21"/>
                <w:highlight w:val="none"/>
              </w:rPr>
              <w:t>负责人进行现场考勤，上述</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人员</w:t>
            </w:r>
            <w:r>
              <w:rPr>
                <w:rFonts w:hint="eastAsia" w:ascii="宋体" w:hAnsi="宋体" w:eastAsia="宋体" w:cs="宋体"/>
                <w:color w:val="auto"/>
                <w:spacing w:val="-3"/>
                <w:sz w:val="21"/>
                <w:szCs w:val="21"/>
                <w:highlight w:val="none"/>
              </w:rPr>
              <w:t>未征得招标人的事先同意，</w:t>
            </w:r>
            <w:r>
              <w:rPr>
                <w:rFonts w:hint="eastAsia" w:ascii="宋体" w:hAnsi="宋体" w:eastAsia="宋体" w:cs="宋体"/>
                <w:color w:val="auto"/>
                <w:spacing w:val="-6"/>
                <w:sz w:val="21"/>
                <w:szCs w:val="21"/>
                <w:highlight w:val="none"/>
              </w:rPr>
              <w:t>投</w:t>
            </w:r>
            <w:r>
              <w:rPr>
                <w:rFonts w:hint="eastAsia" w:ascii="宋体" w:hAnsi="宋体" w:eastAsia="宋体" w:cs="宋体"/>
                <w:color w:val="auto"/>
                <w:spacing w:val="-4"/>
                <w:sz w:val="21"/>
                <w:szCs w:val="21"/>
                <w:highlight w:val="none"/>
              </w:rPr>
              <w:t>标</w:t>
            </w:r>
            <w:r>
              <w:rPr>
                <w:rFonts w:hint="eastAsia" w:ascii="宋体" w:hAnsi="宋体" w:eastAsia="宋体" w:cs="宋体"/>
                <w:color w:val="auto"/>
                <w:spacing w:val="-3"/>
                <w:sz w:val="21"/>
                <w:szCs w:val="21"/>
                <w:highlight w:val="none"/>
              </w:rPr>
              <w:t>人不得对其进行更换。投标</w:t>
            </w:r>
            <w:r>
              <w:rPr>
                <w:rFonts w:hint="eastAsia" w:ascii="宋体" w:hAnsi="宋体" w:eastAsia="宋体" w:cs="宋体"/>
                <w:color w:val="auto"/>
                <w:spacing w:val="-6"/>
                <w:sz w:val="21"/>
                <w:szCs w:val="21"/>
                <w:highlight w:val="none"/>
              </w:rPr>
              <w:t>人</w:t>
            </w:r>
            <w:r>
              <w:rPr>
                <w:rFonts w:hint="eastAsia" w:ascii="宋体" w:hAnsi="宋体" w:eastAsia="宋体" w:cs="宋体"/>
                <w:color w:val="auto"/>
                <w:spacing w:val="-3"/>
                <w:sz w:val="21"/>
                <w:szCs w:val="21"/>
                <w:highlight w:val="none"/>
              </w:rPr>
              <w:t>确需更换项目技术、安全、质</w:t>
            </w:r>
            <w:r>
              <w:rPr>
                <w:rFonts w:hint="eastAsia" w:ascii="宋体" w:hAnsi="宋体" w:eastAsia="宋体" w:cs="宋体"/>
                <w:color w:val="auto"/>
                <w:spacing w:val="-4"/>
                <w:sz w:val="21"/>
                <w:szCs w:val="21"/>
                <w:highlight w:val="none"/>
              </w:rPr>
              <w:t>量</w:t>
            </w:r>
            <w:r>
              <w:rPr>
                <w:rFonts w:hint="eastAsia" w:ascii="宋体" w:hAnsi="宋体" w:eastAsia="宋体" w:cs="宋体"/>
                <w:color w:val="auto"/>
                <w:spacing w:val="-3"/>
                <w:sz w:val="21"/>
                <w:szCs w:val="21"/>
                <w:highlight w:val="none"/>
              </w:rPr>
              <w:t>、造价负责人的,须经发包人</w:t>
            </w:r>
            <w:r>
              <w:rPr>
                <w:rFonts w:hint="eastAsia" w:ascii="宋体" w:hAnsi="宋体" w:eastAsia="宋体" w:cs="宋体"/>
                <w:color w:val="auto"/>
                <w:spacing w:val="-13"/>
                <w:sz w:val="21"/>
                <w:szCs w:val="21"/>
                <w:highlight w:val="none"/>
              </w:rPr>
              <w:t>书</w:t>
            </w:r>
            <w:r>
              <w:rPr>
                <w:rFonts w:hint="eastAsia" w:ascii="宋体" w:hAnsi="宋体" w:eastAsia="宋体" w:cs="宋体"/>
                <w:color w:val="auto"/>
                <w:spacing w:val="-12"/>
                <w:sz w:val="21"/>
                <w:szCs w:val="21"/>
                <w:highlight w:val="none"/>
              </w:rPr>
              <w:t>面批准同意。项目技术、安全、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0"/>
                <w:sz w:val="21"/>
                <w:szCs w:val="21"/>
                <w:highlight w:val="none"/>
              </w:rPr>
              <w:t>质量、造价负责人如需更换，首</w:t>
            </w:r>
            <w:r>
              <w:rPr>
                <w:rFonts w:hint="eastAsia" w:ascii="宋体" w:hAnsi="宋体" w:eastAsia="宋体" w:cs="宋体"/>
                <w:color w:val="auto"/>
                <w:spacing w:val="-16"/>
                <w:sz w:val="21"/>
                <w:szCs w:val="21"/>
                <w:highlight w:val="none"/>
              </w:rPr>
              <w:t>次</w:t>
            </w:r>
            <w:r>
              <w:rPr>
                <w:rFonts w:hint="eastAsia" w:ascii="宋体" w:hAnsi="宋体" w:eastAsia="宋体" w:cs="宋体"/>
                <w:color w:val="auto"/>
                <w:spacing w:val="-9"/>
                <w:sz w:val="21"/>
                <w:szCs w:val="21"/>
                <w:highlight w:val="none"/>
              </w:rPr>
              <w:t>更换扣罚5万，第二次更换扣</w:t>
            </w:r>
            <w:r>
              <w:rPr>
                <w:rFonts w:hint="eastAsia" w:ascii="宋体" w:hAnsi="宋体" w:eastAsia="宋体" w:cs="宋体"/>
                <w:color w:val="auto"/>
                <w:spacing w:val="-16"/>
                <w:sz w:val="21"/>
                <w:szCs w:val="21"/>
                <w:highlight w:val="none"/>
              </w:rPr>
              <w:t>罚10万，第三次更换扣罚20万</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6"/>
                <w:sz w:val="21"/>
                <w:szCs w:val="21"/>
                <w:highlight w:val="none"/>
              </w:rPr>
              <w:t>以</w:t>
            </w:r>
            <w:r>
              <w:rPr>
                <w:rFonts w:hint="eastAsia" w:ascii="宋体" w:hAnsi="宋体" w:eastAsia="宋体" w:cs="宋体"/>
                <w:color w:val="auto"/>
                <w:spacing w:val="-4"/>
                <w:sz w:val="21"/>
                <w:szCs w:val="21"/>
                <w:highlight w:val="none"/>
              </w:rPr>
              <w:t>此</w:t>
            </w:r>
            <w:r>
              <w:rPr>
                <w:rFonts w:hint="eastAsia" w:ascii="宋体" w:hAnsi="宋体" w:eastAsia="宋体" w:cs="宋体"/>
                <w:color w:val="auto"/>
                <w:spacing w:val="-3"/>
                <w:sz w:val="21"/>
                <w:szCs w:val="21"/>
                <w:highlight w:val="none"/>
              </w:rPr>
              <w:t>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w:t>
            </w:r>
          </w:p>
        </w:tc>
        <w:tc>
          <w:tcPr>
            <w:tcW w:w="508" w:type="pct"/>
            <w:vAlign w:val="center"/>
          </w:tcPr>
          <w:p>
            <w:pPr>
              <w:widowControl/>
              <w:spacing w:line="360" w:lineRule="auto"/>
              <w:jc w:val="center"/>
              <w:rPr>
                <w:rFonts w:hint="eastAsia" w:ascii="宋体" w:hAnsi="宋体" w:eastAsia="宋体" w:cs="宋体"/>
                <w:color w:val="auto"/>
                <w:spacing w:val="23"/>
                <w:sz w:val="21"/>
                <w:szCs w:val="21"/>
                <w:highlight w:val="none"/>
              </w:rPr>
            </w:pPr>
            <w:r>
              <w:rPr>
                <w:rFonts w:hint="eastAsia" w:ascii="宋体" w:hAnsi="宋体" w:eastAsia="宋体" w:cs="宋体"/>
                <w:color w:val="auto"/>
                <w:spacing w:val="-2"/>
                <w:sz w:val="21"/>
                <w:szCs w:val="21"/>
                <w:highlight w:val="none"/>
              </w:rPr>
              <w:t>科技</w:t>
            </w:r>
            <w:r>
              <w:rPr>
                <w:rFonts w:hint="eastAsia" w:ascii="宋体" w:hAnsi="宋体" w:eastAsia="宋体" w:cs="宋体"/>
                <w:color w:val="auto"/>
                <w:spacing w:val="-1"/>
                <w:sz w:val="21"/>
                <w:szCs w:val="21"/>
                <w:highlight w:val="none"/>
              </w:rPr>
              <w:t>创新</w:t>
            </w:r>
            <w:r>
              <w:rPr>
                <w:rFonts w:hint="eastAsia" w:ascii="宋体" w:hAnsi="宋体" w:eastAsia="宋体" w:cs="宋体"/>
                <w:color w:val="auto"/>
                <w:spacing w:val="-2"/>
                <w:sz w:val="21"/>
                <w:szCs w:val="21"/>
                <w:highlight w:val="none"/>
              </w:rPr>
              <w:t>评</w:t>
            </w:r>
            <w:r>
              <w:rPr>
                <w:rFonts w:hint="eastAsia" w:ascii="宋体" w:hAnsi="宋体" w:eastAsia="宋体" w:cs="宋体"/>
                <w:color w:val="auto"/>
                <w:spacing w:val="-1"/>
                <w:sz w:val="21"/>
                <w:szCs w:val="21"/>
                <w:highlight w:val="none"/>
              </w:rPr>
              <w:t>价</w:t>
            </w:r>
          </w:p>
        </w:tc>
        <w:tc>
          <w:tcPr>
            <w:tcW w:w="364" w:type="pct"/>
            <w:vAlign w:val="center"/>
          </w:tcPr>
          <w:p>
            <w:pPr>
              <w:widowControl/>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5</w:t>
            </w:r>
          </w:p>
        </w:tc>
        <w:tc>
          <w:tcPr>
            <w:tcW w:w="2041"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color w:val="auto"/>
                <w:highlight w:val="none"/>
                <w:lang w:val="en-US" w:eastAsia="zh-CN"/>
              </w:rPr>
              <w:t>2018年至投标截止日前，</w:t>
            </w:r>
            <w:r>
              <w:rPr>
                <w:rFonts w:hint="eastAsia" w:ascii="宋体" w:hAnsi="宋体" w:eastAsia="宋体" w:cs="宋体"/>
                <w:color w:val="auto"/>
                <w:spacing w:val="10"/>
                <w:sz w:val="21"/>
                <w:szCs w:val="21"/>
                <w:highlight w:val="none"/>
              </w:rPr>
              <w:t>取</w:t>
            </w:r>
            <w:r>
              <w:rPr>
                <w:rFonts w:hint="eastAsia" w:ascii="宋体" w:hAnsi="宋体" w:eastAsia="宋体" w:cs="宋体"/>
                <w:color w:val="auto"/>
                <w:spacing w:val="9"/>
                <w:sz w:val="21"/>
                <w:szCs w:val="21"/>
                <w:highlight w:val="none"/>
              </w:rPr>
              <w:t>得</w:t>
            </w:r>
            <w:r>
              <w:rPr>
                <w:rFonts w:hint="eastAsia" w:ascii="宋体" w:hAnsi="宋体" w:eastAsia="宋体" w:cs="宋体"/>
                <w:color w:val="auto"/>
                <w:spacing w:val="5"/>
                <w:sz w:val="21"/>
                <w:szCs w:val="21"/>
                <w:highlight w:val="none"/>
              </w:rPr>
              <w:t>省级或以上政府机构、协会、学</w:t>
            </w:r>
            <w:r>
              <w:rPr>
                <w:rFonts w:hint="eastAsia" w:ascii="宋体" w:hAnsi="宋体" w:eastAsia="宋体" w:cs="宋体"/>
                <w:color w:val="auto"/>
                <w:spacing w:val="-20"/>
                <w:sz w:val="21"/>
                <w:szCs w:val="21"/>
                <w:highlight w:val="none"/>
              </w:rPr>
              <w:t>会</w:t>
            </w:r>
            <w:r>
              <w:rPr>
                <w:rFonts w:hint="eastAsia" w:ascii="宋体" w:hAnsi="宋体" w:eastAsia="宋体" w:cs="宋体"/>
                <w:color w:val="auto"/>
                <w:spacing w:val="-13"/>
                <w:sz w:val="21"/>
                <w:szCs w:val="21"/>
                <w:highlight w:val="none"/>
              </w:rPr>
              <w:t>认定的科技创新企业：</w:t>
            </w:r>
            <w:r>
              <w:rPr>
                <w:rFonts w:hint="eastAsia" w:ascii="宋体" w:hAnsi="宋体" w:cs="宋体"/>
                <w:color w:val="auto"/>
                <w:spacing w:val="-13"/>
                <w:sz w:val="21"/>
                <w:szCs w:val="21"/>
                <w:highlight w:val="none"/>
                <w:lang w:val="en-US" w:eastAsia="zh-CN"/>
              </w:rPr>
              <w:t>任意1年</w:t>
            </w:r>
            <w:r>
              <w:rPr>
                <w:rFonts w:hint="eastAsia" w:ascii="宋体" w:hAnsi="宋体" w:eastAsia="宋体" w:cs="宋体"/>
                <w:color w:val="auto"/>
                <w:spacing w:val="-13"/>
                <w:sz w:val="21"/>
                <w:szCs w:val="21"/>
                <w:highlight w:val="none"/>
              </w:rPr>
              <w:t>取得，</w:t>
            </w:r>
            <w:r>
              <w:rPr>
                <w:rFonts w:hint="eastAsia" w:ascii="宋体" w:hAnsi="宋体" w:eastAsia="宋体" w:cs="宋体"/>
                <w:color w:val="auto"/>
                <w:spacing w:val="-24"/>
                <w:sz w:val="21"/>
                <w:szCs w:val="21"/>
                <w:highlight w:val="none"/>
              </w:rPr>
              <w:t>得</w:t>
            </w:r>
            <w:r>
              <w:rPr>
                <w:rFonts w:hint="eastAsia" w:ascii="宋体" w:hAnsi="宋体" w:eastAsia="宋体" w:cs="宋体"/>
                <w:color w:val="auto"/>
                <w:spacing w:val="-16"/>
                <w:sz w:val="21"/>
                <w:szCs w:val="21"/>
                <w:highlight w:val="none"/>
              </w:rPr>
              <w:t>1分；连续3年取得，得3分；</w:t>
            </w:r>
            <w:r>
              <w:rPr>
                <w:rFonts w:hint="eastAsia" w:ascii="宋体" w:hAnsi="宋体" w:eastAsia="宋体" w:cs="宋体"/>
                <w:color w:val="auto"/>
                <w:spacing w:val="-14"/>
                <w:sz w:val="21"/>
                <w:szCs w:val="21"/>
                <w:highlight w:val="none"/>
              </w:rPr>
              <w:t>连续5年取得，得5分。</w:t>
            </w:r>
          </w:p>
        </w:tc>
        <w:tc>
          <w:tcPr>
            <w:tcW w:w="1669"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pacing w:val="18"/>
                <w:sz w:val="21"/>
                <w:szCs w:val="21"/>
                <w:highlight w:val="none"/>
              </w:rPr>
              <w:t>需</w:t>
            </w:r>
            <w:r>
              <w:rPr>
                <w:rFonts w:hint="eastAsia" w:ascii="宋体" w:hAnsi="宋体" w:eastAsia="宋体" w:cs="宋体"/>
                <w:color w:val="auto"/>
                <w:spacing w:val="11"/>
                <w:sz w:val="21"/>
                <w:szCs w:val="21"/>
                <w:highlight w:val="none"/>
              </w:rPr>
              <w:t>提供科技创新企业证书或证</w:t>
            </w:r>
            <w:r>
              <w:rPr>
                <w:rFonts w:hint="eastAsia" w:ascii="宋体" w:hAnsi="宋体" w:eastAsia="宋体" w:cs="宋体"/>
                <w:color w:val="auto"/>
                <w:spacing w:val="-15"/>
                <w:sz w:val="21"/>
                <w:szCs w:val="21"/>
                <w:highlight w:val="none"/>
              </w:rPr>
              <w:t>明</w:t>
            </w:r>
            <w:r>
              <w:rPr>
                <w:rFonts w:hint="eastAsia" w:ascii="宋体" w:hAnsi="宋体" w:eastAsia="宋体" w:cs="宋体"/>
                <w:color w:val="auto"/>
                <w:spacing w:val="-14"/>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508" w:type="pct"/>
            <w:vAlign w:val="center"/>
          </w:tcPr>
          <w:p>
            <w:pPr>
              <w:widowControl/>
              <w:spacing w:line="360" w:lineRule="auto"/>
              <w:jc w:val="center"/>
              <w:rPr>
                <w:rFonts w:hint="eastAsia" w:ascii="宋体" w:hAnsi="宋体" w:eastAsia="宋体" w:cs="宋体"/>
                <w:color w:val="auto"/>
                <w:spacing w:val="23"/>
                <w:sz w:val="21"/>
                <w:szCs w:val="21"/>
                <w:highlight w:val="none"/>
              </w:rPr>
            </w:pPr>
            <w:r>
              <w:rPr>
                <w:rFonts w:hint="eastAsia" w:ascii="宋体" w:hAnsi="宋体" w:eastAsia="宋体" w:cs="宋体"/>
                <w:color w:val="auto"/>
                <w:spacing w:val="-3"/>
                <w:sz w:val="21"/>
                <w:szCs w:val="21"/>
                <w:highlight w:val="none"/>
              </w:rPr>
              <w:t>企</w:t>
            </w:r>
            <w:r>
              <w:rPr>
                <w:rFonts w:hint="eastAsia" w:ascii="宋体" w:hAnsi="宋体" w:eastAsia="宋体" w:cs="宋体"/>
                <w:color w:val="auto"/>
                <w:spacing w:val="-2"/>
                <w:sz w:val="21"/>
                <w:szCs w:val="21"/>
                <w:highlight w:val="none"/>
              </w:rPr>
              <w:t>业业绩</w:t>
            </w:r>
          </w:p>
        </w:tc>
        <w:tc>
          <w:tcPr>
            <w:tcW w:w="364" w:type="pct"/>
            <w:vAlign w:val="center"/>
          </w:tcPr>
          <w:p>
            <w:pPr>
              <w:widowControl/>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pacing w:val="-7"/>
                <w:sz w:val="21"/>
                <w:szCs w:val="21"/>
                <w:highlight w:val="none"/>
              </w:rPr>
              <w:t>1</w:t>
            </w:r>
            <w:r>
              <w:rPr>
                <w:rFonts w:hint="eastAsia" w:ascii="宋体" w:hAnsi="宋体" w:eastAsia="宋体" w:cs="宋体"/>
                <w:color w:val="auto"/>
                <w:spacing w:val="-5"/>
                <w:sz w:val="21"/>
                <w:szCs w:val="21"/>
                <w:highlight w:val="none"/>
              </w:rPr>
              <w:t>5</w:t>
            </w:r>
          </w:p>
        </w:tc>
        <w:tc>
          <w:tcPr>
            <w:tcW w:w="2041"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pacing w:val="-1"/>
                <w:sz w:val="21"/>
                <w:szCs w:val="21"/>
                <w:highlight w:val="none"/>
                <w:u w:val="none" w:color="auto"/>
              </w:rPr>
              <w:t>2020</w:t>
            </w:r>
            <w:r>
              <w:rPr>
                <w:rFonts w:hint="eastAsia" w:ascii="宋体" w:hAnsi="宋体" w:eastAsia="宋体" w:cs="宋体"/>
                <w:color w:val="auto"/>
                <w:spacing w:val="-1"/>
                <w:sz w:val="21"/>
                <w:szCs w:val="21"/>
                <w:highlight w:val="none"/>
              </w:rPr>
              <w:t>年至投标截止日前</w:t>
            </w:r>
            <w:r>
              <w:rPr>
                <w:rFonts w:hint="eastAsia" w:ascii="宋体" w:hAnsi="宋体" w:eastAsia="宋体" w:cs="宋体"/>
                <w:color w:val="auto"/>
                <w:sz w:val="21"/>
                <w:szCs w:val="21"/>
                <w:highlight w:val="none"/>
              </w:rPr>
              <w:t>完成同类建筑</w:t>
            </w:r>
            <w:r>
              <w:rPr>
                <w:rFonts w:hint="eastAsia" w:ascii="宋体" w:hAnsi="宋体" w:eastAsia="宋体" w:cs="宋体"/>
                <w:color w:val="auto"/>
                <w:spacing w:val="8"/>
                <w:sz w:val="21"/>
                <w:szCs w:val="21"/>
                <w:highlight w:val="none"/>
              </w:rPr>
              <w:t>工程</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4"/>
                <w:sz w:val="21"/>
                <w:szCs w:val="21"/>
                <w:highlight w:val="none"/>
              </w:rPr>
              <w:t>指房屋建筑或电力建筑工程等</w:t>
            </w:r>
            <w:r>
              <w:rPr>
                <w:rFonts w:hint="eastAsia" w:ascii="宋体" w:hAnsi="宋体" w:cs="宋体"/>
                <w:color w:val="auto"/>
                <w:spacing w:val="4"/>
                <w:sz w:val="21"/>
                <w:szCs w:val="21"/>
                <w:highlight w:val="none"/>
                <w:lang w:val="en-US" w:eastAsia="zh-CN"/>
              </w:rPr>
              <w:t>且</w:t>
            </w:r>
            <w:r>
              <w:rPr>
                <w:rFonts w:ascii="宋体" w:hAnsi="宋体" w:cs="宋体"/>
                <w:color w:val="auto"/>
                <w:kern w:val="0"/>
                <w:szCs w:val="21"/>
                <w:highlight w:val="none"/>
              </w:rPr>
              <w:t>合同造价为</w:t>
            </w:r>
            <w:r>
              <w:rPr>
                <w:rFonts w:hint="eastAsia" w:ascii="宋体" w:hAnsi="宋体" w:cs="宋体"/>
                <w:color w:val="auto"/>
                <w:szCs w:val="21"/>
                <w:highlight w:val="none"/>
                <w:lang w:val="en-US" w:eastAsia="zh-CN"/>
              </w:rPr>
              <w:t>1800</w:t>
            </w:r>
            <w:r>
              <w:rPr>
                <w:rFonts w:ascii="宋体" w:hAnsi="宋体" w:cs="宋体"/>
                <w:color w:val="auto"/>
                <w:kern w:val="0"/>
                <w:szCs w:val="21"/>
                <w:highlight w:val="none"/>
              </w:rPr>
              <w:t>万元或以上</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13"/>
                <w:sz w:val="21"/>
                <w:szCs w:val="21"/>
                <w:highlight w:val="none"/>
              </w:rPr>
              <w:t>施</w:t>
            </w:r>
            <w:r>
              <w:rPr>
                <w:rFonts w:hint="eastAsia" w:ascii="宋体" w:hAnsi="宋体" w:eastAsia="宋体" w:cs="宋体"/>
                <w:color w:val="auto"/>
                <w:spacing w:val="11"/>
                <w:sz w:val="21"/>
                <w:szCs w:val="21"/>
                <w:highlight w:val="none"/>
              </w:rPr>
              <w:t>工项目(不含专业分包工程)的，</w:t>
            </w:r>
            <w:r>
              <w:rPr>
                <w:rFonts w:hint="eastAsia" w:ascii="宋体" w:hAnsi="宋体" w:eastAsia="宋体" w:cs="宋体"/>
                <w:color w:val="auto"/>
                <w:spacing w:val="-15"/>
                <w:sz w:val="21"/>
                <w:szCs w:val="21"/>
                <w:highlight w:val="none"/>
              </w:rPr>
              <w:t>每个得</w:t>
            </w:r>
            <w:r>
              <w:rPr>
                <w:rFonts w:hint="eastAsia" w:ascii="宋体" w:hAnsi="宋体" w:cs="宋体"/>
                <w:color w:val="auto"/>
                <w:spacing w:val="-15"/>
                <w:sz w:val="21"/>
                <w:szCs w:val="21"/>
                <w:highlight w:val="none"/>
                <w:lang w:val="en-US" w:eastAsia="zh-CN"/>
              </w:rPr>
              <w:t>5</w:t>
            </w:r>
            <w:r>
              <w:rPr>
                <w:rFonts w:hint="eastAsia" w:ascii="宋体" w:hAnsi="宋体" w:eastAsia="宋体" w:cs="宋体"/>
                <w:color w:val="auto"/>
                <w:spacing w:val="-15"/>
                <w:sz w:val="21"/>
                <w:szCs w:val="21"/>
                <w:highlight w:val="none"/>
              </w:rPr>
              <w:t>分，本项最高得15分</w:t>
            </w:r>
            <w:r>
              <w:rPr>
                <w:rFonts w:hint="eastAsia" w:ascii="宋体" w:hAnsi="宋体" w:eastAsia="宋体" w:cs="宋体"/>
                <w:color w:val="auto"/>
                <w:spacing w:val="-14"/>
                <w:sz w:val="21"/>
                <w:szCs w:val="21"/>
                <w:highlight w:val="none"/>
              </w:rPr>
              <w:t>。</w:t>
            </w:r>
          </w:p>
        </w:tc>
        <w:tc>
          <w:tcPr>
            <w:tcW w:w="1669"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pacing w:val="15"/>
                <w:sz w:val="21"/>
                <w:szCs w:val="21"/>
                <w:highlight w:val="none"/>
              </w:rPr>
              <w:t>业</w:t>
            </w:r>
            <w:r>
              <w:rPr>
                <w:rFonts w:hint="eastAsia" w:ascii="宋体" w:hAnsi="宋体" w:eastAsia="宋体" w:cs="宋体"/>
                <w:color w:val="auto"/>
                <w:spacing w:val="12"/>
                <w:sz w:val="21"/>
                <w:szCs w:val="21"/>
                <w:highlight w:val="none"/>
              </w:rPr>
              <w:t>绩须提供</w:t>
            </w:r>
            <w:r>
              <w:rPr>
                <w:rFonts w:hint="eastAsia" w:ascii="宋体" w:hAnsi="宋体" w:cs="宋体"/>
                <w:color w:val="auto"/>
                <w:spacing w:val="12"/>
                <w:sz w:val="21"/>
                <w:szCs w:val="21"/>
                <w:highlight w:val="none"/>
                <w:lang w:val="en-US" w:eastAsia="zh-CN"/>
              </w:rPr>
              <w:t>合同关键页、</w:t>
            </w:r>
            <w:r>
              <w:rPr>
                <w:rFonts w:hint="eastAsia" w:ascii="宋体" w:hAnsi="宋体" w:eastAsia="宋体" w:cs="宋体"/>
                <w:color w:val="auto"/>
                <w:spacing w:val="12"/>
                <w:sz w:val="21"/>
                <w:szCs w:val="21"/>
                <w:highlight w:val="none"/>
              </w:rPr>
              <w:t>工程竣工验收报告</w:t>
            </w:r>
            <w:r>
              <w:rPr>
                <w:rFonts w:hint="eastAsia" w:ascii="宋体" w:hAnsi="宋体" w:cs="宋体"/>
                <w:color w:val="auto"/>
                <w:spacing w:val="12"/>
                <w:sz w:val="21"/>
                <w:szCs w:val="21"/>
                <w:highlight w:val="none"/>
                <w:lang w:eastAsia="zh-CN"/>
              </w:rPr>
              <w:t>（</w:t>
            </w:r>
            <w:r>
              <w:rPr>
                <w:rFonts w:hint="eastAsia" w:ascii="宋体" w:hAnsi="宋体" w:eastAsia="宋体" w:cs="宋体"/>
                <w:color w:val="auto"/>
                <w:spacing w:val="-14"/>
                <w:sz w:val="21"/>
                <w:szCs w:val="21"/>
                <w:highlight w:val="none"/>
              </w:rPr>
              <w:t>或</w:t>
            </w:r>
            <w:r>
              <w:rPr>
                <w:rFonts w:hint="eastAsia" w:ascii="宋体" w:hAnsi="宋体" w:eastAsia="宋体" w:cs="宋体"/>
                <w:color w:val="auto"/>
                <w:spacing w:val="-10"/>
                <w:sz w:val="21"/>
                <w:szCs w:val="21"/>
                <w:highlight w:val="none"/>
              </w:rPr>
              <w:t>竣工验收备案证明</w:t>
            </w:r>
            <w:r>
              <w:rPr>
                <w:rFonts w:hint="eastAsia" w:ascii="宋体" w:hAnsi="宋体" w:cs="宋体"/>
                <w:color w:val="auto"/>
                <w:spacing w:val="-10"/>
                <w:sz w:val="21"/>
                <w:szCs w:val="21"/>
                <w:highlight w:val="none"/>
                <w:lang w:eastAsia="zh-CN"/>
              </w:rPr>
              <w:t>）</w:t>
            </w:r>
            <w:r>
              <w:rPr>
                <w:rFonts w:hint="eastAsia" w:ascii="宋体" w:hAnsi="宋体" w:eastAsia="宋体" w:cs="宋体"/>
                <w:color w:val="auto"/>
                <w:spacing w:val="-10"/>
                <w:sz w:val="21"/>
                <w:szCs w:val="21"/>
                <w:highlight w:val="none"/>
              </w:rPr>
              <w:t>，以工程竣</w:t>
            </w:r>
            <w:r>
              <w:rPr>
                <w:rFonts w:hint="eastAsia" w:ascii="宋体" w:hAnsi="宋体" w:eastAsia="宋体" w:cs="宋体"/>
                <w:color w:val="auto"/>
                <w:spacing w:val="12"/>
                <w:sz w:val="21"/>
                <w:szCs w:val="21"/>
                <w:highlight w:val="none"/>
              </w:rPr>
              <w:t>工验收报告或竣工验收备案证</w:t>
            </w:r>
            <w:r>
              <w:rPr>
                <w:rFonts w:hint="eastAsia" w:ascii="宋体" w:hAnsi="宋体" w:eastAsia="宋体" w:cs="宋体"/>
                <w:color w:val="auto"/>
                <w:spacing w:val="-11"/>
                <w:sz w:val="21"/>
                <w:szCs w:val="21"/>
                <w:highlight w:val="none"/>
              </w:rPr>
              <w:t>明</w:t>
            </w:r>
            <w:r>
              <w:rPr>
                <w:rFonts w:hint="eastAsia" w:ascii="宋体" w:hAnsi="宋体" w:eastAsia="宋体" w:cs="宋体"/>
                <w:color w:val="auto"/>
                <w:spacing w:val="-9"/>
                <w:sz w:val="21"/>
                <w:szCs w:val="21"/>
                <w:highlight w:val="none"/>
              </w:rPr>
              <w:t>的时间为准，否则不得分。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w:t>
            </w:r>
          </w:p>
        </w:tc>
        <w:tc>
          <w:tcPr>
            <w:tcW w:w="508" w:type="pct"/>
            <w:vAlign w:val="center"/>
          </w:tcPr>
          <w:p>
            <w:pPr>
              <w:widowControl/>
              <w:spacing w:line="360" w:lineRule="auto"/>
              <w:jc w:val="center"/>
              <w:rPr>
                <w:rFonts w:hint="eastAsia" w:ascii="宋体" w:hAnsi="宋体" w:eastAsia="宋体" w:cs="宋体"/>
                <w:color w:val="auto"/>
                <w:spacing w:val="23"/>
                <w:sz w:val="21"/>
                <w:szCs w:val="21"/>
                <w:highlight w:val="none"/>
              </w:rPr>
            </w:pPr>
            <w:r>
              <w:rPr>
                <w:rFonts w:hint="eastAsia" w:ascii="宋体" w:hAnsi="宋体" w:eastAsia="宋体" w:cs="宋体"/>
                <w:color w:val="auto"/>
                <w:spacing w:val="-3"/>
                <w:sz w:val="21"/>
                <w:szCs w:val="21"/>
                <w:highlight w:val="none"/>
              </w:rPr>
              <w:t>获</w:t>
            </w:r>
            <w:r>
              <w:rPr>
                <w:rFonts w:hint="eastAsia" w:ascii="宋体" w:hAnsi="宋体" w:eastAsia="宋体" w:cs="宋体"/>
                <w:color w:val="auto"/>
                <w:spacing w:val="-2"/>
                <w:sz w:val="21"/>
                <w:szCs w:val="21"/>
                <w:highlight w:val="none"/>
              </w:rPr>
              <w:t>奖情况</w:t>
            </w:r>
          </w:p>
        </w:tc>
        <w:tc>
          <w:tcPr>
            <w:tcW w:w="364" w:type="pct"/>
            <w:vAlign w:val="center"/>
          </w:tcPr>
          <w:p>
            <w:pPr>
              <w:widowControl/>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2"/>
                <w:sz w:val="21"/>
                <w:szCs w:val="21"/>
                <w:highlight w:val="none"/>
              </w:rPr>
              <w:t>0</w:t>
            </w:r>
          </w:p>
        </w:tc>
        <w:tc>
          <w:tcPr>
            <w:tcW w:w="2041"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2019年至投标截止日前完成的同类建筑工程(指房屋建筑或电力建筑工程等)获奖证明：</w:t>
            </w:r>
          </w:p>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(1)获得国家级奖项得10分/项，最高得20分。</w:t>
            </w:r>
          </w:p>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(2)获得省级奖项得5分/项，最高得10分。</w:t>
            </w:r>
          </w:p>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(3)获得地市级奖项得2.5分/项，最高得5分。</w:t>
            </w:r>
          </w:p>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同一工程按最高奖项计分，本项累计最高得20分。</w:t>
            </w:r>
          </w:p>
        </w:tc>
        <w:tc>
          <w:tcPr>
            <w:tcW w:w="1669"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pacing w:val="-4"/>
                <w:sz w:val="21"/>
                <w:szCs w:val="21"/>
                <w:highlight w:val="none"/>
              </w:rPr>
              <w:t>1.国家级奖项(指国务院、住</w:t>
            </w:r>
            <w:r>
              <w:rPr>
                <w:rFonts w:hint="eastAsia" w:ascii="宋体" w:hAnsi="宋体" w:eastAsia="宋体" w:cs="宋体"/>
                <w:color w:val="auto"/>
                <w:spacing w:val="-2"/>
                <w:sz w:val="21"/>
                <w:szCs w:val="21"/>
                <w:highlight w:val="none"/>
              </w:rPr>
              <w:t>建</w:t>
            </w:r>
            <w:r>
              <w:rPr>
                <w:rFonts w:hint="eastAsia" w:ascii="宋体" w:hAnsi="宋体" w:eastAsia="宋体" w:cs="宋体"/>
                <w:color w:val="auto"/>
                <w:spacing w:val="-6"/>
                <w:sz w:val="21"/>
                <w:szCs w:val="21"/>
                <w:highlight w:val="none"/>
              </w:rPr>
              <w:t>部</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中国建筑业协会、中国土木</w:t>
            </w:r>
            <w:r>
              <w:rPr>
                <w:rFonts w:hint="eastAsia" w:ascii="宋体" w:hAnsi="宋体" w:eastAsia="宋体" w:cs="宋体"/>
                <w:color w:val="auto"/>
                <w:spacing w:val="-6"/>
                <w:sz w:val="21"/>
                <w:szCs w:val="21"/>
                <w:highlight w:val="none"/>
              </w:rPr>
              <w:t>工</w:t>
            </w:r>
            <w:r>
              <w:rPr>
                <w:rFonts w:hint="eastAsia" w:ascii="宋体" w:hAnsi="宋体" w:eastAsia="宋体" w:cs="宋体"/>
                <w:color w:val="auto"/>
                <w:spacing w:val="-4"/>
                <w:sz w:val="21"/>
                <w:szCs w:val="21"/>
                <w:highlight w:val="none"/>
              </w:rPr>
              <w:t>程</w:t>
            </w:r>
            <w:r>
              <w:rPr>
                <w:rFonts w:hint="eastAsia" w:ascii="宋体" w:hAnsi="宋体" w:eastAsia="宋体" w:cs="宋体"/>
                <w:color w:val="auto"/>
                <w:spacing w:val="-3"/>
                <w:sz w:val="21"/>
                <w:szCs w:val="21"/>
                <w:highlight w:val="none"/>
              </w:rPr>
              <w:t>学会、中国施工企业管理协</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会</w:t>
            </w:r>
            <w:r>
              <w:rPr>
                <w:rFonts w:hint="eastAsia" w:ascii="宋体" w:hAnsi="宋体" w:eastAsia="宋体" w:cs="宋体"/>
                <w:color w:val="auto"/>
                <w:spacing w:val="-3"/>
                <w:sz w:val="21"/>
                <w:szCs w:val="21"/>
                <w:highlight w:val="none"/>
              </w:rPr>
              <w:t>颁发的质量奖项)：包括国家</w:t>
            </w:r>
            <w:r>
              <w:rPr>
                <w:rFonts w:hint="eastAsia" w:ascii="宋体" w:hAnsi="宋体" w:eastAsia="宋体" w:cs="宋体"/>
                <w:color w:val="auto"/>
                <w:spacing w:val="15"/>
                <w:sz w:val="21"/>
                <w:szCs w:val="21"/>
                <w:highlight w:val="none"/>
              </w:rPr>
              <w:t>优</w:t>
            </w:r>
            <w:r>
              <w:rPr>
                <w:rFonts w:hint="eastAsia" w:ascii="宋体" w:hAnsi="宋体" w:eastAsia="宋体" w:cs="宋体"/>
                <w:color w:val="auto"/>
                <w:spacing w:val="12"/>
                <w:sz w:val="21"/>
                <w:szCs w:val="21"/>
                <w:highlight w:val="none"/>
              </w:rPr>
              <w:t>质工程金奖和国家优质工程</w:t>
            </w:r>
            <w:r>
              <w:rPr>
                <w:rFonts w:hint="eastAsia" w:ascii="宋体" w:hAnsi="宋体" w:eastAsia="宋体" w:cs="宋体"/>
                <w:color w:val="auto"/>
                <w:spacing w:val="-6"/>
                <w:sz w:val="21"/>
                <w:szCs w:val="21"/>
                <w:highlight w:val="none"/>
              </w:rPr>
              <w:t>奖</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中国土木工程詹天佑奖、鲁</w:t>
            </w:r>
            <w:r>
              <w:rPr>
                <w:rFonts w:hint="eastAsia" w:ascii="宋体" w:hAnsi="宋体" w:eastAsia="宋体" w:cs="宋体"/>
                <w:color w:val="auto"/>
                <w:spacing w:val="13"/>
                <w:sz w:val="21"/>
                <w:szCs w:val="21"/>
                <w:highlight w:val="none"/>
              </w:rPr>
              <w:t>班</w:t>
            </w:r>
            <w:r>
              <w:rPr>
                <w:rFonts w:hint="eastAsia" w:ascii="宋体" w:hAnsi="宋体" w:eastAsia="宋体" w:cs="宋体"/>
                <w:color w:val="auto"/>
                <w:spacing w:val="12"/>
                <w:sz w:val="21"/>
                <w:szCs w:val="21"/>
                <w:highlight w:val="none"/>
              </w:rPr>
              <w:t>奖(不包括专业类奖项)；</w:t>
            </w:r>
            <w:r>
              <w:rPr>
                <w:rFonts w:hint="eastAsia" w:ascii="宋体" w:hAnsi="宋体" w:eastAsia="宋体" w:cs="宋体"/>
                <w:color w:val="auto"/>
                <w:spacing w:val="-6"/>
                <w:sz w:val="21"/>
                <w:szCs w:val="21"/>
                <w:highlight w:val="none"/>
              </w:rPr>
              <w:t>省</w:t>
            </w:r>
            <w:r>
              <w:rPr>
                <w:rFonts w:hint="eastAsia" w:ascii="宋体" w:hAnsi="宋体" w:eastAsia="宋体" w:cs="宋体"/>
                <w:color w:val="auto"/>
                <w:spacing w:val="-4"/>
                <w:sz w:val="21"/>
                <w:szCs w:val="21"/>
                <w:highlight w:val="none"/>
              </w:rPr>
              <w:t>级</w:t>
            </w:r>
            <w:r>
              <w:rPr>
                <w:rFonts w:hint="eastAsia" w:ascii="宋体" w:hAnsi="宋体" w:eastAsia="宋体" w:cs="宋体"/>
                <w:color w:val="auto"/>
                <w:spacing w:val="-3"/>
                <w:sz w:val="21"/>
                <w:szCs w:val="21"/>
                <w:highlight w:val="none"/>
              </w:rPr>
              <w:t>奖项指省级人民政府、省级</w:t>
            </w:r>
            <w:r>
              <w:rPr>
                <w:rFonts w:hint="eastAsia" w:ascii="宋体" w:hAnsi="宋体" w:eastAsia="宋体" w:cs="宋体"/>
                <w:color w:val="auto"/>
                <w:spacing w:val="6"/>
                <w:sz w:val="21"/>
                <w:szCs w:val="21"/>
                <w:highlight w:val="none"/>
              </w:rPr>
              <w:t>住</w:t>
            </w:r>
            <w:r>
              <w:rPr>
                <w:rFonts w:hint="eastAsia" w:ascii="宋体" w:hAnsi="宋体" w:eastAsia="宋体" w:cs="宋体"/>
                <w:color w:val="auto"/>
                <w:spacing w:val="5"/>
                <w:sz w:val="21"/>
                <w:szCs w:val="21"/>
                <w:highlight w:val="none"/>
              </w:rPr>
              <w:t>建</w:t>
            </w:r>
            <w:r>
              <w:rPr>
                <w:rFonts w:hint="eastAsia" w:ascii="宋体" w:hAnsi="宋体" w:eastAsia="宋体" w:cs="宋体"/>
                <w:color w:val="auto"/>
                <w:spacing w:val="3"/>
                <w:sz w:val="21"/>
                <w:szCs w:val="21"/>
                <w:highlight w:val="none"/>
              </w:rPr>
              <w:t>部门、省级建筑业协会(安</w:t>
            </w:r>
            <w:r>
              <w:rPr>
                <w:rFonts w:hint="eastAsia" w:ascii="宋体" w:hAnsi="宋体" w:eastAsia="宋体" w:cs="宋体"/>
                <w:color w:val="auto"/>
                <w:spacing w:val="9"/>
                <w:sz w:val="21"/>
                <w:szCs w:val="21"/>
                <w:highlight w:val="none"/>
              </w:rPr>
              <w:t>全</w:t>
            </w:r>
            <w:r>
              <w:rPr>
                <w:rFonts w:hint="eastAsia" w:ascii="宋体" w:hAnsi="宋体" w:eastAsia="宋体" w:cs="宋体"/>
                <w:color w:val="auto"/>
                <w:spacing w:val="8"/>
                <w:sz w:val="21"/>
                <w:szCs w:val="21"/>
                <w:highlight w:val="none"/>
              </w:rPr>
              <w:t>协会)、省级建筑业联合会、</w:t>
            </w:r>
            <w:r>
              <w:rPr>
                <w:rFonts w:hint="eastAsia" w:ascii="宋体" w:hAnsi="宋体" w:eastAsia="宋体" w:cs="宋体"/>
                <w:color w:val="auto"/>
                <w:spacing w:val="17"/>
                <w:sz w:val="21"/>
                <w:szCs w:val="21"/>
                <w:highlight w:val="none"/>
              </w:rPr>
              <w:t>中</w:t>
            </w:r>
            <w:r>
              <w:rPr>
                <w:rFonts w:hint="eastAsia" w:ascii="宋体" w:hAnsi="宋体" w:eastAsia="宋体" w:cs="宋体"/>
                <w:color w:val="auto"/>
                <w:spacing w:val="12"/>
                <w:sz w:val="21"/>
                <w:szCs w:val="21"/>
                <w:highlight w:val="none"/>
              </w:rPr>
              <w:t>国电力建设企业协会颁发的</w:t>
            </w:r>
            <w:r>
              <w:rPr>
                <w:rFonts w:hint="eastAsia" w:ascii="宋体" w:hAnsi="宋体" w:eastAsia="宋体" w:cs="宋体"/>
                <w:color w:val="auto"/>
                <w:spacing w:val="-6"/>
                <w:sz w:val="21"/>
                <w:szCs w:val="21"/>
                <w:highlight w:val="none"/>
              </w:rPr>
              <w:t>优</w:t>
            </w:r>
            <w:r>
              <w:rPr>
                <w:rFonts w:hint="eastAsia" w:ascii="宋体" w:hAnsi="宋体" w:eastAsia="宋体" w:cs="宋体"/>
                <w:color w:val="auto"/>
                <w:spacing w:val="-4"/>
                <w:sz w:val="21"/>
                <w:szCs w:val="21"/>
                <w:highlight w:val="none"/>
              </w:rPr>
              <w:t>质</w:t>
            </w:r>
            <w:r>
              <w:rPr>
                <w:rFonts w:hint="eastAsia" w:ascii="宋体" w:hAnsi="宋体" w:eastAsia="宋体" w:cs="宋体"/>
                <w:color w:val="auto"/>
                <w:spacing w:val="-3"/>
                <w:sz w:val="21"/>
                <w:szCs w:val="21"/>
                <w:highlight w:val="none"/>
              </w:rPr>
              <w:t>工程质量奖项、中国电力优</w:t>
            </w:r>
            <w:r>
              <w:rPr>
                <w:rFonts w:hint="eastAsia" w:ascii="宋体" w:hAnsi="宋体" w:eastAsia="宋体" w:cs="宋体"/>
                <w:color w:val="auto"/>
                <w:spacing w:val="1"/>
                <w:sz w:val="21"/>
                <w:szCs w:val="21"/>
                <w:highlight w:val="none"/>
              </w:rPr>
              <w:t>质工程奖(不包括</w:t>
            </w:r>
            <w:r>
              <w:rPr>
                <w:rFonts w:hint="eastAsia" w:ascii="宋体" w:hAnsi="宋体" w:eastAsia="宋体" w:cs="宋体"/>
                <w:color w:val="auto"/>
                <w:sz w:val="21"/>
                <w:szCs w:val="21"/>
                <w:highlight w:val="none"/>
              </w:rPr>
              <w:t>专业类奖项)；</w:t>
            </w:r>
            <w:r>
              <w:rPr>
                <w:rFonts w:hint="eastAsia" w:ascii="宋体" w:hAnsi="宋体" w:eastAsia="宋体" w:cs="宋体"/>
                <w:color w:val="auto"/>
                <w:spacing w:val="-4"/>
                <w:sz w:val="21"/>
                <w:szCs w:val="21"/>
                <w:highlight w:val="none"/>
              </w:rPr>
              <w:t>地市</w:t>
            </w:r>
            <w:r>
              <w:rPr>
                <w:rFonts w:hint="eastAsia" w:ascii="宋体" w:hAnsi="宋体" w:eastAsia="宋体" w:cs="宋体"/>
                <w:color w:val="auto"/>
                <w:spacing w:val="-3"/>
                <w:sz w:val="21"/>
                <w:szCs w:val="21"/>
                <w:highlight w:val="none"/>
              </w:rPr>
              <w:t>级</w:t>
            </w:r>
            <w:r>
              <w:rPr>
                <w:rFonts w:hint="eastAsia" w:ascii="宋体" w:hAnsi="宋体" w:eastAsia="宋体" w:cs="宋体"/>
                <w:color w:val="auto"/>
                <w:spacing w:val="-2"/>
                <w:sz w:val="21"/>
                <w:szCs w:val="21"/>
                <w:highlight w:val="none"/>
              </w:rPr>
              <w:t>奖项指地市级人民政府、</w:t>
            </w:r>
            <w:r>
              <w:rPr>
                <w:rFonts w:hint="eastAsia" w:ascii="宋体" w:hAnsi="宋体" w:eastAsia="宋体" w:cs="宋体"/>
                <w:color w:val="auto"/>
                <w:spacing w:val="-6"/>
                <w:sz w:val="21"/>
                <w:szCs w:val="21"/>
                <w:highlight w:val="none"/>
              </w:rPr>
              <w:t>地</w:t>
            </w:r>
            <w:r>
              <w:rPr>
                <w:rFonts w:hint="eastAsia" w:ascii="宋体" w:hAnsi="宋体" w:eastAsia="宋体" w:cs="宋体"/>
                <w:color w:val="auto"/>
                <w:spacing w:val="-4"/>
                <w:sz w:val="21"/>
                <w:szCs w:val="21"/>
                <w:highlight w:val="none"/>
              </w:rPr>
              <w:t>市</w:t>
            </w:r>
            <w:r>
              <w:rPr>
                <w:rFonts w:hint="eastAsia" w:ascii="宋体" w:hAnsi="宋体" w:eastAsia="宋体" w:cs="宋体"/>
                <w:color w:val="auto"/>
                <w:spacing w:val="-3"/>
                <w:sz w:val="21"/>
                <w:szCs w:val="21"/>
                <w:highlight w:val="none"/>
              </w:rPr>
              <w:t>级住建部门、地市级建筑业</w:t>
            </w:r>
            <w:r>
              <w:rPr>
                <w:rFonts w:hint="eastAsia" w:ascii="宋体" w:hAnsi="宋体" w:eastAsia="宋体" w:cs="宋体"/>
                <w:color w:val="auto"/>
                <w:spacing w:val="-6"/>
                <w:sz w:val="21"/>
                <w:szCs w:val="21"/>
                <w:highlight w:val="none"/>
              </w:rPr>
              <w:t>协</w:t>
            </w:r>
            <w:r>
              <w:rPr>
                <w:rFonts w:hint="eastAsia" w:ascii="宋体" w:hAnsi="宋体" w:eastAsia="宋体" w:cs="宋体"/>
                <w:color w:val="auto"/>
                <w:spacing w:val="-3"/>
                <w:sz w:val="21"/>
                <w:szCs w:val="21"/>
                <w:highlight w:val="none"/>
              </w:rPr>
              <w:t>会、地市级建筑业联合会颁发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的</w:t>
            </w:r>
            <w:r>
              <w:rPr>
                <w:rFonts w:hint="eastAsia" w:ascii="宋体" w:hAnsi="宋体" w:eastAsia="宋体" w:cs="宋体"/>
                <w:color w:val="auto"/>
                <w:spacing w:val="-3"/>
                <w:sz w:val="21"/>
                <w:szCs w:val="21"/>
                <w:highlight w:val="none"/>
              </w:rPr>
              <w:t>优质工程质量奖项(不包括专</w:t>
            </w:r>
            <w:r>
              <w:rPr>
                <w:rFonts w:hint="eastAsia" w:ascii="宋体" w:hAnsi="宋体" w:eastAsia="宋体" w:cs="宋体"/>
                <w:color w:val="auto"/>
                <w:spacing w:val="4"/>
                <w:sz w:val="21"/>
                <w:szCs w:val="21"/>
                <w:highlight w:val="none"/>
              </w:rPr>
              <w:t>业</w:t>
            </w:r>
            <w:r>
              <w:rPr>
                <w:rFonts w:hint="eastAsia" w:ascii="宋体" w:hAnsi="宋体" w:eastAsia="宋体" w:cs="宋体"/>
                <w:color w:val="auto"/>
                <w:spacing w:val="3"/>
                <w:sz w:val="21"/>
                <w:szCs w:val="21"/>
                <w:highlight w:val="none"/>
              </w:rPr>
              <w:t>类奖项)。</w:t>
            </w:r>
            <w:r>
              <w:rPr>
                <w:rFonts w:hint="eastAsia" w:ascii="宋体" w:hAnsi="宋体" w:eastAsia="宋体" w:cs="宋体"/>
                <w:color w:val="auto"/>
                <w:spacing w:val="-4"/>
                <w:sz w:val="21"/>
                <w:szCs w:val="21"/>
                <w:highlight w:val="none"/>
              </w:rPr>
              <w:t>2.</w:t>
            </w:r>
            <w:r>
              <w:rPr>
                <w:rFonts w:hint="eastAsia" w:ascii="宋体" w:hAnsi="宋体" w:eastAsia="宋体" w:cs="宋体"/>
                <w:color w:val="auto"/>
                <w:spacing w:val="-2"/>
                <w:sz w:val="21"/>
                <w:szCs w:val="21"/>
                <w:highlight w:val="none"/>
              </w:rPr>
              <w:t>获奖证书或获奖文件以国家、</w:t>
            </w:r>
            <w:r>
              <w:rPr>
                <w:rFonts w:hint="eastAsia" w:ascii="宋体" w:hAnsi="宋体" w:eastAsia="宋体" w:cs="宋体"/>
                <w:color w:val="auto"/>
                <w:spacing w:val="-6"/>
                <w:sz w:val="21"/>
                <w:szCs w:val="21"/>
                <w:highlight w:val="none"/>
              </w:rPr>
              <w:t>省</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市人民政府或行业行政主管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5"/>
                <w:sz w:val="21"/>
                <w:szCs w:val="21"/>
                <w:highlight w:val="none"/>
              </w:rPr>
              <w:t>部</w:t>
            </w:r>
            <w:r>
              <w:rPr>
                <w:rFonts w:hint="eastAsia" w:ascii="宋体" w:hAnsi="宋体" w:eastAsia="宋体" w:cs="宋体"/>
                <w:color w:val="auto"/>
                <w:spacing w:val="12"/>
                <w:sz w:val="21"/>
                <w:szCs w:val="21"/>
                <w:highlight w:val="none"/>
              </w:rPr>
              <w:t>门或经民政部门批准成立的</w:t>
            </w:r>
            <w:r>
              <w:rPr>
                <w:rFonts w:hint="eastAsia" w:ascii="宋体" w:hAnsi="宋体" w:eastAsia="宋体" w:cs="宋体"/>
                <w:color w:val="auto"/>
                <w:spacing w:val="-6"/>
                <w:sz w:val="21"/>
                <w:szCs w:val="21"/>
                <w:highlight w:val="none"/>
              </w:rPr>
              <w:t>相</w:t>
            </w:r>
            <w:r>
              <w:rPr>
                <w:rFonts w:hint="eastAsia" w:ascii="宋体" w:hAnsi="宋体" w:eastAsia="宋体" w:cs="宋体"/>
                <w:color w:val="auto"/>
                <w:spacing w:val="-4"/>
                <w:sz w:val="21"/>
                <w:szCs w:val="21"/>
                <w:highlight w:val="none"/>
              </w:rPr>
              <w:t>关</w:t>
            </w:r>
            <w:r>
              <w:rPr>
                <w:rFonts w:hint="eastAsia" w:ascii="宋体" w:hAnsi="宋体" w:eastAsia="宋体" w:cs="宋体"/>
                <w:color w:val="auto"/>
                <w:spacing w:val="-3"/>
                <w:sz w:val="21"/>
                <w:szCs w:val="21"/>
                <w:highlight w:val="none"/>
              </w:rPr>
              <w:t>行业协会颁发的为准，需提</w:t>
            </w:r>
            <w:r>
              <w:rPr>
                <w:rFonts w:hint="eastAsia" w:ascii="宋体" w:hAnsi="宋体" w:eastAsia="宋体" w:cs="宋体"/>
                <w:color w:val="auto"/>
                <w:spacing w:val="15"/>
                <w:sz w:val="21"/>
                <w:szCs w:val="21"/>
                <w:highlight w:val="none"/>
              </w:rPr>
              <w:t>供</w:t>
            </w:r>
            <w:r>
              <w:rPr>
                <w:rFonts w:hint="eastAsia" w:ascii="宋体" w:hAnsi="宋体" w:eastAsia="宋体" w:cs="宋体"/>
                <w:color w:val="auto"/>
                <w:spacing w:val="12"/>
                <w:sz w:val="21"/>
                <w:szCs w:val="21"/>
                <w:highlight w:val="none"/>
              </w:rPr>
              <w:t>相关获奖证书或正式获奖公</w:t>
            </w:r>
            <w:r>
              <w:rPr>
                <w:rFonts w:hint="eastAsia" w:ascii="宋体" w:hAnsi="宋体" w:eastAsia="宋体" w:cs="宋体"/>
                <w:color w:val="auto"/>
                <w:spacing w:val="15"/>
                <w:sz w:val="21"/>
                <w:szCs w:val="21"/>
                <w:highlight w:val="none"/>
              </w:rPr>
              <w:t>示</w:t>
            </w:r>
            <w:r>
              <w:rPr>
                <w:rFonts w:hint="eastAsia" w:ascii="宋体" w:hAnsi="宋体" w:eastAsia="宋体" w:cs="宋体"/>
                <w:color w:val="auto"/>
                <w:spacing w:val="12"/>
                <w:sz w:val="21"/>
                <w:szCs w:val="21"/>
                <w:highlight w:val="none"/>
              </w:rPr>
              <w:t>文件的扫描件并加盖投标人</w:t>
            </w:r>
            <w:r>
              <w:rPr>
                <w:rFonts w:hint="eastAsia" w:ascii="宋体" w:hAnsi="宋体" w:eastAsia="宋体" w:cs="宋体"/>
                <w:color w:val="auto"/>
                <w:spacing w:val="-11"/>
                <w:sz w:val="21"/>
                <w:szCs w:val="21"/>
                <w:highlight w:val="none"/>
              </w:rPr>
              <w:t>公</w:t>
            </w:r>
            <w:r>
              <w:rPr>
                <w:rFonts w:hint="eastAsia" w:ascii="宋体" w:hAnsi="宋体" w:eastAsia="宋体" w:cs="宋体"/>
                <w:color w:val="auto"/>
                <w:spacing w:val="-10"/>
                <w:sz w:val="21"/>
                <w:szCs w:val="21"/>
                <w:highlight w:val="none"/>
              </w:rPr>
              <w:t>章；正式获奖公示文件可以是</w:t>
            </w:r>
            <w:r>
              <w:rPr>
                <w:rFonts w:hint="eastAsia" w:ascii="宋体" w:hAnsi="宋体" w:eastAsia="宋体" w:cs="宋体"/>
                <w:color w:val="auto"/>
                <w:spacing w:val="6"/>
                <w:sz w:val="21"/>
                <w:szCs w:val="21"/>
                <w:highlight w:val="none"/>
              </w:rPr>
              <w:t>获奖公</w:t>
            </w:r>
            <w:r>
              <w:rPr>
                <w:rFonts w:hint="eastAsia" w:ascii="宋体" w:hAnsi="宋体" w:eastAsia="宋体" w:cs="宋体"/>
                <w:color w:val="auto"/>
                <w:spacing w:val="3"/>
                <w:sz w:val="21"/>
                <w:szCs w:val="21"/>
                <w:highlight w:val="none"/>
              </w:rPr>
              <w:t>示名单或网站查询页(或</w:t>
            </w:r>
            <w:r>
              <w:rPr>
                <w:rFonts w:hint="eastAsia" w:ascii="宋体" w:hAnsi="宋体" w:eastAsia="宋体" w:cs="宋体"/>
                <w:color w:val="auto"/>
                <w:spacing w:val="-4"/>
                <w:sz w:val="21"/>
                <w:szCs w:val="21"/>
                <w:highlight w:val="none"/>
              </w:rPr>
              <w:t>截</w:t>
            </w:r>
            <w:r>
              <w:rPr>
                <w:rFonts w:hint="eastAsia" w:ascii="宋体" w:hAnsi="宋体" w:eastAsia="宋体" w:cs="宋体"/>
                <w:color w:val="auto"/>
                <w:spacing w:val="-3"/>
                <w:sz w:val="21"/>
                <w:szCs w:val="21"/>
                <w:highlight w:val="none"/>
              </w:rPr>
              <w:t>图)；正在公示期间的奖项不</w:t>
            </w:r>
            <w:r>
              <w:rPr>
                <w:rFonts w:hint="eastAsia" w:ascii="宋体" w:hAnsi="宋体" w:eastAsia="宋体" w:cs="宋体"/>
                <w:color w:val="auto"/>
                <w:spacing w:val="-6"/>
                <w:sz w:val="21"/>
                <w:szCs w:val="21"/>
                <w:highlight w:val="none"/>
              </w:rPr>
              <w:t>予认可</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3"/>
                <w:sz w:val="21"/>
                <w:szCs w:val="21"/>
                <w:highlight w:val="none"/>
              </w:rPr>
              <w:t>如提供相关行业协会颁</w:t>
            </w:r>
            <w:r>
              <w:rPr>
                <w:rFonts w:hint="eastAsia" w:ascii="宋体" w:hAnsi="宋体" w:eastAsia="宋体" w:cs="宋体"/>
                <w:color w:val="auto"/>
                <w:spacing w:val="-6"/>
                <w:sz w:val="21"/>
                <w:szCs w:val="21"/>
                <w:highlight w:val="none"/>
              </w:rPr>
              <w:t>发的</w:t>
            </w:r>
            <w:r>
              <w:rPr>
                <w:rFonts w:hint="eastAsia" w:ascii="宋体" w:hAnsi="宋体" w:eastAsia="宋体" w:cs="宋体"/>
                <w:color w:val="auto"/>
                <w:spacing w:val="-5"/>
                <w:sz w:val="21"/>
                <w:szCs w:val="21"/>
                <w:highlight w:val="none"/>
              </w:rPr>
              <w:t>获</w:t>
            </w:r>
            <w:r>
              <w:rPr>
                <w:rFonts w:hint="eastAsia" w:ascii="宋体" w:hAnsi="宋体" w:eastAsia="宋体" w:cs="宋体"/>
                <w:color w:val="auto"/>
                <w:spacing w:val="-3"/>
                <w:sz w:val="21"/>
                <w:szCs w:val="21"/>
                <w:highlight w:val="none"/>
              </w:rPr>
              <w:t>奖证书或获奖正式文件，</w:t>
            </w:r>
            <w:r>
              <w:rPr>
                <w:rFonts w:hint="eastAsia" w:ascii="宋体" w:hAnsi="宋体" w:eastAsia="宋体" w:cs="宋体"/>
                <w:color w:val="auto"/>
                <w:spacing w:val="14"/>
                <w:sz w:val="21"/>
                <w:szCs w:val="21"/>
                <w:highlight w:val="none"/>
              </w:rPr>
              <w:t>则</w:t>
            </w:r>
            <w:r>
              <w:rPr>
                <w:rFonts w:hint="eastAsia" w:ascii="宋体" w:hAnsi="宋体" w:eastAsia="宋体" w:cs="宋体"/>
                <w:color w:val="auto"/>
                <w:spacing w:val="12"/>
                <w:sz w:val="21"/>
                <w:szCs w:val="21"/>
                <w:highlight w:val="none"/>
              </w:rPr>
              <w:t>须同时提供该行业协会在国</w:t>
            </w:r>
            <w:r>
              <w:rPr>
                <w:rFonts w:hint="eastAsia" w:ascii="宋体" w:hAnsi="宋体" w:eastAsia="宋体" w:cs="宋体"/>
                <w:color w:val="auto"/>
                <w:spacing w:val="4"/>
                <w:sz w:val="21"/>
                <w:szCs w:val="21"/>
                <w:highlight w:val="none"/>
              </w:rPr>
              <w:t>家(或省)社会组织网的查询</w:t>
            </w:r>
            <w:r>
              <w:rPr>
                <w:rFonts w:hint="eastAsia" w:ascii="宋体" w:hAnsi="宋体" w:eastAsia="宋体" w:cs="宋体"/>
                <w:color w:val="auto"/>
                <w:spacing w:val="2"/>
                <w:sz w:val="21"/>
                <w:szCs w:val="21"/>
                <w:highlight w:val="none"/>
              </w:rPr>
              <w:t>路</w:t>
            </w:r>
            <w:r>
              <w:rPr>
                <w:rFonts w:hint="eastAsia" w:ascii="宋体" w:hAnsi="宋体" w:eastAsia="宋体" w:cs="宋体"/>
                <w:color w:val="auto"/>
                <w:spacing w:val="-12"/>
                <w:sz w:val="21"/>
                <w:szCs w:val="21"/>
                <w:highlight w:val="none"/>
              </w:rPr>
              <w:t>径</w:t>
            </w:r>
            <w:r>
              <w:rPr>
                <w:rFonts w:hint="eastAsia" w:ascii="宋体" w:hAnsi="宋体" w:eastAsia="宋体" w:cs="宋体"/>
                <w:color w:val="auto"/>
                <w:spacing w:val="-10"/>
                <w:sz w:val="21"/>
                <w:szCs w:val="21"/>
                <w:highlight w:val="none"/>
              </w:rPr>
              <w:t>和登记信息查询结果截图，获</w:t>
            </w:r>
            <w:r>
              <w:rPr>
                <w:rFonts w:hint="eastAsia" w:ascii="宋体" w:hAnsi="宋体" w:eastAsia="宋体" w:cs="宋体"/>
                <w:color w:val="auto"/>
                <w:spacing w:val="14"/>
                <w:sz w:val="21"/>
                <w:szCs w:val="21"/>
                <w:highlight w:val="none"/>
              </w:rPr>
              <w:t>奖</w:t>
            </w:r>
            <w:r>
              <w:rPr>
                <w:rFonts w:hint="eastAsia" w:ascii="宋体" w:hAnsi="宋体" w:eastAsia="宋体" w:cs="宋体"/>
                <w:color w:val="auto"/>
                <w:spacing w:val="12"/>
                <w:sz w:val="21"/>
                <w:szCs w:val="21"/>
                <w:highlight w:val="none"/>
              </w:rPr>
              <w:t>日期以证书颁发或官网发布</w:t>
            </w:r>
            <w:r>
              <w:rPr>
                <w:rFonts w:hint="eastAsia" w:ascii="宋体" w:hAnsi="宋体" w:eastAsia="宋体" w:cs="宋体"/>
                <w:color w:val="auto"/>
                <w:spacing w:val="-1"/>
                <w:sz w:val="21"/>
                <w:szCs w:val="21"/>
                <w:highlight w:val="none"/>
              </w:rPr>
              <w:t>的日期为准</w:t>
            </w:r>
            <w:r>
              <w:rPr>
                <w:rFonts w:hint="eastAsia" w:ascii="宋体" w:hAnsi="宋体" w:eastAsia="宋体" w:cs="宋体"/>
                <w:color w:val="auto"/>
                <w:sz w:val="21"/>
                <w:szCs w:val="21"/>
                <w:highlight w:val="none"/>
              </w:rPr>
              <w:t>，否则不得分。</w:t>
            </w:r>
          </w:p>
        </w:tc>
      </w:tr>
    </w:tbl>
    <w:p>
      <w:pPr>
        <w:widowControl/>
        <w:spacing w:line="360" w:lineRule="auto"/>
        <w:jc w:val="left"/>
        <w:rPr>
          <w:rFonts w:hAnsi="宋体"/>
          <w:color w:val="auto"/>
          <w:highlight w:val="none"/>
        </w:rPr>
      </w:pPr>
    </w:p>
    <w:p>
      <w:pPr>
        <w:spacing w:before="69" w:line="221" w:lineRule="auto"/>
        <w:ind w:left="3"/>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2.3 技术评分标准</w:t>
      </w:r>
      <w:r>
        <w:rPr>
          <w:rFonts w:ascii="宋体" w:hAnsi="宋体" w:eastAsia="宋体" w:cs="宋体"/>
          <w:color w:val="auto"/>
          <w:spacing w:val="-2"/>
          <w:sz w:val="21"/>
          <w:szCs w:val="21"/>
          <w:highlight w:val="none"/>
        </w:rPr>
        <w:t>：</w:t>
      </w:r>
    </w:p>
    <w:p>
      <w:pPr>
        <w:spacing w:before="20" w:line="214" w:lineRule="auto"/>
        <w:ind w:left="3"/>
        <w:rPr>
          <w:rFonts w:ascii="宋体" w:hAnsi="宋体" w:eastAsia="宋体" w:cs="宋体"/>
          <w:color w:val="auto"/>
          <w:sz w:val="21"/>
          <w:szCs w:val="21"/>
          <w:highlight w:val="none"/>
        </w:rPr>
      </w:pPr>
      <w:r>
        <w:rPr>
          <w:rFonts w:ascii="宋体" w:hAnsi="宋体" w:eastAsia="宋体" w:cs="宋体"/>
          <w:color w:val="auto"/>
          <w:spacing w:val="16"/>
          <w:sz w:val="21"/>
          <w:szCs w:val="21"/>
          <w:highlight w:val="none"/>
        </w:rPr>
        <w:t>2</w:t>
      </w:r>
      <w:r>
        <w:rPr>
          <w:rFonts w:ascii="宋体" w:hAnsi="宋体" w:eastAsia="宋体" w:cs="宋体"/>
          <w:color w:val="auto"/>
          <w:spacing w:val="11"/>
          <w:sz w:val="21"/>
          <w:szCs w:val="21"/>
          <w:highlight w:val="none"/>
        </w:rPr>
        <w:t>.</w:t>
      </w:r>
      <w:r>
        <w:rPr>
          <w:rFonts w:ascii="宋体" w:hAnsi="宋体" w:eastAsia="宋体" w:cs="宋体"/>
          <w:color w:val="auto"/>
          <w:spacing w:val="8"/>
          <w:sz w:val="21"/>
          <w:szCs w:val="21"/>
          <w:highlight w:val="none"/>
        </w:rPr>
        <w:t>3.1 技术评审(100)分</w:t>
      </w:r>
    </w:p>
    <w:tbl>
      <w:tblPr>
        <w:tblStyle w:val="4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1207"/>
        <w:gridCol w:w="637"/>
        <w:gridCol w:w="2863"/>
        <w:gridCol w:w="4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650" w:type="pct"/>
            <w:vAlign w:val="center"/>
          </w:tcPr>
          <w:p>
            <w:pPr>
              <w:widowControl/>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评分项目</w:t>
            </w:r>
          </w:p>
        </w:tc>
        <w:tc>
          <w:tcPr>
            <w:tcW w:w="343" w:type="pct"/>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满</w:t>
            </w:r>
            <w:r>
              <w:rPr>
                <w:rFonts w:hint="eastAsia" w:ascii="宋体" w:hAnsi="宋体" w:eastAsia="宋体" w:cs="宋体"/>
                <w:color w:val="auto"/>
                <w:sz w:val="21"/>
                <w:szCs w:val="21"/>
                <w:highlight w:val="none"/>
                <w:vertAlign w:val="baseline"/>
                <w:lang w:val="en-US" w:eastAsia="zh-CN"/>
              </w:rPr>
              <w:t>分值</w:t>
            </w:r>
          </w:p>
        </w:tc>
        <w:tc>
          <w:tcPr>
            <w:tcW w:w="1542" w:type="pct"/>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项目内容及分值分配</w:t>
            </w:r>
          </w:p>
        </w:tc>
        <w:tc>
          <w:tcPr>
            <w:tcW w:w="2201" w:type="pct"/>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restart"/>
            <w:vAlign w:val="center"/>
          </w:tcPr>
          <w:p>
            <w:pPr>
              <w:widowControl/>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650" w:type="pct"/>
            <w:vMerge w:val="restart"/>
            <w:vAlign w:val="center"/>
          </w:tcPr>
          <w:p>
            <w:pPr>
              <w:widowControl/>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工程概况及施工特点</w:t>
            </w:r>
          </w:p>
        </w:tc>
        <w:tc>
          <w:tcPr>
            <w:tcW w:w="343" w:type="pct"/>
            <w:vMerge w:val="restart"/>
            <w:vAlign w:val="center"/>
          </w:tcPr>
          <w:p>
            <w:pPr>
              <w:widowControl/>
              <w:spacing w:line="360" w:lineRule="auto"/>
              <w:jc w:val="center"/>
              <w:rPr>
                <w:rFonts w:hint="eastAsia" w:ascii="宋体" w:hAnsi="宋体" w:eastAsia="宋体" w:cs="宋体"/>
                <w:color w:val="auto"/>
                <w:spacing w:val="5"/>
                <w:sz w:val="21"/>
                <w:szCs w:val="21"/>
                <w:highlight w:val="none"/>
                <w:lang w:val="en-US" w:eastAsia="zh-CN"/>
              </w:rPr>
            </w:pPr>
            <w:r>
              <w:rPr>
                <w:rFonts w:hint="eastAsia" w:ascii="宋体" w:hAnsi="宋体" w:cs="宋体"/>
                <w:color w:val="auto"/>
                <w:spacing w:val="5"/>
                <w:sz w:val="21"/>
                <w:szCs w:val="21"/>
                <w:highlight w:val="none"/>
                <w:lang w:val="en-US" w:eastAsia="zh-CN"/>
              </w:rPr>
              <w:t>5</w:t>
            </w:r>
          </w:p>
        </w:tc>
        <w:tc>
          <w:tcPr>
            <w:tcW w:w="1542"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工程概述(工程规模、路径(如有)、布置形式、建设单位、设计单位和工期要求等)(1分)</w:t>
            </w:r>
          </w:p>
        </w:tc>
        <w:tc>
          <w:tcPr>
            <w:tcW w:w="2201"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工程规模、工期、安全质量要求描述正确，工程涉及的主要单位、投标范围及承包方式等齐全无错漏且描述完整得1分；每遗漏或差错1处扣0.5分，扣完为止。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p>
        </w:tc>
        <w:tc>
          <w:tcPr>
            <w:tcW w:w="650"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rPr>
            </w:pPr>
          </w:p>
        </w:tc>
        <w:tc>
          <w:tcPr>
            <w:tcW w:w="343" w:type="pct"/>
            <w:vMerge w:val="continue"/>
            <w:vAlign w:val="center"/>
          </w:tcPr>
          <w:p>
            <w:pPr>
              <w:widowControl/>
              <w:spacing w:line="360" w:lineRule="auto"/>
              <w:jc w:val="center"/>
              <w:rPr>
                <w:rFonts w:hint="eastAsia" w:ascii="宋体" w:hAnsi="宋体" w:eastAsia="宋体" w:cs="宋体"/>
                <w:color w:val="auto"/>
                <w:spacing w:val="5"/>
                <w:sz w:val="21"/>
                <w:szCs w:val="21"/>
                <w:highlight w:val="none"/>
              </w:rPr>
            </w:pPr>
          </w:p>
        </w:tc>
        <w:tc>
          <w:tcPr>
            <w:tcW w:w="1542"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工程设计特点、工程量(1.5分)</w:t>
            </w:r>
          </w:p>
        </w:tc>
        <w:tc>
          <w:tcPr>
            <w:tcW w:w="2201" w:type="pct"/>
            <w:vAlign w:val="center"/>
          </w:tcPr>
          <w:p>
            <w:pPr>
              <w:widowControl/>
              <w:spacing w:line="360" w:lineRule="auto"/>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工程设计特点、工程量描述正确，说明详实得1.5分、一般得1分、差得0.5分。完全没提及的不得分。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p>
        </w:tc>
        <w:tc>
          <w:tcPr>
            <w:tcW w:w="650"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rPr>
            </w:pPr>
          </w:p>
        </w:tc>
        <w:tc>
          <w:tcPr>
            <w:tcW w:w="343"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rPr>
            </w:pPr>
          </w:p>
        </w:tc>
        <w:tc>
          <w:tcPr>
            <w:tcW w:w="1542"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施工实施条件、自然环境分析及现场调查情况说明(2.5分)</w:t>
            </w:r>
          </w:p>
        </w:tc>
        <w:tc>
          <w:tcPr>
            <w:tcW w:w="2201"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结合工程施工实施条件、现场自然环境分析和影响施工的环节(包括但不限于施工安全、质量、进度等)分析到位的酌情给分，级差为0.5分。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restart"/>
            <w:vAlign w:val="center"/>
          </w:tcPr>
          <w:p>
            <w:pPr>
              <w:widowControl/>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p>
        </w:tc>
        <w:tc>
          <w:tcPr>
            <w:tcW w:w="650" w:type="pct"/>
            <w:vMerge w:val="restart"/>
            <w:vAlign w:val="center"/>
          </w:tcPr>
          <w:p>
            <w:pPr>
              <w:widowControl/>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施工现场平面布置图</w:t>
            </w:r>
          </w:p>
        </w:tc>
        <w:tc>
          <w:tcPr>
            <w:tcW w:w="343" w:type="pct"/>
            <w:vMerge w:val="restart"/>
            <w:vAlign w:val="center"/>
          </w:tcPr>
          <w:p>
            <w:pPr>
              <w:widowControl/>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8</w:t>
            </w:r>
          </w:p>
        </w:tc>
        <w:tc>
          <w:tcPr>
            <w:tcW w:w="1542"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施工现场总体平面布置(4分)</w:t>
            </w:r>
          </w:p>
        </w:tc>
        <w:tc>
          <w:tcPr>
            <w:tcW w:w="2201" w:type="pct"/>
            <w:vAlign w:val="center"/>
          </w:tcPr>
          <w:p>
            <w:pPr>
              <w:widowControl/>
              <w:spacing w:line="360" w:lineRule="auto"/>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平面布置应满足</w:t>
            </w:r>
            <w:r>
              <w:rPr>
                <w:rFonts w:hint="eastAsia" w:ascii="宋体" w:hAnsi="宋体" w:cs="宋体"/>
                <w:color w:val="auto"/>
                <w:sz w:val="21"/>
                <w:szCs w:val="21"/>
                <w:highlight w:val="none"/>
                <w:lang w:val="en-US" w:eastAsia="zh-CN"/>
              </w:rPr>
              <w:t>南方电网公司</w:t>
            </w:r>
            <w:r>
              <w:rPr>
                <w:rFonts w:hint="eastAsia" w:ascii="宋体" w:hAnsi="宋体" w:eastAsia="宋体" w:cs="宋体"/>
                <w:color w:val="auto"/>
                <w:sz w:val="21"/>
                <w:szCs w:val="21"/>
                <w:highlight w:val="none"/>
                <w:vertAlign w:val="baseline"/>
                <w:lang w:val="en-US" w:eastAsia="zh-CN"/>
              </w:rPr>
              <w:t>安全文明施工的要求，平面布置布局合理、占地经济，符合现场条件的酌情给分，级差为0.5分。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p>
        </w:tc>
        <w:tc>
          <w:tcPr>
            <w:tcW w:w="650"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rPr>
            </w:pPr>
          </w:p>
        </w:tc>
        <w:tc>
          <w:tcPr>
            <w:tcW w:w="343"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rPr>
            </w:pPr>
          </w:p>
        </w:tc>
        <w:tc>
          <w:tcPr>
            <w:tcW w:w="1542"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施工现场临时用电、临时用水总体布置(1.5分)</w:t>
            </w:r>
          </w:p>
        </w:tc>
        <w:tc>
          <w:tcPr>
            <w:tcW w:w="2201"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临时用电电气设备满足施工要求，水、电管线敷设安全、合理的酌情给分，级差为0.5分。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p>
        </w:tc>
        <w:tc>
          <w:tcPr>
            <w:tcW w:w="650"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rPr>
            </w:pPr>
          </w:p>
        </w:tc>
        <w:tc>
          <w:tcPr>
            <w:tcW w:w="343"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p>
        </w:tc>
        <w:tc>
          <w:tcPr>
            <w:tcW w:w="1542" w:type="pct"/>
            <w:vAlign w:val="center"/>
          </w:tcPr>
          <w:p>
            <w:pPr>
              <w:widowControl/>
              <w:spacing w:line="360" w:lineRule="auto"/>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施工现场消防总体布置(2.5分)</w:t>
            </w:r>
          </w:p>
        </w:tc>
        <w:tc>
          <w:tcPr>
            <w:tcW w:w="2201"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消防器材布置合理，不留死角， 重点部位有特殊消防措施的酌情给分，级差为0.5分。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restart"/>
            <w:vAlign w:val="center"/>
          </w:tcPr>
          <w:p>
            <w:pPr>
              <w:widowControl/>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w:t>
            </w:r>
          </w:p>
        </w:tc>
        <w:tc>
          <w:tcPr>
            <w:tcW w:w="650" w:type="pct"/>
            <w:vMerge w:val="restart"/>
            <w:vAlign w:val="center"/>
          </w:tcPr>
          <w:p>
            <w:pPr>
              <w:spacing w:before="68" w:line="221" w:lineRule="auto"/>
              <w:ind w:left="213"/>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施工现场组织机构</w:t>
            </w:r>
          </w:p>
        </w:tc>
        <w:tc>
          <w:tcPr>
            <w:tcW w:w="343" w:type="pct"/>
            <w:vMerge w:val="restart"/>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5</w:t>
            </w:r>
          </w:p>
        </w:tc>
        <w:tc>
          <w:tcPr>
            <w:tcW w:w="1542"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施工现场组织机构(3分)</w:t>
            </w:r>
          </w:p>
        </w:tc>
        <w:tc>
          <w:tcPr>
            <w:tcW w:w="2201"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根据工程特点成立相应组织机构，包括不限于施工项目部主要管理人员(项目经理(项目负责人)、项目总工(技术负责人)、施工员(技术员)、质量员(质检员)、安全员、机械员、材料员、 资料员)等机构职责齐全，业绩情况等酌情给分，级差为0.5分。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p>
        </w:tc>
        <w:tc>
          <w:tcPr>
            <w:tcW w:w="650" w:type="pct"/>
            <w:vMerge w:val="continue"/>
            <w:vAlign w:val="center"/>
          </w:tcPr>
          <w:p>
            <w:pPr>
              <w:spacing w:before="68" w:line="221" w:lineRule="auto"/>
              <w:ind w:left="209"/>
              <w:rPr>
                <w:rFonts w:hint="eastAsia" w:ascii="宋体" w:hAnsi="宋体" w:eastAsia="宋体" w:cs="宋体"/>
                <w:color w:val="auto"/>
                <w:spacing w:val="23"/>
                <w:sz w:val="21"/>
                <w:szCs w:val="21"/>
                <w:highlight w:val="none"/>
              </w:rPr>
            </w:pPr>
          </w:p>
        </w:tc>
        <w:tc>
          <w:tcPr>
            <w:tcW w:w="343"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rPr>
            </w:pPr>
          </w:p>
        </w:tc>
        <w:tc>
          <w:tcPr>
            <w:tcW w:w="1542"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施工现场组织原则(2分)</w:t>
            </w:r>
          </w:p>
        </w:tc>
        <w:tc>
          <w:tcPr>
            <w:tcW w:w="2201"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施工项目组织机构内部分工合理，利于施工的酌情给分，级差为0.5分。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restart"/>
            <w:vAlign w:val="center"/>
          </w:tcPr>
          <w:p>
            <w:pPr>
              <w:widowControl/>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w:t>
            </w:r>
          </w:p>
        </w:tc>
        <w:tc>
          <w:tcPr>
            <w:tcW w:w="650" w:type="pct"/>
            <w:vMerge w:val="restart"/>
            <w:vAlign w:val="center"/>
          </w:tcPr>
          <w:p>
            <w:pPr>
              <w:widowControl/>
              <w:spacing w:line="360" w:lineRule="auto"/>
              <w:jc w:val="center"/>
              <w:rPr>
                <w:rFonts w:hint="default" w:ascii="宋体" w:hAnsi="宋体" w:eastAsia="宋体" w:cs="宋体"/>
                <w:color w:val="auto"/>
                <w:spacing w:val="23"/>
                <w:sz w:val="21"/>
                <w:szCs w:val="21"/>
                <w:highlight w:val="none"/>
                <w:lang w:val="en-US" w:eastAsia="zh-CN"/>
              </w:rPr>
            </w:pPr>
            <w:r>
              <w:rPr>
                <w:rFonts w:hint="eastAsia" w:ascii="宋体" w:hAnsi="宋体" w:cs="宋体"/>
                <w:color w:val="auto"/>
                <w:spacing w:val="23"/>
                <w:sz w:val="21"/>
                <w:szCs w:val="21"/>
                <w:highlight w:val="none"/>
                <w:lang w:val="en-US" w:eastAsia="zh-CN"/>
              </w:rPr>
              <w:t>施工方案</w:t>
            </w:r>
          </w:p>
        </w:tc>
        <w:tc>
          <w:tcPr>
            <w:tcW w:w="343" w:type="pct"/>
            <w:vMerge w:val="restart"/>
            <w:vAlign w:val="center"/>
          </w:tcPr>
          <w:p>
            <w:pPr>
              <w:widowControl/>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30</w:t>
            </w:r>
          </w:p>
        </w:tc>
        <w:tc>
          <w:tcPr>
            <w:tcW w:w="1542" w:type="pct"/>
            <w:vAlign w:val="center"/>
          </w:tcPr>
          <w:p>
            <w:pPr>
              <w:widowControl/>
              <w:spacing w:line="360" w:lineRule="auto"/>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本工程重点难点分析(10分)</w:t>
            </w:r>
          </w:p>
        </w:tc>
        <w:tc>
          <w:tcPr>
            <w:tcW w:w="2201" w:type="pct"/>
            <w:vAlign w:val="top"/>
          </w:tcPr>
          <w:p>
            <w:pPr>
              <w:spacing w:line="49" w:lineRule="exact"/>
              <w:ind w:firstLine="3"/>
              <w:textAlignment w:val="center"/>
              <w:rPr>
                <w:color w:val="auto"/>
                <w:highlight w:val="none"/>
              </w:rPr>
            </w:pPr>
            <w:r>
              <w:rPr>
                <w:color w:val="auto"/>
                <w:highlight w:val="none"/>
              </w:rPr>
              <mc:AlternateContent>
                <mc:Choice Requires="wps">
                  <w:drawing>
                    <wp:inline distT="0" distB="0" distL="114300" distR="114300">
                      <wp:extent cx="2420620" cy="32385"/>
                      <wp:effectExtent l="0" t="0" r="17780" b="5715"/>
                      <wp:docPr id="15" name="任意多边形 15"/>
                      <wp:cNvGraphicFramePr/>
                      <a:graphic xmlns:a="http://schemas.openxmlformats.org/drawingml/2006/main">
                        <a:graphicData uri="http://schemas.microsoft.com/office/word/2010/wordprocessingShape">
                          <wps:wsp>
                            <wps:cNvSpPr/>
                            <wps:spPr>
                              <a:xfrm>
                                <a:off x="0" y="0"/>
                                <a:ext cx="2420620" cy="32385"/>
                              </a:xfrm>
                              <a:custGeom>
                                <a:avLst/>
                                <a:gdLst/>
                                <a:ahLst/>
                                <a:cxnLst/>
                                <a:pathLst>
                                  <a:path w="3812" h="50">
                                    <a:moveTo>
                                      <a:pt x="0" y="50"/>
                                    </a:moveTo>
                                    <a:lnTo>
                                      <a:pt x="3811" y="50"/>
                                    </a:lnTo>
                                    <a:lnTo>
                                      <a:pt x="3811" y="0"/>
                                    </a:lnTo>
                                    <a:lnTo>
                                      <a:pt x="0" y="0"/>
                                    </a:lnTo>
                                    <a:lnTo>
                                      <a:pt x="0" y="50"/>
                                    </a:lnTo>
                                    <a:close/>
                                  </a:path>
                                </a:pathLst>
                              </a:custGeom>
                              <a:solidFill>
                                <a:srgbClr val="FFFFFF"/>
                              </a:solidFill>
                              <a:ln>
                                <a:noFill/>
                              </a:ln>
                            </wps:spPr>
                            <wps:bodyPr upright="1"/>
                          </wps:wsp>
                        </a:graphicData>
                      </a:graphic>
                    </wp:inline>
                  </w:drawing>
                </mc:Choice>
                <mc:Fallback>
                  <w:pict>
                    <v:shape id="_x0000_s1026" o:spid="_x0000_s1026" o:spt="100" style="height:2.55pt;width:190.6pt;" fillcolor="#FFFFFF" filled="t" stroked="f" coordsize="3812,50" o:gfxdata="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Se6Vj0gAAAAMBAAAPAAAAAAAA&#10;AAEAIAAAACIAAABkcnMvZG93bnJldi54bWxQSwECFAAUAAAACACHTuJA3w3uXRgCAAB/BAAADgAA&#10;AAAAAAABACAAAAAhAQAAZHJzL2Uyb0RvYy54bWxQSwUGAAAAAAYABgBZAQAAqwUAAAAA&#10;" path="m0,50l3811,50,3811,0,0,0,0,50xe">
                      <v:fill on="t" focussize="0,0"/>
                      <v:stroke on="f"/>
                      <v:imagedata o:title=""/>
                      <o:lock v:ext="edit" aspectratio="f"/>
                      <w10:wrap type="none"/>
                      <w10:anchorlock/>
                    </v:shape>
                  </w:pict>
                </mc:Fallback>
              </mc:AlternateContent>
            </w:r>
          </w:p>
          <w:p>
            <w:pPr>
              <w:spacing w:before="30" w:line="226" w:lineRule="auto"/>
              <w:ind w:left="115" w:right="10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vertAlign w:val="baseline"/>
              </w:rPr>
              <w:t>针对本工程特点的重点难点分析及合</w:t>
            </w:r>
            <w:r>
              <w:rPr>
                <w:rFonts w:ascii="宋体" w:hAnsi="宋体" w:eastAsia="宋体" w:cs="宋体"/>
                <w:color w:val="auto"/>
                <w:spacing w:val="1"/>
                <w:sz w:val="21"/>
                <w:szCs w:val="21"/>
                <w:highlight w:val="none"/>
              </w:rPr>
              <w:t>理</w:t>
            </w:r>
            <w:r>
              <w:rPr>
                <w:rFonts w:ascii="宋体" w:hAnsi="宋体" w:eastAsia="宋体" w:cs="宋体"/>
                <w:color w:val="auto"/>
                <w:spacing w:val="-16"/>
                <w:sz w:val="21"/>
                <w:szCs w:val="21"/>
                <w:highlight w:val="none"/>
              </w:rPr>
              <w:t>化</w:t>
            </w:r>
            <w:r>
              <w:rPr>
                <w:rFonts w:ascii="宋体" w:hAnsi="宋体" w:eastAsia="宋体" w:cs="宋体"/>
                <w:color w:val="auto"/>
                <w:spacing w:val="-9"/>
                <w:sz w:val="21"/>
                <w:szCs w:val="21"/>
                <w:highlight w:val="none"/>
              </w:rPr>
              <w:t>建</w:t>
            </w:r>
            <w:r>
              <w:rPr>
                <w:rFonts w:ascii="宋体" w:hAnsi="宋体" w:eastAsia="宋体" w:cs="宋体"/>
                <w:color w:val="auto"/>
                <w:spacing w:val="-8"/>
                <w:sz w:val="21"/>
                <w:szCs w:val="21"/>
                <w:highlight w:val="none"/>
              </w:rPr>
              <w:t>议，级差为0.5分。</w:t>
            </w:r>
          </w:p>
          <w:p>
            <w:pPr>
              <w:spacing w:line="52" w:lineRule="exact"/>
              <w:ind w:firstLine="3" w:firstLineChars="0"/>
              <w:textAlignment w:val="center"/>
              <w:rPr>
                <w:rFonts w:hint="eastAsia" w:ascii="Times New Roman" w:hAnsi="Times New Roman" w:eastAsia="宋体" w:cs="Times New Roman"/>
                <w:color w:val="auto"/>
                <w:kern w:val="2"/>
                <w:sz w:val="21"/>
                <w:highlight w:val="none"/>
                <w:lang w:val="en-US" w:eastAsia="zh-CN" w:bidi="ar-SA"/>
              </w:rPr>
            </w:pPr>
            <w:r>
              <w:rPr>
                <w:color w:val="auto"/>
                <w:highlight w:val="none"/>
              </w:rPr>
              <mc:AlternateContent>
                <mc:Choice Requires="wps">
                  <w:drawing>
                    <wp:inline distT="0" distB="0" distL="114300" distR="114300">
                      <wp:extent cx="2420620" cy="33655"/>
                      <wp:effectExtent l="0" t="0" r="17780" b="4445"/>
                      <wp:docPr id="16" name="任意多边形 16"/>
                      <wp:cNvGraphicFramePr/>
                      <a:graphic xmlns:a="http://schemas.openxmlformats.org/drawingml/2006/main">
                        <a:graphicData uri="http://schemas.microsoft.com/office/word/2010/wordprocessingShape">
                          <wps:wsp>
                            <wps:cNvSpPr/>
                            <wps:spPr>
                              <a:xfrm>
                                <a:off x="0" y="0"/>
                                <a:ext cx="2420620" cy="33655"/>
                              </a:xfrm>
                              <a:custGeom>
                                <a:avLst/>
                                <a:gdLst/>
                                <a:ahLst/>
                                <a:cxnLst/>
                                <a:pathLst>
                                  <a:path w="3812" h="53">
                                    <a:moveTo>
                                      <a:pt x="0" y="52"/>
                                    </a:moveTo>
                                    <a:lnTo>
                                      <a:pt x="3811" y="52"/>
                                    </a:lnTo>
                                    <a:lnTo>
                                      <a:pt x="3811" y="0"/>
                                    </a:lnTo>
                                    <a:lnTo>
                                      <a:pt x="0" y="0"/>
                                    </a:lnTo>
                                    <a:lnTo>
                                      <a:pt x="0" y="52"/>
                                    </a:lnTo>
                                    <a:close/>
                                  </a:path>
                                </a:pathLst>
                              </a:custGeom>
                              <a:solidFill>
                                <a:srgbClr val="FFFFFF"/>
                              </a:solidFill>
                              <a:ln>
                                <a:noFill/>
                              </a:ln>
                            </wps:spPr>
                            <wps:bodyPr upright="1"/>
                          </wps:wsp>
                        </a:graphicData>
                      </a:graphic>
                    </wp:inline>
                  </w:drawing>
                </mc:Choice>
                <mc:Fallback>
                  <w:pict>
                    <v:shape id="_x0000_s1026" o:spid="_x0000_s1026" o:spt="100" style="height:2.65pt;width:190.6pt;" fillcolor="#FFFFFF" filled="t" stroked="f" coordsize="3812,53" o:gfxdata="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V9NVtQAAAADAQAADwAAAAAA&#10;AAABACAAAAAiAAAAZHJzL2Rvd25yZXYueG1sUEsBAhQAFAAAAAgAh07iQG/GqVwXAgAAfwQAAA4A&#10;AAAAAAAAAQAgAAAAIwEAAGRycy9lMm9Eb2MueG1sUEsFBgAAAAAGAAYAWQEAAKwFAAAAAA==&#10;" path="m0,52l3811,52,3811,0,0,0,0,52xe">
                      <v:fill on="t" focussize="0,0"/>
                      <v:stroke on="f"/>
                      <v:imagedata o:title=""/>
                      <o:lock v:ext="edit" aspectratio="f"/>
                      <w10:wrap type="none"/>
                      <w10:anchorlock/>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261"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p>
        </w:tc>
        <w:tc>
          <w:tcPr>
            <w:tcW w:w="650" w:type="pct"/>
            <w:vMerge w:val="continue"/>
            <w:vAlign w:val="center"/>
          </w:tcPr>
          <w:p>
            <w:pPr>
              <w:widowControl/>
              <w:spacing w:line="360" w:lineRule="auto"/>
              <w:jc w:val="center"/>
              <w:rPr>
                <w:rFonts w:hint="eastAsia" w:ascii="宋体" w:hAnsi="宋体" w:eastAsia="宋体" w:cs="宋体"/>
                <w:color w:val="auto"/>
                <w:spacing w:val="23"/>
                <w:sz w:val="21"/>
                <w:szCs w:val="21"/>
                <w:highlight w:val="none"/>
              </w:rPr>
            </w:pPr>
          </w:p>
        </w:tc>
        <w:tc>
          <w:tcPr>
            <w:tcW w:w="343"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rPr>
            </w:pPr>
          </w:p>
        </w:tc>
        <w:tc>
          <w:tcPr>
            <w:tcW w:w="1542" w:type="pct"/>
            <w:vAlign w:val="center"/>
          </w:tcPr>
          <w:p>
            <w:pPr>
              <w:widowControl/>
              <w:spacing w:line="360" w:lineRule="auto"/>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施工机具准备(2分)</w:t>
            </w:r>
          </w:p>
        </w:tc>
        <w:tc>
          <w:tcPr>
            <w:tcW w:w="2201" w:type="pct"/>
            <w:vAlign w:val="top"/>
          </w:tcPr>
          <w:p>
            <w:pPr>
              <w:widowControl/>
              <w:spacing w:line="360" w:lineRule="auto"/>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mc:AlternateContent>
                <mc:Choice Requires="wps">
                  <w:drawing>
                    <wp:inline distT="0" distB="0" distL="114300" distR="114300">
                      <wp:extent cx="2420620" cy="45720"/>
                      <wp:effectExtent l="0" t="0" r="17780" b="11430"/>
                      <wp:docPr id="17" name="任意多边形 17"/>
                      <wp:cNvGraphicFramePr/>
                      <a:graphic xmlns:a="http://schemas.openxmlformats.org/drawingml/2006/main">
                        <a:graphicData uri="http://schemas.microsoft.com/office/word/2010/wordprocessingShape">
                          <wps:wsp>
                            <wps:cNvSpPr/>
                            <wps:spPr>
                              <a:xfrm>
                                <a:off x="0" y="0"/>
                                <a:ext cx="2420620" cy="45720"/>
                              </a:xfrm>
                              <a:custGeom>
                                <a:avLst/>
                                <a:gdLst/>
                                <a:ahLst/>
                                <a:cxnLst/>
                                <a:pathLst>
                                  <a:path w="3812" h="71">
                                    <a:moveTo>
                                      <a:pt x="0" y="71"/>
                                    </a:moveTo>
                                    <a:lnTo>
                                      <a:pt x="3811" y="71"/>
                                    </a:lnTo>
                                    <a:lnTo>
                                      <a:pt x="3811" y="0"/>
                                    </a:lnTo>
                                    <a:lnTo>
                                      <a:pt x="0" y="0"/>
                                    </a:lnTo>
                                    <a:lnTo>
                                      <a:pt x="0" y="71"/>
                                    </a:lnTo>
                                    <a:close/>
                                  </a:path>
                                </a:pathLst>
                              </a:custGeom>
                              <a:solidFill>
                                <a:srgbClr val="FFFFFF"/>
                              </a:solidFill>
                              <a:ln>
                                <a:noFill/>
                              </a:ln>
                            </wps:spPr>
                            <wps:bodyPr upright="1"/>
                          </wps:wsp>
                        </a:graphicData>
                      </a:graphic>
                    </wp:inline>
                  </w:drawing>
                </mc:Choice>
                <mc:Fallback>
                  <w:pict>
                    <v:shape id="_x0000_s1026" o:spid="_x0000_s1026" o:spt="100" style="height:3.6pt;width:190.6pt;" fillcolor="#FFFFFF" filled="t" stroked="f" coordsize="3812,71" o:gfxdata="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t86Pz0gAAAAMBAAAPAAAAAAAA&#10;AAEAIAAAACIAAABkcnMvZG93bnJldi54bWxQSwECFAAUAAAACACHTuJAhAs2hRgCAAB/BAAADgAA&#10;AAAAAAABACAAAAAhAQAAZHJzL2Uyb0RvYy54bWxQSwUGAAAAAAYABgBZAQAAqwUAAAAA&#10;" path="m0,71l3811,71,3811,0,0,0,0,71xe">
                      <v:fill on="t" focussize="0,0"/>
                      <v:stroke on="f"/>
                      <v:imagedata o:title=""/>
                      <o:lock v:ext="edit" aspectratio="f"/>
                      <w10:wrap type="none"/>
                      <w10:anchorlock/>
                    </v:shape>
                  </w:pict>
                </mc:Fallback>
              </mc:AlternateContent>
            </w:r>
            <w:r>
              <w:rPr>
                <w:rFonts w:hint="eastAsia" w:ascii="宋体" w:hAnsi="宋体" w:eastAsia="宋体" w:cs="宋体"/>
                <w:color w:val="auto"/>
                <w:sz w:val="21"/>
                <w:szCs w:val="21"/>
                <w:highlight w:val="none"/>
                <w:vertAlign w:val="baseline"/>
              </w:rPr>
              <w:t>施工主要机具选择满足工程建设需要，施工机具先进、性能安全良好的酌情给分，级差为0.5分。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p>
        </w:tc>
        <w:tc>
          <w:tcPr>
            <w:tcW w:w="650" w:type="pct"/>
            <w:vMerge w:val="continue"/>
            <w:vAlign w:val="center"/>
          </w:tcPr>
          <w:p>
            <w:pPr>
              <w:widowControl/>
              <w:spacing w:line="360" w:lineRule="auto"/>
              <w:jc w:val="center"/>
              <w:rPr>
                <w:rFonts w:hint="eastAsia" w:ascii="宋体" w:hAnsi="宋体" w:eastAsia="宋体" w:cs="宋体"/>
                <w:color w:val="auto"/>
                <w:spacing w:val="23"/>
                <w:sz w:val="21"/>
                <w:szCs w:val="21"/>
                <w:highlight w:val="none"/>
              </w:rPr>
            </w:pPr>
          </w:p>
        </w:tc>
        <w:tc>
          <w:tcPr>
            <w:tcW w:w="343"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rPr>
            </w:pPr>
          </w:p>
        </w:tc>
        <w:tc>
          <w:tcPr>
            <w:tcW w:w="1542" w:type="pct"/>
            <w:vAlign w:val="center"/>
          </w:tcPr>
          <w:p>
            <w:pPr>
              <w:widowControl/>
              <w:spacing w:line="360" w:lineRule="auto"/>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施工力量配置(2分)</w:t>
            </w:r>
          </w:p>
        </w:tc>
        <w:tc>
          <w:tcPr>
            <w:tcW w:w="2201" w:type="pct"/>
            <w:vAlign w:val="top"/>
          </w:tcPr>
          <w:p>
            <w:pPr>
              <w:widowControl/>
              <w:spacing w:line="360" w:lineRule="auto"/>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mc:AlternateContent>
                <mc:Choice Requires="wps">
                  <w:drawing>
                    <wp:inline distT="0" distB="0" distL="114300" distR="114300">
                      <wp:extent cx="2420620" cy="45720"/>
                      <wp:effectExtent l="0" t="0" r="17780" b="11430"/>
                      <wp:docPr id="19" name="任意多边形 19"/>
                      <wp:cNvGraphicFramePr/>
                      <a:graphic xmlns:a="http://schemas.openxmlformats.org/drawingml/2006/main">
                        <a:graphicData uri="http://schemas.microsoft.com/office/word/2010/wordprocessingShape">
                          <wps:wsp>
                            <wps:cNvSpPr/>
                            <wps:spPr>
                              <a:xfrm>
                                <a:off x="0" y="0"/>
                                <a:ext cx="2420620" cy="45720"/>
                              </a:xfrm>
                              <a:custGeom>
                                <a:avLst/>
                                <a:gdLst/>
                                <a:ahLst/>
                                <a:cxnLst/>
                                <a:pathLst>
                                  <a:path w="3812" h="71">
                                    <a:moveTo>
                                      <a:pt x="0" y="71"/>
                                    </a:moveTo>
                                    <a:lnTo>
                                      <a:pt x="3811" y="71"/>
                                    </a:lnTo>
                                    <a:lnTo>
                                      <a:pt x="3811" y="0"/>
                                    </a:lnTo>
                                    <a:lnTo>
                                      <a:pt x="0" y="0"/>
                                    </a:lnTo>
                                    <a:lnTo>
                                      <a:pt x="0" y="71"/>
                                    </a:lnTo>
                                    <a:close/>
                                  </a:path>
                                </a:pathLst>
                              </a:custGeom>
                              <a:solidFill>
                                <a:srgbClr val="FFFFFF"/>
                              </a:solidFill>
                              <a:ln>
                                <a:noFill/>
                              </a:ln>
                            </wps:spPr>
                            <wps:bodyPr upright="1"/>
                          </wps:wsp>
                        </a:graphicData>
                      </a:graphic>
                    </wp:inline>
                  </w:drawing>
                </mc:Choice>
                <mc:Fallback>
                  <w:pict>
                    <v:shape id="_x0000_s1026" o:spid="_x0000_s1026" o:spt="100" style="height:3.6pt;width:190.6pt;" fillcolor="#FFFFFF" filled="t" stroked="f" coordsize="3812,71" o:gfxdata="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t86Pz0gAAAAMBAAAPAAAAAAAA&#10;AAEAIAAAACIAAABkcnMvZG93bnJldi54bWxQSwECFAAUAAAACACHTuJAo33nExgCAAB/BAAADgAA&#10;AAAAAAABACAAAAAhAQAAZHJzL2Uyb0RvYy54bWxQSwUGAAAAAAYABgBZAQAAqwUAAAAA&#10;" path="m0,71l3811,71,3811,0,0,0,0,71xe">
                      <v:fill on="t" focussize="0,0"/>
                      <v:stroke on="f"/>
                      <v:imagedata o:title=""/>
                      <o:lock v:ext="edit" aspectratio="f"/>
                      <w10:wrap type="none"/>
                      <w10:anchorlock/>
                    </v:shape>
                  </w:pict>
                </mc:Fallback>
              </mc:AlternateContent>
            </w:r>
            <w:r>
              <w:rPr>
                <w:rFonts w:hint="eastAsia" w:ascii="宋体" w:hAnsi="宋体" w:eastAsia="宋体" w:cs="宋体"/>
                <w:color w:val="auto"/>
                <w:sz w:val="21"/>
                <w:szCs w:val="21"/>
                <w:highlight w:val="none"/>
                <w:vertAlign w:val="baseline"/>
              </w:rPr>
              <w:t>施工力量配置计划满足工期及现场安全要求，能充分考虑施工周期及其他客观因素的酌情给分，级差为0.5分。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p>
        </w:tc>
        <w:tc>
          <w:tcPr>
            <w:tcW w:w="650" w:type="pct"/>
            <w:vMerge w:val="continue"/>
            <w:vAlign w:val="center"/>
          </w:tcPr>
          <w:p>
            <w:pPr>
              <w:widowControl/>
              <w:spacing w:line="360" w:lineRule="auto"/>
              <w:jc w:val="center"/>
              <w:rPr>
                <w:rFonts w:hint="eastAsia" w:ascii="宋体" w:hAnsi="宋体" w:eastAsia="宋体" w:cs="宋体"/>
                <w:color w:val="auto"/>
                <w:spacing w:val="23"/>
                <w:sz w:val="21"/>
                <w:szCs w:val="21"/>
                <w:highlight w:val="none"/>
              </w:rPr>
            </w:pPr>
          </w:p>
        </w:tc>
        <w:tc>
          <w:tcPr>
            <w:tcW w:w="343"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rPr>
            </w:pPr>
          </w:p>
        </w:tc>
        <w:tc>
          <w:tcPr>
            <w:tcW w:w="1542" w:type="pct"/>
            <w:vAlign w:val="center"/>
          </w:tcPr>
          <w:p>
            <w:pPr>
              <w:widowControl/>
              <w:spacing w:line="360" w:lineRule="auto"/>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施工工序总体安排(4分)</w:t>
            </w:r>
          </w:p>
        </w:tc>
        <w:tc>
          <w:tcPr>
            <w:tcW w:w="2201" w:type="pct"/>
            <w:vAlign w:val="top"/>
          </w:tcPr>
          <w:p>
            <w:pPr>
              <w:widowControl/>
              <w:spacing w:line="360" w:lineRule="auto"/>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mc:AlternateContent>
                <mc:Choice Requires="wps">
                  <w:drawing>
                    <wp:inline distT="0" distB="0" distL="114300" distR="114300">
                      <wp:extent cx="2420620" cy="45720"/>
                      <wp:effectExtent l="0" t="0" r="17780" b="11430"/>
                      <wp:docPr id="21" name="任意多边形 21"/>
                      <wp:cNvGraphicFramePr/>
                      <a:graphic xmlns:a="http://schemas.openxmlformats.org/drawingml/2006/main">
                        <a:graphicData uri="http://schemas.microsoft.com/office/word/2010/wordprocessingShape">
                          <wps:wsp>
                            <wps:cNvSpPr/>
                            <wps:spPr>
                              <a:xfrm>
                                <a:off x="0" y="0"/>
                                <a:ext cx="2420620" cy="45720"/>
                              </a:xfrm>
                              <a:custGeom>
                                <a:avLst/>
                                <a:gdLst/>
                                <a:ahLst/>
                                <a:cxnLst/>
                                <a:pathLst>
                                  <a:path w="3812" h="71">
                                    <a:moveTo>
                                      <a:pt x="0" y="71"/>
                                    </a:moveTo>
                                    <a:lnTo>
                                      <a:pt x="3811" y="71"/>
                                    </a:lnTo>
                                    <a:lnTo>
                                      <a:pt x="3811" y="0"/>
                                    </a:lnTo>
                                    <a:lnTo>
                                      <a:pt x="0" y="0"/>
                                    </a:lnTo>
                                    <a:lnTo>
                                      <a:pt x="0" y="71"/>
                                    </a:lnTo>
                                    <a:close/>
                                  </a:path>
                                </a:pathLst>
                              </a:custGeom>
                              <a:solidFill>
                                <a:srgbClr val="FFFFFF"/>
                              </a:solidFill>
                              <a:ln>
                                <a:noFill/>
                              </a:ln>
                            </wps:spPr>
                            <wps:bodyPr upright="1"/>
                          </wps:wsp>
                        </a:graphicData>
                      </a:graphic>
                    </wp:inline>
                  </w:drawing>
                </mc:Choice>
                <mc:Fallback>
                  <w:pict>
                    <v:shape id="_x0000_s1026" o:spid="_x0000_s1026" o:spt="100" style="height:3.6pt;width:190.6pt;" fillcolor="#FFFFFF" filled="t" stroked="f" coordsize="3812,71" o:gfxdata="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t86Pz0gAAAAMBAAAPAAAAAAAA&#10;AAEAIAAAACIAAABkcnMvZG93bnJldi54bWxQSwECFAAUAAAACACHTuJAt3yDHBgCAAB/BAAADgAA&#10;AAAAAAABACAAAAAhAQAAZHJzL2Uyb0RvYy54bWxQSwUGAAAAAAYABgBZAQAAqwUAAAAA&#10;" path="m0,71l3811,71,3811,0,0,0,0,71xe">
                      <v:fill on="t" focussize="0,0"/>
                      <v:stroke on="f"/>
                      <v:imagedata o:title=""/>
                      <o:lock v:ext="edit" aspectratio="f"/>
                      <w10:wrap type="none"/>
                      <w10:anchorlock/>
                    </v:shape>
                  </w:pict>
                </mc:Fallback>
              </mc:AlternateContent>
            </w:r>
            <w:r>
              <w:rPr>
                <w:rFonts w:hint="eastAsia" w:ascii="宋体" w:hAnsi="宋体" w:eastAsia="宋体" w:cs="宋体"/>
                <w:color w:val="auto"/>
                <w:sz w:val="21"/>
                <w:szCs w:val="21"/>
                <w:highlight w:val="none"/>
                <w:vertAlign w:val="baseline"/>
              </w:rPr>
              <w:t>施工工序安排结合工期及工程实际、安全、科学合理的酌情给分，级差为0.5分。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p>
        </w:tc>
        <w:tc>
          <w:tcPr>
            <w:tcW w:w="650" w:type="pct"/>
            <w:vMerge w:val="continue"/>
            <w:vAlign w:val="center"/>
          </w:tcPr>
          <w:p>
            <w:pPr>
              <w:widowControl/>
              <w:spacing w:line="360" w:lineRule="auto"/>
              <w:jc w:val="center"/>
              <w:rPr>
                <w:rFonts w:hint="eastAsia" w:ascii="宋体" w:hAnsi="宋体" w:eastAsia="宋体" w:cs="宋体"/>
                <w:color w:val="auto"/>
                <w:spacing w:val="23"/>
                <w:sz w:val="21"/>
                <w:szCs w:val="21"/>
                <w:highlight w:val="none"/>
              </w:rPr>
            </w:pPr>
          </w:p>
        </w:tc>
        <w:tc>
          <w:tcPr>
            <w:tcW w:w="343"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rPr>
            </w:pPr>
          </w:p>
        </w:tc>
        <w:tc>
          <w:tcPr>
            <w:tcW w:w="1542" w:type="pct"/>
            <w:vAlign w:val="center"/>
          </w:tcPr>
          <w:p>
            <w:pPr>
              <w:widowControl/>
              <w:spacing w:line="360" w:lineRule="auto"/>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主要工序和特殊工序的施工方法(6分)</w:t>
            </w:r>
          </w:p>
        </w:tc>
        <w:tc>
          <w:tcPr>
            <w:tcW w:w="2201" w:type="pct"/>
            <w:vAlign w:val="top"/>
          </w:tcPr>
          <w:p>
            <w:pPr>
              <w:widowControl/>
              <w:spacing w:line="360" w:lineRule="auto"/>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mc:AlternateContent>
                <mc:Choice Requires="wps">
                  <w:drawing>
                    <wp:inline distT="0" distB="0" distL="114300" distR="114300">
                      <wp:extent cx="2420620" cy="59690"/>
                      <wp:effectExtent l="0" t="0" r="17780" b="16510"/>
                      <wp:docPr id="23" name="任意多边形 23"/>
                      <wp:cNvGraphicFramePr/>
                      <a:graphic xmlns:a="http://schemas.openxmlformats.org/drawingml/2006/main">
                        <a:graphicData uri="http://schemas.microsoft.com/office/word/2010/wordprocessingShape">
                          <wps:wsp>
                            <wps:cNvSpPr/>
                            <wps:spPr>
                              <a:xfrm>
                                <a:off x="0" y="0"/>
                                <a:ext cx="2420620" cy="59690"/>
                              </a:xfrm>
                              <a:custGeom>
                                <a:avLst/>
                                <a:gdLst/>
                                <a:ahLst/>
                                <a:cxnLst/>
                                <a:pathLst>
                                  <a:path w="3812" h="93">
                                    <a:moveTo>
                                      <a:pt x="0" y="93"/>
                                    </a:moveTo>
                                    <a:lnTo>
                                      <a:pt x="3811" y="93"/>
                                    </a:lnTo>
                                    <a:lnTo>
                                      <a:pt x="3811" y="0"/>
                                    </a:lnTo>
                                    <a:lnTo>
                                      <a:pt x="0" y="0"/>
                                    </a:lnTo>
                                    <a:lnTo>
                                      <a:pt x="0" y="93"/>
                                    </a:lnTo>
                                    <a:close/>
                                  </a:path>
                                </a:pathLst>
                              </a:custGeom>
                              <a:solidFill>
                                <a:srgbClr val="FFFFFF"/>
                              </a:solidFill>
                              <a:ln>
                                <a:noFill/>
                              </a:ln>
                            </wps:spPr>
                            <wps:bodyPr upright="1"/>
                          </wps:wsp>
                        </a:graphicData>
                      </a:graphic>
                    </wp:inline>
                  </w:drawing>
                </mc:Choice>
                <mc:Fallback>
                  <w:pict>
                    <v:shape id="_x0000_s1026" o:spid="_x0000_s1026" o:spt="100" style="height:4.7pt;width:190.6pt;" fillcolor="#FFFFFF" filled="t" stroked="f" coordsize="3812,93" o:gfxdata="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lm8bVAAAAAwEAAA8A&#10;AAAAAAAAAQAgAAAAIgAAAGRycy9kb3ducmV2LnhtbFBLAQIUABQAAAAIAIdO4kCtvq47GgIAAH8E&#10;AAAOAAAAAAAAAAEAIAAAACQBAABkcnMvZTJvRG9jLnhtbFBLBQYAAAAABgAGAFkBAACwBQAAAAA=&#10;" path="m0,93l3811,93,3811,0,0,0,0,93xe">
                      <v:fill on="t" focussize="0,0"/>
                      <v:stroke on="f"/>
                      <v:imagedata o:title=""/>
                      <o:lock v:ext="edit" aspectratio="f"/>
                      <w10:wrap type="none"/>
                      <w10:anchorlock/>
                    </v:shape>
                  </w:pict>
                </mc:Fallback>
              </mc:AlternateContent>
            </w:r>
            <w:r>
              <w:rPr>
                <w:rFonts w:hint="eastAsia" w:ascii="宋体" w:hAnsi="宋体" w:eastAsia="宋体" w:cs="宋体"/>
                <w:color w:val="auto"/>
                <w:sz w:val="21"/>
                <w:szCs w:val="21"/>
                <w:highlight w:val="none"/>
                <w:vertAlign w:val="baseline"/>
              </w:rPr>
              <w:t>主要工序及特殊工序施工方法科学、安全、合理、可行性高，作业指导书应用合理、措施满足要求的酌情给分，级差为0.5分。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p>
        </w:tc>
        <w:tc>
          <w:tcPr>
            <w:tcW w:w="650" w:type="pct"/>
            <w:vMerge w:val="continue"/>
            <w:vAlign w:val="center"/>
          </w:tcPr>
          <w:p>
            <w:pPr>
              <w:widowControl/>
              <w:spacing w:line="360" w:lineRule="auto"/>
              <w:jc w:val="center"/>
              <w:rPr>
                <w:rFonts w:hint="eastAsia" w:ascii="宋体" w:hAnsi="宋体" w:eastAsia="宋体" w:cs="宋体"/>
                <w:color w:val="auto"/>
                <w:spacing w:val="23"/>
                <w:sz w:val="21"/>
                <w:szCs w:val="21"/>
                <w:highlight w:val="none"/>
              </w:rPr>
            </w:pPr>
          </w:p>
        </w:tc>
        <w:tc>
          <w:tcPr>
            <w:tcW w:w="343"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rPr>
            </w:pPr>
          </w:p>
        </w:tc>
        <w:tc>
          <w:tcPr>
            <w:tcW w:w="1542" w:type="pct"/>
            <w:vAlign w:val="center"/>
          </w:tcPr>
          <w:p>
            <w:pPr>
              <w:widowControl/>
              <w:spacing w:line="360" w:lineRule="auto"/>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工程成本的控制措施(2分)</w:t>
            </w:r>
          </w:p>
        </w:tc>
        <w:tc>
          <w:tcPr>
            <w:tcW w:w="2201" w:type="pct"/>
            <w:vAlign w:val="top"/>
          </w:tcPr>
          <w:p>
            <w:pPr>
              <w:widowControl/>
              <w:spacing w:line="360" w:lineRule="auto"/>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成本控制措施得力，符合工程实际，有具体的措施的酌情给分，级差为0.5分。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p>
        </w:tc>
        <w:tc>
          <w:tcPr>
            <w:tcW w:w="650" w:type="pct"/>
            <w:vMerge w:val="continue"/>
            <w:vAlign w:val="center"/>
          </w:tcPr>
          <w:p>
            <w:pPr>
              <w:widowControl/>
              <w:spacing w:line="360" w:lineRule="auto"/>
              <w:jc w:val="center"/>
              <w:rPr>
                <w:rFonts w:hint="eastAsia" w:ascii="宋体" w:hAnsi="宋体" w:eastAsia="宋体" w:cs="宋体"/>
                <w:color w:val="auto"/>
                <w:spacing w:val="23"/>
                <w:sz w:val="21"/>
                <w:szCs w:val="21"/>
                <w:highlight w:val="none"/>
              </w:rPr>
            </w:pPr>
          </w:p>
        </w:tc>
        <w:tc>
          <w:tcPr>
            <w:tcW w:w="343"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rPr>
            </w:pPr>
          </w:p>
        </w:tc>
        <w:tc>
          <w:tcPr>
            <w:tcW w:w="1542" w:type="pct"/>
            <w:vAlign w:val="center"/>
          </w:tcPr>
          <w:p>
            <w:pPr>
              <w:widowControl/>
              <w:spacing w:line="360" w:lineRule="auto"/>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开展现场标准建设措施(4分)</w:t>
            </w:r>
          </w:p>
        </w:tc>
        <w:tc>
          <w:tcPr>
            <w:tcW w:w="2201" w:type="pct"/>
            <w:vAlign w:val="top"/>
          </w:tcPr>
          <w:p>
            <w:pPr>
              <w:widowControl/>
              <w:spacing w:line="360" w:lineRule="auto"/>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mc:AlternateContent>
                <mc:Choice Requires="wps">
                  <w:drawing>
                    <wp:inline distT="0" distB="0" distL="114300" distR="114300">
                      <wp:extent cx="2420620" cy="46355"/>
                      <wp:effectExtent l="0" t="0" r="17780" b="10795"/>
                      <wp:docPr id="25" name="任意多边形 25"/>
                      <wp:cNvGraphicFramePr/>
                      <a:graphic xmlns:a="http://schemas.openxmlformats.org/drawingml/2006/main">
                        <a:graphicData uri="http://schemas.microsoft.com/office/word/2010/wordprocessingShape">
                          <wps:wsp>
                            <wps:cNvSpPr/>
                            <wps:spPr>
                              <a:xfrm>
                                <a:off x="0" y="0"/>
                                <a:ext cx="2420620" cy="46355"/>
                              </a:xfrm>
                              <a:custGeom>
                                <a:avLst/>
                                <a:gdLst/>
                                <a:ahLst/>
                                <a:cxnLst/>
                                <a:pathLst>
                                  <a:path w="3812" h="73">
                                    <a:moveTo>
                                      <a:pt x="0" y="72"/>
                                    </a:moveTo>
                                    <a:lnTo>
                                      <a:pt x="3811" y="72"/>
                                    </a:lnTo>
                                    <a:lnTo>
                                      <a:pt x="3811" y="0"/>
                                    </a:lnTo>
                                    <a:lnTo>
                                      <a:pt x="0" y="0"/>
                                    </a:lnTo>
                                    <a:lnTo>
                                      <a:pt x="0" y="72"/>
                                    </a:lnTo>
                                    <a:close/>
                                  </a:path>
                                </a:pathLst>
                              </a:custGeom>
                              <a:solidFill>
                                <a:srgbClr val="FFFFFF"/>
                              </a:solidFill>
                              <a:ln>
                                <a:noFill/>
                              </a:ln>
                            </wps:spPr>
                            <wps:bodyPr upright="1"/>
                          </wps:wsp>
                        </a:graphicData>
                      </a:graphic>
                    </wp:inline>
                  </w:drawing>
                </mc:Choice>
                <mc:Fallback>
                  <w:pict>
                    <v:shape id="_x0000_s1026" o:spid="_x0000_s1026" o:spt="100" style="height:3.65pt;width:190.6pt;" fillcolor="#FFFFFF" filled="t" stroked="f" coordsize="3812,73" o:gfxdata="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Ehq0U1AAAAAMBAAAPAAAA&#10;AAAAAAEAIAAAACIAAABkcnMvZG93bnJldi54bWxQSwECFAAUAAAACACHTuJAPEx95xkCAAB/BAAA&#10;DgAAAAAAAAABACAAAAAjAQAAZHJzL2Uyb0RvYy54bWxQSwUGAAAAAAYABgBZAQAArgUAAAAA&#10;" path="m0,72l3811,72,3811,0,0,0,0,72xe">
                      <v:fill on="t" focussize="0,0"/>
                      <v:stroke on="f"/>
                      <v:imagedata o:title=""/>
                      <o:lock v:ext="edit" aspectratio="f"/>
                      <w10:wrap type="none"/>
                      <w10:anchorlock/>
                    </v:shape>
                  </w:pict>
                </mc:Fallback>
              </mc:AlternateContent>
            </w:r>
            <w:r>
              <w:rPr>
                <w:rFonts w:hint="eastAsia" w:ascii="宋体" w:hAnsi="宋体" w:eastAsia="宋体" w:cs="宋体"/>
                <w:color w:val="auto"/>
                <w:sz w:val="21"/>
                <w:szCs w:val="21"/>
                <w:highlight w:val="none"/>
                <w:vertAlign w:val="baseline"/>
              </w:rPr>
              <w:t>有标准建设、符合工程实际，满足工艺要求对应的措施的酌情给分，级差为0.5分。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restart"/>
            <w:vAlign w:val="center"/>
          </w:tcPr>
          <w:p>
            <w:pPr>
              <w:widowControl/>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5</w:t>
            </w:r>
          </w:p>
        </w:tc>
        <w:tc>
          <w:tcPr>
            <w:tcW w:w="650" w:type="pct"/>
            <w:vMerge w:val="restart"/>
            <w:vAlign w:val="center"/>
          </w:tcPr>
          <w:p>
            <w:pPr>
              <w:widowControl/>
              <w:spacing w:line="360" w:lineRule="auto"/>
              <w:jc w:val="center"/>
              <w:rPr>
                <w:rFonts w:hint="eastAsia" w:ascii="宋体" w:hAnsi="宋体" w:eastAsia="宋体" w:cs="宋体"/>
                <w:color w:val="auto"/>
                <w:spacing w:val="23"/>
                <w:sz w:val="21"/>
                <w:szCs w:val="21"/>
                <w:highlight w:val="none"/>
              </w:rPr>
            </w:pPr>
            <w:r>
              <w:rPr>
                <w:rFonts w:hint="eastAsia" w:ascii="宋体" w:hAnsi="宋体" w:eastAsia="宋体" w:cs="宋体"/>
                <w:color w:val="auto"/>
                <w:spacing w:val="23"/>
                <w:sz w:val="21"/>
                <w:szCs w:val="21"/>
                <w:highlight w:val="none"/>
              </w:rPr>
              <w:t>工期及施工进度计划安排</w:t>
            </w:r>
          </w:p>
        </w:tc>
        <w:tc>
          <w:tcPr>
            <w:tcW w:w="343" w:type="pct"/>
            <w:vMerge w:val="restart"/>
            <w:vAlign w:val="center"/>
          </w:tcPr>
          <w:p>
            <w:pPr>
              <w:widowControl/>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10</w:t>
            </w:r>
          </w:p>
        </w:tc>
        <w:tc>
          <w:tcPr>
            <w:tcW w:w="1542"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工期规划、工期目标及分解(网络计划)(6分)</w:t>
            </w:r>
          </w:p>
        </w:tc>
        <w:tc>
          <w:tcPr>
            <w:tcW w:w="2201" w:type="pct"/>
            <w:vAlign w:val="center"/>
          </w:tcPr>
          <w:p>
            <w:pPr>
              <w:widowControl/>
              <w:numPr>
                <w:ilvl w:val="0"/>
                <w:numId w:val="21"/>
              </w:numPr>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工期规划、工期目标(4分)：满足工期、安排合理的酌情给分，级差为0.5分。</w:t>
            </w:r>
          </w:p>
          <w:p>
            <w:pPr>
              <w:widowControl/>
              <w:numPr>
                <w:ilvl w:val="0"/>
                <w:numId w:val="0"/>
              </w:numPr>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(2)工期分解(网络计划)(2分)：有横道图得2分，有网络图得1分；没有不得分。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p>
        </w:tc>
        <w:tc>
          <w:tcPr>
            <w:tcW w:w="650" w:type="pct"/>
            <w:vMerge w:val="continue"/>
            <w:vAlign w:val="center"/>
          </w:tcPr>
          <w:p>
            <w:pPr>
              <w:widowControl/>
              <w:spacing w:line="360" w:lineRule="auto"/>
              <w:jc w:val="center"/>
              <w:rPr>
                <w:rFonts w:hint="eastAsia" w:ascii="宋体" w:hAnsi="宋体" w:eastAsia="宋体" w:cs="宋体"/>
                <w:color w:val="auto"/>
                <w:spacing w:val="23"/>
                <w:sz w:val="21"/>
                <w:szCs w:val="21"/>
                <w:highlight w:val="none"/>
              </w:rPr>
            </w:pPr>
          </w:p>
        </w:tc>
        <w:tc>
          <w:tcPr>
            <w:tcW w:w="343"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rPr>
            </w:pPr>
          </w:p>
        </w:tc>
        <w:tc>
          <w:tcPr>
            <w:tcW w:w="1542"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主要施工设备及材料供应计划(2分)</w:t>
            </w:r>
          </w:p>
        </w:tc>
        <w:tc>
          <w:tcPr>
            <w:tcW w:w="2201"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结合所制定工期，合理安排施工设备及材料并充分考虑各种外部原因供应的酌情给分，级差为0.5分。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p>
        </w:tc>
        <w:tc>
          <w:tcPr>
            <w:tcW w:w="650" w:type="pct"/>
            <w:vMerge w:val="continue"/>
            <w:vAlign w:val="center"/>
          </w:tcPr>
          <w:p>
            <w:pPr>
              <w:widowControl/>
              <w:spacing w:line="360" w:lineRule="auto"/>
              <w:jc w:val="center"/>
              <w:rPr>
                <w:rFonts w:hint="eastAsia" w:ascii="宋体" w:hAnsi="宋体" w:eastAsia="宋体" w:cs="宋体"/>
                <w:color w:val="auto"/>
                <w:spacing w:val="23"/>
                <w:sz w:val="21"/>
                <w:szCs w:val="21"/>
                <w:highlight w:val="none"/>
              </w:rPr>
            </w:pPr>
          </w:p>
        </w:tc>
        <w:tc>
          <w:tcPr>
            <w:tcW w:w="343"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rPr>
            </w:pPr>
          </w:p>
        </w:tc>
        <w:tc>
          <w:tcPr>
            <w:tcW w:w="1542"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进度计划风险分析及控制措施(2分)</w:t>
            </w:r>
          </w:p>
        </w:tc>
        <w:tc>
          <w:tcPr>
            <w:tcW w:w="2201"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针对工程特点及施工周期，考虑内部原因及天气、假日等外部风险进行分析，并制定切实可行的措施的酌情给分，级差为0.5分。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restart"/>
            <w:vAlign w:val="center"/>
          </w:tcPr>
          <w:p>
            <w:pPr>
              <w:widowControl/>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6</w:t>
            </w:r>
          </w:p>
        </w:tc>
        <w:tc>
          <w:tcPr>
            <w:tcW w:w="650" w:type="pct"/>
            <w:vMerge w:val="restart"/>
            <w:vAlign w:val="center"/>
          </w:tcPr>
          <w:p>
            <w:pPr>
              <w:widowControl/>
              <w:spacing w:line="360" w:lineRule="auto"/>
              <w:jc w:val="left"/>
              <w:rPr>
                <w:rFonts w:hint="eastAsia" w:ascii="宋体" w:hAnsi="宋体" w:eastAsia="宋体" w:cs="宋体"/>
                <w:color w:val="auto"/>
                <w:spacing w:val="23"/>
                <w:sz w:val="21"/>
                <w:szCs w:val="21"/>
                <w:highlight w:val="none"/>
              </w:rPr>
            </w:pPr>
            <w:r>
              <w:rPr>
                <w:rFonts w:hint="eastAsia" w:ascii="宋体" w:hAnsi="宋体" w:eastAsia="宋体" w:cs="宋体"/>
                <w:color w:val="auto"/>
                <w:spacing w:val="23"/>
                <w:sz w:val="21"/>
                <w:szCs w:val="21"/>
                <w:highlight w:val="none"/>
              </w:rPr>
              <w:t>质量目标、质量保证体系及技术组织措施</w:t>
            </w:r>
          </w:p>
        </w:tc>
        <w:tc>
          <w:tcPr>
            <w:tcW w:w="343" w:type="pct"/>
            <w:vMerge w:val="restart"/>
            <w:vAlign w:val="center"/>
          </w:tcPr>
          <w:p>
            <w:pPr>
              <w:widowControl/>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14</w:t>
            </w:r>
          </w:p>
        </w:tc>
        <w:tc>
          <w:tcPr>
            <w:tcW w:w="1542"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质量目标、管理组织机构及职责(1分)</w:t>
            </w:r>
          </w:p>
        </w:tc>
        <w:tc>
          <w:tcPr>
            <w:tcW w:w="2201"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质量目标符合工程实际，管理组织机构及职责健全的酌情给分，级差为0.5分。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p>
        </w:tc>
        <w:tc>
          <w:tcPr>
            <w:tcW w:w="650" w:type="pct"/>
            <w:vMerge w:val="continue"/>
            <w:vAlign w:val="center"/>
          </w:tcPr>
          <w:p>
            <w:pPr>
              <w:widowControl/>
              <w:spacing w:line="360" w:lineRule="auto"/>
              <w:jc w:val="center"/>
              <w:rPr>
                <w:rFonts w:hint="eastAsia" w:ascii="宋体" w:hAnsi="宋体" w:eastAsia="宋体" w:cs="宋体"/>
                <w:color w:val="auto"/>
                <w:spacing w:val="23"/>
                <w:sz w:val="21"/>
                <w:szCs w:val="21"/>
                <w:highlight w:val="none"/>
              </w:rPr>
            </w:pPr>
          </w:p>
        </w:tc>
        <w:tc>
          <w:tcPr>
            <w:tcW w:w="343"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rPr>
            </w:pPr>
          </w:p>
        </w:tc>
        <w:tc>
          <w:tcPr>
            <w:tcW w:w="1542"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质量管理主要职责、质量管理制度(1分)</w:t>
            </w:r>
          </w:p>
        </w:tc>
        <w:tc>
          <w:tcPr>
            <w:tcW w:w="2201"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主要职责无遗漏，职责界面清晰，质量管理制度完备的酌情给分，级差为0.5分。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p>
        </w:tc>
        <w:tc>
          <w:tcPr>
            <w:tcW w:w="650" w:type="pct"/>
            <w:vMerge w:val="continue"/>
            <w:vAlign w:val="center"/>
          </w:tcPr>
          <w:p>
            <w:pPr>
              <w:widowControl/>
              <w:spacing w:line="360" w:lineRule="auto"/>
              <w:jc w:val="center"/>
              <w:rPr>
                <w:rFonts w:hint="eastAsia" w:ascii="宋体" w:hAnsi="宋体" w:eastAsia="宋体" w:cs="宋体"/>
                <w:color w:val="auto"/>
                <w:spacing w:val="23"/>
                <w:sz w:val="21"/>
                <w:szCs w:val="21"/>
                <w:highlight w:val="none"/>
              </w:rPr>
            </w:pPr>
          </w:p>
        </w:tc>
        <w:tc>
          <w:tcPr>
            <w:tcW w:w="343"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rPr>
            </w:pPr>
          </w:p>
        </w:tc>
        <w:tc>
          <w:tcPr>
            <w:tcW w:w="1542"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质量体系及检验的标准(1分)</w:t>
            </w:r>
          </w:p>
        </w:tc>
        <w:tc>
          <w:tcPr>
            <w:tcW w:w="2201"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质量管理覆盖全面，检验标准符合相关规定的酌情给分，级差为0.5分。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p>
        </w:tc>
        <w:tc>
          <w:tcPr>
            <w:tcW w:w="650" w:type="pct"/>
            <w:vMerge w:val="continue"/>
            <w:vAlign w:val="center"/>
          </w:tcPr>
          <w:p>
            <w:pPr>
              <w:widowControl/>
              <w:spacing w:line="360" w:lineRule="auto"/>
              <w:jc w:val="center"/>
              <w:rPr>
                <w:rFonts w:hint="eastAsia" w:ascii="宋体" w:hAnsi="宋体" w:eastAsia="宋体" w:cs="宋体"/>
                <w:color w:val="auto"/>
                <w:spacing w:val="23"/>
                <w:sz w:val="21"/>
                <w:szCs w:val="21"/>
                <w:highlight w:val="none"/>
              </w:rPr>
            </w:pPr>
          </w:p>
        </w:tc>
        <w:tc>
          <w:tcPr>
            <w:tcW w:w="343"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rPr>
            </w:pPr>
          </w:p>
        </w:tc>
        <w:tc>
          <w:tcPr>
            <w:tcW w:w="1542"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质量管理、技术及工艺控制措施(2.5分)</w:t>
            </w:r>
          </w:p>
        </w:tc>
        <w:tc>
          <w:tcPr>
            <w:tcW w:w="2201"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质量保证管理、技术及工艺控制措施可行、有效、有针对性，满足质量管理要求的酌情给分，级差为0.5分。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p>
        </w:tc>
        <w:tc>
          <w:tcPr>
            <w:tcW w:w="650" w:type="pct"/>
            <w:vMerge w:val="continue"/>
            <w:vAlign w:val="center"/>
          </w:tcPr>
          <w:p>
            <w:pPr>
              <w:widowControl/>
              <w:spacing w:line="360" w:lineRule="auto"/>
              <w:jc w:val="center"/>
              <w:rPr>
                <w:rFonts w:hint="eastAsia" w:ascii="宋体" w:hAnsi="宋体" w:eastAsia="宋体" w:cs="宋体"/>
                <w:color w:val="auto"/>
                <w:spacing w:val="23"/>
                <w:sz w:val="21"/>
                <w:szCs w:val="21"/>
                <w:highlight w:val="none"/>
              </w:rPr>
            </w:pPr>
          </w:p>
        </w:tc>
        <w:tc>
          <w:tcPr>
            <w:tcW w:w="343"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rPr>
            </w:pPr>
          </w:p>
        </w:tc>
        <w:tc>
          <w:tcPr>
            <w:tcW w:w="1542"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重要施工方案及特殊施工工序的质量过程控制(2.5分)</w:t>
            </w:r>
          </w:p>
        </w:tc>
        <w:tc>
          <w:tcPr>
            <w:tcW w:w="2201"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针对工程特殊部位、薄弱环节、重大方案有针对性的控制措施的酌情给分，级差为0.5分。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p>
        </w:tc>
        <w:tc>
          <w:tcPr>
            <w:tcW w:w="650" w:type="pct"/>
            <w:vMerge w:val="continue"/>
            <w:vAlign w:val="center"/>
          </w:tcPr>
          <w:p>
            <w:pPr>
              <w:widowControl/>
              <w:spacing w:line="360" w:lineRule="auto"/>
              <w:jc w:val="center"/>
              <w:rPr>
                <w:rFonts w:hint="eastAsia" w:ascii="宋体" w:hAnsi="宋体" w:eastAsia="宋体" w:cs="宋体"/>
                <w:color w:val="auto"/>
                <w:spacing w:val="23"/>
                <w:sz w:val="21"/>
                <w:szCs w:val="21"/>
                <w:highlight w:val="none"/>
              </w:rPr>
            </w:pPr>
          </w:p>
        </w:tc>
        <w:tc>
          <w:tcPr>
            <w:tcW w:w="343"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rPr>
            </w:pPr>
          </w:p>
        </w:tc>
        <w:tc>
          <w:tcPr>
            <w:tcW w:w="1542"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科技创新策划(6分)</w:t>
            </w:r>
          </w:p>
        </w:tc>
        <w:tc>
          <w:tcPr>
            <w:tcW w:w="2201"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科技创新策划方案完整、经济、安全、切实可行，措施得力。对可能产生的风险有充分的预见，违约承诺具体，经济赔偿合理，级差为0.5分。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restart"/>
            <w:vAlign w:val="center"/>
          </w:tcPr>
          <w:p>
            <w:pPr>
              <w:widowControl/>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7</w:t>
            </w:r>
          </w:p>
        </w:tc>
        <w:tc>
          <w:tcPr>
            <w:tcW w:w="650" w:type="pct"/>
            <w:vMerge w:val="restart"/>
            <w:vAlign w:val="center"/>
          </w:tcPr>
          <w:p>
            <w:pPr>
              <w:widowControl/>
              <w:spacing w:line="360" w:lineRule="auto"/>
              <w:jc w:val="left"/>
              <w:rPr>
                <w:rFonts w:hint="eastAsia" w:ascii="宋体" w:hAnsi="宋体" w:eastAsia="宋体" w:cs="宋体"/>
                <w:color w:val="auto"/>
                <w:spacing w:val="23"/>
                <w:sz w:val="21"/>
                <w:szCs w:val="21"/>
                <w:highlight w:val="none"/>
              </w:rPr>
            </w:pPr>
            <w:r>
              <w:rPr>
                <w:rFonts w:hint="eastAsia" w:ascii="宋体" w:hAnsi="宋体" w:eastAsia="宋体" w:cs="宋体"/>
                <w:color w:val="auto"/>
                <w:spacing w:val="23"/>
                <w:sz w:val="21"/>
                <w:szCs w:val="21"/>
                <w:highlight w:val="none"/>
              </w:rPr>
              <w:t>安全目标、安全保证体系及技术组织措施</w:t>
            </w:r>
          </w:p>
        </w:tc>
        <w:tc>
          <w:tcPr>
            <w:tcW w:w="343" w:type="pct"/>
            <w:vMerge w:val="restart"/>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8</w:t>
            </w:r>
          </w:p>
        </w:tc>
        <w:tc>
          <w:tcPr>
            <w:tcW w:w="1542" w:type="pct"/>
            <w:vAlign w:val="center"/>
          </w:tcPr>
          <w:p>
            <w:pPr>
              <w:widowControl/>
              <w:spacing w:line="360" w:lineRule="auto"/>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安全目标承诺、安全管理组织机构(1分)</w:t>
            </w:r>
          </w:p>
        </w:tc>
        <w:tc>
          <w:tcPr>
            <w:tcW w:w="2201" w:type="pct"/>
            <w:vAlign w:val="center"/>
          </w:tcPr>
          <w:p>
            <w:pPr>
              <w:widowControl/>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安全目标承诺符合规定，安全组织机构健全的酌情给分</w:t>
            </w:r>
            <w:r>
              <w:rPr>
                <w:rFonts w:hint="eastAsia" w:ascii="宋体" w:hAnsi="宋体" w:cs="宋体"/>
                <w:color w:val="auto"/>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p>
        </w:tc>
        <w:tc>
          <w:tcPr>
            <w:tcW w:w="650" w:type="pct"/>
            <w:vMerge w:val="continue"/>
            <w:vAlign w:val="center"/>
          </w:tcPr>
          <w:p>
            <w:pPr>
              <w:widowControl/>
              <w:spacing w:line="360" w:lineRule="auto"/>
              <w:jc w:val="center"/>
              <w:rPr>
                <w:rFonts w:hint="eastAsia" w:ascii="宋体" w:hAnsi="宋体" w:eastAsia="宋体" w:cs="宋体"/>
                <w:color w:val="auto"/>
                <w:spacing w:val="23"/>
                <w:sz w:val="21"/>
                <w:szCs w:val="21"/>
                <w:highlight w:val="none"/>
              </w:rPr>
            </w:pPr>
          </w:p>
        </w:tc>
        <w:tc>
          <w:tcPr>
            <w:tcW w:w="343"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rPr>
            </w:pPr>
          </w:p>
        </w:tc>
        <w:tc>
          <w:tcPr>
            <w:tcW w:w="1542" w:type="pct"/>
            <w:vAlign w:val="center"/>
          </w:tcPr>
          <w:p>
            <w:pPr>
              <w:widowControl/>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安全管理主要职责、安全管理制度(1分)</w:t>
            </w:r>
          </w:p>
        </w:tc>
        <w:tc>
          <w:tcPr>
            <w:tcW w:w="2201" w:type="pct"/>
            <w:vAlign w:val="center"/>
          </w:tcPr>
          <w:p>
            <w:pPr>
              <w:widowControl/>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mc:AlternateContent>
                <mc:Choice Requires="wps">
                  <w:drawing>
                    <wp:inline distT="0" distB="0" distL="114300" distR="114300">
                      <wp:extent cx="2420620" cy="45720"/>
                      <wp:effectExtent l="0" t="0" r="17780" b="11430"/>
                      <wp:docPr id="35" name="任意多边形 35"/>
                      <wp:cNvGraphicFramePr/>
                      <a:graphic xmlns:a="http://schemas.openxmlformats.org/drawingml/2006/main">
                        <a:graphicData uri="http://schemas.microsoft.com/office/word/2010/wordprocessingShape">
                          <wps:wsp>
                            <wps:cNvSpPr/>
                            <wps:spPr>
                              <a:xfrm>
                                <a:off x="0" y="0"/>
                                <a:ext cx="2420620" cy="45720"/>
                              </a:xfrm>
                              <a:custGeom>
                                <a:avLst/>
                                <a:gdLst/>
                                <a:ahLst/>
                                <a:cxnLst/>
                                <a:pathLst>
                                  <a:path w="3812" h="71">
                                    <a:moveTo>
                                      <a:pt x="0" y="71"/>
                                    </a:moveTo>
                                    <a:lnTo>
                                      <a:pt x="3811" y="71"/>
                                    </a:lnTo>
                                    <a:lnTo>
                                      <a:pt x="3811" y="0"/>
                                    </a:lnTo>
                                    <a:lnTo>
                                      <a:pt x="0" y="0"/>
                                    </a:lnTo>
                                    <a:lnTo>
                                      <a:pt x="0" y="71"/>
                                    </a:lnTo>
                                    <a:close/>
                                  </a:path>
                                </a:pathLst>
                              </a:custGeom>
                              <a:solidFill>
                                <a:srgbClr val="FFFFFF"/>
                              </a:solidFill>
                              <a:ln>
                                <a:noFill/>
                              </a:ln>
                            </wps:spPr>
                            <wps:bodyPr upright="1"/>
                          </wps:wsp>
                        </a:graphicData>
                      </a:graphic>
                    </wp:inline>
                  </w:drawing>
                </mc:Choice>
                <mc:Fallback>
                  <w:pict>
                    <v:shape id="_x0000_s1026" o:spid="_x0000_s1026" o:spt="100" style="height:3.6pt;width:190.6pt;" fillcolor="#FFFFFF" filled="t" stroked="f" coordsize="3812,71" o:gfxdata="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t86Pz0gAAAAMBAAAPAAAAAAAA&#10;AAEAIAAAACIAAABkcnMvZG93bnJldi54bWxQSwECFAAUAAAACACHTuJAFw7EQRgCAAB/BAAADgAA&#10;AAAAAAABACAAAAAhAQAAZHJzL2Uyb0RvYy54bWxQSwUGAAAAAAYABgBZAQAAqwUAAAAA&#10;" path="m0,71l3811,71,3811,0,0,0,0,71xe">
                      <v:fill on="t" focussize="0,0"/>
                      <v:stroke on="f"/>
                      <v:imagedata o:title=""/>
                      <o:lock v:ext="edit" aspectratio="f"/>
                      <w10:wrap type="none"/>
                      <w10:anchorlock/>
                    </v:shape>
                  </w:pict>
                </mc:Fallback>
              </mc:AlternateContent>
            </w:r>
            <w:r>
              <w:rPr>
                <w:rFonts w:hint="eastAsia" w:ascii="宋体" w:hAnsi="宋体" w:eastAsia="宋体" w:cs="宋体"/>
                <w:color w:val="auto"/>
                <w:sz w:val="21"/>
                <w:szCs w:val="21"/>
                <w:highlight w:val="none"/>
                <w:vertAlign w:val="baseline"/>
              </w:rPr>
              <w:t>主要职责无遗漏，职责界面清晰，安全管理制度完备的酌情给分，级差为0.5分。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p>
        </w:tc>
        <w:tc>
          <w:tcPr>
            <w:tcW w:w="650" w:type="pct"/>
            <w:vMerge w:val="continue"/>
            <w:vAlign w:val="center"/>
          </w:tcPr>
          <w:p>
            <w:pPr>
              <w:widowControl/>
              <w:spacing w:line="360" w:lineRule="auto"/>
              <w:jc w:val="center"/>
              <w:rPr>
                <w:rFonts w:hint="eastAsia" w:ascii="宋体" w:hAnsi="宋体" w:eastAsia="宋体" w:cs="宋体"/>
                <w:color w:val="auto"/>
                <w:spacing w:val="23"/>
                <w:sz w:val="21"/>
                <w:szCs w:val="21"/>
                <w:highlight w:val="none"/>
              </w:rPr>
            </w:pPr>
          </w:p>
        </w:tc>
        <w:tc>
          <w:tcPr>
            <w:tcW w:w="343"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rPr>
            </w:pPr>
          </w:p>
        </w:tc>
        <w:tc>
          <w:tcPr>
            <w:tcW w:w="1542" w:type="pct"/>
            <w:vAlign w:val="center"/>
          </w:tcPr>
          <w:p>
            <w:pPr>
              <w:widowControl/>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安全组织技术措施(2分)</w:t>
            </w:r>
          </w:p>
        </w:tc>
        <w:tc>
          <w:tcPr>
            <w:tcW w:w="2201" w:type="pct"/>
            <w:vAlign w:val="center"/>
          </w:tcPr>
          <w:p>
            <w:pPr>
              <w:widowControl/>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mc:AlternateContent>
                <mc:Choice Requires="wps">
                  <w:drawing>
                    <wp:inline distT="0" distB="0" distL="114300" distR="114300">
                      <wp:extent cx="2420620" cy="33655"/>
                      <wp:effectExtent l="0" t="0" r="17780" b="4445"/>
                      <wp:docPr id="37" name="任意多边形 37"/>
                      <wp:cNvGraphicFramePr/>
                      <a:graphic xmlns:a="http://schemas.openxmlformats.org/drawingml/2006/main">
                        <a:graphicData uri="http://schemas.microsoft.com/office/word/2010/wordprocessingShape">
                          <wps:wsp>
                            <wps:cNvSpPr/>
                            <wps:spPr>
                              <a:xfrm>
                                <a:off x="0" y="0"/>
                                <a:ext cx="2420620" cy="33655"/>
                              </a:xfrm>
                              <a:custGeom>
                                <a:avLst/>
                                <a:gdLst/>
                                <a:ahLst/>
                                <a:cxnLst/>
                                <a:pathLst>
                                  <a:path w="3812" h="53">
                                    <a:moveTo>
                                      <a:pt x="0" y="52"/>
                                    </a:moveTo>
                                    <a:lnTo>
                                      <a:pt x="3811" y="52"/>
                                    </a:lnTo>
                                    <a:lnTo>
                                      <a:pt x="3811" y="0"/>
                                    </a:lnTo>
                                    <a:lnTo>
                                      <a:pt x="0" y="0"/>
                                    </a:lnTo>
                                    <a:lnTo>
                                      <a:pt x="0" y="52"/>
                                    </a:lnTo>
                                    <a:close/>
                                  </a:path>
                                </a:pathLst>
                              </a:custGeom>
                              <a:solidFill>
                                <a:srgbClr val="FFFFFF"/>
                              </a:solidFill>
                              <a:ln>
                                <a:noFill/>
                              </a:ln>
                            </wps:spPr>
                            <wps:bodyPr upright="1"/>
                          </wps:wsp>
                        </a:graphicData>
                      </a:graphic>
                    </wp:inline>
                  </w:drawing>
                </mc:Choice>
                <mc:Fallback>
                  <w:pict>
                    <v:shape id="_x0000_s1026" o:spid="_x0000_s1026" o:spt="100" style="height:2.65pt;width:190.6pt;" fillcolor="#FFFFFF" filled="t" stroked="f" coordsize="3812,53" o:gfxdata="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VfTVbUAAAAAwEAAA8AAAAA&#10;AAAAAQAgAAAAIgAAAGRycy9kb3ducmV2LnhtbFBLAQIUABQAAAAIAIdO4kA7bSbWGAIAAH8EAAAO&#10;AAAAAAAAAAEAIAAAACMBAABkcnMvZTJvRG9jLnhtbFBLBQYAAAAABgAGAFkBAACtBQAAAAA=&#10;" path="m0,52l3811,52,3811,0,0,0,0,52xe">
                      <v:fill on="t" focussize="0,0"/>
                      <v:stroke on="f"/>
                      <v:imagedata o:title=""/>
                      <o:lock v:ext="edit" aspectratio="f"/>
                      <w10:wrap type="none"/>
                      <w10:anchorlock/>
                    </v:shape>
                  </w:pict>
                </mc:Fallback>
              </mc:AlternateContent>
            </w:r>
            <w:r>
              <w:rPr>
                <w:rFonts w:hint="eastAsia" w:ascii="宋体" w:hAnsi="宋体" w:eastAsia="宋体" w:cs="宋体"/>
                <w:color w:val="auto"/>
                <w:sz w:val="21"/>
                <w:szCs w:val="21"/>
                <w:highlight w:val="none"/>
                <w:vertAlign w:val="baseline"/>
              </w:rPr>
              <w:t>安全组织技术措施全面，实施方案可行的酌情给分，级差为0.5分。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p>
        </w:tc>
        <w:tc>
          <w:tcPr>
            <w:tcW w:w="650" w:type="pct"/>
            <w:vMerge w:val="continue"/>
            <w:vAlign w:val="center"/>
          </w:tcPr>
          <w:p>
            <w:pPr>
              <w:widowControl/>
              <w:spacing w:line="360" w:lineRule="auto"/>
              <w:jc w:val="center"/>
              <w:rPr>
                <w:rFonts w:hint="eastAsia" w:ascii="宋体" w:hAnsi="宋体" w:eastAsia="宋体" w:cs="宋体"/>
                <w:color w:val="auto"/>
                <w:spacing w:val="23"/>
                <w:sz w:val="21"/>
                <w:szCs w:val="21"/>
                <w:highlight w:val="none"/>
              </w:rPr>
            </w:pPr>
          </w:p>
        </w:tc>
        <w:tc>
          <w:tcPr>
            <w:tcW w:w="343"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rPr>
            </w:pPr>
          </w:p>
        </w:tc>
        <w:tc>
          <w:tcPr>
            <w:tcW w:w="1542" w:type="pct"/>
            <w:vAlign w:val="center"/>
          </w:tcPr>
          <w:p>
            <w:pPr>
              <w:widowControl/>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危险点、薄弱环节分析预测及措施(1分)</w:t>
            </w:r>
          </w:p>
        </w:tc>
        <w:tc>
          <w:tcPr>
            <w:tcW w:w="2201" w:type="pct"/>
            <w:vAlign w:val="center"/>
          </w:tcPr>
          <w:p>
            <w:pPr>
              <w:widowControl/>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对工程危险点、薄弱环节分析到位，有针对性措施的酌情给分，级差为0.5分。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p>
        </w:tc>
        <w:tc>
          <w:tcPr>
            <w:tcW w:w="650" w:type="pct"/>
            <w:vMerge w:val="continue"/>
            <w:vAlign w:val="center"/>
          </w:tcPr>
          <w:p>
            <w:pPr>
              <w:widowControl/>
              <w:spacing w:line="360" w:lineRule="auto"/>
              <w:jc w:val="center"/>
              <w:rPr>
                <w:rFonts w:hint="eastAsia" w:ascii="宋体" w:hAnsi="宋体" w:eastAsia="宋体" w:cs="宋体"/>
                <w:color w:val="auto"/>
                <w:spacing w:val="23"/>
                <w:sz w:val="21"/>
                <w:szCs w:val="21"/>
                <w:highlight w:val="none"/>
              </w:rPr>
            </w:pPr>
          </w:p>
        </w:tc>
        <w:tc>
          <w:tcPr>
            <w:tcW w:w="343"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rPr>
            </w:pPr>
          </w:p>
        </w:tc>
        <w:tc>
          <w:tcPr>
            <w:tcW w:w="1542" w:type="pct"/>
            <w:vAlign w:val="center"/>
          </w:tcPr>
          <w:p>
            <w:pPr>
              <w:widowControl/>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重要施工方案及特殊施工工序的安 全过程控制(2分)</w:t>
            </w:r>
          </w:p>
        </w:tc>
        <w:tc>
          <w:tcPr>
            <w:tcW w:w="2201" w:type="pct"/>
            <w:vAlign w:val="center"/>
          </w:tcPr>
          <w:p>
            <w:pPr>
              <w:widowControl/>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mc:AlternateContent>
                <mc:Choice Requires="wps">
                  <w:drawing>
                    <wp:inline distT="0" distB="0" distL="114300" distR="114300">
                      <wp:extent cx="2420620" cy="46355"/>
                      <wp:effectExtent l="0" t="0" r="17780" b="10795"/>
                      <wp:docPr id="39" name="任意多边形 39"/>
                      <wp:cNvGraphicFramePr/>
                      <a:graphic xmlns:a="http://schemas.openxmlformats.org/drawingml/2006/main">
                        <a:graphicData uri="http://schemas.microsoft.com/office/word/2010/wordprocessingShape">
                          <wps:wsp>
                            <wps:cNvSpPr/>
                            <wps:spPr>
                              <a:xfrm>
                                <a:off x="0" y="0"/>
                                <a:ext cx="2420620" cy="46355"/>
                              </a:xfrm>
                              <a:custGeom>
                                <a:avLst/>
                                <a:gdLst/>
                                <a:ahLst/>
                                <a:cxnLst/>
                                <a:pathLst>
                                  <a:path w="3812" h="73">
                                    <a:moveTo>
                                      <a:pt x="0" y="72"/>
                                    </a:moveTo>
                                    <a:lnTo>
                                      <a:pt x="3811" y="72"/>
                                    </a:lnTo>
                                    <a:lnTo>
                                      <a:pt x="3811" y="0"/>
                                    </a:lnTo>
                                    <a:lnTo>
                                      <a:pt x="0" y="0"/>
                                    </a:lnTo>
                                    <a:lnTo>
                                      <a:pt x="0" y="72"/>
                                    </a:lnTo>
                                    <a:close/>
                                  </a:path>
                                </a:pathLst>
                              </a:custGeom>
                              <a:solidFill>
                                <a:srgbClr val="FFFFFF"/>
                              </a:solidFill>
                              <a:ln>
                                <a:noFill/>
                              </a:ln>
                            </wps:spPr>
                            <wps:bodyPr upright="1"/>
                          </wps:wsp>
                        </a:graphicData>
                      </a:graphic>
                    </wp:inline>
                  </w:drawing>
                </mc:Choice>
                <mc:Fallback>
                  <w:pict>
                    <v:shape id="_x0000_s1026" o:spid="_x0000_s1026" o:spt="100" style="height:3.65pt;width:190.6pt;" fillcolor="#FFFFFF" filled="t" stroked="f" coordsize="3812,73" o:gfxdata="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SGrRTUAAAAAwEAAA8AAAAA&#10;AAAAAQAgAAAAIgAAAGRycy9kb3ducmV2LnhtbFBLAQIUABQAAAAIAIdO4kA1FRCwGAIAAH8EAAAO&#10;AAAAAAAAAAEAIAAAACMBAABkcnMvZTJvRG9jLnhtbFBLBQYAAAAABgAGAFkBAACtBQAAAAA=&#10;" path="m0,72l3811,72,3811,0,0,0,0,72xe">
                      <v:fill on="t" focussize="0,0"/>
                      <v:stroke on="f"/>
                      <v:imagedata o:title=""/>
                      <o:lock v:ext="edit" aspectratio="f"/>
                      <w10:wrap type="none"/>
                      <w10:anchorlock/>
                    </v:shape>
                  </w:pict>
                </mc:Fallback>
              </mc:AlternateContent>
            </w:r>
            <w:r>
              <w:rPr>
                <w:rFonts w:hint="eastAsia" w:ascii="宋体" w:hAnsi="宋体" w:eastAsia="宋体" w:cs="宋体"/>
                <w:color w:val="auto"/>
                <w:sz w:val="21"/>
                <w:szCs w:val="21"/>
                <w:highlight w:val="none"/>
                <w:vertAlign w:val="baseline"/>
              </w:rPr>
              <w:t>针对重要施工方案及特殊施工工序编制专项安全过程控制措施的酌情给分，级差为0.5分。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p>
        </w:tc>
        <w:tc>
          <w:tcPr>
            <w:tcW w:w="650" w:type="pct"/>
            <w:vMerge w:val="continue"/>
            <w:vAlign w:val="center"/>
          </w:tcPr>
          <w:p>
            <w:pPr>
              <w:widowControl/>
              <w:spacing w:line="360" w:lineRule="auto"/>
              <w:jc w:val="center"/>
              <w:rPr>
                <w:rFonts w:hint="eastAsia" w:ascii="宋体" w:hAnsi="宋体" w:eastAsia="宋体" w:cs="宋体"/>
                <w:color w:val="auto"/>
                <w:spacing w:val="23"/>
                <w:sz w:val="21"/>
                <w:szCs w:val="21"/>
                <w:highlight w:val="none"/>
              </w:rPr>
            </w:pPr>
          </w:p>
        </w:tc>
        <w:tc>
          <w:tcPr>
            <w:tcW w:w="343"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rPr>
            </w:pPr>
          </w:p>
        </w:tc>
        <w:tc>
          <w:tcPr>
            <w:tcW w:w="1542" w:type="pct"/>
            <w:vAlign w:val="center"/>
          </w:tcPr>
          <w:p>
            <w:pPr>
              <w:widowControl/>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严格执行国家及行业相关要求等管理规定的指引或动作(1分)</w:t>
            </w:r>
          </w:p>
        </w:tc>
        <w:tc>
          <w:tcPr>
            <w:tcW w:w="2201" w:type="pct"/>
            <w:vAlign w:val="center"/>
          </w:tcPr>
          <w:p>
            <w:pPr>
              <w:widowControl/>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mc:AlternateContent>
                <mc:Choice Requires="wps">
                  <w:drawing>
                    <wp:inline distT="0" distB="0" distL="114300" distR="114300">
                      <wp:extent cx="2420620" cy="46355"/>
                      <wp:effectExtent l="0" t="0" r="17780" b="10795"/>
                      <wp:docPr id="41" name="任意多边形 41"/>
                      <wp:cNvGraphicFramePr/>
                      <a:graphic xmlns:a="http://schemas.openxmlformats.org/drawingml/2006/main">
                        <a:graphicData uri="http://schemas.microsoft.com/office/word/2010/wordprocessingShape">
                          <wps:wsp>
                            <wps:cNvSpPr/>
                            <wps:spPr>
                              <a:xfrm>
                                <a:off x="0" y="0"/>
                                <a:ext cx="2420620" cy="46355"/>
                              </a:xfrm>
                              <a:custGeom>
                                <a:avLst/>
                                <a:gdLst/>
                                <a:ahLst/>
                                <a:cxnLst/>
                                <a:pathLst>
                                  <a:path w="3812" h="73">
                                    <a:moveTo>
                                      <a:pt x="0" y="72"/>
                                    </a:moveTo>
                                    <a:lnTo>
                                      <a:pt x="3811" y="72"/>
                                    </a:lnTo>
                                    <a:lnTo>
                                      <a:pt x="3811" y="0"/>
                                    </a:lnTo>
                                    <a:lnTo>
                                      <a:pt x="0" y="0"/>
                                    </a:lnTo>
                                    <a:lnTo>
                                      <a:pt x="0" y="72"/>
                                    </a:lnTo>
                                    <a:close/>
                                  </a:path>
                                </a:pathLst>
                              </a:custGeom>
                              <a:solidFill>
                                <a:srgbClr val="FFFFFF"/>
                              </a:solidFill>
                              <a:ln>
                                <a:noFill/>
                              </a:ln>
                            </wps:spPr>
                            <wps:bodyPr upright="1"/>
                          </wps:wsp>
                        </a:graphicData>
                      </a:graphic>
                    </wp:inline>
                  </w:drawing>
                </mc:Choice>
                <mc:Fallback>
                  <w:pict>
                    <v:shape id="_x0000_s1026" o:spid="_x0000_s1026" o:spt="100" style="height:3.65pt;width:190.6pt;" fillcolor="#FFFFFF" filled="t" stroked="f" coordsize="3812,73" o:gfxdata="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SGrRTUAAAAAwEAAA8AAAAA&#10;AAAAAQAgAAAAIgAAAGRycy9kb3ducmV2LnhtbFBLAQIUABQAAAAIAIdO4kCyj0wFGAIAAH8EAAAO&#10;AAAAAAAAAAEAIAAAACMBAABkcnMvZTJvRG9jLnhtbFBLBQYAAAAABgAGAFkBAACtBQAAAAA=&#10;" path="m0,72l3811,72,3811,0,0,0,0,72xe">
                      <v:fill on="t" focussize="0,0"/>
                      <v:stroke on="f"/>
                      <v:imagedata o:title=""/>
                      <o:lock v:ext="edit" aspectratio="f"/>
                      <w10:wrap type="none"/>
                      <w10:anchorlock/>
                    </v:shape>
                  </w:pict>
                </mc:Fallback>
              </mc:AlternateContent>
            </w:r>
            <w:r>
              <w:rPr>
                <w:rFonts w:hint="eastAsia" w:ascii="宋体" w:hAnsi="宋体" w:eastAsia="宋体" w:cs="宋体"/>
                <w:color w:val="auto"/>
                <w:sz w:val="21"/>
                <w:szCs w:val="21"/>
                <w:highlight w:val="none"/>
                <w:vertAlign w:val="baseline"/>
              </w:rPr>
              <w:t>保证体系中应体现及满足符合国家及行业相关要求等管理规定的指引或动作的酌情给分，级差为0.5分。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restart"/>
            <w:vAlign w:val="center"/>
          </w:tcPr>
          <w:p>
            <w:pPr>
              <w:widowControl/>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8</w:t>
            </w:r>
          </w:p>
        </w:tc>
        <w:tc>
          <w:tcPr>
            <w:tcW w:w="650" w:type="pct"/>
            <w:vMerge w:val="restart"/>
            <w:vAlign w:val="center"/>
          </w:tcPr>
          <w:p>
            <w:pPr>
              <w:widowControl/>
              <w:spacing w:line="360" w:lineRule="auto"/>
              <w:jc w:val="left"/>
              <w:rPr>
                <w:rFonts w:hint="eastAsia" w:ascii="宋体" w:hAnsi="宋体" w:eastAsia="宋体" w:cs="宋体"/>
                <w:color w:val="auto"/>
                <w:spacing w:val="23"/>
                <w:sz w:val="21"/>
                <w:szCs w:val="21"/>
                <w:highlight w:val="none"/>
              </w:rPr>
            </w:pPr>
            <w:r>
              <w:rPr>
                <w:rFonts w:hint="eastAsia" w:ascii="宋体" w:hAnsi="宋体" w:eastAsia="宋体" w:cs="宋体"/>
                <w:color w:val="auto"/>
                <w:spacing w:val="23"/>
                <w:sz w:val="21"/>
                <w:szCs w:val="21"/>
                <w:highlight w:val="none"/>
              </w:rPr>
              <w:t>分包工程的管理</w:t>
            </w:r>
          </w:p>
        </w:tc>
        <w:tc>
          <w:tcPr>
            <w:tcW w:w="343" w:type="pct"/>
            <w:vMerge w:val="restart"/>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8</w:t>
            </w:r>
          </w:p>
        </w:tc>
        <w:tc>
          <w:tcPr>
            <w:tcW w:w="1542"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分包项目及特点(2分)</w:t>
            </w:r>
          </w:p>
        </w:tc>
        <w:tc>
          <w:tcPr>
            <w:tcW w:w="2201" w:type="pct"/>
            <w:vAlign w:val="center"/>
          </w:tcPr>
          <w:p>
            <w:pPr>
              <w:widowControl/>
              <w:spacing w:line="360" w:lineRule="auto"/>
              <w:jc w:val="left"/>
              <w:rPr>
                <w:rFonts w:hint="eastAsia"/>
                <w:color w:val="auto"/>
                <w:highlight w:val="none"/>
              </w:rPr>
            </w:pPr>
            <w:r>
              <w:rPr>
                <w:rFonts w:hint="eastAsia"/>
                <w:color w:val="auto"/>
                <w:highlight w:val="none"/>
              </w:rPr>
              <w:t>在招标文件允许的分包项目范围内,明确拟进行分包的工程内容并描述其特点及分包原因等的酌情给分，级差为0.5分。</w:t>
            </w:r>
          </w:p>
          <w:p>
            <w:pPr>
              <w:pStyle w:val="16"/>
              <w:rPr>
                <w:rFonts w:hint="eastAsia"/>
                <w:color w:val="auto"/>
                <w:highlight w:val="none"/>
              </w:rPr>
            </w:pPr>
            <w:r>
              <w:rPr>
                <w:rFonts w:hint="eastAsia"/>
                <w:color w:val="auto"/>
                <w:highlight w:val="none"/>
              </w:rPr>
              <w:t>如施工方案中无分包情况，应在方案中承诺中项目实施进程中如实际有分包情况，同意建设单位处罚的承诺，可按满分计，否则不得分。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p>
        </w:tc>
        <w:tc>
          <w:tcPr>
            <w:tcW w:w="650" w:type="pct"/>
            <w:vMerge w:val="continue"/>
            <w:vAlign w:val="center"/>
          </w:tcPr>
          <w:p>
            <w:pPr>
              <w:widowControl/>
              <w:spacing w:line="360" w:lineRule="auto"/>
              <w:jc w:val="center"/>
              <w:rPr>
                <w:rFonts w:hint="eastAsia" w:ascii="宋体" w:hAnsi="宋体" w:eastAsia="宋体" w:cs="宋体"/>
                <w:color w:val="auto"/>
                <w:spacing w:val="23"/>
                <w:sz w:val="21"/>
                <w:szCs w:val="21"/>
                <w:highlight w:val="none"/>
              </w:rPr>
            </w:pPr>
          </w:p>
        </w:tc>
        <w:tc>
          <w:tcPr>
            <w:tcW w:w="343"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rPr>
            </w:pPr>
          </w:p>
        </w:tc>
        <w:tc>
          <w:tcPr>
            <w:tcW w:w="1542"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工程分包管理(2分)</w:t>
            </w:r>
          </w:p>
        </w:tc>
        <w:tc>
          <w:tcPr>
            <w:tcW w:w="2201"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针对分包的项目，对分包内容的安全、质量、进度等管控措施管理制度完善的酌情给分，级差为0.5分。如无分包情况，应在方案中详细描述不分包能满足项目实施进度需要的方案及保证措施，否则得0分。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p>
        </w:tc>
        <w:tc>
          <w:tcPr>
            <w:tcW w:w="650" w:type="pct"/>
            <w:vMerge w:val="continue"/>
            <w:vAlign w:val="center"/>
          </w:tcPr>
          <w:p>
            <w:pPr>
              <w:widowControl/>
              <w:spacing w:line="360" w:lineRule="auto"/>
              <w:jc w:val="center"/>
              <w:rPr>
                <w:rFonts w:hint="eastAsia" w:ascii="宋体" w:hAnsi="宋体" w:eastAsia="宋体" w:cs="宋体"/>
                <w:color w:val="auto"/>
                <w:spacing w:val="23"/>
                <w:sz w:val="21"/>
                <w:szCs w:val="21"/>
                <w:highlight w:val="none"/>
              </w:rPr>
            </w:pPr>
          </w:p>
        </w:tc>
        <w:tc>
          <w:tcPr>
            <w:tcW w:w="343"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rPr>
            </w:pPr>
          </w:p>
        </w:tc>
        <w:tc>
          <w:tcPr>
            <w:tcW w:w="1542"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农民工工资管理(4分)</w:t>
            </w:r>
          </w:p>
        </w:tc>
        <w:tc>
          <w:tcPr>
            <w:tcW w:w="2201"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应体现保障农民工工资支付及实名制认证的管理情况，根据农民工工资支付保障等措施酌情给分，级差0.5分。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restart"/>
            <w:vAlign w:val="center"/>
          </w:tcPr>
          <w:p>
            <w:pPr>
              <w:widowControl/>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9</w:t>
            </w:r>
          </w:p>
        </w:tc>
        <w:tc>
          <w:tcPr>
            <w:tcW w:w="650" w:type="pct"/>
            <w:vMerge w:val="restart"/>
            <w:vAlign w:val="center"/>
          </w:tcPr>
          <w:p>
            <w:pPr>
              <w:widowControl/>
              <w:spacing w:line="360" w:lineRule="auto"/>
              <w:jc w:val="left"/>
              <w:rPr>
                <w:rFonts w:hint="eastAsia" w:ascii="宋体" w:hAnsi="宋体" w:eastAsia="宋体" w:cs="宋体"/>
                <w:color w:val="auto"/>
                <w:spacing w:val="23"/>
                <w:sz w:val="21"/>
                <w:szCs w:val="21"/>
                <w:highlight w:val="none"/>
              </w:rPr>
            </w:pPr>
            <w:r>
              <w:rPr>
                <w:rFonts w:hint="eastAsia" w:ascii="宋体" w:hAnsi="宋体" w:eastAsia="宋体" w:cs="宋体"/>
                <w:color w:val="auto"/>
                <w:spacing w:val="23"/>
                <w:sz w:val="21"/>
                <w:szCs w:val="21"/>
                <w:highlight w:val="none"/>
              </w:rPr>
              <w:t>环境保护、水土保持及文明施工</w:t>
            </w:r>
          </w:p>
        </w:tc>
        <w:tc>
          <w:tcPr>
            <w:tcW w:w="343" w:type="pct"/>
            <w:vMerge w:val="restart"/>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8</w:t>
            </w:r>
          </w:p>
        </w:tc>
        <w:tc>
          <w:tcPr>
            <w:tcW w:w="1542"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文明施工和环境保护目标及组织机构(1.5分)</w:t>
            </w:r>
          </w:p>
        </w:tc>
        <w:tc>
          <w:tcPr>
            <w:tcW w:w="2201"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目标明确，符合国家及行业相关要求，安全组织机构健全的酌情给分，级差为0.5分。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p>
        </w:tc>
        <w:tc>
          <w:tcPr>
            <w:tcW w:w="650" w:type="pct"/>
            <w:vMerge w:val="continue"/>
            <w:vAlign w:val="center"/>
          </w:tcPr>
          <w:p>
            <w:pPr>
              <w:widowControl/>
              <w:spacing w:line="360" w:lineRule="auto"/>
              <w:jc w:val="center"/>
              <w:rPr>
                <w:rFonts w:hint="eastAsia" w:ascii="宋体" w:hAnsi="宋体" w:eastAsia="宋体" w:cs="宋体"/>
                <w:color w:val="auto"/>
                <w:spacing w:val="23"/>
                <w:sz w:val="21"/>
                <w:szCs w:val="21"/>
                <w:highlight w:val="none"/>
              </w:rPr>
            </w:pPr>
          </w:p>
        </w:tc>
        <w:tc>
          <w:tcPr>
            <w:tcW w:w="343"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rPr>
            </w:pPr>
          </w:p>
        </w:tc>
        <w:tc>
          <w:tcPr>
            <w:tcW w:w="1542"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环境因素分析及控制措施(1.5分)</w:t>
            </w:r>
          </w:p>
        </w:tc>
        <w:tc>
          <w:tcPr>
            <w:tcW w:w="2201"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针对工程特点开展环境因素分析，制定有效控制措施的酌情给分，级差为0.5分。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p>
        </w:tc>
        <w:tc>
          <w:tcPr>
            <w:tcW w:w="650" w:type="pct"/>
            <w:vMerge w:val="continue"/>
            <w:vAlign w:val="center"/>
          </w:tcPr>
          <w:p>
            <w:pPr>
              <w:widowControl/>
              <w:spacing w:line="360" w:lineRule="auto"/>
              <w:jc w:val="center"/>
              <w:rPr>
                <w:rFonts w:hint="eastAsia" w:ascii="宋体" w:hAnsi="宋体" w:eastAsia="宋体" w:cs="宋体"/>
                <w:color w:val="auto"/>
                <w:spacing w:val="23"/>
                <w:sz w:val="21"/>
                <w:szCs w:val="21"/>
                <w:highlight w:val="none"/>
              </w:rPr>
            </w:pPr>
          </w:p>
        </w:tc>
        <w:tc>
          <w:tcPr>
            <w:tcW w:w="343"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rPr>
            </w:pPr>
          </w:p>
        </w:tc>
        <w:tc>
          <w:tcPr>
            <w:tcW w:w="1542"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加强施工管理、严格保护环境(2分)</w:t>
            </w:r>
          </w:p>
        </w:tc>
        <w:tc>
          <w:tcPr>
            <w:tcW w:w="2201"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针对工程特点进行分析并制定相应管理措施的酌情给分，级差为0.5分。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p>
        </w:tc>
        <w:tc>
          <w:tcPr>
            <w:tcW w:w="650" w:type="pct"/>
            <w:vMerge w:val="continue"/>
            <w:vAlign w:val="center"/>
          </w:tcPr>
          <w:p>
            <w:pPr>
              <w:widowControl/>
              <w:spacing w:line="360" w:lineRule="auto"/>
              <w:jc w:val="center"/>
              <w:rPr>
                <w:rFonts w:hint="eastAsia" w:ascii="宋体" w:hAnsi="宋体" w:eastAsia="宋体" w:cs="宋体"/>
                <w:color w:val="auto"/>
                <w:spacing w:val="23"/>
                <w:sz w:val="21"/>
                <w:szCs w:val="21"/>
                <w:highlight w:val="none"/>
              </w:rPr>
            </w:pPr>
          </w:p>
        </w:tc>
        <w:tc>
          <w:tcPr>
            <w:tcW w:w="343"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rPr>
            </w:pPr>
          </w:p>
        </w:tc>
        <w:tc>
          <w:tcPr>
            <w:tcW w:w="1542"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安全文明施工实施方案、考核办法、管理方法(3分)</w:t>
            </w:r>
          </w:p>
        </w:tc>
        <w:tc>
          <w:tcPr>
            <w:tcW w:w="2201"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有安全文明施工实施方案(包含但不限于执行国家有关规定计列和使用安全文明施工费用的措施，保证工程安全施工、文明施工、环境保护及确保“无视频不作业”视频监控终端购置或租赁等安全文明施工费使用计划，考核办法、管理方法，方案可行、方法满足要求的酌情给分，级差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restart"/>
            <w:vAlign w:val="center"/>
          </w:tcPr>
          <w:p>
            <w:pPr>
              <w:widowControl/>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10</w:t>
            </w:r>
          </w:p>
        </w:tc>
        <w:tc>
          <w:tcPr>
            <w:tcW w:w="650" w:type="pct"/>
            <w:vMerge w:val="restart"/>
            <w:vAlign w:val="center"/>
          </w:tcPr>
          <w:p>
            <w:pPr>
              <w:widowControl/>
              <w:spacing w:line="360" w:lineRule="auto"/>
              <w:jc w:val="left"/>
              <w:rPr>
                <w:rFonts w:hint="eastAsia" w:ascii="宋体" w:hAnsi="宋体" w:eastAsia="宋体" w:cs="宋体"/>
                <w:color w:val="auto"/>
                <w:spacing w:val="23"/>
                <w:sz w:val="21"/>
                <w:szCs w:val="21"/>
                <w:highlight w:val="none"/>
              </w:rPr>
            </w:pPr>
            <w:r>
              <w:rPr>
                <w:rFonts w:hint="eastAsia" w:ascii="宋体" w:hAnsi="宋体" w:eastAsia="宋体" w:cs="宋体"/>
                <w:color w:val="auto"/>
                <w:spacing w:val="23"/>
                <w:sz w:val="21"/>
                <w:szCs w:val="21"/>
                <w:highlight w:val="none"/>
              </w:rPr>
              <w:t>技术文件的总体评价</w:t>
            </w:r>
          </w:p>
        </w:tc>
        <w:tc>
          <w:tcPr>
            <w:tcW w:w="343" w:type="pct"/>
            <w:vMerge w:val="restart"/>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w:t>
            </w:r>
          </w:p>
        </w:tc>
        <w:tc>
          <w:tcPr>
            <w:tcW w:w="1542"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编制方案的科学性、先进性，结构、内容的严密性，叙述的严谨性，文字的精炼、准确性。(2分)</w:t>
            </w:r>
          </w:p>
        </w:tc>
        <w:tc>
          <w:tcPr>
            <w:tcW w:w="2201"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投标文件编制科学，结构、内容的严密，叙述严谨，文字的精炼、准确的酌情给分，级差为0.5分。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lang w:val="en-US" w:eastAsia="zh-CN"/>
              </w:rPr>
            </w:pPr>
          </w:p>
        </w:tc>
        <w:tc>
          <w:tcPr>
            <w:tcW w:w="650" w:type="pct"/>
            <w:vMerge w:val="continue"/>
            <w:vAlign w:val="center"/>
          </w:tcPr>
          <w:p>
            <w:pPr>
              <w:widowControl/>
              <w:spacing w:line="360" w:lineRule="auto"/>
              <w:jc w:val="center"/>
              <w:rPr>
                <w:rFonts w:hint="eastAsia" w:ascii="宋体" w:hAnsi="宋体" w:eastAsia="宋体" w:cs="宋体"/>
                <w:color w:val="auto"/>
                <w:spacing w:val="23"/>
                <w:sz w:val="21"/>
                <w:szCs w:val="21"/>
                <w:highlight w:val="none"/>
              </w:rPr>
            </w:pPr>
          </w:p>
        </w:tc>
        <w:tc>
          <w:tcPr>
            <w:tcW w:w="343" w:type="pct"/>
            <w:vMerge w:val="continue"/>
            <w:vAlign w:val="center"/>
          </w:tcPr>
          <w:p>
            <w:pPr>
              <w:widowControl/>
              <w:spacing w:line="360" w:lineRule="auto"/>
              <w:jc w:val="center"/>
              <w:rPr>
                <w:rFonts w:hint="eastAsia" w:ascii="宋体" w:hAnsi="宋体" w:eastAsia="宋体" w:cs="宋体"/>
                <w:color w:val="auto"/>
                <w:sz w:val="21"/>
                <w:szCs w:val="21"/>
                <w:highlight w:val="none"/>
                <w:vertAlign w:val="baseline"/>
              </w:rPr>
            </w:pPr>
          </w:p>
        </w:tc>
        <w:tc>
          <w:tcPr>
            <w:tcW w:w="1542"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投标文件对招标文件的响应程度(2分)</w:t>
            </w:r>
          </w:p>
        </w:tc>
        <w:tc>
          <w:tcPr>
            <w:tcW w:w="2201" w:type="pct"/>
            <w:vAlign w:val="center"/>
          </w:tcPr>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投标文件响应齐全，投标文件响应程度高，编制认真、详尽、无漏项的酌情给分，级差为0.5分。</w:t>
            </w:r>
          </w:p>
        </w:tc>
      </w:tr>
    </w:tbl>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实施办法:</w:t>
      </w:r>
    </w:p>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 必须每项打分。</w:t>
      </w:r>
    </w:p>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 最后得分为去掉一个最高分及一个最低分后的平均值，按“四舍五入”原则并保留两位小数计取。 (注： 若评委人数为 5 人时，最后得分则直接取各评委的算术平均值) 。</w:t>
      </w:r>
    </w:p>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(3) 必须严格按照规定项目及其评分标准进行打分。</w:t>
      </w:r>
    </w:p>
    <w:p>
      <w:pPr>
        <w:widowControl/>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(4) 采用记名方式进行打分。</w:t>
      </w:r>
    </w:p>
    <w:p>
      <w:pPr>
        <w:spacing w:before="263" w:line="219" w:lineRule="auto"/>
        <w:ind w:left="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2.4 价格评</w:t>
      </w:r>
      <w:r>
        <w:rPr>
          <w:rFonts w:ascii="宋体" w:hAnsi="宋体" w:eastAsia="宋体" w:cs="宋体"/>
          <w:color w:val="auto"/>
          <w:sz w:val="21"/>
          <w:szCs w:val="21"/>
          <w:highlight w:val="none"/>
        </w:rPr>
        <w:t>分标准</w:t>
      </w:r>
    </w:p>
    <w:p>
      <w:pPr>
        <w:spacing w:before="22" w:line="215" w:lineRule="auto"/>
        <w:ind w:left="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 xml:space="preserve">2.4.1 价格评审(100 </w:t>
      </w:r>
      <w:r>
        <w:rPr>
          <w:rFonts w:ascii="宋体" w:hAnsi="宋体" w:eastAsia="宋体" w:cs="宋体"/>
          <w:color w:val="auto"/>
          <w:sz w:val="21"/>
          <w:szCs w:val="21"/>
          <w:highlight w:val="none"/>
        </w:rPr>
        <w:t>分)</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0"/>
        <w:gridCol w:w="6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0" w:type="dxa"/>
            <w:vAlign w:val="center"/>
          </w:tcPr>
          <w:p>
            <w:pPr>
              <w:pStyle w:val="16"/>
              <w:jc w:val="both"/>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计算方法</w:t>
            </w:r>
          </w:p>
        </w:tc>
        <w:tc>
          <w:tcPr>
            <w:tcW w:w="6346" w:type="dxa"/>
            <w:vAlign w:val="center"/>
          </w:tcPr>
          <w:p>
            <w:pPr>
              <w:pStyle w:val="16"/>
              <w:jc w:val="both"/>
              <w:rPr>
                <w:rFonts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合理均价基准差径靶心法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0" w:type="dxa"/>
            <w:vAlign w:val="center"/>
          </w:tcPr>
          <w:p>
            <w:pPr>
              <w:pStyle w:val="16"/>
              <w:jc w:val="both"/>
              <w:rPr>
                <w:rFonts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评标基准价计算方法</w:t>
            </w:r>
          </w:p>
        </w:tc>
        <w:tc>
          <w:tcPr>
            <w:tcW w:w="6346" w:type="dxa"/>
            <w:vAlign w:val="center"/>
          </w:tcPr>
          <w:p>
            <w:pPr>
              <w:pStyle w:val="16"/>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1、进入价格分计算的投标人取技术商务加权总分排名前5名的投标报价，计算平均价作为Y平均(当有效投标人少于或等于5家时，Y平均为所有有效投标报价的算术平均值) 。</w:t>
            </w:r>
          </w:p>
          <w:p>
            <w:pPr>
              <w:pStyle w:val="16"/>
              <w:jc w:val="both"/>
              <w:rPr>
                <w:rFonts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2、计算评标基准价，Y基准＝Y平均×(1-X)，X为下浮率，Y基准按四舍五入法保留两位小数；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0" w:type="dxa"/>
            <w:vAlign w:val="center"/>
          </w:tcPr>
          <w:p>
            <w:pPr>
              <w:pStyle w:val="16"/>
              <w:jc w:val="both"/>
              <w:rPr>
                <w:rFonts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价格分计算公式</w:t>
            </w:r>
          </w:p>
        </w:tc>
        <w:tc>
          <w:tcPr>
            <w:tcW w:w="6346" w:type="dxa"/>
            <w:vAlign w:val="center"/>
          </w:tcPr>
          <w:p>
            <w:pPr>
              <w:pStyle w:val="16"/>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1、Yi为某投标人的投标价格；Qi为计算得分，按四舍五入法保留两位小数；</w:t>
            </w:r>
          </w:p>
          <w:p>
            <w:pPr>
              <w:pStyle w:val="16"/>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2、当Yi＞Y基准，Qi＝报价满分－(Yi－Y基准)/Y基准×报价满分×RH；</w:t>
            </w:r>
          </w:p>
          <w:p>
            <w:pPr>
              <w:pStyle w:val="16"/>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3、当Yi=Y基准，Qi=报价满分；</w:t>
            </w:r>
          </w:p>
          <w:p>
            <w:pPr>
              <w:pStyle w:val="16"/>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4、当Yi＜Y基准，Qi＝报价满分－(Y基准－Yi)/Y 基准×报价满分×RL；</w:t>
            </w:r>
          </w:p>
          <w:p>
            <w:pPr>
              <w:pStyle w:val="16"/>
              <w:jc w:val="both"/>
              <w:rPr>
                <w:rFonts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5、当Qi＜0，按Qi=0分计；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0" w:type="dxa"/>
            <w:vAlign w:val="center"/>
          </w:tcPr>
          <w:p>
            <w:pPr>
              <w:pStyle w:val="16"/>
              <w:jc w:val="both"/>
              <w:rPr>
                <w:rFonts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进入价格评分厂家数量</w:t>
            </w:r>
          </w:p>
        </w:tc>
        <w:tc>
          <w:tcPr>
            <w:tcW w:w="6346" w:type="dxa"/>
            <w:vAlign w:val="center"/>
          </w:tcPr>
          <w:p>
            <w:pPr>
              <w:pStyle w:val="16"/>
              <w:jc w:val="both"/>
              <w:rPr>
                <w:rFonts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本次评标不设置技术商务末位淘汰。进入技术商务评分范围的投标人全部进入价格评分。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0" w:type="dxa"/>
            <w:vAlign w:val="center"/>
          </w:tcPr>
          <w:p>
            <w:pPr>
              <w:pStyle w:val="16"/>
              <w:jc w:val="both"/>
              <w:rPr>
                <w:rFonts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下浮率(X)</w:t>
            </w:r>
          </w:p>
        </w:tc>
        <w:tc>
          <w:tcPr>
            <w:tcW w:w="6346" w:type="dxa"/>
            <w:vAlign w:val="center"/>
          </w:tcPr>
          <w:p>
            <w:pPr>
              <w:pStyle w:val="16"/>
              <w:jc w:val="both"/>
              <w:rPr>
                <w:rFonts w:ascii="宋体" w:hAnsi="宋体" w:eastAsia="宋体" w:cs="宋体"/>
                <w:color w:val="auto"/>
                <w:sz w:val="21"/>
                <w:szCs w:val="21"/>
                <w:highlight w:val="none"/>
                <w:vertAlign w:val="baseline"/>
              </w:rPr>
            </w:pPr>
            <w:r>
              <w:rPr>
                <w:rFonts w:hint="eastAsia" w:ascii="宋体" w:hAnsi="宋体" w:cs="宋体"/>
                <w:b w:val="0"/>
                <w:bCs w:val="0"/>
                <w:color w:val="auto"/>
                <w:spacing w:val="-12"/>
                <w:sz w:val="21"/>
                <w:szCs w:val="21"/>
                <w:highlight w:val="none"/>
                <w:lang w:val="en-US" w:eastAsia="zh-CN"/>
              </w:rPr>
              <w:t>2</w:t>
            </w:r>
            <w:r>
              <w:rPr>
                <w:rFonts w:ascii="宋体" w:hAnsi="宋体" w:eastAsia="宋体" w:cs="宋体"/>
                <w:b w:val="0"/>
                <w:bCs w:val="0"/>
                <w:color w:val="auto"/>
                <w:spacing w:val="-11"/>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0" w:type="dxa"/>
            <w:vAlign w:val="center"/>
          </w:tcPr>
          <w:p>
            <w:pPr>
              <w:pStyle w:val="16"/>
              <w:jc w:val="both"/>
              <w:rPr>
                <w:rFonts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RH</w:t>
            </w:r>
          </w:p>
        </w:tc>
        <w:tc>
          <w:tcPr>
            <w:tcW w:w="6346" w:type="dxa"/>
            <w:vAlign w:val="center"/>
          </w:tcPr>
          <w:p>
            <w:pPr>
              <w:pStyle w:val="16"/>
              <w:jc w:val="both"/>
              <w:rPr>
                <w:rFonts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0" w:type="dxa"/>
            <w:vAlign w:val="center"/>
          </w:tcPr>
          <w:p>
            <w:pPr>
              <w:pStyle w:val="16"/>
              <w:jc w:val="both"/>
              <w:rPr>
                <w:rFonts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RL</w:t>
            </w:r>
          </w:p>
        </w:tc>
        <w:tc>
          <w:tcPr>
            <w:tcW w:w="6346" w:type="dxa"/>
            <w:vAlign w:val="center"/>
          </w:tcPr>
          <w:p>
            <w:pPr>
              <w:pStyle w:val="16"/>
              <w:jc w:val="both"/>
              <w:rPr>
                <w:rFonts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0.5</w:t>
            </w:r>
          </w:p>
        </w:tc>
      </w:tr>
    </w:tbl>
    <w:p>
      <w:pPr>
        <w:pStyle w:val="17"/>
        <w:ind w:left="0" w:leftChars="0" w:firstLine="0" w:firstLineChars="0"/>
        <w:rPr>
          <w:color w:val="auto"/>
          <w:highlight w:val="none"/>
        </w:rPr>
      </w:pPr>
    </w:p>
    <w:p>
      <w:pPr>
        <w:spacing w:before="274" w:line="220" w:lineRule="auto"/>
        <w:ind w:left="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14:textOutline w14:w="4354" w14:cap="flat" w14:cmpd="sng">
            <w14:solidFill>
              <w14:srgbClr w14:val="000000"/>
            </w14:solidFill>
            <w14:prstDash w14:val="solid"/>
            <w14:miter w14:val="0"/>
          </w14:textOutline>
        </w:rPr>
        <w:t>3.</w:t>
      </w:r>
      <w:r>
        <w:rPr>
          <w:rFonts w:ascii="宋体" w:hAnsi="宋体" w:eastAsia="宋体" w:cs="宋体"/>
          <w:color w:val="auto"/>
          <w:spacing w:val="-1"/>
          <w:sz w:val="24"/>
          <w:szCs w:val="24"/>
          <w:highlight w:val="none"/>
        </w:rPr>
        <w:t xml:space="preserve"> </w:t>
      </w:r>
      <w:r>
        <w:rPr>
          <w:rFonts w:ascii="宋体" w:hAnsi="宋体" w:eastAsia="宋体" w:cs="宋体"/>
          <w:color w:val="auto"/>
          <w:spacing w:val="-1"/>
          <w:sz w:val="24"/>
          <w:szCs w:val="24"/>
          <w:highlight w:val="none"/>
          <w14:textOutline w14:w="4354" w14:cap="flat" w14:cmpd="sng">
            <w14:solidFill>
              <w14:srgbClr w14:val="000000"/>
            </w14:solidFill>
            <w14:prstDash w14:val="solid"/>
            <w14:miter w14:val="0"/>
          </w14:textOutline>
        </w:rPr>
        <w:t>评标程序</w:t>
      </w:r>
    </w:p>
    <w:p>
      <w:pPr>
        <w:spacing w:before="21" w:line="221" w:lineRule="auto"/>
        <w:ind w:left="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w:t>
      </w:r>
      <w:r>
        <w:rPr>
          <w:rFonts w:ascii="宋体" w:hAnsi="宋体" w:eastAsia="宋体" w:cs="宋体"/>
          <w:color w:val="auto"/>
          <w:spacing w:val="-1"/>
          <w:sz w:val="21"/>
          <w:szCs w:val="21"/>
          <w:highlight w:val="none"/>
        </w:rPr>
        <w:t>.1 初步评审</w:t>
      </w:r>
    </w:p>
    <w:p>
      <w:pPr>
        <w:spacing w:before="21" w:line="239" w:lineRule="auto"/>
        <w:ind w:firstLine="42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3.1.1 评标委员</w:t>
      </w:r>
      <w:r>
        <w:rPr>
          <w:rFonts w:ascii="宋体" w:hAnsi="宋体" w:eastAsia="宋体" w:cs="宋体"/>
          <w:color w:val="auto"/>
          <w:spacing w:val="-3"/>
          <w:sz w:val="21"/>
          <w:szCs w:val="21"/>
          <w:highlight w:val="none"/>
        </w:rPr>
        <w:t>会</w:t>
      </w:r>
      <w:r>
        <w:rPr>
          <w:rFonts w:ascii="宋体" w:hAnsi="宋体" w:eastAsia="宋体" w:cs="宋体"/>
          <w:color w:val="auto"/>
          <w:spacing w:val="-2"/>
          <w:sz w:val="21"/>
          <w:szCs w:val="21"/>
          <w:highlight w:val="none"/>
        </w:rPr>
        <w:t>可以要求投标人提交“投标人须知”第3.5.1项至第3.5.6项规定的有关证明和证件的原件扫描</w:t>
      </w:r>
      <w:r>
        <w:rPr>
          <w:rFonts w:ascii="宋体" w:hAnsi="宋体" w:eastAsia="宋体" w:cs="宋体"/>
          <w:color w:val="auto"/>
          <w:spacing w:val="-1"/>
          <w:sz w:val="21"/>
          <w:szCs w:val="21"/>
          <w:highlight w:val="none"/>
        </w:rPr>
        <w:t>件，以便核验。</w:t>
      </w:r>
    </w:p>
    <w:p>
      <w:pPr>
        <w:spacing w:before="1" w:line="220" w:lineRule="auto"/>
        <w:ind w:left="42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 xml:space="preserve">3.1.2 </w:t>
      </w:r>
      <w:r>
        <w:rPr>
          <w:rFonts w:ascii="宋体" w:hAnsi="宋体" w:eastAsia="宋体" w:cs="宋体"/>
          <w:color w:val="auto"/>
          <w:sz w:val="21"/>
          <w:szCs w:val="21"/>
          <w:highlight w:val="none"/>
        </w:rPr>
        <w:t>投标人有以下情形之一的，其投标作否决投标处理：</w:t>
      </w:r>
    </w:p>
    <w:p>
      <w:pPr>
        <w:spacing w:before="22" w:line="220" w:lineRule="auto"/>
        <w:ind w:left="42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(1)评标委员会依据本章规定的标准依次对投标文件进行初</w:t>
      </w:r>
      <w:r>
        <w:rPr>
          <w:rFonts w:ascii="宋体" w:hAnsi="宋体" w:eastAsia="宋体" w:cs="宋体"/>
          <w:color w:val="auto"/>
          <w:spacing w:val="1"/>
          <w:sz w:val="21"/>
          <w:szCs w:val="21"/>
          <w:highlight w:val="none"/>
        </w:rPr>
        <w:t>步评审，有一项不符合评审标准的；</w:t>
      </w:r>
    </w:p>
    <w:p>
      <w:pPr>
        <w:spacing w:before="21" w:line="221" w:lineRule="auto"/>
        <w:ind w:left="427"/>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(2)</w:t>
      </w:r>
      <w:r>
        <w:rPr>
          <w:rFonts w:ascii="宋体" w:hAnsi="宋体" w:eastAsia="宋体" w:cs="宋体"/>
          <w:color w:val="auto"/>
          <w:spacing w:val="-7"/>
          <w:sz w:val="21"/>
          <w:szCs w:val="21"/>
          <w:highlight w:val="none"/>
        </w:rPr>
        <w:t>“</w:t>
      </w:r>
      <w:r>
        <w:rPr>
          <w:rFonts w:ascii="宋体" w:hAnsi="宋体" w:eastAsia="宋体" w:cs="宋体"/>
          <w:color w:val="auto"/>
          <w:spacing w:val="-4"/>
          <w:sz w:val="21"/>
          <w:szCs w:val="21"/>
          <w:highlight w:val="none"/>
        </w:rPr>
        <w:t>投标人须知”第1.4.3项规定的任何一种情形的；</w:t>
      </w:r>
    </w:p>
    <w:p>
      <w:pPr>
        <w:spacing w:before="22" w:line="220" w:lineRule="auto"/>
        <w:ind w:left="427"/>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w:t>
      </w:r>
      <w:r>
        <w:rPr>
          <w:rFonts w:ascii="宋体" w:hAnsi="宋体" w:eastAsia="宋体" w:cs="宋体"/>
          <w:color w:val="auto"/>
          <w:spacing w:val="4"/>
          <w:sz w:val="21"/>
          <w:szCs w:val="21"/>
          <w:highlight w:val="none"/>
        </w:rPr>
        <w:t>3)串通投标或弄虚作假或有其他违法行为的；</w:t>
      </w:r>
    </w:p>
    <w:p>
      <w:pPr>
        <w:spacing w:before="21" w:line="220" w:lineRule="auto"/>
        <w:ind w:left="427"/>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w:t>
      </w:r>
      <w:r>
        <w:rPr>
          <w:rFonts w:ascii="宋体" w:hAnsi="宋体" w:eastAsia="宋体" w:cs="宋体"/>
          <w:color w:val="auto"/>
          <w:spacing w:val="4"/>
          <w:sz w:val="21"/>
          <w:szCs w:val="21"/>
          <w:highlight w:val="none"/>
        </w:rPr>
        <w:t>4)不按评标委员会要求澄清、说明或补正的；</w:t>
      </w:r>
    </w:p>
    <w:p>
      <w:pPr>
        <w:spacing w:before="24" w:line="219" w:lineRule="auto"/>
        <w:ind w:left="427"/>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w:t>
      </w:r>
      <w:r>
        <w:rPr>
          <w:rFonts w:ascii="宋体" w:hAnsi="宋体" w:eastAsia="宋体" w:cs="宋体"/>
          <w:color w:val="auto"/>
          <w:spacing w:val="6"/>
          <w:sz w:val="21"/>
          <w:szCs w:val="21"/>
          <w:highlight w:val="none"/>
        </w:rPr>
        <w:t>5</w:t>
      </w:r>
      <w:r>
        <w:rPr>
          <w:rFonts w:ascii="宋体" w:hAnsi="宋体" w:eastAsia="宋体" w:cs="宋体"/>
          <w:color w:val="auto"/>
          <w:spacing w:val="4"/>
          <w:sz w:val="21"/>
          <w:szCs w:val="21"/>
          <w:highlight w:val="none"/>
        </w:rPr>
        <w:t>)投标报价超出有效报价范围的。</w:t>
      </w:r>
    </w:p>
    <w:p>
      <w:pPr>
        <w:spacing w:before="22" w:line="219" w:lineRule="auto"/>
        <w:ind w:left="425"/>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3</w:t>
      </w:r>
      <w:r>
        <w:rPr>
          <w:rFonts w:ascii="宋体" w:hAnsi="宋体" w:eastAsia="宋体" w:cs="宋体"/>
          <w:color w:val="auto"/>
          <w:spacing w:val="-7"/>
          <w:sz w:val="21"/>
          <w:szCs w:val="21"/>
          <w:highlight w:val="none"/>
        </w:rPr>
        <w:t>.</w:t>
      </w:r>
      <w:r>
        <w:rPr>
          <w:rFonts w:ascii="宋体" w:hAnsi="宋体" w:eastAsia="宋体" w:cs="宋体"/>
          <w:color w:val="auto"/>
          <w:spacing w:val="-5"/>
          <w:sz w:val="21"/>
          <w:szCs w:val="21"/>
          <w:highlight w:val="none"/>
        </w:rPr>
        <w:t>1.3 投标报价有算术错误的，按如下原则确定：</w:t>
      </w:r>
    </w:p>
    <w:p>
      <w:pPr>
        <w:spacing w:before="24" w:line="219" w:lineRule="auto"/>
        <w:ind w:left="458"/>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(1)</w:t>
      </w:r>
      <w:r>
        <w:rPr>
          <w:rFonts w:ascii="宋体" w:hAnsi="宋体" w:eastAsia="宋体" w:cs="宋体"/>
          <w:color w:val="auto"/>
          <w:spacing w:val="-7"/>
          <w:sz w:val="21"/>
          <w:szCs w:val="21"/>
          <w:highlight w:val="none"/>
        </w:rPr>
        <w:t>如</w:t>
      </w:r>
      <w:r>
        <w:rPr>
          <w:rFonts w:ascii="宋体" w:hAnsi="宋体" w:eastAsia="宋体" w:cs="宋体"/>
          <w:color w:val="auto"/>
          <w:spacing w:val="-5"/>
          <w:sz w:val="21"/>
          <w:szCs w:val="21"/>
          <w:highlight w:val="none"/>
        </w:rPr>
        <w:t>投标函与报价书总价不一致时，以投标函为准；</w:t>
      </w:r>
    </w:p>
    <w:p>
      <w:pPr>
        <w:spacing w:before="23" w:line="219" w:lineRule="auto"/>
        <w:ind w:left="458"/>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(2)如报价金额大写与小写不一致时，以大写为准</w:t>
      </w:r>
      <w:r>
        <w:rPr>
          <w:rFonts w:ascii="宋体" w:hAnsi="宋体" w:eastAsia="宋体" w:cs="宋体"/>
          <w:color w:val="auto"/>
          <w:spacing w:val="-4"/>
          <w:sz w:val="21"/>
          <w:szCs w:val="21"/>
          <w:highlight w:val="none"/>
        </w:rPr>
        <w:t>；</w:t>
      </w:r>
    </w:p>
    <w:p>
      <w:pPr>
        <w:spacing w:before="25" w:line="239" w:lineRule="auto"/>
        <w:ind w:left="18" w:firstLine="44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(3)报价书总价与分项报</w:t>
      </w:r>
      <w:r>
        <w:rPr>
          <w:rFonts w:ascii="宋体" w:hAnsi="宋体" w:eastAsia="宋体" w:cs="宋体"/>
          <w:color w:val="auto"/>
          <w:spacing w:val="-1"/>
          <w:sz w:val="21"/>
          <w:szCs w:val="21"/>
          <w:highlight w:val="none"/>
        </w:rPr>
        <w:t>价合计数不一致时，以报价书总价为准，但在签订合同时由中标单位修正分项</w:t>
      </w:r>
      <w:r>
        <w:rPr>
          <w:rFonts w:ascii="宋体" w:hAnsi="宋体" w:eastAsia="宋体" w:cs="宋体"/>
          <w:color w:val="auto"/>
          <w:spacing w:val="-4"/>
          <w:sz w:val="21"/>
          <w:szCs w:val="21"/>
          <w:highlight w:val="none"/>
        </w:rPr>
        <w:t>的</w:t>
      </w:r>
      <w:r>
        <w:rPr>
          <w:rFonts w:ascii="宋体" w:hAnsi="宋体" w:eastAsia="宋体" w:cs="宋体"/>
          <w:color w:val="auto"/>
          <w:spacing w:val="-2"/>
          <w:sz w:val="21"/>
          <w:szCs w:val="21"/>
          <w:highlight w:val="none"/>
        </w:rPr>
        <w:t>价格使之等于总价。</w:t>
      </w:r>
    </w:p>
    <w:p>
      <w:pPr>
        <w:spacing w:before="1" w:line="221" w:lineRule="auto"/>
        <w:ind w:left="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w:t>
      </w:r>
      <w:r>
        <w:rPr>
          <w:rFonts w:ascii="宋体" w:hAnsi="宋体" w:eastAsia="宋体" w:cs="宋体"/>
          <w:color w:val="auto"/>
          <w:spacing w:val="-1"/>
          <w:sz w:val="21"/>
          <w:szCs w:val="21"/>
          <w:highlight w:val="none"/>
        </w:rPr>
        <w:t>.2 详细评审</w:t>
      </w:r>
    </w:p>
    <w:p>
      <w:pPr>
        <w:spacing w:before="20" w:line="239" w:lineRule="auto"/>
        <w:ind w:firstLine="427"/>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3.2.1对有效投标，根据评审指标</w:t>
      </w:r>
      <w:r>
        <w:rPr>
          <w:rFonts w:ascii="宋体" w:hAnsi="宋体" w:eastAsia="宋体" w:cs="宋体"/>
          <w:color w:val="auto"/>
          <w:spacing w:val="-3"/>
          <w:sz w:val="21"/>
          <w:szCs w:val="21"/>
          <w:highlight w:val="none"/>
        </w:rPr>
        <w:t>和</w:t>
      </w:r>
      <w:r>
        <w:rPr>
          <w:rFonts w:ascii="宋体" w:hAnsi="宋体" w:eastAsia="宋体" w:cs="宋体"/>
          <w:color w:val="auto"/>
          <w:spacing w:val="-2"/>
          <w:sz w:val="21"/>
          <w:szCs w:val="21"/>
          <w:highlight w:val="none"/>
        </w:rPr>
        <w:t>评分标准及实施办法进行评分，不得使用“评审标准”没有规定的</w:t>
      </w:r>
      <w:r>
        <w:rPr>
          <w:rFonts w:ascii="宋体" w:hAnsi="宋体" w:eastAsia="宋体" w:cs="宋体"/>
          <w:color w:val="auto"/>
          <w:spacing w:val="-1"/>
          <w:sz w:val="21"/>
          <w:szCs w:val="21"/>
          <w:highlight w:val="none"/>
        </w:rPr>
        <w:t>评审因素</w:t>
      </w:r>
      <w:r>
        <w:rPr>
          <w:rFonts w:ascii="宋体" w:hAnsi="宋体" w:eastAsia="宋体" w:cs="宋体"/>
          <w:color w:val="auto"/>
          <w:sz w:val="21"/>
          <w:szCs w:val="21"/>
          <w:highlight w:val="none"/>
        </w:rPr>
        <w:t>和标准进行评标。</w:t>
      </w:r>
    </w:p>
    <w:p>
      <w:pPr>
        <w:spacing w:before="1" w:line="239" w:lineRule="auto"/>
        <w:ind w:left="11" w:right="10" w:firstLine="41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3.2.2商务评分内容采用评委集中评审方式。</w:t>
      </w:r>
      <w:r>
        <w:rPr>
          <w:rFonts w:ascii="宋体" w:hAnsi="宋体" w:eastAsia="宋体" w:cs="宋体"/>
          <w:color w:val="auto"/>
          <w:spacing w:val="1"/>
          <w:sz w:val="21"/>
          <w:szCs w:val="21"/>
          <w:highlight w:val="none"/>
        </w:rPr>
        <w:t>由评委主任组织专家集体讨论评议。若评委意见不一致</w:t>
      </w:r>
      <w:r>
        <w:rPr>
          <w:rFonts w:ascii="宋体" w:hAnsi="宋体" w:eastAsia="宋体" w:cs="宋体"/>
          <w:color w:val="auto"/>
          <w:spacing w:val="-2"/>
          <w:sz w:val="21"/>
          <w:szCs w:val="21"/>
          <w:highlight w:val="none"/>
        </w:rPr>
        <w:t>时，则按少数服从多数的</w:t>
      </w:r>
      <w:r>
        <w:rPr>
          <w:rFonts w:ascii="宋体" w:hAnsi="宋体" w:eastAsia="宋体" w:cs="宋体"/>
          <w:color w:val="auto"/>
          <w:spacing w:val="-1"/>
          <w:sz w:val="21"/>
          <w:szCs w:val="21"/>
          <w:highlight w:val="none"/>
        </w:rPr>
        <w:t>原则确定分值。</w:t>
      </w:r>
    </w:p>
    <w:p>
      <w:pPr>
        <w:spacing w:before="1" w:line="220" w:lineRule="auto"/>
        <w:ind w:left="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3.3 投标文件的</w:t>
      </w:r>
      <w:r>
        <w:rPr>
          <w:rFonts w:ascii="宋体" w:hAnsi="宋体" w:eastAsia="宋体" w:cs="宋体"/>
          <w:color w:val="auto"/>
          <w:sz w:val="21"/>
          <w:szCs w:val="21"/>
          <w:highlight w:val="none"/>
        </w:rPr>
        <w:t>澄清和补正</w:t>
      </w:r>
    </w:p>
    <w:p>
      <w:pPr>
        <w:spacing w:before="21" w:line="239" w:lineRule="auto"/>
        <w:ind w:left="1" w:firstLine="42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3.3.1在评标过程中，评标委员</w:t>
      </w:r>
      <w:r>
        <w:rPr>
          <w:rFonts w:ascii="宋体" w:hAnsi="宋体" w:eastAsia="宋体" w:cs="宋体"/>
          <w:color w:val="auto"/>
          <w:spacing w:val="-2"/>
          <w:sz w:val="21"/>
          <w:szCs w:val="21"/>
          <w:highlight w:val="none"/>
        </w:rPr>
        <w:t>会可以书面形式要求投标人对所提交投标文件中不明确的内容进行书面</w:t>
      </w:r>
      <w:r>
        <w:rPr>
          <w:rFonts w:ascii="宋体" w:hAnsi="宋体" w:eastAsia="宋体" w:cs="宋体"/>
          <w:color w:val="auto"/>
          <w:sz w:val="21"/>
          <w:szCs w:val="21"/>
          <w:highlight w:val="none"/>
        </w:rPr>
        <w:t>澄清或说明，或者对细微偏差进行补正。评标委员会不接受投标人主动提出的澄清、说明或补正。</w:t>
      </w:r>
    </w:p>
    <w:p>
      <w:pPr>
        <w:spacing w:before="2" w:line="239" w:lineRule="auto"/>
        <w:ind w:left="1" w:right="10" w:firstLine="424"/>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3.3.2澄清、说明和补正不得改变投标文件的实质性内容(算术性错误修正的除外)。投标人的书</w:t>
      </w:r>
      <w:r>
        <w:rPr>
          <w:rFonts w:ascii="宋体" w:hAnsi="宋体" w:eastAsia="宋体" w:cs="宋体"/>
          <w:color w:val="auto"/>
          <w:spacing w:val="3"/>
          <w:sz w:val="21"/>
          <w:szCs w:val="21"/>
          <w:highlight w:val="none"/>
        </w:rPr>
        <w:t>面</w:t>
      </w:r>
      <w:r>
        <w:rPr>
          <w:rFonts w:ascii="宋体" w:hAnsi="宋体" w:eastAsia="宋体" w:cs="宋体"/>
          <w:color w:val="auto"/>
          <w:spacing w:val="-1"/>
          <w:sz w:val="21"/>
          <w:szCs w:val="21"/>
          <w:highlight w:val="none"/>
        </w:rPr>
        <w:t>澄清、说明和补正属于投标文件的组成部分</w:t>
      </w:r>
      <w:r>
        <w:rPr>
          <w:rFonts w:ascii="宋体" w:hAnsi="宋体" w:eastAsia="宋体" w:cs="宋体"/>
          <w:color w:val="auto"/>
          <w:sz w:val="21"/>
          <w:szCs w:val="21"/>
          <w:highlight w:val="none"/>
        </w:rPr>
        <w:t>。</w:t>
      </w:r>
    </w:p>
    <w:p>
      <w:pPr>
        <w:spacing w:before="1" w:line="239" w:lineRule="auto"/>
        <w:ind w:left="1" w:right="10" w:firstLine="4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3.3.3评标委员会对投标人提交的澄清、说明或补正有疑问的，可以要求</w:t>
      </w:r>
      <w:r>
        <w:rPr>
          <w:rFonts w:ascii="宋体" w:hAnsi="宋体" w:eastAsia="宋体" w:cs="宋体"/>
          <w:color w:val="auto"/>
          <w:sz w:val="21"/>
          <w:szCs w:val="21"/>
          <w:highlight w:val="none"/>
        </w:rPr>
        <w:t xml:space="preserve">投标人进一步澄清、说明或 </w:t>
      </w:r>
      <w:r>
        <w:rPr>
          <w:rFonts w:ascii="宋体" w:hAnsi="宋体" w:eastAsia="宋体" w:cs="宋体"/>
          <w:color w:val="auto"/>
          <w:spacing w:val="-12"/>
          <w:sz w:val="21"/>
          <w:szCs w:val="21"/>
          <w:highlight w:val="none"/>
        </w:rPr>
        <w:t>补</w:t>
      </w:r>
      <w:r>
        <w:rPr>
          <w:rFonts w:ascii="宋体" w:hAnsi="宋体" w:eastAsia="宋体" w:cs="宋体"/>
          <w:color w:val="auto"/>
          <w:spacing w:val="-7"/>
          <w:sz w:val="21"/>
          <w:szCs w:val="21"/>
          <w:highlight w:val="none"/>
        </w:rPr>
        <w:t>正，直至满足评标委员会的要求。</w:t>
      </w:r>
    </w:p>
    <w:p>
      <w:pPr>
        <w:spacing w:before="1" w:line="239" w:lineRule="auto"/>
        <w:ind w:left="2" w:right="2" w:firstLine="423"/>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3.3.4对否决投标的投标文件，不允许投标人通过修正或撤销其不符合要求的差异或保留，使之成为</w:t>
      </w:r>
      <w:r>
        <w:rPr>
          <w:rFonts w:ascii="宋体" w:hAnsi="宋体" w:eastAsia="宋体" w:cs="宋体"/>
          <w:color w:val="auto"/>
          <w:sz w:val="21"/>
          <w:szCs w:val="21"/>
          <w:highlight w:val="none"/>
        </w:rPr>
        <w:t>具</w:t>
      </w:r>
      <w:r>
        <w:rPr>
          <w:rFonts w:ascii="宋体" w:hAnsi="宋体" w:eastAsia="宋体" w:cs="宋体"/>
          <w:color w:val="auto"/>
          <w:spacing w:val="-1"/>
          <w:sz w:val="21"/>
          <w:szCs w:val="21"/>
          <w:highlight w:val="none"/>
        </w:rPr>
        <w:t>有响应性的投</w:t>
      </w:r>
      <w:r>
        <w:rPr>
          <w:rFonts w:ascii="宋体" w:hAnsi="宋体" w:eastAsia="宋体" w:cs="宋体"/>
          <w:color w:val="auto"/>
          <w:sz w:val="21"/>
          <w:szCs w:val="21"/>
          <w:highlight w:val="none"/>
        </w:rPr>
        <w:t>标。</w:t>
      </w:r>
    </w:p>
    <w:p>
      <w:pPr>
        <w:spacing w:line="221" w:lineRule="auto"/>
        <w:ind w:left="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w:t>
      </w:r>
      <w:r>
        <w:rPr>
          <w:rFonts w:ascii="宋体" w:hAnsi="宋体" w:eastAsia="宋体" w:cs="宋体"/>
          <w:color w:val="auto"/>
          <w:spacing w:val="-1"/>
          <w:sz w:val="21"/>
          <w:szCs w:val="21"/>
          <w:highlight w:val="none"/>
        </w:rPr>
        <w:t>.4 评标结果</w:t>
      </w:r>
    </w:p>
    <w:p>
      <w:pPr>
        <w:spacing w:before="1" w:line="239" w:lineRule="auto"/>
        <w:ind w:left="2" w:right="2" w:firstLine="423"/>
        <w:rPr>
          <w:rFonts w:ascii="宋体" w:hAnsi="宋体" w:eastAsia="宋体" w:cs="宋体"/>
          <w:color w:val="auto"/>
          <w:spacing w:val="-7"/>
          <w:sz w:val="21"/>
          <w:szCs w:val="21"/>
          <w:highlight w:val="none"/>
        </w:rPr>
      </w:pPr>
      <w:r>
        <w:rPr>
          <w:rFonts w:ascii="宋体" w:hAnsi="宋体" w:eastAsia="宋体" w:cs="宋体"/>
          <w:color w:val="auto"/>
          <w:spacing w:val="-7"/>
          <w:sz w:val="21"/>
          <w:szCs w:val="21"/>
          <w:highlight w:val="none"/>
        </w:rPr>
        <w:t>3.4.1 评标委员会依据评标办法进行综合评审，按评分结果由高到低对投标人进行排序。当出现两个或以上投标人的综合评分相等的情况，则报价低的投标人优先；如果报价也一致，则技术得分高的投标人优先；如果仍然一致，则由评标委员会投票，获得票数多的投标人优先。</w:t>
      </w:r>
    </w:p>
    <w:p>
      <w:pPr>
        <w:widowControl/>
        <w:spacing w:line="360" w:lineRule="auto"/>
        <w:jc w:val="left"/>
        <w:rPr>
          <w:rFonts w:hAnsi="宋体"/>
          <w:color w:val="auto"/>
          <w:highlight w:val="none"/>
        </w:rPr>
      </w:pPr>
      <w:r>
        <w:rPr>
          <w:rFonts w:ascii="宋体" w:hAnsi="宋体" w:eastAsia="宋体" w:cs="宋体"/>
          <w:color w:val="auto"/>
          <w:spacing w:val="-10"/>
          <w:sz w:val="21"/>
          <w:szCs w:val="21"/>
          <w:highlight w:val="none"/>
        </w:rPr>
        <w:t>3.4.</w:t>
      </w:r>
      <w:r>
        <w:rPr>
          <w:rFonts w:ascii="宋体" w:hAnsi="宋体" w:eastAsia="宋体" w:cs="宋体"/>
          <w:color w:val="auto"/>
          <w:spacing w:val="-7"/>
          <w:sz w:val="21"/>
          <w:szCs w:val="21"/>
          <w:highlight w:val="none"/>
        </w:rPr>
        <w:t>2</w:t>
      </w:r>
      <w:r>
        <w:rPr>
          <w:rFonts w:ascii="宋体" w:hAnsi="宋体" w:eastAsia="宋体" w:cs="宋体"/>
          <w:color w:val="auto"/>
          <w:spacing w:val="-5"/>
          <w:sz w:val="21"/>
          <w:szCs w:val="21"/>
          <w:highlight w:val="none"/>
        </w:rPr>
        <w:t xml:space="preserve"> 评标委员会提出评标报告，向招标人推荐</w:t>
      </w:r>
      <w:r>
        <w:rPr>
          <w:rFonts w:hint="eastAsia" w:ascii="宋体" w:hAnsi="宋体" w:cs="宋体"/>
          <w:color w:val="auto"/>
          <w:spacing w:val="-5"/>
          <w:sz w:val="21"/>
          <w:szCs w:val="21"/>
          <w:highlight w:val="none"/>
          <w:lang w:val="en-US" w:eastAsia="zh-CN"/>
        </w:rPr>
        <w:t>不超过3</w:t>
      </w:r>
      <w:r>
        <w:rPr>
          <w:rFonts w:ascii="宋体" w:hAnsi="宋体" w:eastAsia="宋体" w:cs="宋体"/>
          <w:color w:val="auto"/>
          <w:spacing w:val="-5"/>
          <w:sz w:val="21"/>
          <w:szCs w:val="21"/>
          <w:highlight w:val="none"/>
        </w:rPr>
        <w:t>名中标候选人，</w:t>
      </w:r>
      <w:r>
        <w:rPr>
          <w:rFonts w:hint="eastAsia" w:ascii="宋体" w:hAnsi="宋体" w:eastAsia="宋体" w:cs="宋体"/>
          <w:color w:val="auto"/>
          <w:sz w:val="21"/>
          <w:szCs w:val="21"/>
          <w:highlight w:val="none"/>
          <w:lang w:eastAsia="zh-CN"/>
        </w:rPr>
        <w:t>其中得分最高者为第一中标候选人，次高者为第二中标候选人，第三高者为第三中标候选人，如此类推。</w:t>
      </w:r>
    </w:p>
    <w:p>
      <w:pPr>
        <w:widowControl/>
        <w:spacing w:line="360" w:lineRule="auto"/>
        <w:jc w:val="left"/>
        <w:rPr>
          <w:rFonts w:ascii="宋体" w:hAnsi="宋体"/>
          <w:color w:val="auto"/>
          <w:highlight w:val="none"/>
        </w:rPr>
      </w:pPr>
      <w:r>
        <w:rPr>
          <w:rFonts w:hAnsi="宋体"/>
          <w:color w:val="auto"/>
          <w:highlight w:val="none"/>
        </w:rPr>
        <w:br w:type="page"/>
      </w:r>
    </w:p>
    <w:p>
      <w:pPr>
        <w:pStyle w:val="3"/>
        <w:pageBreakBefore/>
        <w:widowControl/>
        <w:numPr>
          <w:ilvl w:val="0"/>
          <w:numId w:val="5"/>
        </w:numPr>
        <w:tabs>
          <w:tab w:val="left" w:pos="2127"/>
        </w:tabs>
        <w:spacing w:before="120" w:after="120" w:line="360" w:lineRule="auto"/>
        <w:jc w:val="center"/>
        <w:rPr>
          <w:rFonts w:hint="eastAsia" w:eastAsia="宋体"/>
          <w:color w:val="auto"/>
          <w:highlight w:val="none"/>
          <w:lang w:eastAsia="zh-CN"/>
        </w:rPr>
      </w:pPr>
      <w:bookmarkStart w:id="2248" w:name="_Toc22823"/>
      <w:r>
        <w:rPr>
          <w:rFonts w:hint="eastAsia"/>
          <w:color w:val="auto"/>
          <w:highlight w:val="none"/>
        </w:rPr>
        <w:t>技术标准、要求</w:t>
      </w:r>
      <w:r>
        <w:rPr>
          <w:rFonts w:hint="eastAsia"/>
          <w:color w:val="auto"/>
          <w:highlight w:val="none"/>
          <w:lang w:eastAsia="zh-CN"/>
        </w:rPr>
        <w:t>及其他</w:t>
      </w:r>
      <w:bookmarkEnd w:id="2248"/>
    </w:p>
    <w:p>
      <w:pPr>
        <w:spacing w:before="1" w:line="218" w:lineRule="auto"/>
        <w:ind w:left="20"/>
        <w:rPr>
          <w:rFonts w:ascii="宋体" w:hAnsi="宋体" w:eastAsia="宋体" w:cs="宋体"/>
          <w:color w:val="auto"/>
          <w:sz w:val="24"/>
          <w:szCs w:val="24"/>
          <w:highlight w:val="none"/>
        </w:rPr>
      </w:pPr>
      <w:r>
        <w:rPr>
          <w:rFonts w:ascii="宋体" w:hAnsi="宋体" w:eastAsia="宋体" w:cs="宋体"/>
          <w:color w:val="auto"/>
          <w:spacing w:val="18"/>
          <w:sz w:val="24"/>
          <w:szCs w:val="24"/>
          <w:highlight w:val="none"/>
          <w14:textOutline w14:w="4354" w14:cap="flat" w14:cmpd="sng">
            <w14:solidFill>
              <w14:srgbClr w14:val="000000"/>
            </w14:solidFill>
            <w14:prstDash w14:val="solid"/>
            <w14:miter w14:val="0"/>
          </w14:textOutline>
        </w:rPr>
        <w:t>1</w:t>
      </w:r>
      <w:r>
        <w:rPr>
          <w:rFonts w:ascii="宋体" w:hAnsi="宋体" w:eastAsia="宋体" w:cs="宋体"/>
          <w:color w:val="auto"/>
          <w:spacing w:val="14"/>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pacing w:val="9"/>
          <w:sz w:val="24"/>
          <w:szCs w:val="24"/>
          <w:highlight w:val="none"/>
        </w:rPr>
        <w:t xml:space="preserve"> </w:t>
      </w:r>
      <w:r>
        <w:rPr>
          <w:rFonts w:ascii="宋体" w:hAnsi="宋体" w:eastAsia="宋体" w:cs="宋体"/>
          <w:color w:val="auto"/>
          <w:spacing w:val="9"/>
          <w:sz w:val="24"/>
          <w:szCs w:val="24"/>
          <w:highlight w:val="none"/>
          <w14:textOutline w14:w="4354" w14:cap="flat" w14:cmpd="sng">
            <w14:solidFill>
              <w14:srgbClr w14:val="000000"/>
            </w14:solidFill>
            <w14:prstDash w14:val="solid"/>
            <w14:miter w14:val="0"/>
          </w14:textOutline>
        </w:rPr>
        <w:t>管理规范和技术(规范)</w:t>
      </w:r>
      <w:r>
        <w:rPr>
          <w:rFonts w:ascii="宋体" w:hAnsi="宋体" w:eastAsia="宋体" w:cs="宋体"/>
          <w:color w:val="auto"/>
          <w:spacing w:val="9"/>
          <w:sz w:val="24"/>
          <w:szCs w:val="24"/>
          <w:highlight w:val="none"/>
        </w:rPr>
        <w:t xml:space="preserve"> </w:t>
      </w:r>
      <w:r>
        <w:rPr>
          <w:rFonts w:ascii="宋体" w:hAnsi="宋体" w:eastAsia="宋体" w:cs="宋体"/>
          <w:color w:val="auto"/>
          <w:spacing w:val="9"/>
          <w:sz w:val="24"/>
          <w:szCs w:val="24"/>
          <w:highlight w:val="none"/>
          <w14:textOutline w14:w="4354" w14:cap="flat" w14:cmpd="sng">
            <w14:solidFill>
              <w14:srgbClr w14:val="000000"/>
            </w14:solidFill>
            <w14:prstDash w14:val="solid"/>
            <w14:miter w14:val="0"/>
          </w14:textOutline>
        </w:rPr>
        <w:t>标准(见合同附件)</w:t>
      </w:r>
    </w:p>
    <w:p>
      <w:pPr>
        <w:spacing w:before="300" w:line="220" w:lineRule="auto"/>
        <w:ind w:left="5"/>
        <w:rPr>
          <w:rFonts w:ascii="宋体" w:hAnsi="宋体" w:eastAsia="宋体" w:cs="宋体"/>
          <w:color w:val="auto"/>
          <w:sz w:val="24"/>
          <w:szCs w:val="24"/>
          <w:highlight w:val="none"/>
        </w:rPr>
      </w:pPr>
      <w:bookmarkStart w:id="2249" w:name="_bookmark28"/>
      <w:bookmarkEnd w:id="2249"/>
      <w:r>
        <w:rPr>
          <w:rFonts w:ascii="宋体" w:hAnsi="宋体" w:eastAsia="宋体" w:cs="宋体"/>
          <w:color w:val="auto"/>
          <w:spacing w:val="-1"/>
          <w:sz w:val="24"/>
          <w:szCs w:val="24"/>
          <w:highlight w:val="none"/>
          <w14:textOutline w14:w="4354" w14:cap="flat" w14:cmpd="sng">
            <w14:solidFill>
              <w14:srgbClr w14:val="000000"/>
            </w14:solidFill>
            <w14:prstDash w14:val="solid"/>
            <w14:miter w14:val="0"/>
          </w14:textOutline>
        </w:rPr>
        <w:t>2.</w:t>
      </w:r>
      <w:r>
        <w:rPr>
          <w:rFonts w:ascii="宋体" w:hAnsi="宋体" w:eastAsia="宋体" w:cs="宋体"/>
          <w:color w:val="auto"/>
          <w:spacing w:val="-1"/>
          <w:sz w:val="24"/>
          <w:szCs w:val="24"/>
          <w:highlight w:val="none"/>
        </w:rPr>
        <w:t xml:space="preserve"> </w:t>
      </w:r>
      <w:r>
        <w:rPr>
          <w:rFonts w:ascii="宋体" w:hAnsi="宋体" w:eastAsia="宋体" w:cs="宋体"/>
          <w:color w:val="auto"/>
          <w:spacing w:val="-1"/>
          <w:sz w:val="24"/>
          <w:szCs w:val="24"/>
          <w:highlight w:val="none"/>
          <w14:textOutline w14:w="4354" w14:cap="flat" w14:cmpd="sng">
            <w14:solidFill>
              <w14:srgbClr w14:val="000000"/>
            </w14:solidFill>
            <w14:prstDash w14:val="solid"/>
            <w14:miter w14:val="0"/>
          </w14:textOutline>
        </w:rPr>
        <w:t>技术要</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求</w:t>
      </w:r>
    </w:p>
    <w:p>
      <w:pPr>
        <w:spacing w:before="21" w:line="239" w:lineRule="auto"/>
        <w:ind w:left="5" w:hanging="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2.1南方电网公司基建管理制度、建设单位的质量、环</w:t>
      </w:r>
      <w:r>
        <w:rPr>
          <w:rFonts w:ascii="宋体" w:hAnsi="宋体" w:eastAsia="宋体" w:cs="宋体"/>
          <w:color w:val="auto"/>
          <w:sz w:val="21"/>
          <w:szCs w:val="21"/>
          <w:highlight w:val="none"/>
        </w:rPr>
        <w:t>境和职业健康安全管理体系文件、其他有关制度和规</w:t>
      </w:r>
      <w:r>
        <w:rPr>
          <w:rFonts w:ascii="宋体" w:hAnsi="宋体" w:eastAsia="宋体" w:cs="宋体"/>
          <w:color w:val="auto"/>
          <w:spacing w:val="-11"/>
          <w:sz w:val="21"/>
          <w:szCs w:val="21"/>
          <w:highlight w:val="none"/>
        </w:rPr>
        <w:t>定</w:t>
      </w:r>
      <w:r>
        <w:rPr>
          <w:rFonts w:ascii="宋体" w:hAnsi="宋体" w:eastAsia="宋体" w:cs="宋体"/>
          <w:color w:val="auto"/>
          <w:spacing w:val="-10"/>
          <w:sz w:val="21"/>
          <w:szCs w:val="21"/>
          <w:highlight w:val="none"/>
        </w:rPr>
        <w:t>。</w:t>
      </w:r>
    </w:p>
    <w:p>
      <w:pPr>
        <w:spacing w:line="220" w:lineRule="auto"/>
        <w:ind w:left="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2.2图纸及技术文</w:t>
      </w:r>
      <w:r>
        <w:rPr>
          <w:rFonts w:ascii="宋体" w:hAnsi="宋体" w:eastAsia="宋体" w:cs="宋体"/>
          <w:color w:val="auto"/>
          <w:sz w:val="21"/>
          <w:szCs w:val="21"/>
          <w:highlight w:val="none"/>
        </w:rPr>
        <w:t>件的要求。</w:t>
      </w:r>
      <w:bookmarkStart w:id="2250" w:name="_bookmark29"/>
      <w:bookmarkEnd w:id="2250"/>
    </w:p>
    <w:p>
      <w:pPr>
        <w:spacing w:before="300" w:line="220" w:lineRule="auto"/>
        <w:ind w:left="5"/>
        <w:rPr>
          <w:rFonts w:hint="eastAsia" w:ascii="宋体" w:hAnsi="宋体" w:eastAsia="宋体" w:cs="宋体"/>
          <w:color w:val="auto"/>
          <w:sz w:val="24"/>
          <w:szCs w:val="24"/>
          <w:highlight w:val="none"/>
          <w:lang w:val="en-US" w:eastAsia="zh-CN"/>
        </w:rPr>
      </w:pPr>
      <w:r>
        <w:rPr>
          <w:rFonts w:hint="eastAsia" w:ascii="宋体" w:hAnsi="宋体" w:cs="宋体"/>
          <w:color w:val="auto"/>
          <w:spacing w:val="-1"/>
          <w:sz w:val="24"/>
          <w:szCs w:val="24"/>
          <w:highlight w:val="none"/>
          <w:lang w:val="en-US" w:eastAsia="zh-CN"/>
          <w14:textOutline w14:w="4354" w14:cap="flat" w14:cmpd="sng">
            <w14:solidFill>
              <w14:srgbClr w14:val="000000"/>
            </w14:solidFill>
            <w14:prstDash w14:val="solid"/>
            <w14:miter w14:val="0"/>
          </w14:textOutline>
        </w:rPr>
        <w:t>3</w:t>
      </w:r>
      <w:r>
        <w:rPr>
          <w:rFonts w:ascii="宋体" w:hAnsi="宋体" w:eastAsia="宋体" w:cs="宋体"/>
          <w:color w:val="auto"/>
          <w:spacing w:val="-1"/>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pacing w:val="-1"/>
          <w:sz w:val="24"/>
          <w:szCs w:val="24"/>
          <w:highlight w:val="none"/>
        </w:rPr>
        <w:t xml:space="preserve"> </w:t>
      </w:r>
      <w:r>
        <w:rPr>
          <w:rFonts w:hint="eastAsia" w:ascii="宋体" w:hAnsi="宋体" w:cs="宋体"/>
          <w:color w:val="auto"/>
          <w:spacing w:val="-1"/>
          <w:sz w:val="24"/>
          <w:szCs w:val="24"/>
          <w:highlight w:val="none"/>
          <w:lang w:val="en-US" w:eastAsia="zh-CN"/>
        </w:rPr>
        <w:t>图纸。</w:t>
      </w:r>
    </w:p>
    <w:p>
      <w:pPr>
        <w:spacing w:before="300" w:line="220" w:lineRule="auto"/>
        <w:ind w:left="5"/>
        <w:rPr>
          <w:rFonts w:hint="eastAsia" w:ascii="宋体" w:hAnsi="宋体" w:eastAsia="宋体" w:cs="宋体"/>
          <w:color w:val="auto"/>
          <w:sz w:val="24"/>
          <w:szCs w:val="24"/>
          <w:highlight w:val="none"/>
          <w:lang w:val="en-US" w:eastAsia="zh-CN"/>
        </w:rPr>
      </w:pPr>
      <w:r>
        <w:rPr>
          <w:rFonts w:hint="eastAsia" w:ascii="宋体" w:hAnsi="宋体" w:cs="宋体"/>
          <w:color w:val="auto"/>
          <w:spacing w:val="-1"/>
          <w:sz w:val="24"/>
          <w:szCs w:val="24"/>
          <w:highlight w:val="none"/>
          <w:lang w:val="en-US" w:eastAsia="zh-CN"/>
          <w14:textOutline w14:w="4354" w14:cap="flat" w14:cmpd="sng">
            <w14:solidFill>
              <w14:srgbClr w14:val="000000"/>
            </w14:solidFill>
            <w14:prstDash w14:val="solid"/>
            <w14:miter w14:val="0"/>
          </w14:textOutline>
        </w:rPr>
        <w:t>4</w:t>
      </w:r>
      <w:r>
        <w:rPr>
          <w:rFonts w:ascii="宋体" w:hAnsi="宋体" w:eastAsia="宋体" w:cs="宋体"/>
          <w:color w:val="auto"/>
          <w:spacing w:val="-1"/>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合建协议要求</w:t>
      </w:r>
      <w:r>
        <w:rPr>
          <w:rFonts w:hint="eastAsia"/>
          <w:color w:val="auto"/>
          <w:highlight w:val="none"/>
          <w:lang w:val="en-US" w:eastAsia="zh-CN"/>
        </w:rPr>
        <w:t>详见</w:t>
      </w:r>
      <w:r>
        <w:rPr>
          <w:rFonts w:hint="eastAsia" w:ascii="宋体" w:hAnsi="宋体" w:cs="宋体"/>
          <w:b w:val="0"/>
          <w:bCs w:val="0"/>
          <w:color w:val="auto"/>
          <w:spacing w:val="-1"/>
          <w:sz w:val="24"/>
          <w:szCs w:val="24"/>
          <w:highlight w:val="none"/>
        </w:rPr>
        <w:t>施工合同</w:t>
      </w:r>
      <w:r>
        <w:rPr>
          <w:rFonts w:hint="eastAsia" w:ascii="宋体" w:hAnsi="宋体" w:eastAsia="宋体" w:cs="宋体"/>
          <w:b w:val="0"/>
          <w:bCs w:val="0"/>
          <w:color w:val="auto"/>
          <w:spacing w:val="-1"/>
          <w:sz w:val="24"/>
          <w:szCs w:val="24"/>
          <w:highlight w:val="none"/>
          <w:lang w:eastAsia="zh-CN"/>
        </w:rPr>
        <w:t>。</w:t>
      </w:r>
    </w:p>
    <w:p>
      <w:pPr>
        <w:pStyle w:val="16"/>
        <w:rPr>
          <w:rFonts w:hint="default"/>
          <w:color w:val="auto"/>
          <w:highlight w:val="none"/>
          <w:lang w:val="en-US" w:eastAsia="zh-CN"/>
        </w:rPr>
      </w:pPr>
    </w:p>
    <w:sectPr>
      <w:headerReference r:id="rId15" w:type="default"/>
      <w:footerReference r:id="rId16" w:type="default"/>
      <w:pgSz w:w="11906" w:h="16838"/>
      <w:pgMar w:top="1418" w:right="1418" w:bottom="1418" w:left="1418" w:header="964"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onsolas">
    <w:panose1 w:val="020B0609020204030204"/>
    <w:charset w:val="00"/>
    <w:family w:val="auto"/>
    <w:pitch w:val="default"/>
    <w:sig w:usb0="E00006FF" w:usb1="0000FCFF" w:usb2="00000001" w:usb3="00000000" w:csb0="6000019F" w:csb1="DFD7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MS Mincho">
    <w:altName w:val="Yu Gothic UI"/>
    <w:panose1 w:val="02020609040205080304"/>
    <w:charset w:val="80"/>
    <w:family w:val="modern"/>
    <w:pitch w:val="default"/>
    <w:sig w:usb0="00000000" w:usb1="00000000" w:usb2="00000012" w:usb3="00000000" w:csb0="4002009F" w:csb1="DFD70000"/>
  </w:font>
  <w:font w:name="@DotumChe">
    <w:altName w:val="Malgun Gothic"/>
    <w:panose1 w:val="020B0609000101010101"/>
    <w:charset w:val="81"/>
    <w:family w:val="modern"/>
    <w:pitch w:val="default"/>
    <w:sig w:usb0="00000000" w:usb1="00000000" w:usb2="00000030" w:usb3="00000000" w:csb0="4008009F" w:csb1="DFD7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Dialog">
    <w:altName w:val="Times New Roman"/>
    <w:panose1 w:val="00000000000000000000"/>
    <w:charset w:val="00"/>
    <w:family w:val="roman"/>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1"/>
      <w:ind w:left="42" w:right="42"/>
      <w:rPr>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7"/>
      </w:rPr>
    </w:pPr>
    <w:r>
      <w:fldChar w:fldCharType="begin"/>
    </w:r>
    <w:r>
      <w:rPr>
        <w:rStyle w:val="47"/>
      </w:rPr>
      <w:instrText xml:space="preserve">PAGE  </w:instrText>
    </w:r>
    <w:r>
      <w:fldChar w:fldCharType="separate"/>
    </w:r>
    <w:r>
      <w:rPr>
        <w:rStyle w:val="47"/>
      </w:rPr>
      <w:t>1</w:t>
    </w:r>
    <w:r>
      <w:fldChar w:fldCharType="end"/>
    </w:r>
  </w:p>
  <w:p>
    <w:pPr>
      <w:pStyle w:val="27"/>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1"/>
      <w:ind w:right="42"/>
      <w:jc w:val="both"/>
      <w:rPr>
        <w:u w:val="single"/>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1"/>
      <w:ind w:left="42" w:right="42"/>
      <w:rPr>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ascii="宋体" w:hAns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202</w:t>
                          </w:r>
                          <w:r>
                            <w:rPr>
                              <w:rFonts w:hint="eastAsia"/>
                              <w:sz w:val="18"/>
                            </w:rPr>
                            <w:fldChar w:fldCharType="end"/>
                          </w:r>
                          <w:r>
                            <w:rPr>
                              <w:rFonts w:hint="eastAsia"/>
                              <w:sz w:val="18"/>
                            </w:rPr>
                            <w:t xml:space="preserve"> 页</w:t>
                          </w:r>
                        </w:p>
                      </w:txbxContent>
                    </wps:txbx>
                    <wps:bodyPr wrap="none" lIns="0" tIns="0" rIns="0" bIns="0" upright="0">
                      <a:spAutoFit/>
                    </wps:bodyPr>
                  </wps:wsp>
                </a:graphicData>
              </a:graphic>
            </wp:anchor>
          </w:drawing>
        </mc:Choice>
        <mc:Fallback>
          <w:pict>
            <v:shape id="文本框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i8jDMcBAACZ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uizy&#10;9AFqzHoImJeGN37ApcmyZT+gM7MeVLT5i3wIxlHc81VcOSQi8qP1ar2uMCQwNl8Qh92ehwjprfSW&#10;ZKOhEadXROWn95DG1DklV3P+XhtTJmjcXw7EzB526zFbadgPU+N7356RT4+Db6jDPafEvHOoa96R&#10;2YizsZ+NY4j60JUlyvUgvD4mbKL0liuMsFNhnFhhN21XXok/7yXr9kdt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xi8jDMcBAACZAwAADgAAAAAAAAABACAAAAAeAQAAZHJzL2Uyb0RvYy54&#10;bWxQSwUGAAAAAAYABgBZAQAAVwUAAAAA&#10;">
              <v:fill on="f" focussize="0,0"/>
              <v:stroke on="f"/>
              <v:imagedata o:title=""/>
              <o:lock v:ext="edit" aspectratio="f"/>
              <v:textbox inset="0mm,0mm,0mm,0mm" style="mso-fit-shape-to-text:t;">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202</w:t>
                    </w:r>
                    <w:r>
                      <w:rPr>
                        <w:rFonts w:hint="eastAsia"/>
                        <w:sz w:val="18"/>
                      </w:rPr>
                      <w:fldChar w:fldCharType="end"/>
                    </w:r>
                    <w:r>
                      <w:rPr>
                        <w:rFonts w:hint="eastAsia"/>
                        <w:sz w:val="18"/>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7"/>
      </w:rPr>
    </w:pPr>
    <w:r>
      <w:fldChar w:fldCharType="begin"/>
    </w:r>
    <w:r>
      <w:rPr>
        <w:rStyle w:val="47"/>
      </w:rPr>
      <w:instrText xml:space="preserve">PAGE  </w:instrText>
    </w:r>
    <w:r>
      <w:fldChar w:fldCharType="separate"/>
    </w:r>
    <w:r>
      <w:rPr>
        <w:rStyle w:val="47"/>
      </w:rPr>
      <w:t>0</w:t>
    </w:r>
    <w:r>
      <w:fldChar w:fldCharType="end"/>
    </w:r>
  </w:p>
  <w:p>
    <w:pPr>
      <w:pStyle w:val="2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213</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hint="eastAsia" w:ascii="宋体" w:hAnsi="宋体" w:cs="宋体"/>
        <w:b w:val="0"/>
        <w:bCs/>
        <w:sz w:val="18"/>
        <w:szCs w:val="18"/>
      </w:rPr>
    </w:pPr>
    <w:r>
      <w:rPr>
        <w:rFonts w:hint="eastAsia" w:hAnsi="宋体"/>
        <w:szCs w:val="21"/>
        <w:highlight w:val="none"/>
        <w:lang w:eastAsia="zh-CN"/>
      </w:rPr>
      <w:t>110千伏桃花输变电工程(变电站建筑)施工总承包项目</w:t>
    </w:r>
    <w:r>
      <w:rPr>
        <w:rFonts w:hint="eastAsia" w:ascii="宋体" w:hAnsi="宋体" w:cs="宋体"/>
        <w:b w:val="0"/>
        <w:bCs/>
        <w:sz w:val="18"/>
        <w:szCs w:val="18"/>
      </w:rPr>
      <w:t>招标文件</w:t>
    </w:r>
  </w:p>
  <w:p>
    <w:pPr>
      <w:pStyle w:val="28"/>
      <w:jc w:val="right"/>
    </w:pPr>
    <w:r>
      <w:rPr>
        <w:rFonts w:hint="eastAsia"/>
        <w:sz w:val="18"/>
        <w:szCs w:val="18"/>
        <w:lang w:eastAsia="zh-CN"/>
      </w:rPr>
      <w:t>广州竣盛工程造价咨询有限公司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hint="eastAsia" w:ascii="宋体" w:hAnsi="宋体" w:cs="宋体"/>
        <w:b w:val="0"/>
        <w:bCs/>
        <w:sz w:val="18"/>
        <w:szCs w:val="18"/>
      </w:rPr>
    </w:pPr>
    <w:r>
      <w:rPr>
        <w:rFonts w:hint="eastAsia" w:hAnsi="宋体"/>
        <w:szCs w:val="21"/>
        <w:highlight w:val="none"/>
        <w:lang w:eastAsia="zh-CN"/>
      </w:rPr>
      <w:t>110千伏桃花输变电工程(变电站建筑)施工总承包项目</w:t>
    </w:r>
    <w:r>
      <w:rPr>
        <w:rFonts w:hint="eastAsia" w:ascii="宋体" w:hAnsi="宋体" w:cs="宋体"/>
        <w:b w:val="0"/>
        <w:bCs/>
        <w:sz w:val="18"/>
        <w:szCs w:val="18"/>
      </w:rPr>
      <w:t>招标文件</w:t>
    </w:r>
  </w:p>
  <w:p>
    <w:pPr>
      <w:pStyle w:val="28"/>
      <w:jc w:val="right"/>
    </w:pPr>
    <w:r>
      <w:rPr>
        <w:rFonts w:hint="eastAsia"/>
        <w:sz w:val="18"/>
        <w:szCs w:val="18"/>
        <w:lang w:eastAsia="zh-CN"/>
      </w:rPr>
      <w:t>广州竣盛工程造价咨询有限公司</w:t>
    </w:r>
    <w:r>
      <w:rPr>
        <w:rFonts w:hint="eastAsia" w:ascii="宋体" w:hAnsi="宋体"/>
        <w:szCs w:val="21"/>
        <w:lang w:val="en-US"/>
      </w:rPr>
      <w:t xml:space="preserve"> </w: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left"/>
      <w:rPr>
        <w:rFonts w:hint="eastAsia"/>
        <w:sz w:val="18"/>
        <w:szCs w:val="18"/>
      </w:rPr>
    </w:pPr>
    <w:r>
      <w:rPr>
        <w:rFonts w:hint="eastAsia"/>
        <w:sz w:val="18"/>
        <w:szCs w:val="18"/>
        <w:lang w:eastAsia="zh-CN"/>
      </w:rPr>
      <w:t>110千伏桃花输变电工程(变电站建筑)施工总承包项目</w:t>
    </w:r>
    <w:r>
      <w:rPr>
        <w:rFonts w:hint="eastAsia"/>
        <w:sz w:val="18"/>
        <w:szCs w:val="18"/>
      </w:rPr>
      <w:t>招标文件</w:t>
    </w:r>
  </w:p>
  <w:p>
    <w:pPr>
      <w:pStyle w:val="28"/>
      <w:jc w:val="right"/>
      <w:rPr>
        <w:rFonts w:hint="eastAsia" w:eastAsia="宋体"/>
        <w:sz w:val="18"/>
        <w:szCs w:val="18"/>
        <w:lang w:eastAsia="zh-CN"/>
      </w:rPr>
    </w:pPr>
    <w:r>
      <w:rPr>
        <w:rFonts w:hint="eastAsia" w:ascii="宋体" w:hAnsi="宋体"/>
        <w:sz w:val="18"/>
        <w:szCs w:val="18"/>
        <w:lang w:val="en-US" w:eastAsia="zh-CN"/>
      </w:rPr>
      <w:t xml:space="preserve"> </w:t>
    </w:r>
    <w:r>
      <w:rPr>
        <w:rFonts w:hint="eastAsia"/>
        <w:sz w:val="18"/>
        <w:szCs w:val="18"/>
        <w:lang w:eastAsia="zh-CN"/>
      </w:rPr>
      <w:t>广州竣盛工程造价咨询有限公司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C06A16"/>
    <w:multiLevelType w:val="singleLevel"/>
    <w:tmpl w:val="9EC06A16"/>
    <w:lvl w:ilvl="0" w:tentative="0">
      <w:start w:val="1"/>
      <w:numFmt w:val="decimal"/>
      <w:lvlText w:val="(%1)"/>
      <w:lvlJc w:val="left"/>
      <w:pPr>
        <w:tabs>
          <w:tab w:val="left" w:pos="312"/>
        </w:tabs>
      </w:pPr>
    </w:lvl>
  </w:abstractNum>
  <w:abstractNum w:abstractNumId="1">
    <w:nsid w:val="A6B08142"/>
    <w:multiLevelType w:val="singleLevel"/>
    <w:tmpl w:val="A6B08142"/>
    <w:lvl w:ilvl="0" w:tentative="0">
      <w:start w:val="7"/>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lvlText w:val="（%1）"/>
      <w:lvlJc w:val="left"/>
      <w:pPr>
        <w:tabs>
          <w:tab w:val="left" w:pos="840"/>
        </w:tabs>
        <w:ind w:left="840" w:hanging="420"/>
      </w:pPr>
      <w:rPr>
        <w:rFonts w:hint="eastAsia"/>
        <w:color w:val="auto"/>
      </w:rPr>
    </w:lvl>
    <w:lvl w:ilvl="1" w:tentative="0">
      <w:start w:val="1"/>
      <w:numFmt w:val="lowerLetter"/>
      <w:lvlText w:val="%2)"/>
      <w:lvlJc w:val="left"/>
      <w:pPr>
        <w:tabs>
          <w:tab w:val="left" w:pos="840"/>
        </w:tabs>
        <w:ind w:left="840" w:hanging="420"/>
      </w:pPr>
      <w:rPr>
        <w:rFonts w:hint="eastAsia"/>
        <w:color w:val="auto"/>
      </w:rPr>
    </w:lvl>
    <w:lvl w:ilvl="2" w:tentative="0">
      <w:start w:val="1"/>
      <w:numFmt w:val="decimalEnclosedCircle"/>
      <w:lvlText w:val="%3_x0001_"/>
      <w:lvlJc w:val="left"/>
      <w:pPr>
        <w:ind w:left="1200" w:hanging="360"/>
      </w:pPr>
      <w:rPr>
        <w:rFonts w:hint="default"/>
      </w:rPr>
    </w:lvl>
    <w:lvl w:ilvl="3" w:tentative="0">
      <w:start w:val="1"/>
      <w:numFmt w:val="decimalEnclosedCircle"/>
      <w:lvlText w:val="%4"/>
      <w:lvlJc w:val="left"/>
      <w:pPr>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2"/>
    <w:multiLevelType w:val="multilevel"/>
    <w:tmpl w:val="0000001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391715E"/>
    <w:multiLevelType w:val="multilevel"/>
    <w:tmpl w:val="0391715E"/>
    <w:lvl w:ilvl="0" w:tentative="0">
      <w:start w:val="1"/>
      <w:numFmt w:val="decimal"/>
      <w:lvlText w:val="%1)"/>
      <w:lvlJc w:val="left"/>
      <w:pPr>
        <w:ind w:left="840" w:hanging="420"/>
      </w:pPr>
    </w:lvl>
    <w:lvl w:ilvl="1" w:tentative="0">
      <w:start w:val="1"/>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CEF623C"/>
    <w:multiLevelType w:val="singleLevel"/>
    <w:tmpl w:val="0CEF623C"/>
    <w:lvl w:ilvl="0" w:tentative="0">
      <w:start w:val="1"/>
      <w:numFmt w:val="decimal"/>
      <w:suff w:val="nothing"/>
      <w:lvlText w:val="%1、"/>
      <w:lvlJc w:val="left"/>
    </w:lvl>
  </w:abstractNum>
  <w:abstractNum w:abstractNumId="6">
    <w:nsid w:val="15AA871F"/>
    <w:multiLevelType w:val="singleLevel"/>
    <w:tmpl w:val="15AA871F"/>
    <w:lvl w:ilvl="0" w:tentative="0">
      <w:start w:val="2"/>
      <w:numFmt w:val="chineseCounting"/>
      <w:suff w:val="nothing"/>
      <w:lvlText w:val="（%1）"/>
      <w:lvlJc w:val="left"/>
      <w:rPr>
        <w:rFonts w:hint="eastAsia"/>
      </w:rPr>
    </w:lvl>
  </w:abstractNum>
  <w:abstractNum w:abstractNumId="7">
    <w:nsid w:val="1C79113D"/>
    <w:multiLevelType w:val="multilevel"/>
    <w:tmpl w:val="1C79113D"/>
    <w:lvl w:ilvl="0" w:tentative="0">
      <w:start w:val="1"/>
      <w:numFmt w:val="lowerLetter"/>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1D131A86"/>
    <w:multiLevelType w:val="singleLevel"/>
    <w:tmpl w:val="1D131A86"/>
    <w:lvl w:ilvl="0" w:tentative="0">
      <w:start w:val="2"/>
      <w:numFmt w:val="chineseCounting"/>
      <w:suff w:val="space"/>
      <w:lvlText w:val="第%1章"/>
      <w:lvlJc w:val="left"/>
      <w:rPr>
        <w:rFonts w:hint="eastAsia"/>
      </w:rPr>
    </w:lvl>
  </w:abstractNum>
  <w:abstractNum w:abstractNumId="9">
    <w:nsid w:val="32BCF924"/>
    <w:multiLevelType w:val="singleLevel"/>
    <w:tmpl w:val="32BCF924"/>
    <w:lvl w:ilvl="0" w:tentative="0">
      <w:start w:val="2"/>
      <w:numFmt w:val="decimal"/>
      <w:suff w:val="nothing"/>
      <w:lvlText w:val="%1、"/>
      <w:lvlJc w:val="left"/>
    </w:lvl>
  </w:abstractNum>
  <w:abstractNum w:abstractNumId="10">
    <w:nsid w:val="37ACFA29"/>
    <w:multiLevelType w:val="singleLevel"/>
    <w:tmpl w:val="37ACFA29"/>
    <w:lvl w:ilvl="0" w:tentative="0">
      <w:start w:val="1"/>
      <w:numFmt w:val="decimal"/>
      <w:lvlText w:val="%1."/>
      <w:lvlJc w:val="left"/>
      <w:pPr>
        <w:tabs>
          <w:tab w:val="left" w:pos="312"/>
        </w:tabs>
      </w:pPr>
    </w:lvl>
  </w:abstractNum>
  <w:abstractNum w:abstractNumId="11">
    <w:nsid w:val="46D93632"/>
    <w:multiLevelType w:val="multilevel"/>
    <w:tmpl w:val="46D9363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48CE2263"/>
    <w:multiLevelType w:val="singleLevel"/>
    <w:tmpl w:val="48CE2263"/>
    <w:lvl w:ilvl="0" w:tentative="0">
      <w:start w:val="3"/>
      <w:numFmt w:val="chineseCounting"/>
      <w:suff w:val="nothing"/>
      <w:lvlText w:val="%1、"/>
      <w:lvlJc w:val="left"/>
      <w:rPr>
        <w:rFonts w:hint="eastAsia"/>
      </w:rPr>
    </w:lvl>
  </w:abstractNum>
  <w:abstractNum w:abstractNumId="13">
    <w:nsid w:val="529850A3"/>
    <w:multiLevelType w:val="singleLevel"/>
    <w:tmpl w:val="529850A3"/>
    <w:lvl w:ilvl="0" w:tentative="0">
      <w:start w:val="1"/>
      <w:numFmt w:val="decimal"/>
      <w:suff w:val="nothing"/>
      <w:lvlText w:val="%1、"/>
      <w:lvlJc w:val="left"/>
    </w:lvl>
  </w:abstractNum>
  <w:abstractNum w:abstractNumId="14">
    <w:nsid w:val="568B6D4A"/>
    <w:multiLevelType w:val="multilevel"/>
    <w:tmpl w:val="568B6D4A"/>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5A97BCAD"/>
    <w:multiLevelType w:val="singleLevel"/>
    <w:tmpl w:val="5A97BCAD"/>
    <w:lvl w:ilvl="0" w:tentative="0">
      <w:start w:val="1"/>
      <w:numFmt w:val="lowerLetter"/>
      <w:suff w:val="nothing"/>
      <w:lvlText w:val="（%1）"/>
      <w:lvlJc w:val="left"/>
    </w:lvl>
  </w:abstractNum>
  <w:abstractNum w:abstractNumId="16">
    <w:nsid w:val="61D44AAE"/>
    <w:multiLevelType w:val="multilevel"/>
    <w:tmpl w:val="61D44AAE"/>
    <w:lvl w:ilvl="0" w:tentative="0">
      <w:start w:val="1"/>
      <w:numFmt w:val="decimal"/>
      <w:lvlText w:val="%1."/>
      <w:lvlJc w:val="left"/>
      <w:pPr>
        <w:tabs>
          <w:tab w:val="left" w:pos="425"/>
        </w:tabs>
        <w:ind w:left="425" w:hanging="425"/>
      </w:pPr>
      <w:rPr>
        <w:rFonts w:hint="eastAsia"/>
      </w:rPr>
    </w:lvl>
    <w:lvl w:ilvl="1" w:tentative="0">
      <w:start w:val="1"/>
      <w:numFmt w:val="decimal"/>
      <w:pStyle w:val="138"/>
      <w:lvlText w:val="%1.%2 "/>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6BFA89AF"/>
    <w:multiLevelType w:val="singleLevel"/>
    <w:tmpl w:val="6BFA89AF"/>
    <w:lvl w:ilvl="0" w:tentative="0">
      <w:start w:val="1"/>
      <w:numFmt w:val="decimal"/>
      <w:suff w:val="nothing"/>
      <w:lvlText w:val="%1）"/>
      <w:lvlJc w:val="left"/>
      <w:rPr>
        <w:rFonts w:hint="default"/>
        <w:b w:val="0"/>
        <w:bCs w:val="0"/>
      </w:rPr>
    </w:lvl>
  </w:abstractNum>
  <w:abstractNum w:abstractNumId="18">
    <w:nsid w:val="74AA1EAD"/>
    <w:multiLevelType w:val="singleLevel"/>
    <w:tmpl w:val="74AA1EAD"/>
    <w:lvl w:ilvl="0" w:tentative="0">
      <w:start w:val="1"/>
      <w:numFmt w:val="decimal"/>
      <w:suff w:val="nothing"/>
      <w:lvlText w:val="%1．"/>
      <w:lvlJc w:val="left"/>
      <w:pPr>
        <w:ind w:left="210" w:firstLine="400"/>
      </w:pPr>
      <w:rPr>
        <w:rFonts w:hint="default"/>
      </w:rPr>
    </w:lvl>
  </w:abstractNum>
  <w:abstractNum w:abstractNumId="19">
    <w:nsid w:val="75AC1A74"/>
    <w:multiLevelType w:val="multilevel"/>
    <w:tmpl w:val="75AC1A74"/>
    <w:lvl w:ilvl="0" w:tentative="0">
      <w:start w:val="1"/>
      <w:numFmt w:val="decimal"/>
      <w:pStyle w:val="137"/>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0">
    <w:nsid w:val="7CF46F47"/>
    <w:multiLevelType w:val="multilevel"/>
    <w:tmpl w:val="7CF46F47"/>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9"/>
  </w:num>
  <w:num w:numId="2">
    <w:abstractNumId w:val="16"/>
  </w:num>
  <w:num w:numId="3">
    <w:abstractNumId w:val="12"/>
  </w:num>
  <w:num w:numId="4">
    <w:abstractNumId w:val="1"/>
  </w:num>
  <w:num w:numId="5">
    <w:abstractNumId w:val="8"/>
  </w:num>
  <w:num w:numId="6">
    <w:abstractNumId w:val="18"/>
  </w:num>
  <w:num w:numId="7">
    <w:abstractNumId w:val="9"/>
  </w:num>
  <w:num w:numId="8">
    <w:abstractNumId w:val="17"/>
  </w:num>
  <w:num w:numId="9">
    <w:abstractNumId w:val="11"/>
  </w:num>
  <w:num w:numId="10">
    <w:abstractNumId w:val="4"/>
  </w:num>
  <w:num w:numId="11">
    <w:abstractNumId w:val="7"/>
  </w:num>
  <w:num w:numId="12">
    <w:abstractNumId w:val="14"/>
  </w:num>
  <w:num w:numId="13">
    <w:abstractNumId w:val="15"/>
  </w:num>
  <w:num w:numId="14">
    <w:abstractNumId w:val="3"/>
  </w:num>
  <w:num w:numId="15">
    <w:abstractNumId w:val="2"/>
  </w:num>
  <w:num w:numId="16">
    <w:abstractNumId w:val="20"/>
  </w:num>
  <w:num w:numId="17">
    <w:abstractNumId w:val="5"/>
  </w:num>
  <w:num w:numId="18">
    <w:abstractNumId w:val="6"/>
  </w:num>
  <w:num w:numId="19">
    <w:abstractNumId w:val="13"/>
  </w:num>
  <w:num w:numId="20">
    <w:abstractNumId w:val="1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wNjBiNzM5MWYxYmNlYTFlNmM2YmM2MmIwNTFiODMifQ=="/>
  </w:docVars>
  <w:rsids>
    <w:rsidRoot w:val="00172A27"/>
    <w:rsid w:val="000002C6"/>
    <w:rsid w:val="00000373"/>
    <w:rsid w:val="000017F5"/>
    <w:rsid w:val="00001822"/>
    <w:rsid w:val="00004B33"/>
    <w:rsid w:val="00004C82"/>
    <w:rsid w:val="0000620C"/>
    <w:rsid w:val="00006509"/>
    <w:rsid w:val="00007884"/>
    <w:rsid w:val="00012489"/>
    <w:rsid w:val="00013360"/>
    <w:rsid w:val="000144F5"/>
    <w:rsid w:val="00017EAE"/>
    <w:rsid w:val="00020AE6"/>
    <w:rsid w:val="00020DDD"/>
    <w:rsid w:val="00022D97"/>
    <w:rsid w:val="00023B99"/>
    <w:rsid w:val="000249E3"/>
    <w:rsid w:val="00025C81"/>
    <w:rsid w:val="00026D7A"/>
    <w:rsid w:val="00027448"/>
    <w:rsid w:val="00044675"/>
    <w:rsid w:val="00051350"/>
    <w:rsid w:val="00051DA6"/>
    <w:rsid w:val="000538E7"/>
    <w:rsid w:val="000549CD"/>
    <w:rsid w:val="00056256"/>
    <w:rsid w:val="00060426"/>
    <w:rsid w:val="00070E4B"/>
    <w:rsid w:val="00073997"/>
    <w:rsid w:val="000755E6"/>
    <w:rsid w:val="00080340"/>
    <w:rsid w:val="00080654"/>
    <w:rsid w:val="00081BF7"/>
    <w:rsid w:val="00081D4D"/>
    <w:rsid w:val="0008217C"/>
    <w:rsid w:val="00082F97"/>
    <w:rsid w:val="00094DBF"/>
    <w:rsid w:val="00096255"/>
    <w:rsid w:val="000970F1"/>
    <w:rsid w:val="00097B62"/>
    <w:rsid w:val="00097CF8"/>
    <w:rsid w:val="000A335E"/>
    <w:rsid w:val="000A5BE3"/>
    <w:rsid w:val="000A66AB"/>
    <w:rsid w:val="000A7893"/>
    <w:rsid w:val="000B5B59"/>
    <w:rsid w:val="000B6494"/>
    <w:rsid w:val="000B665F"/>
    <w:rsid w:val="000B6B4C"/>
    <w:rsid w:val="000C0BC3"/>
    <w:rsid w:val="000C3AC5"/>
    <w:rsid w:val="000D0313"/>
    <w:rsid w:val="000D0CA3"/>
    <w:rsid w:val="000D648D"/>
    <w:rsid w:val="000D6656"/>
    <w:rsid w:val="000D7B12"/>
    <w:rsid w:val="000D7C54"/>
    <w:rsid w:val="000E2AC8"/>
    <w:rsid w:val="000E38CC"/>
    <w:rsid w:val="000E3B4C"/>
    <w:rsid w:val="000E6D5E"/>
    <w:rsid w:val="000E6ED0"/>
    <w:rsid w:val="000E74E5"/>
    <w:rsid w:val="000F0626"/>
    <w:rsid w:val="000F21FD"/>
    <w:rsid w:val="000F3957"/>
    <w:rsid w:val="000F45DF"/>
    <w:rsid w:val="000F7B08"/>
    <w:rsid w:val="00102D58"/>
    <w:rsid w:val="001050C2"/>
    <w:rsid w:val="0011135E"/>
    <w:rsid w:val="00111913"/>
    <w:rsid w:val="0011569F"/>
    <w:rsid w:val="0012421A"/>
    <w:rsid w:val="00124533"/>
    <w:rsid w:val="00125820"/>
    <w:rsid w:val="00141633"/>
    <w:rsid w:val="00141DC9"/>
    <w:rsid w:val="001421C4"/>
    <w:rsid w:val="0014696C"/>
    <w:rsid w:val="00147F83"/>
    <w:rsid w:val="00151FD1"/>
    <w:rsid w:val="00160172"/>
    <w:rsid w:val="001713F8"/>
    <w:rsid w:val="00172A27"/>
    <w:rsid w:val="001741D3"/>
    <w:rsid w:val="00174462"/>
    <w:rsid w:val="001800BE"/>
    <w:rsid w:val="0018076A"/>
    <w:rsid w:val="00181431"/>
    <w:rsid w:val="00181E1A"/>
    <w:rsid w:val="00182BFF"/>
    <w:rsid w:val="00190972"/>
    <w:rsid w:val="00190994"/>
    <w:rsid w:val="00196F54"/>
    <w:rsid w:val="001A2738"/>
    <w:rsid w:val="001A2B6A"/>
    <w:rsid w:val="001A3B54"/>
    <w:rsid w:val="001A44F3"/>
    <w:rsid w:val="001A63DF"/>
    <w:rsid w:val="001B04FC"/>
    <w:rsid w:val="001C7F75"/>
    <w:rsid w:val="001D205C"/>
    <w:rsid w:val="001D5888"/>
    <w:rsid w:val="001D6369"/>
    <w:rsid w:val="001E24F6"/>
    <w:rsid w:val="001E2666"/>
    <w:rsid w:val="001E2D5B"/>
    <w:rsid w:val="001E2D7E"/>
    <w:rsid w:val="001E3A0D"/>
    <w:rsid w:val="001E6807"/>
    <w:rsid w:val="001E6FB1"/>
    <w:rsid w:val="001F009F"/>
    <w:rsid w:val="001F529F"/>
    <w:rsid w:val="00200120"/>
    <w:rsid w:val="002021DB"/>
    <w:rsid w:val="0020413A"/>
    <w:rsid w:val="00210E29"/>
    <w:rsid w:val="00216D04"/>
    <w:rsid w:val="002238FD"/>
    <w:rsid w:val="00224971"/>
    <w:rsid w:val="002250DB"/>
    <w:rsid w:val="00227C95"/>
    <w:rsid w:val="0023327C"/>
    <w:rsid w:val="00235297"/>
    <w:rsid w:val="00237725"/>
    <w:rsid w:val="00240CE8"/>
    <w:rsid w:val="0024650A"/>
    <w:rsid w:val="00247915"/>
    <w:rsid w:val="00252166"/>
    <w:rsid w:val="0025387F"/>
    <w:rsid w:val="00253E5B"/>
    <w:rsid w:val="002543BD"/>
    <w:rsid w:val="00256C1A"/>
    <w:rsid w:val="00257BDA"/>
    <w:rsid w:val="002601CD"/>
    <w:rsid w:val="002612A6"/>
    <w:rsid w:val="00261ABA"/>
    <w:rsid w:val="002621E6"/>
    <w:rsid w:val="002639D0"/>
    <w:rsid w:val="00265A92"/>
    <w:rsid w:val="002754E9"/>
    <w:rsid w:val="0027719D"/>
    <w:rsid w:val="00292759"/>
    <w:rsid w:val="00292985"/>
    <w:rsid w:val="002930E4"/>
    <w:rsid w:val="00293655"/>
    <w:rsid w:val="002A24B3"/>
    <w:rsid w:val="002A50D7"/>
    <w:rsid w:val="002A5E07"/>
    <w:rsid w:val="002A78C3"/>
    <w:rsid w:val="002B124F"/>
    <w:rsid w:val="002B1341"/>
    <w:rsid w:val="002B36B6"/>
    <w:rsid w:val="002B49D6"/>
    <w:rsid w:val="002B51EC"/>
    <w:rsid w:val="002C1C3B"/>
    <w:rsid w:val="002C1DB7"/>
    <w:rsid w:val="002C3E1F"/>
    <w:rsid w:val="002D19AA"/>
    <w:rsid w:val="002D6A9A"/>
    <w:rsid w:val="002E10F5"/>
    <w:rsid w:val="002E2AAF"/>
    <w:rsid w:val="002E3C6B"/>
    <w:rsid w:val="002E4DA3"/>
    <w:rsid w:val="00300D37"/>
    <w:rsid w:val="00301F2C"/>
    <w:rsid w:val="00302E02"/>
    <w:rsid w:val="00304DEE"/>
    <w:rsid w:val="00304EE8"/>
    <w:rsid w:val="003102BA"/>
    <w:rsid w:val="003116D5"/>
    <w:rsid w:val="003156C5"/>
    <w:rsid w:val="00316441"/>
    <w:rsid w:val="003212FD"/>
    <w:rsid w:val="003253B7"/>
    <w:rsid w:val="003262CE"/>
    <w:rsid w:val="00327B88"/>
    <w:rsid w:val="00327CE1"/>
    <w:rsid w:val="003305E0"/>
    <w:rsid w:val="003325E3"/>
    <w:rsid w:val="00333FD3"/>
    <w:rsid w:val="00335F89"/>
    <w:rsid w:val="0033754C"/>
    <w:rsid w:val="00337FD2"/>
    <w:rsid w:val="00343D89"/>
    <w:rsid w:val="003441EA"/>
    <w:rsid w:val="003563F0"/>
    <w:rsid w:val="00360CB5"/>
    <w:rsid w:val="00361FA2"/>
    <w:rsid w:val="003641F3"/>
    <w:rsid w:val="00364B9E"/>
    <w:rsid w:val="003667C1"/>
    <w:rsid w:val="00367508"/>
    <w:rsid w:val="003706F7"/>
    <w:rsid w:val="00372915"/>
    <w:rsid w:val="00374D44"/>
    <w:rsid w:val="00375901"/>
    <w:rsid w:val="00376CEC"/>
    <w:rsid w:val="00381AA7"/>
    <w:rsid w:val="00385A5D"/>
    <w:rsid w:val="00395E01"/>
    <w:rsid w:val="00397031"/>
    <w:rsid w:val="003979B7"/>
    <w:rsid w:val="003A16E2"/>
    <w:rsid w:val="003A4116"/>
    <w:rsid w:val="003A564E"/>
    <w:rsid w:val="003B037C"/>
    <w:rsid w:val="003B3A98"/>
    <w:rsid w:val="003B3CA8"/>
    <w:rsid w:val="003B4B65"/>
    <w:rsid w:val="003B7453"/>
    <w:rsid w:val="003B7567"/>
    <w:rsid w:val="003C184D"/>
    <w:rsid w:val="003C5F6B"/>
    <w:rsid w:val="003D25AE"/>
    <w:rsid w:val="003D7039"/>
    <w:rsid w:val="003D7502"/>
    <w:rsid w:val="003E2F9C"/>
    <w:rsid w:val="003F2343"/>
    <w:rsid w:val="00400EF7"/>
    <w:rsid w:val="0040379A"/>
    <w:rsid w:val="0040583F"/>
    <w:rsid w:val="004121EA"/>
    <w:rsid w:val="00412720"/>
    <w:rsid w:val="004151F2"/>
    <w:rsid w:val="00416856"/>
    <w:rsid w:val="00421514"/>
    <w:rsid w:val="004215F0"/>
    <w:rsid w:val="00421E21"/>
    <w:rsid w:val="004228C2"/>
    <w:rsid w:val="004243AC"/>
    <w:rsid w:val="0043102F"/>
    <w:rsid w:val="004339C1"/>
    <w:rsid w:val="004431A1"/>
    <w:rsid w:val="004467EF"/>
    <w:rsid w:val="004503B5"/>
    <w:rsid w:val="0045075E"/>
    <w:rsid w:val="004524A2"/>
    <w:rsid w:val="00460FDE"/>
    <w:rsid w:val="00465951"/>
    <w:rsid w:val="00467CAA"/>
    <w:rsid w:val="004707D3"/>
    <w:rsid w:val="00472902"/>
    <w:rsid w:val="00472C7F"/>
    <w:rsid w:val="00473F85"/>
    <w:rsid w:val="00476676"/>
    <w:rsid w:val="00481C45"/>
    <w:rsid w:val="00494B82"/>
    <w:rsid w:val="004970E3"/>
    <w:rsid w:val="004A13AB"/>
    <w:rsid w:val="004A2B85"/>
    <w:rsid w:val="004A39CD"/>
    <w:rsid w:val="004A5D14"/>
    <w:rsid w:val="004B52F1"/>
    <w:rsid w:val="004B59EB"/>
    <w:rsid w:val="004B78F9"/>
    <w:rsid w:val="004D039B"/>
    <w:rsid w:val="004D14C0"/>
    <w:rsid w:val="004D3BAF"/>
    <w:rsid w:val="004D43B9"/>
    <w:rsid w:val="004E1CD6"/>
    <w:rsid w:val="004E2CDE"/>
    <w:rsid w:val="004E738A"/>
    <w:rsid w:val="004E7533"/>
    <w:rsid w:val="004F0A51"/>
    <w:rsid w:val="004F23B8"/>
    <w:rsid w:val="004F31F6"/>
    <w:rsid w:val="004F3D8F"/>
    <w:rsid w:val="004F4C36"/>
    <w:rsid w:val="004F5006"/>
    <w:rsid w:val="00503259"/>
    <w:rsid w:val="005042BD"/>
    <w:rsid w:val="00506562"/>
    <w:rsid w:val="005067DB"/>
    <w:rsid w:val="00507324"/>
    <w:rsid w:val="0050733F"/>
    <w:rsid w:val="00507B95"/>
    <w:rsid w:val="00510518"/>
    <w:rsid w:val="00511D16"/>
    <w:rsid w:val="005127D2"/>
    <w:rsid w:val="00520C88"/>
    <w:rsid w:val="00526A52"/>
    <w:rsid w:val="005279B1"/>
    <w:rsid w:val="00530B3B"/>
    <w:rsid w:val="00537757"/>
    <w:rsid w:val="00540E51"/>
    <w:rsid w:val="00550F01"/>
    <w:rsid w:val="00555596"/>
    <w:rsid w:val="00562DB0"/>
    <w:rsid w:val="0057213A"/>
    <w:rsid w:val="0057347B"/>
    <w:rsid w:val="00573FE3"/>
    <w:rsid w:val="00575C48"/>
    <w:rsid w:val="005762D9"/>
    <w:rsid w:val="00576948"/>
    <w:rsid w:val="00581AAE"/>
    <w:rsid w:val="00581C27"/>
    <w:rsid w:val="0058231E"/>
    <w:rsid w:val="00582AD2"/>
    <w:rsid w:val="00585A53"/>
    <w:rsid w:val="005867A1"/>
    <w:rsid w:val="005871F9"/>
    <w:rsid w:val="0059630F"/>
    <w:rsid w:val="0059644F"/>
    <w:rsid w:val="00597659"/>
    <w:rsid w:val="00597EEA"/>
    <w:rsid w:val="005A1AC6"/>
    <w:rsid w:val="005A1E2B"/>
    <w:rsid w:val="005A2C9F"/>
    <w:rsid w:val="005A4B84"/>
    <w:rsid w:val="005A633B"/>
    <w:rsid w:val="005B1EF4"/>
    <w:rsid w:val="005B3F92"/>
    <w:rsid w:val="005B536B"/>
    <w:rsid w:val="005B6138"/>
    <w:rsid w:val="005B61D5"/>
    <w:rsid w:val="005B6972"/>
    <w:rsid w:val="005B7F86"/>
    <w:rsid w:val="005C562F"/>
    <w:rsid w:val="005D0FBF"/>
    <w:rsid w:val="005D3E43"/>
    <w:rsid w:val="005D48DA"/>
    <w:rsid w:val="005D720C"/>
    <w:rsid w:val="005E17A8"/>
    <w:rsid w:val="005F090F"/>
    <w:rsid w:val="005F46E9"/>
    <w:rsid w:val="00600351"/>
    <w:rsid w:val="006056DB"/>
    <w:rsid w:val="00610167"/>
    <w:rsid w:val="00615C3A"/>
    <w:rsid w:val="00616026"/>
    <w:rsid w:val="00617BDD"/>
    <w:rsid w:val="00625255"/>
    <w:rsid w:val="00626A54"/>
    <w:rsid w:val="006378C4"/>
    <w:rsid w:val="00642243"/>
    <w:rsid w:val="00643099"/>
    <w:rsid w:val="00644FB0"/>
    <w:rsid w:val="00651268"/>
    <w:rsid w:val="00656C99"/>
    <w:rsid w:val="00660850"/>
    <w:rsid w:val="00662413"/>
    <w:rsid w:val="00662DE4"/>
    <w:rsid w:val="006656A0"/>
    <w:rsid w:val="00670DF1"/>
    <w:rsid w:val="00674002"/>
    <w:rsid w:val="006742E7"/>
    <w:rsid w:val="00681259"/>
    <w:rsid w:val="00681AF2"/>
    <w:rsid w:val="00683510"/>
    <w:rsid w:val="006845A7"/>
    <w:rsid w:val="0068650F"/>
    <w:rsid w:val="00692E72"/>
    <w:rsid w:val="00694C05"/>
    <w:rsid w:val="006A107A"/>
    <w:rsid w:val="006A194E"/>
    <w:rsid w:val="006A22B0"/>
    <w:rsid w:val="006A3920"/>
    <w:rsid w:val="006A4F12"/>
    <w:rsid w:val="006A5023"/>
    <w:rsid w:val="006A5D25"/>
    <w:rsid w:val="006A6896"/>
    <w:rsid w:val="006B0B06"/>
    <w:rsid w:val="006B554A"/>
    <w:rsid w:val="006C16B5"/>
    <w:rsid w:val="006C2905"/>
    <w:rsid w:val="006D308A"/>
    <w:rsid w:val="006D49BF"/>
    <w:rsid w:val="006D5F0D"/>
    <w:rsid w:val="006D75AE"/>
    <w:rsid w:val="006E1615"/>
    <w:rsid w:val="006E45EA"/>
    <w:rsid w:val="006E4EC8"/>
    <w:rsid w:val="006F023C"/>
    <w:rsid w:val="006F08D7"/>
    <w:rsid w:val="006F1488"/>
    <w:rsid w:val="006F405A"/>
    <w:rsid w:val="00701326"/>
    <w:rsid w:val="0070693F"/>
    <w:rsid w:val="007132F4"/>
    <w:rsid w:val="00714497"/>
    <w:rsid w:val="007157A8"/>
    <w:rsid w:val="007164BB"/>
    <w:rsid w:val="007212FF"/>
    <w:rsid w:val="00723678"/>
    <w:rsid w:val="00724A87"/>
    <w:rsid w:val="00727C06"/>
    <w:rsid w:val="00733859"/>
    <w:rsid w:val="00734E32"/>
    <w:rsid w:val="007427C5"/>
    <w:rsid w:val="00751184"/>
    <w:rsid w:val="00763A5E"/>
    <w:rsid w:val="00767ADF"/>
    <w:rsid w:val="0077461B"/>
    <w:rsid w:val="00775B44"/>
    <w:rsid w:val="0078179D"/>
    <w:rsid w:val="007821C2"/>
    <w:rsid w:val="00786353"/>
    <w:rsid w:val="0079315E"/>
    <w:rsid w:val="00793CFF"/>
    <w:rsid w:val="00795103"/>
    <w:rsid w:val="007A3550"/>
    <w:rsid w:val="007A463D"/>
    <w:rsid w:val="007A5D21"/>
    <w:rsid w:val="007A6B93"/>
    <w:rsid w:val="007B6E96"/>
    <w:rsid w:val="007B7962"/>
    <w:rsid w:val="007C04F1"/>
    <w:rsid w:val="007C2D2B"/>
    <w:rsid w:val="007C3E3B"/>
    <w:rsid w:val="007C4CF6"/>
    <w:rsid w:val="007C5614"/>
    <w:rsid w:val="007C738A"/>
    <w:rsid w:val="007D1D2C"/>
    <w:rsid w:val="007D1E9E"/>
    <w:rsid w:val="007D2E64"/>
    <w:rsid w:val="007D30AB"/>
    <w:rsid w:val="007D36F3"/>
    <w:rsid w:val="007D5161"/>
    <w:rsid w:val="007D5441"/>
    <w:rsid w:val="007E04C3"/>
    <w:rsid w:val="007E0C98"/>
    <w:rsid w:val="007E317F"/>
    <w:rsid w:val="007F11E4"/>
    <w:rsid w:val="007F2CB0"/>
    <w:rsid w:val="007F4768"/>
    <w:rsid w:val="00802512"/>
    <w:rsid w:val="00812761"/>
    <w:rsid w:val="008128B7"/>
    <w:rsid w:val="00814B39"/>
    <w:rsid w:val="008157A5"/>
    <w:rsid w:val="00821DB5"/>
    <w:rsid w:val="0082280D"/>
    <w:rsid w:val="00824077"/>
    <w:rsid w:val="0082792A"/>
    <w:rsid w:val="00831872"/>
    <w:rsid w:val="00832385"/>
    <w:rsid w:val="00833499"/>
    <w:rsid w:val="0083535F"/>
    <w:rsid w:val="008371AE"/>
    <w:rsid w:val="008374C1"/>
    <w:rsid w:val="00842AC7"/>
    <w:rsid w:val="00847308"/>
    <w:rsid w:val="008474EE"/>
    <w:rsid w:val="00854D34"/>
    <w:rsid w:val="008550CD"/>
    <w:rsid w:val="0086237E"/>
    <w:rsid w:val="008711CB"/>
    <w:rsid w:val="00874465"/>
    <w:rsid w:val="00876034"/>
    <w:rsid w:val="0087674A"/>
    <w:rsid w:val="00883373"/>
    <w:rsid w:val="0088519E"/>
    <w:rsid w:val="00890648"/>
    <w:rsid w:val="00890991"/>
    <w:rsid w:val="00891844"/>
    <w:rsid w:val="00894266"/>
    <w:rsid w:val="008972A1"/>
    <w:rsid w:val="008A051D"/>
    <w:rsid w:val="008A38CD"/>
    <w:rsid w:val="008A7024"/>
    <w:rsid w:val="008B2051"/>
    <w:rsid w:val="008C3577"/>
    <w:rsid w:val="008D1128"/>
    <w:rsid w:val="008D124C"/>
    <w:rsid w:val="008D7A8C"/>
    <w:rsid w:val="008E0455"/>
    <w:rsid w:val="008E09BD"/>
    <w:rsid w:val="008E2223"/>
    <w:rsid w:val="008E3593"/>
    <w:rsid w:val="008E5970"/>
    <w:rsid w:val="008F109C"/>
    <w:rsid w:val="008F3FB2"/>
    <w:rsid w:val="0090214D"/>
    <w:rsid w:val="009045E4"/>
    <w:rsid w:val="009048C3"/>
    <w:rsid w:val="00915DED"/>
    <w:rsid w:val="00926962"/>
    <w:rsid w:val="009279F0"/>
    <w:rsid w:val="00927FD8"/>
    <w:rsid w:val="00932230"/>
    <w:rsid w:val="00932321"/>
    <w:rsid w:val="00940353"/>
    <w:rsid w:val="009453DF"/>
    <w:rsid w:val="009503FB"/>
    <w:rsid w:val="00957296"/>
    <w:rsid w:val="009609D7"/>
    <w:rsid w:val="00963E3D"/>
    <w:rsid w:val="009640B6"/>
    <w:rsid w:val="00965564"/>
    <w:rsid w:val="00966064"/>
    <w:rsid w:val="00966AE0"/>
    <w:rsid w:val="009710A7"/>
    <w:rsid w:val="00972F64"/>
    <w:rsid w:val="00974C2D"/>
    <w:rsid w:val="009847AF"/>
    <w:rsid w:val="0099001F"/>
    <w:rsid w:val="00992F2C"/>
    <w:rsid w:val="00993CE6"/>
    <w:rsid w:val="00995EA7"/>
    <w:rsid w:val="00996DF4"/>
    <w:rsid w:val="009970E2"/>
    <w:rsid w:val="009A2C70"/>
    <w:rsid w:val="009A2CFD"/>
    <w:rsid w:val="009A48D8"/>
    <w:rsid w:val="009B06AF"/>
    <w:rsid w:val="009B12F6"/>
    <w:rsid w:val="009B7D11"/>
    <w:rsid w:val="009C1D58"/>
    <w:rsid w:val="009C2662"/>
    <w:rsid w:val="009C59D6"/>
    <w:rsid w:val="009D0B3A"/>
    <w:rsid w:val="009D6045"/>
    <w:rsid w:val="009E491F"/>
    <w:rsid w:val="009E4BE5"/>
    <w:rsid w:val="009E5C84"/>
    <w:rsid w:val="009E6E17"/>
    <w:rsid w:val="009E774E"/>
    <w:rsid w:val="009F0924"/>
    <w:rsid w:val="009F26D9"/>
    <w:rsid w:val="009F2EA7"/>
    <w:rsid w:val="009F4AE6"/>
    <w:rsid w:val="009F6749"/>
    <w:rsid w:val="00A03E4E"/>
    <w:rsid w:val="00A0400E"/>
    <w:rsid w:val="00A050E2"/>
    <w:rsid w:val="00A05A49"/>
    <w:rsid w:val="00A06776"/>
    <w:rsid w:val="00A11963"/>
    <w:rsid w:val="00A17D53"/>
    <w:rsid w:val="00A2357C"/>
    <w:rsid w:val="00A23B78"/>
    <w:rsid w:val="00A2478F"/>
    <w:rsid w:val="00A25500"/>
    <w:rsid w:val="00A256F9"/>
    <w:rsid w:val="00A2612F"/>
    <w:rsid w:val="00A263D4"/>
    <w:rsid w:val="00A2742F"/>
    <w:rsid w:val="00A278A7"/>
    <w:rsid w:val="00A31ECD"/>
    <w:rsid w:val="00A32A04"/>
    <w:rsid w:val="00A32B54"/>
    <w:rsid w:val="00A35684"/>
    <w:rsid w:val="00A3622C"/>
    <w:rsid w:val="00A4614E"/>
    <w:rsid w:val="00A47C45"/>
    <w:rsid w:val="00A57868"/>
    <w:rsid w:val="00A62AAC"/>
    <w:rsid w:val="00A643B8"/>
    <w:rsid w:val="00A73BB7"/>
    <w:rsid w:val="00A73EE7"/>
    <w:rsid w:val="00A768D4"/>
    <w:rsid w:val="00A80912"/>
    <w:rsid w:val="00A83117"/>
    <w:rsid w:val="00A86A52"/>
    <w:rsid w:val="00A9777D"/>
    <w:rsid w:val="00AA04C6"/>
    <w:rsid w:val="00AA0EB9"/>
    <w:rsid w:val="00AA1BA2"/>
    <w:rsid w:val="00AA531F"/>
    <w:rsid w:val="00AB1A29"/>
    <w:rsid w:val="00AB3276"/>
    <w:rsid w:val="00AB463F"/>
    <w:rsid w:val="00AB608B"/>
    <w:rsid w:val="00AC3174"/>
    <w:rsid w:val="00AC31D1"/>
    <w:rsid w:val="00AC3DDD"/>
    <w:rsid w:val="00AC6CA0"/>
    <w:rsid w:val="00AD3E0D"/>
    <w:rsid w:val="00AD7280"/>
    <w:rsid w:val="00AE252F"/>
    <w:rsid w:val="00AE2FE9"/>
    <w:rsid w:val="00AE4BF6"/>
    <w:rsid w:val="00AE5F62"/>
    <w:rsid w:val="00AE6840"/>
    <w:rsid w:val="00AE6AC8"/>
    <w:rsid w:val="00AF0C3A"/>
    <w:rsid w:val="00AF1010"/>
    <w:rsid w:val="00AF2546"/>
    <w:rsid w:val="00AF30D9"/>
    <w:rsid w:val="00AF54C9"/>
    <w:rsid w:val="00AF71A4"/>
    <w:rsid w:val="00B04786"/>
    <w:rsid w:val="00B061C6"/>
    <w:rsid w:val="00B13F3E"/>
    <w:rsid w:val="00B1481C"/>
    <w:rsid w:val="00B16399"/>
    <w:rsid w:val="00B2496A"/>
    <w:rsid w:val="00B25748"/>
    <w:rsid w:val="00B305A3"/>
    <w:rsid w:val="00B31145"/>
    <w:rsid w:val="00B37B21"/>
    <w:rsid w:val="00B453D8"/>
    <w:rsid w:val="00B459A4"/>
    <w:rsid w:val="00B53BBA"/>
    <w:rsid w:val="00B61523"/>
    <w:rsid w:val="00B64B65"/>
    <w:rsid w:val="00B70BDD"/>
    <w:rsid w:val="00B72BE8"/>
    <w:rsid w:val="00B73AE1"/>
    <w:rsid w:val="00B73EC4"/>
    <w:rsid w:val="00B73F5F"/>
    <w:rsid w:val="00B77659"/>
    <w:rsid w:val="00B83A21"/>
    <w:rsid w:val="00B84814"/>
    <w:rsid w:val="00B86095"/>
    <w:rsid w:val="00B95105"/>
    <w:rsid w:val="00BA07BB"/>
    <w:rsid w:val="00BA205C"/>
    <w:rsid w:val="00BA301B"/>
    <w:rsid w:val="00BA5874"/>
    <w:rsid w:val="00BA74DF"/>
    <w:rsid w:val="00BB0FDA"/>
    <w:rsid w:val="00BB1344"/>
    <w:rsid w:val="00BB21C1"/>
    <w:rsid w:val="00BB422D"/>
    <w:rsid w:val="00BB5672"/>
    <w:rsid w:val="00BC0D64"/>
    <w:rsid w:val="00BC1C05"/>
    <w:rsid w:val="00BC3E4F"/>
    <w:rsid w:val="00BC71B4"/>
    <w:rsid w:val="00BD00EF"/>
    <w:rsid w:val="00BD3538"/>
    <w:rsid w:val="00BE2D78"/>
    <w:rsid w:val="00BF23EE"/>
    <w:rsid w:val="00BF4D58"/>
    <w:rsid w:val="00C00D19"/>
    <w:rsid w:val="00C015D1"/>
    <w:rsid w:val="00C027F4"/>
    <w:rsid w:val="00C0434A"/>
    <w:rsid w:val="00C04A10"/>
    <w:rsid w:val="00C06073"/>
    <w:rsid w:val="00C07828"/>
    <w:rsid w:val="00C12C26"/>
    <w:rsid w:val="00C17C0C"/>
    <w:rsid w:val="00C22B14"/>
    <w:rsid w:val="00C25945"/>
    <w:rsid w:val="00C30A61"/>
    <w:rsid w:val="00C36823"/>
    <w:rsid w:val="00C36C94"/>
    <w:rsid w:val="00C40448"/>
    <w:rsid w:val="00C430E3"/>
    <w:rsid w:val="00C43AEB"/>
    <w:rsid w:val="00C503F3"/>
    <w:rsid w:val="00C51E9C"/>
    <w:rsid w:val="00C52F32"/>
    <w:rsid w:val="00C5306A"/>
    <w:rsid w:val="00C54765"/>
    <w:rsid w:val="00C554F2"/>
    <w:rsid w:val="00C610DC"/>
    <w:rsid w:val="00C70137"/>
    <w:rsid w:val="00C7626A"/>
    <w:rsid w:val="00C77C9D"/>
    <w:rsid w:val="00C809E9"/>
    <w:rsid w:val="00C91CAD"/>
    <w:rsid w:val="00C9406D"/>
    <w:rsid w:val="00C94D6A"/>
    <w:rsid w:val="00C966ED"/>
    <w:rsid w:val="00C96B87"/>
    <w:rsid w:val="00C97335"/>
    <w:rsid w:val="00CB180A"/>
    <w:rsid w:val="00CB21F8"/>
    <w:rsid w:val="00CB5088"/>
    <w:rsid w:val="00CB5662"/>
    <w:rsid w:val="00CB6FB1"/>
    <w:rsid w:val="00CC37D1"/>
    <w:rsid w:val="00CD0923"/>
    <w:rsid w:val="00CD1B6F"/>
    <w:rsid w:val="00CD2A69"/>
    <w:rsid w:val="00CD39A8"/>
    <w:rsid w:val="00CD5925"/>
    <w:rsid w:val="00CE0699"/>
    <w:rsid w:val="00CE7B73"/>
    <w:rsid w:val="00CF165A"/>
    <w:rsid w:val="00CF2542"/>
    <w:rsid w:val="00CF26B7"/>
    <w:rsid w:val="00CF7157"/>
    <w:rsid w:val="00D00584"/>
    <w:rsid w:val="00D10BB8"/>
    <w:rsid w:val="00D22652"/>
    <w:rsid w:val="00D27C5E"/>
    <w:rsid w:val="00D31356"/>
    <w:rsid w:val="00D35F7F"/>
    <w:rsid w:val="00D502DC"/>
    <w:rsid w:val="00D50EDD"/>
    <w:rsid w:val="00D5111D"/>
    <w:rsid w:val="00D52D20"/>
    <w:rsid w:val="00D55A1D"/>
    <w:rsid w:val="00D61442"/>
    <w:rsid w:val="00D64C76"/>
    <w:rsid w:val="00D6506A"/>
    <w:rsid w:val="00D72B98"/>
    <w:rsid w:val="00D76C36"/>
    <w:rsid w:val="00D77D60"/>
    <w:rsid w:val="00D80757"/>
    <w:rsid w:val="00D84945"/>
    <w:rsid w:val="00D84CF8"/>
    <w:rsid w:val="00D85C7F"/>
    <w:rsid w:val="00D87546"/>
    <w:rsid w:val="00D879C6"/>
    <w:rsid w:val="00D9220A"/>
    <w:rsid w:val="00D94968"/>
    <w:rsid w:val="00D95771"/>
    <w:rsid w:val="00D96842"/>
    <w:rsid w:val="00DA0681"/>
    <w:rsid w:val="00DA3E93"/>
    <w:rsid w:val="00DA3F6B"/>
    <w:rsid w:val="00DA4220"/>
    <w:rsid w:val="00DB5F1D"/>
    <w:rsid w:val="00DB7FA3"/>
    <w:rsid w:val="00DC01B6"/>
    <w:rsid w:val="00DC262D"/>
    <w:rsid w:val="00DC2688"/>
    <w:rsid w:val="00DC40C7"/>
    <w:rsid w:val="00DC785B"/>
    <w:rsid w:val="00DD7863"/>
    <w:rsid w:val="00DE30C8"/>
    <w:rsid w:val="00DE3C54"/>
    <w:rsid w:val="00DE4B8B"/>
    <w:rsid w:val="00DE7B53"/>
    <w:rsid w:val="00DE7E3D"/>
    <w:rsid w:val="00DF1354"/>
    <w:rsid w:val="00DF2011"/>
    <w:rsid w:val="00DF24C0"/>
    <w:rsid w:val="00DF6D77"/>
    <w:rsid w:val="00DF70B9"/>
    <w:rsid w:val="00E025EC"/>
    <w:rsid w:val="00E07ECF"/>
    <w:rsid w:val="00E11567"/>
    <w:rsid w:val="00E1222A"/>
    <w:rsid w:val="00E12259"/>
    <w:rsid w:val="00E1289E"/>
    <w:rsid w:val="00E12959"/>
    <w:rsid w:val="00E13205"/>
    <w:rsid w:val="00E17668"/>
    <w:rsid w:val="00E204E7"/>
    <w:rsid w:val="00E20624"/>
    <w:rsid w:val="00E207CA"/>
    <w:rsid w:val="00E2102E"/>
    <w:rsid w:val="00E2348F"/>
    <w:rsid w:val="00E23CFC"/>
    <w:rsid w:val="00E243A6"/>
    <w:rsid w:val="00E27C0E"/>
    <w:rsid w:val="00E34904"/>
    <w:rsid w:val="00E36C7A"/>
    <w:rsid w:val="00E3719D"/>
    <w:rsid w:val="00E37F8A"/>
    <w:rsid w:val="00E41262"/>
    <w:rsid w:val="00E45F72"/>
    <w:rsid w:val="00E47DD3"/>
    <w:rsid w:val="00E50619"/>
    <w:rsid w:val="00E52A89"/>
    <w:rsid w:val="00E5564D"/>
    <w:rsid w:val="00E56295"/>
    <w:rsid w:val="00E57CF2"/>
    <w:rsid w:val="00E60466"/>
    <w:rsid w:val="00E61193"/>
    <w:rsid w:val="00E62C30"/>
    <w:rsid w:val="00E637FA"/>
    <w:rsid w:val="00E64DE4"/>
    <w:rsid w:val="00E661FB"/>
    <w:rsid w:val="00E7085F"/>
    <w:rsid w:val="00E71667"/>
    <w:rsid w:val="00E73C68"/>
    <w:rsid w:val="00E74324"/>
    <w:rsid w:val="00E75AB2"/>
    <w:rsid w:val="00E75D58"/>
    <w:rsid w:val="00E8056B"/>
    <w:rsid w:val="00E80726"/>
    <w:rsid w:val="00E8331C"/>
    <w:rsid w:val="00E874E3"/>
    <w:rsid w:val="00E87950"/>
    <w:rsid w:val="00E91CB5"/>
    <w:rsid w:val="00E92150"/>
    <w:rsid w:val="00E92F1B"/>
    <w:rsid w:val="00E93156"/>
    <w:rsid w:val="00E93ED4"/>
    <w:rsid w:val="00E94F7E"/>
    <w:rsid w:val="00E96F1A"/>
    <w:rsid w:val="00E973EC"/>
    <w:rsid w:val="00EA0632"/>
    <w:rsid w:val="00EA38AC"/>
    <w:rsid w:val="00EA3FF0"/>
    <w:rsid w:val="00EB17EB"/>
    <w:rsid w:val="00EB3355"/>
    <w:rsid w:val="00EB339A"/>
    <w:rsid w:val="00EB78B4"/>
    <w:rsid w:val="00EC0BE3"/>
    <w:rsid w:val="00EC15B3"/>
    <w:rsid w:val="00EC3AEE"/>
    <w:rsid w:val="00EC7CFC"/>
    <w:rsid w:val="00EC7E78"/>
    <w:rsid w:val="00ED05C9"/>
    <w:rsid w:val="00ED121D"/>
    <w:rsid w:val="00ED1231"/>
    <w:rsid w:val="00ED37F0"/>
    <w:rsid w:val="00ED3ED0"/>
    <w:rsid w:val="00ED46E1"/>
    <w:rsid w:val="00ED4D44"/>
    <w:rsid w:val="00ED5B5A"/>
    <w:rsid w:val="00ED6EC6"/>
    <w:rsid w:val="00ED7348"/>
    <w:rsid w:val="00EE53AF"/>
    <w:rsid w:val="00EE6D0A"/>
    <w:rsid w:val="00EF079B"/>
    <w:rsid w:val="00EF1953"/>
    <w:rsid w:val="00EF455B"/>
    <w:rsid w:val="00EF4CA9"/>
    <w:rsid w:val="00EF4DE9"/>
    <w:rsid w:val="00EF7A96"/>
    <w:rsid w:val="00F027AD"/>
    <w:rsid w:val="00F077A7"/>
    <w:rsid w:val="00F121FF"/>
    <w:rsid w:val="00F20F67"/>
    <w:rsid w:val="00F23FFE"/>
    <w:rsid w:val="00F27604"/>
    <w:rsid w:val="00F30C12"/>
    <w:rsid w:val="00F311BB"/>
    <w:rsid w:val="00F3260F"/>
    <w:rsid w:val="00F338AF"/>
    <w:rsid w:val="00F35324"/>
    <w:rsid w:val="00F41154"/>
    <w:rsid w:val="00F41CC7"/>
    <w:rsid w:val="00F552AE"/>
    <w:rsid w:val="00F55344"/>
    <w:rsid w:val="00F55603"/>
    <w:rsid w:val="00F62AE6"/>
    <w:rsid w:val="00F64567"/>
    <w:rsid w:val="00F769C4"/>
    <w:rsid w:val="00F80003"/>
    <w:rsid w:val="00F85B69"/>
    <w:rsid w:val="00F8778A"/>
    <w:rsid w:val="00F90369"/>
    <w:rsid w:val="00F9227D"/>
    <w:rsid w:val="00F95709"/>
    <w:rsid w:val="00F9575F"/>
    <w:rsid w:val="00FA0208"/>
    <w:rsid w:val="00FA4F2B"/>
    <w:rsid w:val="00FA51B2"/>
    <w:rsid w:val="00FA60E4"/>
    <w:rsid w:val="00FA74C8"/>
    <w:rsid w:val="00FB0FDF"/>
    <w:rsid w:val="00FB753E"/>
    <w:rsid w:val="00FB7916"/>
    <w:rsid w:val="00FC3515"/>
    <w:rsid w:val="00FC3750"/>
    <w:rsid w:val="00FC4AC4"/>
    <w:rsid w:val="00FD3315"/>
    <w:rsid w:val="00FD57C8"/>
    <w:rsid w:val="00FE0E95"/>
    <w:rsid w:val="00FE19F2"/>
    <w:rsid w:val="00FE2D50"/>
    <w:rsid w:val="00FE4D43"/>
    <w:rsid w:val="00FF2B07"/>
    <w:rsid w:val="00FF7241"/>
    <w:rsid w:val="010109AE"/>
    <w:rsid w:val="010576FD"/>
    <w:rsid w:val="0118502B"/>
    <w:rsid w:val="01214D8F"/>
    <w:rsid w:val="012A5EB6"/>
    <w:rsid w:val="013D7B76"/>
    <w:rsid w:val="01536274"/>
    <w:rsid w:val="017C0E95"/>
    <w:rsid w:val="017C0EF4"/>
    <w:rsid w:val="01831B79"/>
    <w:rsid w:val="018933D7"/>
    <w:rsid w:val="01911514"/>
    <w:rsid w:val="01923F39"/>
    <w:rsid w:val="01A35013"/>
    <w:rsid w:val="01A53E88"/>
    <w:rsid w:val="01A97AEC"/>
    <w:rsid w:val="01D113CA"/>
    <w:rsid w:val="01E670D5"/>
    <w:rsid w:val="01EC48BE"/>
    <w:rsid w:val="01F40F97"/>
    <w:rsid w:val="02175CC3"/>
    <w:rsid w:val="02386205"/>
    <w:rsid w:val="02492244"/>
    <w:rsid w:val="02634AFC"/>
    <w:rsid w:val="026B40EC"/>
    <w:rsid w:val="027E20A8"/>
    <w:rsid w:val="027F17F7"/>
    <w:rsid w:val="02811E15"/>
    <w:rsid w:val="02887410"/>
    <w:rsid w:val="028A133C"/>
    <w:rsid w:val="02911CF3"/>
    <w:rsid w:val="029A56AC"/>
    <w:rsid w:val="02A3686D"/>
    <w:rsid w:val="02BE14D1"/>
    <w:rsid w:val="02DA485C"/>
    <w:rsid w:val="02DB104F"/>
    <w:rsid w:val="03011852"/>
    <w:rsid w:val="03087086"/>
    <w:rsid w:val="03091BEE"/>
    <w:rsid w:val="030A497D"/>
    <w:rsid w:val="030B6266"/>
    <w:rsid w:val="031574BE"/>
    <w:rsid w:val="03257B6A"/>
    <w:rsid w:val="03280AEE"/>
    <w:rsid w:val="032E1F77"/>
    <w:rsid w:val="033B6AAC"/>
    <w:rsid w:val="036453AD"/>
    <w:rsid w:val="038666F5"/>
    <w:rsid w:val="039C07E5"/>
    <w:rsid w:val="039E31B0"/>
    <w:rsid w:val="03A63068"/>
    <w:rsid w:val="03BC2D1F"/>
    <w:rsid w:val="03EC6F38"/>
    <w:rsid w:val="03FD65E4"/>
    <w:rsid w:val="04056C5C"/>
    <w:rsid w:val="041C3D7C"/>
    <w:rsid w:val="042E63C1"/>
    <w:rsid w:val="043C6B17"/>
    <w:rsid w:val="044B59E2"/>
    <w:rsid w:val="04566C10"/>
    <w:rsid w:val="04620F5F"/>
    <w:rsid w:val="04621BD8"/>
    <w:rsid w:val="048773AA"/>
    <w:rsid w:val="049B424A"/>
    <w:rsid w:val="04C93246"/>
    <w:rsid w:val="04DD6074"/>
    <w:rsid w:val="04E34E40"/>
    <w:rsid w:val="04E976D5"/>
    <w:rsid w:val="04F64F0E"/>
    <w:rsid w:val="04FA780B"/>
    <w:rsid w:val="050F790E"/>
    <w:rsid w:val="0515262D"/>
    <w:rsid w:val="05230637"/>
    <w:rsid w:val="05364A14"/>
    <w:rsid w:val="053D3D01"/>
    <w:rsid w:val="05445D91"/>
    <w:rsid w:val="055E6569"/>
    <w:rsid w:val="05650C1B"/>
    <w:rsid w:val="056A0376"/>
    <w:rsid w:val="056D6095"/>
    <w:rsid w:val="056E4CE6"/>
    <w:rsid w:val="057629C5"/>
    <w:rsid w:val="059565ED"/>
    <w:rsid w:val="059C1D3E"/>
    <w:rsid w:val="05B272CE"/>
    <w:rsid w:val="05BF1068"/>
    <w:rsid w:val="05C74421"/>
    <w:rsid w:val="05CB1CC4"/>
    <w:rsid w:val="05D7691B"/>
    <w:rsid w:val="05D907F4"/>
    <w:rsid w:val="05F17DCE"/>
    <w:rsid w:val="05F244BB"/>
    <w:rsid w:val="061E1B94"/>
    <w:rsid w:val="0622640F"/>
    <w:rsid w:val="06241596"/>
    <w:rsid w:val="06360FD7"/>
    <w:rsid w:val="063D7FE0"/>
    <w:rsid w:val="06607412"/>
    <w:rsid w:val="06750467"/>
    <w:rsid w:val="06753178"/>
    <w:rsid w:val="067E500B"/>
    <w:rsid w:val="067E7AA2"/>
    <w:rsid w:val="068B49D6"/>
    <w:rsid w:val="068D5AC0"/>
    <w:rsid w:val="06957C7F"/>
    <w:rsid w:val="06A00093"/>
    <w:rsid w:val="06AE03A6"/>
    <w:rsid w:val="070149ED"/>
    <w:rsid w:val="070276C7"/>
    <w:rsid w:val="07123185"/>
    <w:rsid w:val="07430FE0"/>
    <w:rsid w:val="074C4FE4"/>
    <w:rsid w:val="0754167C"/>
    <w:rsid w:val="075B47F0"/>
    <w:rsid w:val="077F5AC8"/>
    <w:rsid w:val="079D7FE9"/>
    <w:rsid w:val="07A03268"/>
    <w:rsid w:val="07B74AC7"/>
    <w:rsid w:val="07CC05D8"/>
    <w:rsid w:val="07E7797C"/>
    <w:rsid w:val="07F14180"/>
    <w:rsid w:val="080E21DF"/>
    <w:rsid w:val="08111F0D"/>
    <w:rsid w:val="0819779A"/>
    <w:rsid w:val="081E4EB5"/>
    <w:rsid w:val="081F7FEB"/>
    <w:rsid w:val="0821406E"/>
    <w:rsid w:val="082A44B1"/>
    <w:rsid w:val="082C3BB0"/>
    <w:rsid w:val="082C6762"/>
    <w:rsid w:val="083210FA"/>
    <w:rsid w:val="0863388F"/>
    <w:rsid w:val="086D46FA"/>
    <w:rsid w:val="087B4623"/>
    <w:rsid w:val="087C75BF"/>
    <w:rsid w:val="088C1CC8"/>
    <w:rsid w:val="08961D22"/>
    <w:rsid w:val="08A50767"/>
    <w:rsid w:val="08A72E27"/>
    <w:rsid w:val="08BA79E4"/>
    <w:rsid w:val="08BE66FB"/>
    <w:rsid w:val="08D07DD3"/>
    <w:rsid w:val="08DF64FD"/>
    <w:rsid w:val="08E105C1"/>
    <w:rsid w:val="08E30D66"/>
    <w:rsid w:val="08EF7240"/>
    <w:rsid w:val="08FB2758"/>
    <w:rsid w:val="08FE6230"/>
    <w:rsid w:val="090B0982"/>
    <w:rsid w:val="09215631"/>
    <w:rsid w:val="09243E27"/>
    <w:rsid w:val="09354DD2"/>
    <w:rsid w:val="093C093E"/>
    <w:rsid w:val="09510A50"/>
    <w:rsid w:val="095A396E"/>
    <w:rsid w:val="095D4496"/>
    <w:rsid w:val="095E31A1"/>
    <w:rsid w:val="09755111"/>
    <w:rsid w:val="09810915"/>
    <w:rsid w:val="09902FE9"/>
    <w:rsid w:val="09922036"/>
    <w:rsid w:val="099636CD"/>
    <w:rsid w:val="0999397B"/>
    <w:rsid w:val="099E4FA1"/>
    <w:rsid w:val="09A5404E"/>
    <w:rsid w:val="09A83AD0"/>
    <w:rsid w:val="09BC1A4A"/>
    <w:rsid w:val="09CD1CAA"/>
    <w:rsid w:val="09D36FD8"/>
    <w:rsid w:val="09E259C6"/>
    <w:rsid w:val="09ED541A"/>
    <w:rsid w:val="0A0539F8"/>
    <w:rsid w:val="0A0734BA"/>
    <w:rsid w:val="0A113B07"/>
    <w:rsid w:val="0A1B3165"/>
    <w:rsid w:val="0A340BCB"/>
    <w:rsid w:val="0A3C5E6F"/>
    <w:rsid w:val="0A4576DB"/>
    <w:rsid w:val="0A551A0A"/>
    <w:rsid w:val="0A5F6393"/>
    <w:rsid w:val="0A753833"/>
    <w:rsid w:val="0A774CB6"/>
    <w:rsid w:val="0A8A2DF3"/>
    <w:rsid w:val="0A9B73EF"/>
    <w:rsid w:val="0A9C2975"/>
    <w:rsid w:val="0A9F06CA"/>
    <w:rsid w:val="0AAA5CF5"/>
    <w:rsid w:val="0AB61D52"/>
    <w:rsid w:val="0ACC3705"/>
    <w:rsid w:val="0AD35762"/>
    <w:rsid w:val="0AD376D3"/>
    <w:rsid w:val="0AD86040"/>
    <w:rsid w:val="0AE142D3"/>
    <w:rsid w:val="0AF30648"/>
    <w:rsid w:val="0AF604E2"/>
    <w:rsid w:val="0B08424C"/>
    <w:rsid w:val="0B084565"/>
    <w:rsid w:val="0B087AA5"/>
    <w:rsid w:val="0B140D0F"/>
    <w:rsid w:val="0B1818D1"/>
    <w:rsid w:val="0B1947BD"/>
    <w:rsid w:val="0B1A23D2"/>
    <w:rsid w:val="0B1C1FC9"/>
    <w:rsid w:val="0B261F6D"/>
    <w:rsid w:val="0B3348DE"/>
    <w:rsid w:val="0B342484"/>
    <w:rsid w:val="0B3661A1"/>
    <w:rsid w:val="0B473417"/>
    <w:rsid w:val="0B6803D7"/>
    <w:rsid w:val="0B6A7D17"/>
    <w:rsid w:val="0B72270B"/>
    <w:rsid w:val="0B9537C9"/>
    <w:rsid w:val="0B963BC7"/>
    <w:rsid w:val="0B9960DD"/>
    <w:rsid w:val="0B9C5A5D"/>
    <w:rsid w:val="0BAB4DBC"/>
    <w:rsid w:val="0BAD643E"/>
    <w:rsid w:val="0BCF0C0B"/>
    <w:rsid w:val="0BD00188"/>
    <w:rsid w:val="0BD03BEF"/>
    <w:rsid w:val="0BD44CDD"/>
    <w:rsid w:val="0BD47724"/>
    <w:rsid w:val="0BFC5445"/>
    <w:rsid w:val="0C035463"/>
    <w:rsid w:val="0C0A0C3E"/>
    <w:rsid w:val="0C0C04AC"/>
    <w:rsid w:val="0C1649A2"/>
    <w:rsid w:val="0C284ED3"/>
    <w:rsid w:val="0C2A068E"/>
    <w:rsid w:val="0C375F42"/>
    <w:rsid w:val="0C416B1B"/>
    <w:rsid w:val="0C651042"/>
    <w:rsid w:val="0C67329B"/>
    <w:rsid w:val="0C6778F9"/>
    <w:rsid w:val="0C7E7D69"/>
    <w:rsid w:val="0C944330"/>
    <w:rsid w:val="0C977B85"/>
    <w:rsid w:val="0C9B53C0"/>
    <w:rsid w:val="0C9D5D2F"/>
    <w:rsid w:val="0CA17E4B"/>
    <w:rsid w:val="0CD70D1A"/>
    <w:rsid w:val="0CE410FC"/>
    <w:rsid w:val="0CE82E7D"/>
    <w:rsid w:val="0CEB2164"/>
    <w:rsid w:val="0CED3946"/>
    <w:rsid w:val="0CEE3982"/>
    <w:rsid w:val="0CFE636F"/>
    <w:rsid w:val="0D012A16"/>
    <w:rsid w:val="0D3535AA"/>
    <w:rsid w:val="0D591F81"/>
    <w:rsid w:val="0D6B41A7"/>
    <w:rsid w:val="0D844FB0"/>
    <w:rsid w:val="0D903407"/>
    <w:rsid w:val="0D9A6972"/>
    <w:rsid w:val="0D9B2C94"/>
    <w:rsid w:val="0DAE7673"/>
    <w:rsid w:val="0DAF68E7"/>
    <w:rsid w:val="0DB170C4"/>
    <w:rsid w:val="0DB241E0"/>
    <w:rsid w:val="0DBB2A66"/>
    <w:rsid w:val="0DBD6642"/>
    <w:rsid w:val="0E016505"/>
    <w:rsid w:val="0E1405D0"/>
    <w:rsid w:val="0E1529C0"/>
    <w:rsid w:val="0E182B48"/>
    <w:rsid w:val="0E1C1299"/>
    <w:rsid w:val="0E20519B"/>
    <w:rsid w:val="0E37626C"/>
    <w:rsid w:val="0E44220C"/>
    <w:rsid w:val="0E573A15"/>
    <w:rsid w:val="0E5805B2"/>
    <w:rsid w:val="0E664DB1"/>
    <w:rsid w:val="0E715015"/>
    <w:rsid w:val="0E747886"/>
    <w:rsid w:val="0E7D7A6E"/>
    <w:rsid w:val="0E823A62"/>
    <w:rsid w:val="0E960A10"/>
    <w:rsid w:val="0EBD16CF"/>
    <w:rsid w:val="0EC304F1"/>
    <w:rsid w:val="0ECA6616"/>
    <w:rsid w:val="0ED63951"/>
    <w:rsid w:val="0ED70216"/>
    <w:rsid w:val="0EDB10C6"/>
    <w:rsid w:val="0EED338F"/>
    <w:rsid w:val="0EEE5B5E"/>
    <w:rsid w:val="0EFD3F3D"/>
    <w:rsid w:val="0EFE2F29"/>
    <w:rsid w:val="0F0228CD"/>
    <w:rsid w:val="0F147F56"/>
    <w:rsid w:val="0F1722D4"/>
    <w:rsid w:val="0F2065EE"/>
    <w:rsid w:val="0F40356E"/>
    <w:rsid w:val="0F45369E"/>
    <w:rsid w:val="0F4E4871"/>
    <w:rsid w:val="0F67675F"/>
    <w:rsid w:val="0F67724C"/>
    <w:rsid w:val="0F68174D"/>
    <w:rsid w:val="0F6F4433"/>
    <w:rsid w:val="0F766C68"/>
    <w:rsid w:val="0F857FCE"/>
    <w:rsid w:val="0F8B3272"/>
    <w:rsid w:val="0F8B587C"/>
    <w:rsid w:val="0F9931F5"/>
    <w:rsid w:val="0F993632"/>
    <w:rsid w:val="0FAD0CF9"/>
    <w:rsid w:val="0FB86F8E"/>
    <w:rsid w:val="0FCC2BBB"/>
    <w:rsid w:val="0FEA00E8"/>
    <w:rsid w:val="0FF53BC7"/>
    <w:rsid w:val="0FFC4932"/>
    <w:rsid w:val="100831B9"/>
    <w:rsid w:val="100839FD"/>
    <w:rsid w:val="101024C2"/>
    <w:rsid w:val="101504F3"/>
    <w:rsid w:val="101F0E02"/>
    <w:rsid w:val="10245978"/>
    <w:rsid w:val="103A2984"/>
    <w:rsid w:val="103E15EE"/>
    <w:rsid w:val="10474C1C"/>
    <w:rsid w:val="105A48AB"/>
    <w:rsid w:val="10656F92"/>
    <w:rsid w:val="10875BC0"/>
    <w:rsid w:val="109610A6"/>
    <w:rsid w:val="1096176D"/>
    <w:rsid w:val="109B6A4C"/>
    <w:rsid w:val="109D22F7"/>
    <w:rsid w:val="109D6101"/>
    <w:rsid w:val="10A94C8B"/>
    <w:rsid w:val="10AA29CD"/>
    <w:rsid w:val="10AE0D35"/>
    <w:rsid w:val="10BF0091"/>
    <w:rsid w:val="10C0526C"/>
    <w:rsid w:val="10C706E7"/>
    <w:rsid w:val="10CC7A8E"/>
    <w:rsid w:val="10CE68AC"/>
    <w:rsid w:val="10D10E88"/>
    <w:rsid w:val="10D80DD3"/>
    <w:rsid w:val="10DE5E7C"/>
    <w:rsid w:val="10F35E62"/>
    <w:rsid w:val="10F53644"/>
    <w:rsid w:val="10FC0C03"/>
    <w:rsid w:val="10FE03D8"/>
    <w:rsid w:val="110A5F0B"/>
    <w:rsid w:val="110C6336"/>
    <w:rsid w:val="110E4E87"/>
    <w:rsid w:val="11196AE2"/>
    <w:rsid w:val="111F0B9E"/>
    <w:rsid w:val="11240D44"/>
    <w:rsid w:val="112A1C6B"/>
    <w:rsid w:val="112A5542"/>
    <w:rsid w:val="112F69DE"/>
    <w:rsid w:val="114143A2"/>
    <w:rsid w:val="11530FAA"/>
    <w:rsid w:val="11681F6A"/>
    <w:rsid w:val="116C300E"/>
    <w:rsid w:val="117D4B05"/>
    <w:rsid w:val="1180073E"/>
    <w:rsid w:val="118E015A"/>
    <w:rsid w:val="11910342"/>
    <w:rsid w:val="11AF54C8"/>
    <w:rsid w:val="11B47DB7"/>
    <w:rsid w:val="11CF33C8"/>
    <w:rsid w:val="11D26701"/>
    <w:rsid w:val="11DD27F1"/>
    <w:rsid w:val="11E373DE"/>
    <w:rsid w:val="11F030B8"/>
    <w:rsid w:val="12056FC0"/>
    <w:rsid w:val="12136527"/>
    <w:rsid w:val="121844B3"/>
    <w:rsid w:val="12252D44"/>
    <w:rsid w:val="123221C0"/>
    <w:rsid w:val="123D0A13"/>
    <w:rsid w:val="123E5E22"/>
    <w:rsid w:val="12491DC5"/>
    <w:rsid w:val="1261691B"/>
    <w:rsid w:val="1264661D"/>
    <w:rsid w:val="126E4303"/>
    <w:rsid w:val="12710C33"/>
    <w:rsid w:val="12907578"/>
    <w:rsid w:val="12966E1B"/>
    <w:rsid w:val="12AE4C53"/>
    <w:rsid w:val="12BB3E36"/>
    <w:rsid w:val="12E070F9"/>
    <w:rsid w:val="12EA2C3C"/>
    <w:rsid w:val="12FB5170"/>
    <w:rsid w:val="12FE0B37"/>
    <w:rsid w:val="130A62F8"/>
    <w:rsid w:val="13211379"/>
    <w:rsid w:val="13244701"/>
    <w:rsid w:val="1328023A"/>
    <w:rsid w:val="13336088"/>
    <w:rsid w:val="1334028E"/>
    <w:rsid w:val="133657FD"/>
    <w:rsid w:val="133C33F5"/>
    <w:rsid w:val="133D7EBC"/>
    <w:rsid w:val="133F1883"/>
    <w:rsid w:val="13482445"/>
    <w:rsid w:val="135043CD"/>
    <w:rsid w:val="135A4219"/>
    <w:rsid w:val="135B25EE"/>
    <w:rsid w:val="135C4AAB"/>
    <w:rsid w:val="13662376"/>
    <w:rsid w:val="138B2789"/>
    <w:rsid w:val="138B2A3E"/>
    <w:rsid w:val="13C7675A"/>
    <w:rsid w:val="13CD63CB"/>
    <w:rsid w:val="13D51DED"/>
    <w:rsid w:val="13DA5F88"/>
    <w:rsid w:val="13DE7E36"/>
    <w:rsid w:val="13E76BAD"/>
    <w:rsid w:val="13EB0CC8"/>
    <w:rsid w:val="13EC7D20"/>
    <w:rsid w:val="13FB756B"/>
    <w:rsid w:val="13FD7160"/>
    <w:rsid w:val="14032730"/>
    <w:rsid w:val="14071CCF"/>
    <w:rsid w:val="14225FD0"/>
    <w:rsid w:val="14251CB3"/>
    <w:rsid w:val="14314133"/>
    <w:rsid w:val="143368E6"/>
    <w:rsid w:val="14456A6D"/>
    <w:rsid w:val="144C2A69"/>
    <w:rsid w:val="14756A79"/>
    <w:rsid w:val="14801A26"/>
    <w:rsid w:val="1486781F"/>
    <w:rsid w:val="14903934"/>
    <w:rsid w:val="14AA6825"/>
    <w:rsid w:val="14B076FD"/>
    <w:rsid w:val="14B63D39"/>
    <w:rsid w:val="14CE0AFB"/>
    <w:rsid w:val="14D46D22"/>
    <w:rsid w:val="14E07109"/>
    <w:rsid w:val="14EB1F91"/>
    <w:rsid w:val="14F16A82"/>
    <w:rsid w:val="14FE398D"/>
    <w:rsid w:val="15090370"/>
    <w:rsid w:val="150C7CA1"/>
    <w:rsid w:val="151526FE"/>
    <w:rsid w:val="151805FF"/>
    <w:rsid w:val="151922B1"/>
    <w:rsid w:val="151B4B8B"/>
    <w:rsid w:val="152959E5"/>
    <w:rsid w:val="153201BE"/>
    <w:rsid w:val="153579FC"/>
    <w:rsid w:val="1536439B"/>
    <w:rsid w:val="1543499D"/>
    <w:rsid w:val="15483619"/>
    <w:rsid w:val="15595F0A"/>
    <w:rsid w:val="158936CA"/>
    <w:rsid w:val="15981002"/>
    <w:rsid w:val="159B67BE"/>
    <w:rsid w:val="15B71EC8"/>
    <w:rsid w:val="15C567CE"/>
    <w:rsid w:val="15CA7173"/>
    <w:rsid w:val="15DB5F65"/>
    <w:rsid w:val="15F570BD"/>
    <w:rsid w:val="160117E2"/>
    <w:rsid w:val="16117394"/>
    <w:rsid w:val="161269BB"/>
    <w:rsid w:val="16184D29"/>
    <w:rsid w:val="16392B17"/>
    <w:rsid w:val="1643219C"/>
    <w:rsid w:val="165517E6"/>
    <w:rsid w:val="165602F7"/>
    <w:rsid w:val="16590390"/>
    <w:rsid w:val="166041CE"/>
    <w:rsid w:val="1679637E"/>
    <w:rsid w:val="167A5BFE"/>
    <w:rsid w:val="168017CA"/>
    <w:rsid w:val="16950DFD"/>
    <w:rsid w:val="16B529F1"/>
    <w:rsid w:val="16C63AE1"/>
    <w:rsid w:val="16D3646B"/>
    <w:rsid w:val="16D70102"/>
    <w:rsid w:val="16DB7346"/>
    <w:rsid w:val="16E25BC7"/>
    <w:rsid w:val="16E66CA8"/>
    <w:rsid w:val="16F14633"/>
    <w:rsid w:val="16F501EB"/>
    <w:rsid w:val="16FB3CF3"/>
    <w:rsid w:val="170116A6"/>
    <w:rsid w:val="17047501"/>
    <w:rsid w:val="1722157F"/>
    <w:rsid w:val="172D0D7B"/>
    <w:rsid w:val="174247F3"/>
    <w:rsid w:val="174F2A9F"/>
    <w:rsid w:val="17666E8F"/>
    <w:rsid w:val="176F258A"/>
    <w:rsid w:val="17725E14"/>
    <w:rsid w:val="178D762C"/>
    <w:rsid w:val="178F79B5"/>
    <w:rsid w:val="17941423"/>
    <w:rsid w:val="17993591"/>
    <w:rsid w:val="17B1680F"/>
    <w:rsid w:val="17BD6364"/>
    <w:rsid w:val="17C302D1"/>
    <w:rsid w:val="17C45856"/>
    <w:rsid w:val="17C61402"/>
    <w:rsid w:val="17C661B9"/>
    <w:rsid w:val="17CD01B0"/>
    <w:rsid w:val="17D06A48"/>
    <w:rsid w:val="17D252AA"/>
    <w:rsid w:val="17D73602"/>
    <w:rsid w:val="17E70043"/>
    <w:rsid w:val="17EE50C1"/>
    <w:rsid w:val="17F43647"/>
    <w:rsid w:val="18067B9A"/>
    <w:rsid w:val="18102E51"/>
    <w:rsid w:val="18376B70"/>
    <w:rsid w:val="185201CB"/>
    <w:rsid w:val="186B26F9"/>
    <w:rsid w:val="1872588E"/>
    <w:rsid w:val="1877488D"/>
    <w:rsid w:val="187C6339"/>
    <w:rsid w:val="189158E2"/>
    <w:rsid w:val="18B86B34"/>
    <w:rsid w:val="18C6242E"/>
    <w:rsid w:val="18C809B6"/>
    <w:rsid w:val="18D530D5"/>
    <w:rsid w:val="18DD3AD1"/>
    <w:rsid w:val="18E40949"/>
    <w:rsid w:val="18ED571A"/>
    <w:rsid w:val="18F37798"/>
    <w:rsid w:val="18F620FA"/>
    <w:rsid w:val="18F910F0"/>
    <w:rsid w:val="18FD27AD"/>
    <w:rsid w:val="19025373"/>
    <w:rsid w:val="191A11BB"/>
    <w:rsid w:val="1923131F"/>
    <w:rsid w:val="19253B19"/>
    <w:rsid w:val="192A6A43"/>
    <w:rsid w:val="192C6462"/>
    <w:rsid w:val="19332341"/>
    <w:rsid w:val="194F327E"/>
    <w:rsid w:val="19566FD7"/>
    <w:rsid w:val="1958313B"/>
    <w:rsid w:val="196F11D7"/>
    <w:rsid w:val="197F6E60"/>
    <w:rsid w:val="198A7CD2"/>
    <w:rsid w:val="198D0068"/>
    <w:rsid w:val="19AD699B"/>
    <w:rsid w:val="19B0270B"/>
    <w:rsid w:val="19B95844"/>
    <w:rsid w:val="19BB1581"/>
    <w:rsid w:val="19BD2247"/>
    <w:rsid w:val="19C34052"/>
    <w:rsid w:val="19C473E6"/>
    <w:rsid w:val="19E77864"/>
    <w:rsid w:val="19F0567F"/>
    <w:rsid w:val="19F7143A"/>
    <w:rsid w:val="19FB4644"/>
    <w:rsid w:val="19FE425B"/>
    <w:rsid w:val="1A01733B"/>
    <w:rsid w:val="1A124C94"/>
    <w:rsid w:val="1A150658"/>
    <w:rsid w:val="1A283EE8"/>
    <w:rsid w:val="1A395F6D"/>
    <w:rsid w:val="1A3B61E8"/>
    <w:rsid w:val="1A6416A6"/>
    <w:rsid w:val="1A6932BF"/>
    <w:rsid w:val="1A7636DE"/>
    <w:rsid w:val="1A8F689F"/>
    <w:rsid w:val="1AA057C8"/>
    <w:rsid w:val="1AA55605"/>
    <w:rsid w:val="1AAE0171"/>
    <w:rsid w:val="1AB31AE8"/>
    <w:rsid w:val="1ABB07F6"/>
    <w:rsid w:val="1AD41399"/>
    <w:rsid w:val="1AE7709D"/>
    <w:rsid w:val="1AEC3207"/>
    <w:rsid w:val="1AF85D60"/>
    <w:rsid w:val="1AFD700F"/>
    <w:rsid w:val="1B23169D"/>
    <w:rsid w:val="1B261D69"/>
    <w:rsid w:val="1B283CC7"/>
    <w:rsid w:val="1B406A32"/>
    <w:rsid w:val="1B426468"/>
    <w:rsid w:val="1B4374DF"/>
    <w:rsid w:val="1B440441"/>
    <w:rsid w:val="1B4451BA"/>
    <w:rsid w:val="1B5E1F84"/>
    <w:rsid w:val="1BA05B02"/>
    <w:rsid w:val="1BA4516D"/>
    <w:rsid w:val="1BA96848"/>
    <w:rsid w:val="1BAD67AF"/>
    <w:rsid w:val="1BBC3ACA"/>
    <w:rsid w:val="1BC1691A"/>
    <w:rsid w:val="1BDC3BA4"/>
    <w:rsid w:val="1BEB3B02"/>
    <w:rsid w:val="1C0C391D"/>
    <w:rsid w:val="1C0D1A1F"/>
    <w:rsid w:val="1C127120"/>
    <w:rsid w:val="1C3B681A"/>
    <w:rsid w:val="1C4B4C53"/>
    <w:rsid w:val="1C4C37A8"/>
    <w:rsid w:val="1C4F639C"/>
    <w:rsid w:val="1C593DCA"/>
    <w:rsid w:val="1C5D283F"/>
    <w:rsid w:val="1C6310EA"/>
    <w:rsid w:val="1C725757"/>
    <w:rsid w:val="1C824ABE"/>
    <w:rsid w:val="1C895DA7"/>
    <w:rsid w:val="1C89709B"/>
    <w:rsid w:val="1C8C5D58"/>
    <w:rsid w:val="1C9A34C1"/>
    <w:rsid w:val="1CB4152A"/>
    <w:rsid w:val="1CEF7861"/>
    <w:rsid w:val="1CF0536D"/>
    <w:rsid w:val="1CFF5D14"/>
    <w:rsid w:val="1D000247"/>
    <w:rsid w:val="1D0754D1"/>
    <w:rsid w:val="1D174E6A"/>
    <w:rsid w:val="1D1C5EE0"/>
    <w:rsid w:val="1D241D81"/>
    <w:rsid w:val="1D380162"/>
    <w:rsid w:val="1D3A16D5"/>
    <w:rsid w:val="1D3C27B2"/>
    <w:rsid w:val="1D42443E"/>
    <w:rsid w:val="1D4B428F"/>
    <w:rsid w:val="1D677FC5"/>
    <w:rsid w:val="1D706CFB"/>
    <w:rsid w:val="1DA83BC9"/>
    <w:rsid w:val="1DC82FD6"/>
    <w:rsid w:val="1DC95FE2"/>
    <w:rsid w:val="1DCB797C"/>
    <w:rsid w:val="1DCE22F6"/>
    <w:rsid w:val="1DCF13B9"/>
    <w:rsid w:val="1DDB3113"/>
    <w:rsid w:val="1DEB7D24"/>
    <w:rsid w:val="1DEF3A2A"/>
    <w:rsid w:val="1DF35E3F"/>
    <w:rsid w:val="1DF839A4"/>
    <w:rsid w:val="1DFE07D9"/>
    <w:rsid w:val="1E070302"/>
    <w:rsid w:val="1E0C3AD2"/>
    <w:rsid w:val="1E1F7DE8"/>
    <w:rsid w:val="1E270F6A"/>
    <w:rsid w:val="1E2F447D"/>
    <w:rsid w:val="1E334369"/>
    <w:rsid w:val="1E36699E"/>
    <w:rsid w:val="1E4632EC"/>
    <w:rsid w:val="1E502C6A"/>
    <w:rsid w:val="1E522210"/>
    <w:rsid w:val="1E552489"/>
    <w:rsid w:val="1E5B28A6"/>
    <w:rsid w:val="1E620234"/>
    <w:rsid w:val="1E923ED0"/>
    <w:rsid w:val="1E951A8E"/>
    <w:rsid w:val="1EA62E6D"/>
    <w:rsid w:val="1EA81514"/>
    <w:rsid w:val="1EBD5517"/>
    <w:rsid w:val="1ED15B62"/>
    <w:rsid w:val="1ED50EC7"/>
    <w:rsid w:val="1EE37E04"/>
    <w:rsid w:val="1EEA29C8"/>
    <w:rsid w:val="1EF07DE1"/>
    <w:rsid w:val="1EF2438F"/>
    <w:rsid w:val="1EF24CCE"/>
    <w:rsid w:val="1EF37C05"/>
    <w:rsid w:val="1EF44AC8"/>
    <w:rsid w:val="1EFD6441"/>
    <w:rsid w:val="1F046AB5"/>
    <w:rsid w:val="1F046FBF"/>
    <w:rsid w:val="1F101167"/>
    <w:rsid w:val="1F112A4B"/>
    <w:rsid w:val="1F197B2F"/>
    <w:rsid w:val="1F4722EC"/>
    <w:rsid w:val="1F4C0D81"/>
    <w:rsid w:val="1F533349"/>
    <w:rsid w:val="1F5652AC"/>
    <w:rsid w:val="1F615A55"/>
    <w:rsid w:val="1F6707F1"/>
    <w:rsid w:val="1F6764C9"/>
    <w:rsid w:val="1F6F66A7"/>
    <w:rsid w:val="1F72557D"/>
    <w:rsid w:val="1F850BA0"/>
    <w:rsid w:val="1FAA5DDC"/>
    <w:rsid w:val="1FB807BB"/>
    <w:rsid w:val="1FCC1276"/>
    <w:rsid w:val="1FE17D2A"/>
    <w:rsid w:val="1FE87F35"/>
    <w:rsid w:val="20041F40"/>
    <w:rsid w:val="20080FF5"/>
    <w:rsid w:val="20155066"/>
    <w:rsid w:val="202C0E83"/>
    <w:rsid w:val="202F1B4C"/>
    <w:rsid w:val="20335707"/>
    <w:rsid w:val="204460BE"/>
    <w:rsid w:val="2064422D"/>
    <w:rsid w:val="207B35B3"/>
    <w:rsid w:val="20830D1E"/>
    <w:rsid w:val="20936044"/>
    <w:rsid w:val="20AC50FB"/>
    <w:rsid w:val="20BA224F"/>
    <w:rsid w:val="20D2328A"/>
    <w:rsid w:val="20E13082"/>
    <w:rsid w:val="20E214B2"/>
    <w:rsid w:val="20E50DD4"/>
    <w:rsid w:val="20ED086A"/>
    <w:rsid w:val="20F168E8"/>
    <w:rsid w:val="210159DC"/>
    <w:rsid w:val="21024FCE"/>
    <w:rsid w:val="210448FA"/>
    <w:rsid w:val="2114335C"/>
    <w:rsid w:val="21331DB1"/>
    <w:rsid w:val="213D0923"/>
    <w:rsid w:val="21414E4E"/>
    <w:rsid w:val="21503928"/>
    <w:rsid w:val="216512E0"/>
    <w:rsid w:val="21661585"/>
    <w:rsid w:val="21731794"/>
    <w:rsid w:val="217A05A8"/>
    <w:rsid w:val="219D0E63"/>
    <w:rsid w:val="21A40895"/>
    <w:rsid w:val="21A97314"/>
    <w:rsid w:val="21B2294E"/>
    <w:rsid w:val="21C35464"/>
    <w:rsid w:val="21C546BF"/>
    <w:rsid w:val="21D942B2"/>
    <w:rsid w:val="21DA0E1E"/>
    <w:rsid w:val="21E01370"/>
    <w:rsid w:val="21E161B6"/>
    <w:rsid w:val="21EC7844"/>
    <w:rsid w:val="21F05E39"/>
    <w:rsid w:val="21FD273B"/>
    <w:rsid w:val="22052DC5"/>
    <w:rsid w:val="22114EFC"/>
    <w:rsid w:val="2214710F"/>
    <w:rsid w:val="22266E45"/>
    <w:rsid w:val="22282297"/>
    <w:rsid w:val="22354961"/>
    <w:rsid w:val="223A7FB3"/>
    <w:rsid w:val="224750CA"/>
    <w:rsid w:val="22551183"/>
    <w:rsid w:val="22564E6B"/>
    <w:rsid w:val="226608B9"/>
    <w:rsid w:val="226A01EE"/>
    <w:rsid w:val="22776D10"/>
    <w:rsid w:val="22863CA8"/>
    <w:rsid w:val="229E3B36"/>
    <w:rsid w:val="22A20206"/>
    <w:rsid w:val="22B1561F"/>
    <w:rsid w:val="22B64ECB"/>
    <w:rsid w:val="22B811CB"/>
    <w:rsid w:val="22C16659"/>
    <w:rsid w:val="22C344E3"/>
    <w:rsid w:val="22CF286A"/>
    <w:rsid w:val="22E37192"/>
    <w:rsid w:val="22EA54FF"/>
    <w:rsid w:val="22EB1B91"/>
    <w:rsid w:val="22EC5307"/>
    <w:rsid w:val="22F26667"/>
    <w:rsid w:val="22FE6A74"/>
    <w:rsid w:val="230D31F6"/>
    <w:rsid w:val="23190E9C"/>
    <w:rsid w:val="23226C92"/>
    <w:rsid w:val="23233EA2"/>
    <w:rsid w:val="232A43C0"/>
    <w:rsid w:val="232D49A3"/>
    <w:rsid w:val="23607DE2"/>
    <w:rsid w:val="2366493C"/>
    <w:rsid w:val="236B0374"/>
    <w:rsid w:val="237A4FF1"/>
    <w:rsid w:val="238910E7"/>
    <w:rsid w:val="23910C1A"/>
    <w:rsid w:val="23935B71"/>
    <w:rsid w:val="239A6C76"/>
    <w:rsid w:val="239D182C"/>
    <w:rsid w:val="23AD4F01"/>
    <w:rsid w:val="23B5538A"/>
    <w:rsid w:val="23B74BFC"/>
    <w:rsid w:val="23B95F8F"/>
    <w:rsid w:val="23BE2751"/>
    <w:rsid w:val="23D16286"/>
    <w:rsid w:val="23DA620F"/>
    <w:rsid w:val="23E12BEE"/>
    <w:rsid w:val="23E24DD3"/>
    <w:rsid w:val="23ED4EDC"/>
    <w:rsid w:val="24061E01"/>
    <w:rsid w:val="241B6C18"/>
    <w:rsid w:val="244947D0"/>
    <w:rsid w:val="2459792B"/>
    <w:rsid w:val="246F5418"/>
    <w:rsid w:val="2472475B"/>
    <w:rsid w:val="248A2D70"/>
    <w:rsid w:val="24911D0D"/>
    <w:rsid w:val="24915207"/>
    <w:rsid w:val="249B0F8A"/>
    <w:rsid w:val="24A40F9F"/>
    <w:rsid w:val="24AF208D"/>
    <w:rsid w:val="24C056BD"/>
    <w:rsid w:val="24C94CDB"/>
    <w:rsid w:val="24D171E9"/>
    <w:rsid w:val="24D763E4"/>
    <w:rsid w:val="24DA2AF9"/>
    <w:rsid w:val="24DB5644"/>
    <w:rsid w:val="24DF1699"/>
    <w:rsid w:val="24E94952"/>
    <w:rsid w:val="24ED12D7"/>
    <w:rsid w:val="24F02145"/>
    <w:rsid w:val="24FA3C2F"/>
    <w:rsid w:val="250C13F0"/>
    <w:rsid w:val="25135EFF"/>
    <w:rsid w:val="251604DE"/>
    <w:rsid w:val="25205075"/>
    <w:rsid w:val="25357475"/>
    <w:rsid w:val="253C3897"/>
    <w:rsid w:val="25410606"/>
    <w:rsid w:val="25433A5C"/>
    <w:rsid w:val="2546015B"/>
    <w:rsid w:val="2547698A"/>
    <w:rsid w:val="25593A27"/>
    <w:rsid w:val="25687BD7"/>
    <w:rsid w:val="256B615B"/>
    <w:rsid w:val="256C171F"/>
    <w:rsid w:val="2588021E"/>
    <w:rsid w:val="25917669"/>
    <w:rsid w:val="25A6334E"/>
    <w:rsid w:val="25AB758B"/>
    <w:rsid w:val="25B3069D"/>
    <w:rsid w:val="25B516E0"/>
    <w:rsid w:val="25B924F3"/>
    <w:rsid w:val="25C57053"/>
    <w:rsid w:val="25C63637"/>
    <w:rsid w:val="25E07E46"/>
    <w:rsid w:val="25F46A11"/>
    <w:rsid w:val="2602641F"/>
    <w:rsid w:val="2605381D"/>
    <w:rsid w:val="26197026"/>
    <w:rsid w:val="26272DCE"/>
    <w:rsid w:val="26282E39"/>
    <w:rsid w:val="26337C4D"/>
    <w:rsid w:val="26430DD2"/>
    <w:rsid w:val="265F0CE8"/>
    <w:rsid w:val="2664739D"/>
    <w:rsid w:val="26796244"/>
    <w:rsid w:val="268403AC"/>
    <w:rsid w:val="268C786C"/>
    <w:rsid w:val="268E2EAD"/>
    <w:rsid w:val="26916EFB"/>
    <w:rsid w:val="269E5908"/>
    <w:rsid w:val="26AB5672"/>
    <w:rsid w:val="26AF3189"/>
    <w:rsid w:val="26B31A18"/>
    <w:rsid w:val="26B52136"/>
    <w:rsid w:val="26CC79EB"/>
    <w:rsid w:val="26D46F92"/>
    <w:rsid w:val="26DF5908"/>
    <w:rsid w:val="26E05F2F"/>
    <w:rsid w:val="26E53552"/>
    <w:rsid w:val="26EC70D9"/>
    <w:rsid w:val="26EF794F"/>
    <w:rsid w:val="26F472C2"/>
    <w:rsid w:val="27001050"/>
    <w:rsid w:val="27021C55"/>
    <w:rsid w:val="27134BA0"/>
    <w:rsid w:val="27186205"/>
    <w:rsid w:val="272C2B1D"/>
    <w:rsid w:val="273B4FF0"/>
    <w:rsid w:val="27455AC0"/>
    <w:rsid w:val="274E56B5"/>
    <w:rsid w:val="2750455A"/>
    <w:rsid w:val="27654B07"/>
    <w:rsid w:val="276714B9"/>
    <w:rsid w:val="27762449"/>
    <w:rsid w:val="277A0927"/>
    <w:rsid w:val="277D38D4"/>
    <w:rsid w:val="2793699B"/>
    <w:rsid w:val="27C051F5"/>
    <w:rsid w:val="27C938F0"/>
    <w:rsid w:val="27CF0CF1"/>
    <w:rsid w:val="27D3549C"/>
    <w:rsid w:val="27F5401C"/>
    <w:rsid w:val="27FE087F"/>
    <w:rsid w:val="280023AD"/>
    <w:rsid w:val="280C51FF"/>
    <w:rsid w:val="280E29C8"/>
    <w:rsid w:val="282E701E"/>
    <w:rsid w:val="283B0B46"/>
    <w:rsid w:val="28405372"/>
    <w:rsid w:val="28405D2C"/>
    <w:rsid w:val="28413CE8"/>
    <w:rsid w:val="28427D28"/>
    <w:rsid w:val="284F698C"/>
    <w:rsid w:val="28501836"/>
    <w:rsid w:val="285506E9"/>
    <w:rsid w:val="285E4148"/>
    <w:rsid w:val="28610884"/>
    <w:rsid w:val="28634650"/>
    <w:rsid w:val="28653B56"/>
    <w:rsid w:val="287857D1"/>
    <w:rsid w:val="287C4156"/>
    <w:rsid w:val="28896418"/>
    <w:rsid w:val="289C012A"/>
    <w:rsid w:val="289E2591"/>
    <w:rsid w:val="28A96755"/>
    <w:rsid w:val="28AA4623"/>
    <w:rsid w:val="28AC0391"/>
    <w:rsid w:val="28B8314A"/>
    <w:rsid w:val="28B8343F"/>
    <w:rsid w:val="28B94621"/>
    <w:rsid w:val="28BB5D4B"/>
    <w:rsid w:val="28BC1F72"/>
    <w:rsid w:val="28D83E85"/>
    <w:rsid w:val="28E53AB9"/>
    <w:rsid w:val="28F10F44"/>
    <w:rsid w:val="28F71863"/>
    <w:rsid w:val="290E6D95"/>
    <w:rsid w:val="291D1716"/>
    <w:rsid w:val="292329D0"/>
    <w:rsid w:val="29415CCC"/>
    <w:rsid w:val="29510512"/>
    <w:rsid w:val="2956613E"/>
    <w:rsid w:val="29651171"/>
    <w:rsid w:val="29665177"/>
    <w:rsid w:val="296963EC"/>
    <w:rsid w:val="29757460"/>
    <w:rsid w:val="297914B7"/>
    <w:rsid w:val="29946A38"/>
    <w:rsid w:val="29B9323B"/>
    <w:rsid w:val="29DA79E7"/>
    <w:rsid w:val="29E21E97"/>
    <w:rsid w:val="29E63DA7"/>
    <w:rsid w:val="29EA5434"/>
    <w:rsid w:val="29ED4157"/>
    <w:rsid w:val="29F350EC"/>
    <w:rsid w:val="29F500DC"/>
    <w:rsid w:val="2A171D73"/>
    <w:rsid w:val="2A1831C5"/>
    <w:rsid w:val="2A1B0605"/>
    <w:rsid w:val="2A1B3B33"/>
    <w:rsid w:val="2A2D3310"/>
    <w:rsid w:val="2A33048C"/>
    <w:rsid w:val="2A3D5441"/>
    <w:rsid w:val="2A3E6907"/>
    <w:rsid w:val="2A4F21E5"/>
    <w:rsid w:val="2A50295E"/>
    <w:rsid w:val="2A5B6D98"/>
    <w:rsid w:val="2A817B2F"/>
    <w:rsid w:val="2A894439"/>
    <w:rsid w:val="2A90173C"/>
    <w:rsid w:val="2ABF1A03"/>
    <w:rsid w:val="2AC1519C"/>
    <w:rsid w:val="2AC3330D"/>
    <w:rsid w:val="2AD72BA9"/>
    <w:rsid w:val="2ADF65DA"/>
    <w:rsid w:val="2AE568ED"/>
    <w:rsid w:val="2AEE4ADC"/>
    <w:rsid w:val="2AFC48FC"/>
    <w:rsid w:val="2AFF2B21"/>
    <w:rsid w:val="2AFF2BAA"/>
    <w:rsid w:val="2B026E03"/>
    <w:rsid w:val="2B1D22CA"/>
    <w:rsid w:val="2B4B1FFE"/>
    <w:rsid w:val="2B531C96"/>
    <w:rsid w:val="2B5C3E79"/>
    <w:rsid w:val="2B66688B"/>
    <w:rsid w:val="2B6916F0"/>
    <w:rsid w:val="2B7328B9"/>
    <w:rsid w:val="2B81797B"/>
    <w:rsid w:val="2B825104"/>
    <w:rsid w:val="2B9605DB"/>
    <w:rsid w:val="2BB3728F"/>
    <w:rsid w:val="2BBC60CA"/>
    <w:rsid w:val="2BCE7263"/>
    <w:rsid w:val="2BE12008"/>
    <w:rsid w:val="2BE82B52"/>
    <w:rsid w:val="2BF11EC9"/>
    <w:rsid w:val="2BFC3883"/>
    <w:rsid w:val="2C0404B3"/>
    <w:rsid w:val="2C0559CB"/>
    <w:rsid w:val="2C331FAA"/>
    <w:rsid w:val="2C340FFB"/>
    <w:rsid w:val="2C5A3BCD"/>
    <w:rsid w:val="2C5F110B"/>
    <w:rsid w:val="2C69046C"/>
    <w:rsid w:val="2C702D4F"/>
    <w:rsid w:val="2C714EF1"/>
    <w:rsid w:val="2C963BB6"/>
    <w:rsid w:val="2C9B6EAF"/>
    <w:rsid w:val="2C9C24ED"/>
    <w:rsid w:val="2C9F3C2D"/>
    <w:rsid w:val="2CA95524"/>
    <w:rsid w:val="2CA9575E"/>
    <w:rsid w:val="2CAA142C"/>
    <w:rsid w:val="2CAD4B44"/>
    <w:rsid w:val="2CBC76DD"/>
    <w:rsid w:val="2CBE5537"/>
    <w:rsid w:val="2CCB5FD0"/>
    <w:rsid w:val="2CFD0320"/>
    <w:rsid w:val="2D042E32"/>
    <w:rsid w:val="2D063373"/>
    <w:rsid w:val="2D2F5A8D"/>
    <w:rsid w:val="2D4D3BE5"/>
    <w:rsid w:val="2D647FE4"/>
    <w:rsid w:val="2D712CE9"/>
    <w:rsid w:val="2D75018C"/>
    <w:rsid w:val="2D8A43D9"/>
    <w:rsid w:val="2D8B7E40"/>
    <w:rsid w:val="2D8F3AFF"/>
    <w:rsid w:val="2D9C3A29"/>
    <w:rsid w:val="2D9E7D36"/>
    <w:rsid w:val="2D9F2329"/>
    <w:rsid w:val="2DBE4508"/>
    <w:rsid w:val="2DBF5DAB"/>
    <w:rsid w:val="2DCA047B"/>
    <w:rsid w:val="2DCA18FD"/>
    <w:rsid w:val="2DCE7F47"/>
    <w:rsid w:val="2DEE0187"/>
    <w:rsid w:val="2DF41055"/>
    <w:rsid w:val="2E0777D8"/>
    <w:rsid w:val="2E220FCB"/>
    <w:rsid w:val="2E2720D5"/>
    <w:rsid w:val="2E297EB4"/>
    <w:rsid w:val="2E331558"/>
    <w:rsid w:val="2E417A7E"/>
    <w:rsid w:val="2E431353"/>
    <w:rsid w:val="2E466FBC"/>
    <w:rsid w:val="2E4E18AB"/>
    <w:rsid w:val="2E5844D8"/>
    <w:rsid w:val="2E6226C0"/>
    <w:rsid w:val="2E785580"/>
    <w:rsid w:val="2E825633"/>
    <w:rsid w:val="2EB2167B"/>
    <w:rsid w:val="2EBD37BD"/>
    <w:rsid w:val="2EC23F3E"/>
    <w:rsid w:val="2EC8793D"/>
    <w:rsid w:val="2ECC492C"/>
    <w:rsid w:val="2EDD100F"/>
    <w:rsid w:val="2F226BAA"/>
    <w:rsid w:val="2F25290C"/>
    <w:rsid w:val="2F4C24E7"/>
    <w:rsid w:val="2F5200BF"/>
    <w:rsid w:val="2F5F7F2A"/>
    <w:rsid w:val="2F623B2A"/>
    <w:rsid w:val="2F975AB4"/>
    <w:rsid w:val="2FA21587"/>
    <w:rsid w:val="2FA64CBD"/>
    <w:rsid w:val="2FAA4DE4"/>
    <w:rsid w:val="2FC90C17"/>
    <w:rsid w:val="2FD50970"/>
    <w:rsid w:val="2FD94EFF"/>
    <w:rsid w:val="301B0E2D"/>
    <w:rsid w:val="30470FC3"/>
    <w:rsid w:val="304E6CCE"/>
    <w:rsid w:val="3058721A"/>
    <w:rsid w:val="305F61ED"/>
    <w:rsid w:val="30662AE1"/>
    <w:rsid w:val="306D418E"/>
    <w:rsid w:val="307F57E0"/>
    <w:rsid w:val="3091782D"/>
    <w:rsid w:val="30917C94"/>
    <w:rsid w:val="309F5952"/>
    <w:rsid w:val="309F6614"/>
    <w:rsid w:val="30AC06DB"/>
    <w:rsid w:val="30C044B7"/>
    <w:rsid w:val="30C23ADA"/>
    <w:rsid w:val="30C46C67"/>
    <w:rsid w:val="30C9617D"/>
    <w:rsid w:val="30E156D9"/>
    <w:rsid w:val="30F57494"/>
    <w:rsid w:val="30F80708"/>
    <w:rsid w:val="30F80DE7"/>
    <w:rsid w:val="30F853DF"/>
    <w:rsid w:val="31177CB4"/>
    <w:rsid w:val="313C09E7"/>
    <w:rsid w:val="3167764F"/>
    <w:rsid w:val="3171263F"/>
    <w:rsid w:val="319E69A1"/>
    <w:rsid w:val="31AB152A"/>
    <w:rsid w:val="31BE6501"/>
    <w:rsid w:val="31C3579A"/>
    <w:rsid w:val="31CF483D"/>
    <w:rsid w:val="31DF58A9"/>
    <w:rsid w:val="31E6247F"/>
    <w:rsid w:val="31ED2B17"/>
    <w:rsid w:val="31FA4F68"/>
    <w:rsid w:val="32177C83"/>
    <w:rsid w:val="322847F8"/>
    <w:rsid w:val="32386C71"/>
    <w:rsid w:val="32617BB1"/>
    <w:rsid w:val="326207A8"/>
    <w:rsid w:val="32690D38"/>
    <w:rsid w:val="3270384E"/>
    <w:rsid w:val="32724DD0"/>
    <w:rsid w:val="3275447A"/>
    <w:rsid w:val="327627D0"/>
    <w:rsid w:val="327D7BAC"/>
    <w:rsid w:val="32911CEC"/>
    <w:rsid w:val="329A1D0C"/>
    <w:rsid w:val="329D373B"/>
    <w:rsid w:val="329D7FDA"/>
    <w:rsid w:val="329E7C27"/>
    <w:rsid w:val="32AA07AD"/>
    <w:rsid w:val="32B32C67"/>
    <w:rsid w:val="32C166CE"/>
    <w:rsid w:val="32C67BFD"/>
    <w:rsid w:val="32CB171C"/>
    <w:rsid w:val="32CE5DB1"/>
    <w:rsid w:val="32D5500B"/>
    <w:rsid w:val="32D917DF"/>
    <w:rsid w:val="32EC4621"/>
    <w:rsid w:val="32F81F91"/>
    <w:rsid w:val="32F96543"/>
    <w:rsid w:val="33022C64"/>
    <w:rsid w:val="330B1C74"/>
    <w:rsid w:val="33184710"/>
    <w:rsid w:val="331D5DFF"/>
    <w:rsid w:val="33316A4F"/>
    <w:rsid w:val="33427F25"/>
    <w:rsid w:val="33557C7F"/>
    <w:rsid w:val="33566D43"/>
    <w:rsid w:val="335B5F60"/>
    <w:rsid w:val="33667330"/>
    <w:rsid w:val="33680FC2"/>
    <w:rsid w:val="336B6871"/>
    <w:rsid w:val="33724670"/>
    <w:rsid w:val="337B0641"/>
    <w:rsid w:val="338327B8"/>
    <w:rsid w:val="338A1331"/>
    <w:rsid w:val="339A28FA"/>
    <w:rsid w:val="339A69BA"/>
    <w:rsid w:val="339C373D"/>
    <w:rsid w:val="33A67485"/>
    <w:rsid w:val="33C61EE3"/>
    <w:rsid w:val="33CA680E"/>
    <w:rsid w:val="33E056E4"/>
    <w:rsid w:val="33ED2E8E"/>
    <w:rsid w:val="33F24339"/>
    <w:rsid w:val="33F30699"/>
    <w:rsid w:val="34096012"/>
    <w:rsid w:val="341A3775"/>
    <w:rsid w:val="3427048B"/>
    <w:rsid w:val="342B0B46"/>
    <w:rsid w:val="342F67E2"/>
    <w:rsid w:val="343100DE"/>
    <w:rsid w:val="344062C5"/>
    <w:rsid w:val="3468644E"/>
    <w:rsid w:val="34774220"/>
    <w:rsid w:val="34786031"/>
    <w:rsid w:val="34790CCA"/>
    <w:rsid w:val="34802C55"/>
    <w:rsid w:val="348818E1"/>
    <w:rsid w:val="349B7114"/>
    <w:rsid w:val="34B16F79"/>
    <w:rsid w:val="34B24B67"/>
    <w:rsid w:val="34B33A46"/>
    <w:rsid w:val="34BE4682"/>
    <w:rsid w:val="34C62076"/>
    <w:rsid w:val="34CA0368"/>
    <w:rsid w:val="34DC751A"/>
    <w:rsid w:val="34DE547F"/>
    <w:rsid w:val="34E152BB"/>
    <w:rsid w:val="34EE0933"/>
    <w:rsid w:val="34EE299B"/>
    <w:rsid w:val="34EF3DA5"/>
    <w:rsid w:val="34F0618E"/>
    <w:rsid w:val="34F4508A"/>
    <w:rsid w:val="351D03B9"/>
    <w:rsid w:val="351F0FD5"/>
    <w:rsid w:val="3521584D"/>
    <w:rsid w:val="352A505E"/>
    <w:rsid w:val="35380D04"/>
    <w:rsid w:val="353E4427"/>
    <w:rsid w:val="35463A58"/>
    <w:rsid w:val="3552355C"/>
    <w:rsid w:val="35727C93"/>
    <w:rsid w:val="358B073C"/>
    <w:rsid w:val="359A11EC"/>
    <w:rsid w:val="359A58E9"/>
    <w:rsid w:val="359F6294"/>
    <w:rsid w:val="35B53B72"/>
    <w:rsid w:val="35CA3765"/>
    <w:rsid w:val="35CF30D3"/>
    <w:rsid w:val="35D82C04"/>
    <w:rsid w:val="35E32C50"/>
    <w:rsid w:val="35E47B4B"/>
    <w:rsid w:val="35E97749"/>
    <w:rsid w:val="35EF5351"/>
    <w:rsid w:val="36024C1A"/>
    <w:rsid w:val="36223A6C"/>
    <w:rsid w:val="36265794"/>
    <w:rsid w:val="3628579D"/>
    <w:rsid w:val="36375B5A"/>
    <w:rsid w:val="36495B55"/>
    <w:rsid w:val="3655331B"/>
    <w:rsid w:val="366118FB"/>
    <w:rsid w:val="36611FC3"/>
    <w:rsid w:val="36706B22"/>
    <w:rsid w:val="36781311"/>
    <w:rsid w:val="367A6444"/>
    <w:rsid w:val="368A0758"/>
    <w:rsid w:val="36AC6F16"/>
    <w:rsid w:val="36AD4FEA"/>
    <w:rsid w:val="36C81818"/>
    <w:rsid w:val="36D35CEA"/>
    <w:rsid w:val="36F65C6F"/>
    <w:rsid w:val="36F77E93"/>
    <w:rsid w:val="36FB0504"/>
    <w:rsid w:val="36FC51EA"/>
    <w:rsid w:val="37040AB5"/>
    <w:rsid w:val="371D4C8E"/>
    <w:rsid w:val="37287433"/>
    <w:rsid w:val="372E062F"/>
    <w:rsid w:val="37327918"/>
    <w:rsid w:val="373C1EC0"/>
    <w:rsid w:val="37402797"/>
    <w:rsid w:val="37431F15"/>
    <w:rsid w:val="37491BB0"/>
    <w:rsid w:val="374A457D"/>
    <w:rsid w:val="3759647E"/>
    <w:rsid w:val="37596543"/>
    <w:rsid w:val="375D0316"/>
    <w:rsid w:val="377D3A06"/>
    <w:rsid w:val="378C73DC"/>
    <w:rsid w:val="37946DB0"/>
    <w:rsid w:val="379F42DA"/>
    <w:rsid w:val="37A415BD"/>
    <w:rsid w:val="37BF130A"/>
    <w:rsid w:val="37D13825"/>
    <w:rsid w:val="37D5093C"/>
    <w:rsid w:val="37DD3E19"/>
    <w:rsid w:val="37E33F70"/>
    <w:rsid w:val="37ED1AD8"/>
    <w:rsid w:val="37EE0866"/>
    <w:rsid w:val="37F81029"/>
    <w:rsid w:val="37F90EC5"/>
    <w:rsid w:val="37FD51B8"/>
    <w:rsid w:val="37FE1A05"/>
    <w:rsid w:val="380C6E1C"/>
    <w:rsid w:val="381C0DB3"/>
    <w:rsid w:val="381E7F09"/>
    <w:rsid w:val="38220D76"/>
    <w:rsid w:val="38243E74"/>
    <w:rsid w:val="3836636B"/>
    <w:rsid w:val="383933CD"/>
    <w:rsid w:val="38412981"/>
    <w:rsid w:val="38537D7B"/>
    <w:rsid w:val="385A2199"/>
    <w:rsid w:val="385E0B2F"/>
    <w:rsid w:val="38847461"/>
    <w:rsid w:val="3888043B"/>
    <w:rsid w:val="389117F0"/>
    <w:rsid w:val="38BA51F1"/>
    <w:rsid w:val="38BB25BA"/>
    <w:rsid w:val="38BF0A78"/>
    <w:rsid w:val="38D737E0"/>
    <w:rsid w:val="38D83E1C"/>
    <w:rsid w:val="38DE7C51"/>
    <w:rsid w:val="38E6065D"/>
    <w:rsid w:val="38EA4339"/>
    <w:rsid w:val="38F64B48"/>
    <w:rsid w:val="38FA0FAD"/>
    <w:rsid w:val="39005A92"/>
    <w:rsid w:val="391541A4"/>
    <w:rsid w:val="39162A46"/>
    <w:rsid w:val="3923489A"/>
    <w:rsid w:val="39282756"/>
    <w:rsid w:val="392B1AC9"/>
    <w:rsid w:val="39302DDF"/>
    <w:rsid w:val="39330AD4"/>
    <w:rsid w:val="39403992"/>
    <w:rsid w:val="39437CF0"/>
    <w:rsid w:val="39455C92"/>
    <w:rsid w:val="395174D1"/>
    <w:rsid w:val="395223C2"/>
    <w:rsid w:val="396A3EFF"/>
    <w:rsid w:val="39902C7F"/>
    <w:rsid w:val="39984A16"/>
    <w:rsid w:val="39A2212A"/>
    <w:rsid w:val="39B21596"/>
    <w:rsid w:val="39B95F0E"/>
    <w:rsid w:val="39BD0DC4"/>
    <w:rsid w:val="39C04F3D"/>
    <w:rsid w:val="39C70496"/>
    <w:rsid w:val="39DB0731"/>
    <w:rsid w:val="39EC234D"/>
    <w:rsid w:val="3A0F0F3F"/>
    <w:rsid w:val="3A1C7897"/>
    <w:rsid w:val="3A2C0E6D"/>
    <w:rsid w:val="3A324C12"/>
    <w:rsid w:val="3A335A0E"/>
    <w:rsid w:val="3A360FC4"/>
    <w:rsid w:val="3A3D0030"/>
    <w:rsid w:val="3A3D2AA2"/>
    <w:rsid w:val="3A414B7F"/>
    <w:rsid w:val="3A507028"/>
    <w:rsid w:val="3A5C06B5"/>
    <w:rsid w:val="3A6A3B47"/>
    <w:rsid w:val="3A6D6AE1"/>
    <w:rsid w:val="3A711AD7"/>
    <w:rsid w:val="3A992884"/>
    <w:rsid w:val="3AAE5640"/>
    <w:rsid w:val="3AB75291"/>
    <w:rsid w:val="3AE15A2F"/>
    <w:rsid w:val="3AF70801"/>
    <w:rsid w:val="3AF85579"/>
    <w:rsid w:val="3AFD07C1"/>
    <w:rsid w:val="3B135472"/>
    <w:rsid w:val="3B1C38E0"/>
    <w:rsid w:val="3B240A35"/>
    <w:rsid w:val="3B2919BE"/>
    <w:rsid w:val="3B2F490A"/>
    <w:rsid w:val="3B385475"/>
    <w:rsid w:val="3B447B5C"/>
    <w:rsid w:val="3B495853"/>
    <w:rsid w:val="3B5C39BF"/>
    <w:rsid w:val="3B625F08"/>
    <w:rsid w:val="3B65327C"/>
    <w:rsid w:val="3B6B75BC"/>
    <w:rsid w:val="3B760384"/>
    <w:rsid w:val="3B774193"/>
    <w:rsid w:val="3B7D58F1"/>
    <w:rsid w:val="3B9E04EE"/>
    <w:rsid w:val="3BAE68E6"/>
    <w:rsid w:val="3BB4294B"/>
    <w:rsid w:val="3BB90B04"/>
    <w:rsid w:val="3BCB19F5"/>
    <w:rsid w:val="3BCE7A45"/>
    <w:rsid w:val="3BFF467C"/>
    <w:rsid w:val="3C067A42"/>
    <w:rsid w:val="3C0931C2"/>
    <w:rsid w:val="3C141E15"/>
    <w:rsid w:val="3C153EB0"/>
    <w:rsid w:val="3C1C6E07"/>
    <w:rsid w:val="3C281794"/>
    <w:rsid w:val="3C314044"/>
    <w:rsid w:val="3C5E39E6"/>
    <w:rsid w:val="3C604D06"/>
    <w:rsid w:val="3C73055C"/>
    <w:rsid w:val="3C845AC9"/>
    <w:rsid w:val="3C99647A"/>
    <w:rsid w:val="3C9B53E8"/>
    <w:rsid w:val="3C9F3973"/>
    <w:rsid w:val="3CAF31CA"/>
    <w:rsid w:val="3CB60009"/>
    <w:rsid w:val="3CD043D5"/>
    <w:rsid w:val="3CD95B4D"/>
    <w:rsid w:val="3CDB7527"/>
    <w:rsid w:val="3CF309DA"/>
    <w:rsid w:val="3CF32B28"/>
    <w:rsid w:val="3D031FB7"/>
    <w:rsid w:val="3D200E84"/>
    <w:rsid w:val="3D322498"/>
    <w:rsid w:val="3D386A2D"/>
    <w:rsid w:val="3D5246C3"/>
    <w:rsid w:val="3D5D109F"/>
    <w:rsid w:val="3D5D190C"/>
    <w:rsid w:val="3D6E2ED8"/>
    <w:rsid w:val="3D9B7D13"/>
    <w:rsid w:val="3D9C595A"/>
    <w:rsid w:val="3DA47C31"/>
    <w:rsid w:val="3DB01B74"/>
    <w:rsid w:val="3DB750E0"/>
    <w:rsid w:val="3DCB01B4"/>
    <w:rsid w:val="3DCE4C73"/>
    <w:rsid w:val="3DD73438"/>
    <w:rsid w:val="3DF47D58"/>
    <w:rsid w:val="3E02356C"/>
    <w:rsid w:val="3E0A7549"/>
    <w:rsid w:val="3E0E76A3"/>
    <w:rsid w:val="3E1A2A67"/>
    <w:rsid w:val="3E1B1B0E"/>
    <w:rsid w:val="3E1D2FCD"/>
    <w:rsid w:val="3E282E0C"/>
    <w:rsid w:val="3E3C34CE"/>
    <w:rsid w:val="3E425AE5"/>
    <w:rsid w:val="3E4C5C2A"/>
    <w:rsid w:val="3E560226"/>
    <w:rsid w:val="3E614D11"/>
    <w:rsid w:val="3E6B78AD"/>
    <w:rsid w:val="3E71143D"/>
    <w:rsid w:val="3E7576D5"/>
    <w:rsid w:val="3E803604"/>
    <w:rsid w:val="3E8A1D04"/>
    <w:rsid w:val="3E937DE7"/>
    <w:rsid w:val="3EA45424"/>
    <w:rsid w:val="3EB1469D"/>
    <w:rsid w:val="3EBE5C4A"/>
    <w:rsid w:val="3EDD6FEC"/>
    <w:rsid w:val="3EE956F6"/>
    <w:rsid w:val="3EEA74ED"/>
    <w:rsid w:val="3EEF6B8A"/>
    <w:rsid w:val="3EF062AA"/>
    <w:rsid w:val="3EFB5260"/>
    <w:rsid w:val="3F21031A"/>
    <w:rsid w:val="3F250A76"/>
    <w:rsid w:val="3F2C506E"/>
    <w:rsid w:val="3F3078C3"/>
    <w:rsid w:val="3F430EFB"/>
    <w:rsid w:val="3F46315E"/>
    <w:rsid w:val="3F473064"/>
    <w:rsid w:val="3F4A10C5"/>
    <w:rsid w:val="3F555316"/>
    <w:rsid w:val="3F6F33B2"/>
    <w:rsid w:val="3F703557"/>
    <w:rsid w:val="3F803DC6"/>
    <w:rsid w:val="3F824522"/>
    <w:rsid w:val="3F864100"/>
    <w:rsid w:val="3F8C0D3F"/>
    <w:rsid w:val="3F8C3D06"/>
    <w:rsid w:val="3F8F72A3"/>
    <w:rsid w:val="3FA02ED0"/>
    <w:rsid w:val="3FAE7595"/>
    <w:rsid w:val="3FB164F9"/>
    <w:rsid w:val="3FC138BC"/>
    <w:rsid w:val="3FD72465"/>
    <w:rsid w:val="3FDC4DCC"/>
    <w:rsid w:val="3FDF72DD"/>
    <w:rsid w:val="3FE8335D"/>
    <w:rsid w:val="3FEA70C9"/>
    <w:rsid w:val="3FEE1F49"/>
    <w:rsid w:val="3FF31950"/>
    <w:rsid w:val="400B70DF"/>
    <w:rsid w:val="401949D0"/>
    <w:rsid w:val="401D5500"/>
    <w:rsid w:val="402B6A76"/>
    <w:rsid w:val="403A30ED"/>
    <w:rsid w:val="403B0138"/>
    <w:rsid w:val="4046131D"/>
    <w:rsid w:val="40472DBE"/>
    <w:rsid w:val="404E0DD7"/>
    <w:rsid w:val="4051544F"/>
    <w:rsid w:val="40557FBF"/>
    <w:rsid w:val="405D65CA"/>
    <w:rsid w:val="406160E7"/>
    <w:rsid w:val="40646068"/>
    <w:rsid w:val="40660B15"/>
    <w:rsid w:val="40A24360"/>
    <w:rsid w:val="40AD52E9"/>
    <w:rsid w:val="40AE2A32"/>
    <w:rsid w:val="40B376E6"/>
    <w:rsid w:val="40D63975"/>
    <w:rsid w:val="40D76248"/>
    <w:rsid w:val="40DE337B"/>
    <w:rsid w:val="40E62F2E"/>
    <w:rsid w:val="40F80EFD"/>
    <w:rsid w:val="40FD3E21"/>
    <w:rsid w:val="40FE08AC"/>
    <w:rsid w:val="410712CB"/>
    <w:rsid w:val="41130ED3"/>
    <w:rsid w:val="412C0F94"/>
    <w:rsid w:val="4137427C"/>
    <w:rsid w:val="414A7CB0"/>
    <w:rsid w:val="416F7783"/>
    <w:rsid w:val="41745EB8"/>
    <w:rsid w:val="418374B9"/>
    <w:rsid w:val="4188024F"/>
    <w:rsid w:val="419578F9"/>
    <w:rsid w:val="41A85B76"/>
    <w:rsid w:val="41B24ED8"/>
    <w:rsid w:val="41B80401"/>
    <w:rsid w:val="41BE2108"/>
    <w:rsid w:val="41CB08B7"/>
    <w:rsid w:val="41D44E53"/>
    <w:rsid w:val="41F04267"/>
    <w:rsid w:val="420168C5"/>
    <w:rsid w:val="42034555"/>
    <w:rsid w:val="420408C5"/>
    <w:rsid w:val="42041126"/>
    <w:rsid w:val="421F7DBD"/>
    <w:rsid w:val="4224225E"/>
    <w:rsid w:val="42287403"/>
    <w:rsid w:val="423D6650"/>
    <w:rsid w:val="42581F0F"/>
    <w:rsid w:val="42613DB5"/>
    <w:rsid w:val="4267581E"/>
    <w:rsid w:val="42680946"/>
    <w:rsid w:val="4284133E"/>
    <w:rsid w:val="42844CA4"/>
    <w:rsid w:val="428F367A"/>
    <w:rsid w:val="42903005"/>
    <w:rsid w:val="42915E0F"/>
    <w:rsid w:val="42941B74"/>
    <w:rsid w:val="429A5869"/>
    <w:rsid w:val="42C26C90"/>
    <w:rsid w:val="42C368F1"/>
    <w:rsid w:val="42C5471C"/>
    <w:rsid w:val="42CE09B4"/>
    <w:rsid w:val="42D04101"/>
    <w:rsid w:val="42E53DD3"/>
    <w:rsid w:val="42EB2942"/>
    <w:rsid w:val="42EC1A8F"/>
    <w:rsid w:val="42ED05C5"/>
    <w:rsid w:val="42F440FC"/>
    <w:rsid w:val="43096E00"/>
    <w:rsid w:val="430D0D51"/>
    <w:rsid w:val="432D3126"/>
    <w:rsid w:val="434452B2"/>
    <w:rsid w:val="434600BF"/>
    <w:rsid w:val="43537822"/>
    <w:rsid w:val="43544874"/>
    <w:rsid w:val="43554E2C"/>
    <w:rsid w:val="435D6CE3"/>
    <w:rsid w:val="437234AF"/>
    <w:rsid w:val="439A1AB1"/>
    <w:rsid w:val="439A3445"/>
    <w:rsid w:val="43AC1726"/>
    <w:rsid w:val="43BB74AB"/>
    <w:rsid w:val="43BD16CC"/>
    <w:rsid w:val="43C659A0"/>
    <w:rsid w:val="43D700C1"/>
    <w:rsid w:val="43D83C99"/>
    <w:rsid w:val="43EE4279"/>
    <w:rsid w:val="43F2336C"/>
    <w:rsid w:val="440D08FB"/>
    <w:rsid w:val="44155F71"/>
    <w:rsid w:val="44170652"/>
    <w:rsid w:val="44234AB9"/>
    <w:rsid w:val="442A3B7E"/>
    <w:rsid w:val="442E7829"/>
    <w:rsid w:val="443060A2"/>
    <w:rsid w:val="44410A09"/>
    <w:rsid w:val="444314F9"/>
    <w:rsid w:val="4479214F"/>
    <w:rsid w:val="447C07A4"/>
    <w:rsid w:val="44845113"/>
    <w:rsid w:val="449275EB"/>
    <w:rsid w:val="44AF5CA8"/>
    <w:rsid w:val="44B46FA2"/>
    <w:rsid w:val="44C04A54"/>
    <w:rsid w:val="44CC2506"/>
    <w:rsid w:val="44DB3730"/>
    <w:rsid w:val="44E328F5"/>
    <w:rsid w:val="45023046"/>
    <w:rsid w:val="451D7641"/>
    <w:rsid w:val="45272CD2"/>
    <w:rsid w:val="452961BD"/>
    <w:rsid w:val="452A396D"/>
    <w:rsid w:val="45317296"/>
    <w:rsid w:val="454022D2"/>
    <w:rsid w:val="455B2F06"/>
    <w:rsid w:val="45625524"/>
    <w:rsid w:val="45646381"/>
    <w:rsid w:val="4588427E"/>
    <w:rsid w:val="458F4A00"/>
    <w:rsid w:val="45927814"/>
    <w:rsid w:val="459F0F91"/>
    <w:rsid w:val="45AC0591"/>
    <w:rsid w:val="45B632E0"/>
    <w:rsid w:val="45CC48FC"/>
    <w:rsid w:val="45CF4C59"/>
    <w:rsid w:val="45D066F9"/>
    <w:rsid w:val="45DF1A84"/>
    <w:rsid w:val="45E01BAC"/>
    <w:rsid w:val="45E27B2B"/>
    <w:rsid w:val="46020B38"/>
    <w:rsid w:val="46023399"/>
    <w:rsid w:val="460C5D3D"/>
    <w:rsid w:val="461356F1"/>
    <w:rsid w:val="46224E44"/>
    <w:rsid w:val="46475481"/>
    <w:rsid w:val="466351F9"/>
    <w:rsid w:val="468A6FED"/>
    <w:rsid w:val="468B7148"/>
    <w:rsid w:val="468C2B19"/>
    <w:rsid w:val="46916447"/>
    <w:rsid w:val="469F673F"/>
    <w:rsid w:val="46A02296"/>
    <w:rsid w:val="46A12324"/>
    <w:rsid w:val="46E56894"/>
    <w:rsid w:val="46F54B62"/>
    <w:rsid w:val="46FF778E"/>
    <w:rsid w:val="46FF7A69"/>
    <w:rsid w:val="470411D3"/>
    <w:rsid w:val="47295F0F"/>
    <w:rsid w:val="473F2EDF"/>
    <w:rsid w:val="47405A98"/>
    <w:rsid w:val="47405F63"/>
    <w:rsid w:val="474216FC"/>
    <w:rsid w:val="47432C65"/>
    <w:rsid w:val="474541BB"/>
    <w:rsid w:val="47553C23"/>
    <w:rsid w:val="475B2B79"/>
    <w:rsid w:val="47675D28"/>
    <w:rsid w:val="47682F57"/>
    <w:rsid w:val="477F54B6"/>
    <w:rsid w:val="4782435E"/>
    <w:rsid w:val="47867506"/>
    <w:rsid w:val="478F46C5"/>
    <w:rsid w:val="479C47FA"/>
    <w:rsid w:val="47AC789F"/>
    <w:rsid w:val="47BA2AB0"/>
    <w:rsid w:val="47D11A08"/>
    <w:rsid w:val="47D72A66"/>
    <w:rsid w:val="47E5680D"/>
    <w:rsid w:val="47E730E6"/>
    <w:rsid w:val="47FD0BB6"/>
    <w:rsid w:val="480A6B58"/>
    <w:rsid w:val="480B68B5"/>
    <w:rsid w:val="480D3F42"/>
    <w:rsid w:val="481C08CF"/>
    <w:rsid w:val="481E34A2"/>
    <w:rsid w:val="48293524"/>
    <w:rsid w:val="482974D0"/>
    <w:rsid w:val="482A0C93"/>
    <w:rsid w:val="483F6388"/>
    <w:rsid w:val="48473109"/>
    <w:rsid w:val="485E09D1"/>
    <w:rsid w:val="487429ED"/>
    <w:rsid w:val="48773573"/>
    <w:rsid w:val="487A3FA0"/>
    <w:rsid w:val="488F0FD1"/>
    <w:rsid w:val="4891515F"/>
    <w:rsid w:val="48964B62"/>
    <w:rsid w:val="489F42E4"/>
    <w:rsid w:val="48A35BE6"/>
    <w:rsid w:val="48A64365"/>
    <w:rsid w:val="48AF7249"/>
    <w:rsid w:val="48B76A6B"/>
    <w:rsid w:val="48B860F0"/>
    <w:rsid w:val="48B86C82"/>
    <w:rsid w:val="48C84D57"/>
    <w:rsid w:val="48E879CD"/>
    <w:rsid w:val="48FC3CD6"/>
    <w:rsid w:val="49115B65"/>
    <w:rsid w:val="49302765"/>
    <w:rsid w:val="49326D57"/>
    <w:rsid w:val="49437134"/>
    <w:rsid w:val="494F5F79"/>
    <w:rsid w:val="495805A1"/>
    <w:rsid w:val="49730634"/>
    <w:rsid w:val="49767B6D"/>
    <w:rsid w:val="497B7D8F"/>
    <w:rsid w:val="498B497D"/>
    <w:rsid w:val="498F5A5D"/>
    <w:rsid w:val="49BE5CF9"/>
    <w:rsid w:val="49C25AF1"/>
    <w:rsid w:val="49CA22AA"/>
    <w:rsid w:val="49EC38E9"/>
    <w:rsid w:val="49F95286"/>
    <w:rsid w:val="49FC1958"/>
    <w:rsid w:val="4A0009D8"/>
    <w:rsid w:val="4A217331"/>
    <w:rsid w:val="4A2E3DEF"/>
    <w:rsid w:val="4A3B7FEC"/>
    <w:rsid w:val="4A3D63F0"/>
    <w:rsid w:val="4A495ABC"/>
    <w:rsid w:val="4A4F73F7"/>
    <w:rsid w:val="4A636A68"/>
    <w:rsid w:val="4A6405DF"/>
    <w:rsid w:val="4A675564"/>
    <w:rsid w:val="4A676728"/>
    <w:rsid w:val="4A7939F6"/>
    <w:rsid w:val="4A8E523D"/>
    <w:rsid w:val="4AAA0002"/>
    <w:rsid w:val="4ACB2505"/>
    <w:rsid w:val="4AD16D53"/>
    <w:rsid w:val="4AD35E22"/>
    <w:rsid w:val="4AD45EDF"/>
    <w:rsid w:val="4ADD5829"/>
    <w:rsid w:val="4ADF0BDD"/>
    <w:rsid w:val="4AEA7E15"/>
    <w:rsid w:val="4B052BAD"/>
    <w:rsid w:val="4B1D007D"/>
    <w:rsid w:val="4B33417A"/>
    <w:rsid w:val="4B43519F"/>
    <w:rsid w:val="4B490739"/>
    <w:rsid w:val="4B4A07CF"/>
    <w:rsid w:val="4B512B7C"/>
    <w:rsid w:val="4B5C6F5D"/>
    <w:rsid w:val="4B6D6789"/>
    <w:rsid w:val="4B847423"/>
    <w:rsid w:val="4B8A12FC"/>
    <w:rsid w:val="4BA15A1F"/>
    <w:rsid w:val="4BA80FB2"/>
    <w:rsid w:val="4BAB2340"/>
    <w:rsid w:val="4BD33510"/>
    <w:rsid w:val="4BE158A6"/>
    <w:rsid w:val="4BE210FE"/>
    <w:rsid w:val="4BE91245"/>
    <w:rsid w:val="4BE9706C"/>
    <w:rsid w:val="4BED3F1E"/>
    <w:rsid w:val="4BF11EF5"/>
    <w:rsid w:val="4C01368D"/>
    <w:rsid w:val="4C021DCA"/>
    <w:rsid w:val="4C08789B"/>
    <w:rsid w:val="4C0B1979"/>
    <w:rsid w:val="4C1F7CAD"/>
    <w:rsid w:val="4C2741AC"/>
    <w:rsid w:val="4C2B638E"/>
    <w:rsid w:val="4C2E5FA8"/>
    <w:rsid w:val="4C393E13"/>
    <w:rsid w:val="4C544E3B"/>
    <w:rsid w:val="4C586445"/>
    <w:rsid w:val="4C91632E"/>
    <w:rsid w:val="4C991FF1"/>
    <w:rsid w:val="4C9B6AA3"/>
    <w:rsid w:val="4CB15B6D"/>
    <w:rsid w:val="4CB96D7A"/>
    <w:rsid w:val="4CBD4B38"/>
    <w:rsid w:val="4CBE1C24"/>
    <w:rsid w:val="4CCB7DED"/>
    <w:rsid w:val="4CE152F4"/>
    <w:rsid w:val="4CE65D8F"/>
    <w:rsid w:val="4CEE02FC"/>
    <w:rsid w:val="4CF4022E"/>
    <w:rsid w:val="4CF95355"/>
    <w:rsid w:val="4D083C53"/>
    <w:rsid w:val="4D0F41F2"/>
    <w:rsid w:val="4D105883"/>
    <w:rsid w:val="4D29409A"/>
    <w:rsid w:val="4D2B5A6D"/>
    <w:rsid w:val="4D4C4C02"/>
    <w:rsid w:val="4D5309AD"/>
    <w:rsid w:val="4D692A68"/>
    <w:rsid w:val="4D8B6B25"/>
    <w:rsid w:val="4D92310A"/>
    <w:rsid w:val="4D927517"/>
    <w:rsid w:val="4D927958"/>
    <w:rsid w:val="4DA71F8E"/>
    <w:rsid w:val="4DB97833"/>
    <w:rsid w:val="4DC411A9"/>
    <w:rsid w:val="4DF7516B"/>
    <w:rsid w:val="4DF80D27"/>
    <w:rsid w:val="4E226209"/>
    <w:rsid w:val="4E242031"/>
    <w:rsid w:val="4E32782D"/>
    <w:rsid w:val="4E366C7F"/>
    <w:rsid w:val="4E3B2726"/>
    <w:rsid w:val="4E486698"/>
    <w:rsid w:val="4E497515"/>
    <w:rsid w:val="4E4B7F33"/>
    <w:rsid w:val="4E62645A"/>
    <w:rsid w:val="4E773543"/>
    <w:rsid w:val="4E7B7E57"/>
    <w:rsid w:val="4E835D49"/>
    <w:rsid w:val="4E8D7F7F"/>
    <w:rsid w:val="4E9C54E0"/>
    <w:rsid w:val="4EA47C59"/>
    <w:rsid w:val="4EAD30F5"/>
    <w:rsid w:val="4EAD472D"/>
    <w:rsid w:val="4EB55A7E"/>
    <w:rsid w:val="4EB87086"/>
    <w:rsid w:val="4EBA062D"/>
    <w:rsid w:val="4EBE7CBA"/>
    <w:rsid w:val="4EDB463D"/>
    <w:rsid w:val="4EDC78AD"/>
    <w:rsid w:val="4EF21678"/>
    <w:rsid w:val="4EF46414"/>
    <w:rsid w:val="4EF952C6"/>
    <w:rsid w:val="4F020205"/>
    <w:rsid w:val="4F0436D2"/>
    <w:rsid w:val="4F065DAE"/>
    <w:rsid w:val="4F085243"/>
    <w:rsid w:val="4F0B1600"/>
    <w:rsid w:val="4F1756BA"/>
    <w:rsid w:val="4F2D3DC6"/>
    <w:rsid w:val="4F4725B5"/>
    <w:rsid w:val="4F4C46B0"/>
    <w:rsid w:val="4F4F10AC"/>
    <w:rsid w:val="4F5A2274"/>
    <w:rsid w:val="4F5B6F8A"/>
    <w:rsid w:val="4F672357"/>
    <w:rsid w:val="4F6A0EDD"/>
    <w:rsid w:val="4F6E101C"/>
    <w:rsid w:val="4F87230D"/>
    <w:rsid w:val="4F97057B"/>
    <w:rsid w:val="4FA32BB6"/>
    <w:rsid w:val="4FA42C81"/>
    <w:rsid w:val="4FA64C4B"/>
    <w:rsid w:val="4FB20A63"/>
    <w:rsid w:val="4FB619F0"/>
    <w:rsid w:val="4FBC0895"/>
    <w:rsid w:val="4FD6264A"/>
    <w:rsid w:val="4FEF14C5"/>
    <w:rsid w:val="4FF7651C"/>
    <w:rsid w:val="500A1253"/>
    <w:rsid w:val="501047BA"/>
    <w:rsid w:val="501C681C"/>
    <w:rsid w:val="502437DF"/>
    <w:rsid w:val="502668B1"/>
    <w:rsid w:val="504701E6"/>
    <w:rsid w:val="504D2962"/>
    <w:rsid w:val="505345C8"/>
    <w:rsid w:val="50636358"/>
    <w:rsid w:val="50711030"/>
    <w:rsid w:val="507E6AD6"/>
    <w:rsid w:val="508D33B8"/>
    <w:rsid w:val="50970229"/>
    <w:rsid w:val="509800A3"/>
    <w:rsid w:val="509C2297"/>
    <w:rsid w:val="50A25074"/>
    <w:rsid w:val="50BA15E6"/>
    <w:rsid w:val="50C60989"/>
    <w:rsid w:val="50CD1A1D"/>
    <w:rsid w:val="50D06891"/>
    <w:rsid w:val="50ED04D2"/>
    <w:rsid w:val="50EE436E"/>
    <w:rsid w:val="51084A3F"/>
    <w:rsid w:val="511863D1"/>
    <w:rsid w:val="51227DC1"/>
    <w:rsid w:val="51237D2E"/>
    <w:rsid w:val="51301849"/>
    <w:rsid w:val="51345A4A"/>
    <w:rsid w:val="51346615"/>
    <w:rsid w:val="513C4D85"/>
    <w:rsid w:val="513D1228"/>
    <w:rsid w:val="513D6716"/>
    <w:rsid w:val="514B67D4"/>
    <w:rsid w:val="514F1FA1"/>
    <w:rsid w:val="51710A01"/>
    <w:rsid w:val="51771701"/>
    <w:rsid w:val="517777B8"/>
    <w:rsid w:val="517E79F1"/>
    <w:rsid w:val="51874805"/>
    <w:rsid w:val="518D7A34"/>
    <w:rsid w:val="51A30759"/>
    <w:rsid w:val="51A4177F"/>
    <w:rsid w:val="51B53A8D"/>
    <w:rsid w:val="51B7313F"/>
    <w:rsid w:val="51C2675A"/>
    <w:rsid w:val="51C321C0"/>
    <w:rsid w:val="51C80A05"/>
    <w:rsid w:val="51DE026E"/>
    <w:rsid w:val="51DE56F0"/>
    <w:rsid w:val="51F16DB2"/>
    <w:rsid w:val="52152BBB"/>
    <w:rsid w:val="52184C96"/>
    <w:rsid w:val="522B41AB"/>
    <w:rsid w:val="5261015D"/>
    <w:rsid w:val="52621C25"/>
    <w:rsid w:val="526854F5"/>
    <w:rsid w:val="52685E7A"/>
    <w:rsid w:val="527A6AF2"/>
    <w:rsid w:val="528B2C62"/>
    <w:rsid w:val="528B5E3D"/>
    <w:rsid w:val="528B65F2"/>
    <w:rsid w:val="52A4202C"/>
    <w:rsid w:val="52AA44C3"/>
    <w:rsid w:val="52B75DE2"/>
    <w:rsid w:val="52B87828"/>
    <w:rsid w:val="52E30606"/>
    <w:rsid w:val="52E821FA"/>
    <w:rsid w:val="52ED1657"/>
    <w:rsid w:val="53077844"/>
    <w:rsid w:val="530A66B0"/>
    <w:rsid w:val="530D1B38"/>
    <w:rsid w:val="53176412"/>
    <w:rsid w:val="532F27EE"/>
    <w:rsid w:val="533363F8"/>
    <w:rsid w:val="533F19F2"/>
    <w:rsid w:val="53415573"/>
    <w:rsid w:val="53487ED5"/>
    <w:rsid w:val="534F2606"/>
    <w:rsid w:val="535A0401"/>
    <w:rsid w:val="537921FC"/>
    <w:rsid w:val="537B65AD"/>
    <w:rsid w:val="53815142"/>
    <w:rsid w:val="53902E44"/>
    <w:rsid w:val="539B0911"/>
    <w:rsid w:val="53A2084C"/>
    <w:rsid w:val="53D11D42"/>
    <w:rsid w:val="53D73C82"/>
    <w:rsid w:val="53EE6ED8"/>
    <w:rsid w:val="5409426E"/>
    <w:rsid w:val="541127AE"/>
    <w:rsid w:val="54214DB2"/>
    <w:rsid w:val="543A345C"/>
    <w:rsid w:val="5440571E"/>
    <w:rsid w:val="544A4CD7"/>
    <w:rsid w:val="54560F22"/>
    <w:rsid w:val="545E02DE"/>
    <w:rsid w:val="546053D2"/>
    <w:rsid w:val="54643108"/>
    <w:rsid w:val="54986F10"/>
    <w:rsid w:val="549D5B6F"/>
    <w:rsid w:val="54B034B9"/>
    <w:rsid w:val="54BB16FD"/>
    <w:rsid w:val="54C172C8"/>
    <w:rsid w:val="54C74097"/>
    <w:rsid w:val="54C919FA"/>
    <w:rsid w:val="54CF24C4"/>
    <w:rsid w:val="54CF5ECC"/>
    <w:rsid w:val="54D50A26"/>
    <w:rsid w:val="55003021"/>
    <w:rsid w:val="550169CD"/>
    <w:rsid w:val="551013ED"/>
    <w:rsid w:val="551E5284"/>
    <w:rsid w:val="551F5792"/>
    <w:rsid w:val="55202EE3"/>
    <w:rsid w:val="552B41A8"/>
    <w:rsid w:val="552B7014"/>
    <w:rsid w:val="55317ADF"/>
    <w:rsid w:val="55446DD4"/>
    <w:rsid w:val="554A2436"/>
    <w:rsid w:val="555510A3"/>
    <w:rsid w:val="555579F9"/>
    <w:rsid w:val="555E2700"/>
    <w:rsid w:val="557A56A3"/>
    <w:rsid w:val="55850574"/>
    <w:rsid w:val="55A439A5"/>
    <w:rsid w:val="55B57E1B"/>
    <w:rsid w:val="55B71874"/>
    <w:rsid w:val="55C6536F"/>
    <w:rsid w:val="55D022E8"/>
    <w:rsid w:val="55D46D88"/>
    <w:rsid w:val="55DD1D3A"/>
    <w:rsid w:val="55E42F09"/>
    <w:rsid w:val="55FA36A0"/>
    <w:rsid w:val="56057E4C"/>
    <w:rsid w:val="560F5CF2"/>
    <w:rsid w:val="561D3D90"/>
    <w:rsid w:val="563417FB"/>
    <w:rsid w:val="564902D2"/>
    <w:rsid w:val="56617F2B"/>
    <w:rsid w:val="566D5795"/>
    <w:rsid w:val="56877891"/>
    <w:rsid w:val="56962A40"/>
    <w:rsid w:val="56A6443A"/>
    <w:rsid w:val="56B20823"/>
    <w:rsid w:val="56E65920"/>
    <w:rsid w:val="56E9574A"/>
    <w:rsid w:val="56EA6FDF"/>
    <w:rsid w:val="56EA76B4"/>
    <w:rsid w:val="56FE63C1"/>
    <w:rsid w:val="5706344A"/>
    <w:rsid w:val="570A6552"/>
    <w:rsid w:val="57124BF8"/>
    <w:rsid w:val="57134EAE"/>
    <w:rsid w:val="57211EC3"/>
    <w:rsid w:val="574B75D2"/>
    <w:rsid w:val="57627ECA"/>
    <w:rsid w:val="576D3FA0"/>
    <w:rsid w:val="578365C5"/>
    <w:rsid w:val="57857ED2"/>
    <w:rsid w:val="578A302D"/>
    <w:rsid w:val="578F360F"/>
    <w:rsid w:val="578F5DE0"/>
    <w:rsid w:val="579F02F7"/>
    <w:rsid w:val="57A06C3C"/>
    <w:rsid w:val="57AB76E9"/>
    <w:rsid w:val="57AD5CD4"/>
    <w:rsid w:val="57AE63FF"/>
    <w:rsid w:val="57BC72EE"/>
    <w:rsid w:val="57BD48EF"/>
    <w:rsid w:val="57C11E0B"/>
    <w:rsid w:val="57CA617A"/>
    <w:rsid w:val="57CB0884"/>
    <w:rsid w:val="57CE5417"/>
    <w:rsid w:val="57CF0F77"/>
    <w:rsid w:val="57D1482F"/>
    <w:rsid w:val="57D861B8"/>
    <w:rsid w:val="57E00DE2"/>
    <w:rsid w:val="57EF0FF6"/>
    <w:rsid w:val="57F84937"/>
    <w:rsid w:val="580B0E5F"/>
    <w:rsid w:val="580D5D09"/>
    <w:rsid w:val="58225E2E"/>
    <w:rsid w:val="58231F10"/>
    <w:rsid w:val="58260A4F"/>
    <w:rsid w:val="585A28EC"/>
    <w:rsid w:val="58643BB2"/>
    <w:rsid w:val="586C7EEF"/>
    <w:rsid w:val="586D4ADE"/>
    <w:rsid w:val="58731218"/>
    <w:rsid w:val="58746221"/>
    <w:rsid w:val="587A405B"/>
    <w:rsid w:val="588760AB"/>
    <w:rsid w:val="588C7904"/>
    <w:rsid w:val="58AE227D"/>
    <w:rsid w:val="58B922A0"/>
    <w:rsid w:val="58BD71CE"/>
    <w:rsid w:val="58C211F7"/>
    <w:rsid w:val="58C82F08"/>
    <w:rsid w:val="58E01EE2"/>
    <w:rsid w:val="58ED1174"/>
    <w:rsid w:val="58F63137"/>
    <w:rsid w:val="59010245"/>
    <w:rsid w:val="590F7DAF"/>
    <w:rsid w:val="591030EA"/>
    <w:rsid w:val="591930C3"/>
    <w:rsid w:val="595E178F"/>
    <w:rsid w:val="595F72AE"/>
    <w:rsid w:val="596326ED"/>
    <w:rsid w:val="596629EC"/>
    <w:rsid w:val="596B518E"/>
    <w:rsid w:val="5979451B"/>
    <w:rsid w:val="5986066D"/>
    <w:rsid w:val="598D6392"/>
    <w:rsid w:val="599113D8"/>
    <w:rsid w:val="599E4A32"/>
    <w:rsid w:val="59A8214C"/>
    <w:rsid w:val="59A95CFE"/>
    <w:rsid w:val="59BB2CB6"/>
    <w:rsid w:val="59BE3A5C"/>
    <w:rsid w:val="59C10BF9"/>
    <w:rsid w:val="59E47CD4"/>
    <w:rsid w:val="59E762E5"/>
    <w:rsid w:val="59F06042"/>
    <w:rsid w:val="59F74F4B"/>
    <w:rsid w:val="5A000A32"/>
    <w:rsid w:val="5A11553A"/>
    <w:rsid w:val="5A32474F"/>
    <w:rsid w:val="5A5469AC"/>
    <w:rsid w:val="5A6F2EBA"/>
    <w:rsid w:val="5A7326EB"/>
    <w:rsid w:val="5A74149B"/>
    <w:rsid w:val="5A7C0747"/>
    <w:rsid w:val="5A897C95"/>
    <w:rsid w:val="5A95732A"/>
    <w:rsid w:val="5AA623FA"/>
    <w:rsid w:val="5ADA1926"/>
    <w:rsid w:val="5AE763C2"/>
    <w:rsid w:val="5AF45B6F"/>
    <w:rsid w:val="5B054BDF"/>
    <w:rsid w:val="5B071E32"/>
    <w:rsid w:val="5B0A7104"/>
    <w:rsid w:val="5B0F0CD5"/>
    <w:rsid w:val="5B124712"/>
    <w:rsid w:val="5B177388"/>
    <w:rsid w:val="5B256FA3"/>
    <w:rsid w:val="5B3F0948"/>
    <w:rsid w:val="5B530A5F"/>
    <w:rsid w:val="5B5539FE"/>
    <w:rsid w:val="5B6A5F5F"/>
    <w:rsid w:val="5B8D78C2"/>
    <w:rsid w:val="5B962018"/>
    <w:rsid w:val="5B9656AE"/>
    <w:rsid w:val="5BA83F49"/>
    <w:rsid w:val="5BB61073"/>
    <w:rsid w:val="5BBB3018"/>
    <w:rsid w:val="5BC67DAE"/>
    <w:rsid w:val="5BEB74AC"/>
    <w:rsid w:val="5BF448A5"/>
    <w:rsid w:val="5BF465E5"/>
    <w:rsid w:val="5BFE476F"/>
    <w:rsid w:val="5C0056E3"/>
    <w:rsid w:val="5C0A47B4"/>
    <w:rsid w:val="5C0B5CE1"/>
    <w:rsid w:val="5C0C052C"/>
    <w:rsid w:val="5C1D2993"/>
    <w:rsid w:val="5C223376"/>
    <w:rsid w:val="5C293C1E"/>
    <w:rsid w:val="5C310400"/>
    <w:rsid w:val="5C3B23A8"/>
    <w:rsid w:val="5C3B6762"/>
    <w:rsid w:val="5C425971"/>
    <w:rsid w:val="5C5F0238"/>
    <w:rsid w:val="5C687C18"/>
    <w:rsid w:val="5C7E72F6"/>
    <w:rsid w:val="5C8450A4"/>
    <w:rsid w:val="5C8E0BBF"/>
    <w:rsid w:val="5CA15C31"/>
    <w:rsid w:val="5CA51846"/>
    <w:rsid w:val="5CB2466E"/>
    <w:rsid w:val="5CC863AF"/>
    <w:rsid w:val="5CD122E2"/>
    <w:rsid w:val="5CDE1F30"/>
    <w:rsid w:val="5CE716A2"/>
    <w:rsid w:val="5CF80DA1"/>
    <w:rsid w:val="5CF96313"/>
    <w:rsid w:val="5D0F6C76"/>
    <w:rsid w:val="5D110469"/>
    <w:rsid w:val="5D1152AF"/>
    <w:rsid w:val="5D13277B"/>
    <w:rsid w:val="5D210462"/>
    <w:rsid w:val="5D261F01"/>
    <w:rsid w:val="5D417183"/>
    <w:rsid w:val="5D492CEC"/>
    <w:rsid w:val="5D4A05C9"/>
    <w:rsid w:val="5D5E6B65"/>
    <w:rsid w:val="5D704ED7"/>
    <w:rsid w:val="5D874CB1"/>
    <w:rsid w:val="5D99666A"/>
    <w:rsid w:val="5DA22CA8"/>
    <w:rsid w:val="5DA93220"/>
    <w:rsid w:val="5DD544E7"/>
    <w:rsid w:val="5DD76767"/>
    <w:rsid w:val="5DE01D94"/>
    <w:rsid w:val="5DE16F2D"/>
    <w:rsid w:val="5DE43A13"/>
    <w:rsid w:val="5DEF2063"/>
    <w:rsid w:val="5DF068C1"/>
    <w:rsid w:val="5DF51696"/>
    <w:rsid w:val="5E0214A2"/>
    <w:rsid w:val="5E194201"/>
    <w:rsid w:val="5E254AEA"/>
    <w:rsid w:val="5E277411"/>
    <w:rsid w:val="5E3B7095"/>
    <w:rsid w:val="5E4A20D8"/>
    <w:rsid w:val="5E4A31AD"/>
    <w:rsid w:val="5E520DDB"/>
    <w:rsid w:val="5E784431"/>
    <w:rsid w:val="5E7A1E9D"/>
    <w:rsid w:val="5E902E56"/>
    <w:rsid w:val="5EA7111E"/>
    <w:rsid w:val="5EA87DAF"/>
    <w:rsid w:val="5EB352DB"/>
    <w:rsid w:val="5EB461F5"/>
    <w:rsid w:val="5EB550C7"/>
    <w:rsid w:val="5EC210C6"/>
    <w:rsid w:val="5ECA752D"/>
    <w:rsid w:val="5ED9588F"/>
    <w:rsid w:val="5EDA24F3"/>
    <w:rsid w:val="5EDB2570"/>
    <w:rsid w:val="5EEA4000"/>
    <w:rsid w:val="5EEB49C6"/>
    <w:rsid w:val="5EEE63C3"/>
    <w:rsid w:val="5EF51D68"/>
    <w:rsid w:val="5EF57063"/>
    <w:rsid w:val="5EFA3DBD"/>
    <w:rsid w:val="5F02308A"/>
    <w:rsid w:val="5F1605A9"/>
    <w:rsid w:val="5F351803"/>
    <w:rsid w:val="5F411371"/>
    <w:rsid w:val="5F4B43FA"/>
    <w:rsid w:val="5F4B55B6"/>
    <w:rsid w:val="5F507610"/>
    <w:rsid w:val="5F631E0F"/>
    <w:rsid w:val="5F67570E"/>
    <w:rsid w:val="5F71130A"/>
    <w:rsid w:val="5F7F1C98"/>
    <w:rsid w:val="5F8222C9"/>
    <w:rsid w:val="5F8256EB"/>
    <w:rsid w:val="5FAF2A65"/>
    <w:rsid w:val="5FB55E0A"/>
    <w:rsid w:val="5FBB7E6A"/>
    <w:rsid w:val="5FBC4558"/>
    <w:rsid w:val="5FF24660"/>
    <w:rsid w:val="5FF47FE1"/>
    <w:rsid w:val="5FF74951"/>
    <w:rsid w:val="60065AA7"/>
    <w:rsid w:val="60170E7C"/>
    <w:rsid w:val="60193936"/>
    <w:rsid w:val="602B07FC"/>
    <w:rsid w:val="602E1B5A"/>
    <w:rsid w:val="603749E8"/>
    <w:rsid w:val="60462343"/>
    <w:rsid w:val="60622F52"/>
    <w:rsid w:val="60631009"/>
    <w:rsid w:val="60762011"/>
    <w:rsid w:val="609327A3"/>
    <w:rsid w:val="609E093B"/>
    <w:rsid w:val="60A764D2"/>
    <w:rsid w:val="60AA24C3"/>
    <w:rsid w:val="60B66887"/>
    <w:rsid w:val="60BF174F"/>
    <w:rsid w:val="60E64F58"/>
    <w:rsid w:val="60EF3DE6"/>
    <w:rsid w:val="60F33A68"/>
    <w:rsid w:val="60F53872"/>
    <w:rsid w:val="60FC0CA9"/>
    <w:rsid w:val="61075A0F"/>
    <w:rsid w:val="610C1348"/>
    <w:rsid w:val="61480A8F"/>
    <w:rsid w:val="614E2873"/>
    <w:rsid w:val="616E33D4"/>
    <w:rsid w:val="6178763D"/>
    <w:rsid w:val="61870D03"/>
    <w:rsid w:val="61881189"/>
    <w:rsid w:val="61935EE5"/>
    <w:rsid w:val="619D2DE9"/>
    <w:rsid w:val="61CC1E02"/>
    <w:rsid w:val="61DF0D1F"/>
    <w:rsid w:val="61E02A4A"/>
    <w:rsid w:val="61E259A8"/>
    <w:rsid w:val="61E64060"/>
    <w:rsid w:val="62041060"/>
    <w:rsid w:val="6221258E"/>
    <w:rsid w:val="622463C0"/>
    <w:rsid w:val="6239057C"/>
    <w:rsid w:val="6239557E"/>
    <w:rsid w:val="624A0745"/>
    <w:rsid w:val="62593D9F"/>
    <w:rsid w:val="626D5765"/>
    <w:rsid w:val="626E1ED0"/>
    <w:rsid w:val="6272433A"/>
    <w:rsid w:val="629B5CB9"/>
    <w:rsid w:val="62A50FAE"/>
    <w:rsid w:val="62B43276"/>
    <w:rsid w:val="62BF0193"/>
    <w:rsid w:val="62BF7695"/>
    <w:rsid w:val="62C12C5B"/>
    <w:rsid w:val="62DB131D"/>
    <w:rsid w:val="62E358CB"/>
    <w:rsid w:val="62E76403"/>
    <w:rsid w:val="62FF7577"/>
    <w:rsid w:val="63035D6A"/>
    <w:rsid w:val="63047CE7"/>
    <w:rsid w:val="630C7A8C"/>
    <w:rsid w:val="63147933"/>
    <w:rsid w:val="631F7CAE"/>
    <w:rsid w:val="633446B6"/>
    <w:rsid w:val="63475F1B"/>
    <w:rsid w:val="63501F3B"/>
    <w:rsid w:val="6358087C"/>
    <w:rsid w:val="63584057"/>
    <w:rsid w:val="635A64BE"/>
    <w:rsid w:val="637569B2"/>
    <w:rsid w:val="637A5774"/>
    <w:rsid w:val="637C506F"/>
    <w:rsid w:val="63AB78F6"/>
    <w:rsid w:val="63BB6A49"/>
    <w:rsid w:val="63C5530C"/>
    <w:rsid w:val="63CF5724"/>
    <w:rsid w:val="63DD455C"/>
    <w:rsid w:val="63DF7243"/>
    <w:rsid w:val="63EE3D0F"/>
    <w:rsid w:val="640D22C2"/>
    <w:rsid w:val="6422775F"/>
    <w:rsid w:val="64261E4D"/>
    <w:rsid w:val="642F576B"/>
    <w:rsid w:val="643224B1"/>
    <w:rsid w:val="64337966"/>
    <w:rsid w:val="644A1BF1"/>
    <w:rsid w:val="64544542"/>
    <w:rsid w:val="645B13F4"/>
    <w:rsid w:val="645D2FEE"/>
    <w:rsid w:val="646060B0"/>
    <w:rsid w:val="64610C94"/>
    <w:rsid w:val="646403B2"/>
    <w:rsid w:val="64946B6F"/>
    <w:rsid w:val="64951D0B"/>
    <w:rsid w:val="649C40B1"/>
    <w:rsid w:val="649F08E6"/>
    <w:rsid w:val="64A83C3A"/>
    <w:rsid w:val="64D05421"/>
    <w:rsid w:val="64D46C3B"/>
    <w:rsid w:val="64DE6AF0"/>
    <w:rsid w:val="64E231BA"/>
    <w:rsid w:val="64FD0EE5"/>
    <w:rsid w:val="64FE14BE"/>
    <w:rsid w:val="64FF1717"/>
    <w:rsid w:val="65052DC0"/>
    <w:rsid w:val="650642CC"/>
    <w:rsid w:val="6507607A"/>
    <w:rsid w:val="651E668F"/>
    <w:rsid w:val="65222AC6"/>
    <w:rsid w:val="652A2679"/>
    <w:rsid w:val="652A709A"/>
    <w:rsid w:val="652C2653"/>
    <w:rsid w:val="65352068"/>
    <w:rsid w:val="653E6A16"/>
    <w:rsid w:val="65464F19"/>
    <w:rsid w:val="654F26EA"/>
    <w:rsid w:val="654F5CD6"/>
    <w:rsid w:val="6569460E"/>
    <w:rsid w:val="65703E31"/>
    <w:rsid w:val="65826AF4"/>
    <w:rsid w:val="658725D0"/>
    <w:rsid w:val="65A15251"/>
    <w:rsid w:val="65A75A3F"/>
    <w:rsid w:val="65BE0A85"/>
    <w:rsid w:val="65BE6299"/>
    <w:rsid w:val="65CB4FB4"/>
    <w:rsid w:val="65CC77FF"/>
    <w:rsid w:val="65CD170E"/>
    <w:rsid w:val="65D93FD0"/>
    <w:rsid w:val="65EB6188"/>
    <w:rsid w:val="65F748DB"/>
    <w:rsid w:val="660D773F"/>
    <w:rsid w:val="661148BB"/>
    <w:rsid w:val="66142EF3"/>
    <w:rsid w:val="661B1975"/>
    <w:rsid w:val="661B5EC9"/>
    <w:rsid w:val="66250163"/>
    <w:rsid w:val="662A09C8"/>
    <w:rsid w:val="66310536"/>
    <w:rsid w:val="664C7E5B"/>
    <w:rsid w:val="665A1E94"/>
    <w:rsid w:val="666C48B2"/>
    <w:rsid w:val="6678753E"/>
    <w:rsid w:val="66885716"/>
    <w:rsid w:val="6699211C"/>
    <w:rsid w:val="66A31059"/>
    <w:rsid w:val="66A91B94"/>
    <w:rsid w:val="66C510B7"/>
    <w:rsid w:val="66C671F9"/>
    <w:rsid w:val="66CE2012"/>
    <w:rsid w:val="66D74DE1"/>
    <w:rsid w:val="66DD2D03"/>
    <w:rsid w:val="66FF30DD"/>
    <w:rsid w:val="670248FD"/>
    <w:rsid w:val="670F59AC"/>
    <w:rsid w:val="672112EA"/>
    <w:rsid w:val="67305EDA"/>
    <w:rsid w:val="67545D9F"/>
    <w:rsid w:val="675C08B0"/>
    <w:rsid w:val="6784498F"/>
    <w:rsid w:val="678A1033"/>
    <w:rsid w:val="67921662"/>
    <w:rsid w:val="67BE276F"/>
    <w:rsid w:val="67D11DF2"/>
    <w:rsid w:val="67F40F61"/>
    <w:rsid w:val="6814130C"/>
    <w:rsid w:val="68161650"/>
    <w:rsid w:val="681B4211"/>
    <w:rsid w:val="68206D96"/>
    <w:rsid w:val="68306FEA"/>
    <w:rsid w:val="68371A45"/>
    <w:rsid w:val="68400EBA"/>
    <w:rsid w:val="684E7F3E"/>
    <w:rsid w:val="685713E3"/>
    <w:rsid w:val="686028F5"/>
    <w:rsid w:val="68762A09"/>
    <w:rsid w:val="6881737B"/>
    <w:rsid w:val="68986BD8"/>
    <w:rsid w:val="68A22858"/>
    <w:rsid w:val="68A34A1A"/>
    <w:rsid w:val="68A73BCB"/>
    <w:rsid w:val="68AF70CB"/>
    <w:rsid w:val="68F262FB"/>
    <w:rsid w:val="691127F9"/>
    <w:rsid w:val="6919219C"/>
    <w:rsid w:val="691E5913"/>
    <w:rsid w:val="69254B03"/>
    <w:rsid w:val="692E7F1E"/>
    <w:rsid w:val="693F5C3A"/>
    <w:rsid w:val="6945663E"/>
    <w:rsid w:val="69556721"/>
    <w:rsid w:val="695B566B"/>
    <w:rsid w:val="698D5DA2"/>
    <w:rsid w:val="69AB60BE"/>
    <w:rsid w:val="69C009BB"/>
    <w:rsid w:val="69C03800"/>
    <w:rsid w:val="69D12B50"/>
    <w:rsid w:val="69E65148"/>
    <w:rsid w:val="6A146FED"/>
    <w:rsid w:val="6A160A64"/>
    <w:rsid w:val="6A191109"/>
    <w:rsid w:val="6A2147BC"/>
    <w:rsid w:val="6A2344AA"/>
    <w:rsid w:val="6A446772"/>
    <w:rsid w:val="6A463051"/>
    <w:rsid w:val="6A5C6F5B"/>
    <w:rsid w:val="6A77703B"/>
    <w:rsid w:val="6A7E1DE9"/>
    <w:rsid w:val="6A84174E"/>
    <w:rsid w:val="6A955B90"/>
    <w:rsid w:val="6A9A7DEB"/>
    <w:rsid w:val="6A9E503C"/>
    <w:rsid w:val="6AC2564B"/>
    <w:rsid w:val="6ADB464B"/>
    <w:rsid w:val="6AE32C84"/>
    <w:rsid w:val="6AE44C5B"/>
    <w:rsid w:val="6AF834C7"/>
    <w:rsid w:val="6AF9003D"/>
    <w:rsid w:val="6AFE4B96"/>
    <w:rsid w:val="6B0723EE"/>
    <w:rsid w:val="6B10223D"/>
    <w:rsid w:val="6B274319"/>
    <w:rsid w:val="6B2D31FB"/>
    <w:rsid w:val="6B4764A0"/>
    <w:rsid w:val="6B580713"/>
    <w:rsid w:val="6B5B17FF"/>
    <w:rsid w:val="6B6C76BC"/>
    <w:rsid w:val="6B6F153C"/>
    <w:rsid w:val="6B737347"/>
    <w:rsid w:val="6B862421"/>
    <w:rsid w:val="6BA2560E"/>
    <w:rsid w:val="6BB9469F"/>
    <w:rsid w:val="6BBB54B2"/>
    <w:rsid w:val="6BD11758"/>
    <w:rsid w:val="6BEB17C8"/>
    <w:rsid w:val="6BEB2489"/>
    <w:rsid w:val="6BEF6318"/>
    <w:rsid w:val="6BEF7CC8"/>
    <w:rsid w:val="6BF82C58"/>
    <w:rsid w:val="6BFE50F8"/>
    <w:rsid w:val="6C10344F"/>
    <w:rsid w:val="6C116C6E"/>
    <w:rsid w:val="6C157858"/>
    <w:rsid w:val="6C1F5A3B"/>
    <w:rsid w:val="6C223336"/>
    <w:rsid w:val="6C3B14ED"/>
    <w:rsid w:val="6C473936"/>
    <w:rsid w:val="6C5F2BE4"/>
    <w:rsid w:val="6C63255C"/>
    <w:rsid w:val="6C7A44CF"/>
    <w:rsid w:val="6C894E08"/>
    <w:rsid w:val="6C965E8B"/>
    <w:rsid w:val="6C983628"/>
    <w:rsid w:val="6CBA0F19"/>
    <w:rsid w:val="6CBF3A5B"/>
    <w:rsid w:val="6CC72015"/>
    <w:rsid w:val="6CD86CFE"/>
    <w:rsid w:val="6CE10540"/>
    <w:rsid w:val="6CE3202C"/>
    <w:rsid w:val="6CE727F8"/>
    <w:rsid w:val="6CF2784B"/>
    <w:rsid w:val="6CF712DF"/>
    <w:rsid w:val="6CF84455"/>
    <w:rsid w:val="6CFA54D0"/>
    <w:rsid w:val="6D116084"/>
    <w:rsid w:val="6D17542B"/>
    <w:rsid w:val="6D32320E"/>
    <w:rsid w:val="6D335EE7"/>
    <w:rsid w:val="6D356BD3"/>
    <w:rsid w:val="6D461433"/>
    <w:rsid w:val="6D524436"/>
    <w:rsid w:val="6D6C58AC"/>
    <w:rsid w:val="6D6C6009"/>
    <w:rsid w:val="6D6F237E"/>
    <w:rsid w:val="6D765C85"/>
    <w:rsid w:val="6D7B7653"/>
    <w:rsid w:val="6D814025"/>
    <w:rsid w:val="6D8831B2"/>
    <w:rsid w:val="6D9C0135"/>
    <w:rsid w:val="6DA5796B"/>
    <w:rsid w:val="6DB30367"/>
    <w:rsid w:val="6DB34411"/>
    <w:rsid w:val="6DBA5A94"/>
    <w:rsid w:val="6DD418BF"/>
    <w:rsid w:val="6DDE620C"/>
    <w:rsid w:val="6DF544AA"/>
    <w:rsid w:val="6DFD7AD7"/>
    <w:rsid w:val="6E0537AB"/>
    <w:rsid w:val="6E0C0EE8"/>
    <w:rsid w:val="6E1D1882"/>
    <w:rsid w:val="6E210E8D"/>
    <w:rsid w:val="6E362F25"/>
    <w:rsid w:val="6E412139"/>
    <w:rsid w:val="6E45347A"/>
    <w:rsid w:val="6E5C0265"/>
    <w:rsid w:val="6E6553F2"/>
    <w:rsid w:val="6E6978BE"/>
    <w:rsid w:val="6E6B57C3"/>
    <w:rsid w:val="6E83431E"/>
    <w:rsid w:val="6E8D4F34"/>
    <w:rsid w:val="6EB367B4"/>
    <w:rsid w:val="6EBA1338"/>
    <w:rsid w:val="6EC56AA2"/>
    <w:rsid w:val="6ECA3990"/>
    <w:rsid w:val="6EE91F12"/>
    <w:rsid w:val="6EF41717"/>
    <w:rsid w:val="6EFA6397"/>
    <w:rsid w:val="6F024D0F"/>
    <w:rsid w:val="6F066A4C"/>
    <w:rsid w:val="6F1A67C7"/>
    <w:rsid w:val="6F207162"/>
    <w:rsid w:val="6F280517"/>
    <w:rsid w:val="6F2A21E0"/>
    <w:rsid w:val="6F32730A"/>
    <w:rsid w:val="6F375468"/>
    <w:rsid w:val="6F386D10"/>
    <w:rsid w:val="6F5B4B08"/>
    <w:rsid w:val="6F5D5CA1"/>
    <w:rsid w:val="6F6E4719"/>
    <w:rsid w:val="6F747267"/>
    <w:rsid w:val="6F760412"/>
    <w:rsid w:val="6F7B20CF"/>
    <w:rsid w:val="6F826DD7"/>
    <w:rsid w:val="6F9F65A3"/>
    <w:rsid w:val="6FA50D0B"/>
    <w:rsid w:val="6FAA7412"/>
    <w:rsid w:val="6FB27E17"/>
    <w:rsid w:val="6FB3608A"/>
    <w:rsid w:val="6FC07487"/>
    <w:rsid w:val="6FCA4496"/>
    <w:rsid w:val="6FE14E3D"/>
    <w:rsid w:val="6FE55124"/>
    <w:rsid w:val="700B2E7E"/>
    <w:rsid w:val="701D1C45"/>
    <w:rsid w:val="70273E2D"/>
    <w:rsid w:val="702D19C7"/>
    <w:rsid w:val="702F3769"/>
    <w:rsid w:val="70386443"/>
    <w:rsid w:val="7056219E"/>
    <w:rsid w:val="7062754F"/>
    <w:rsid w:val="706763CB"/>
    <w:rsid w:val="706B15D0"/>
    <w:rsid w:val="707C202A"/>
    <w:rsid w:val="70860455"/>
    <w:rsid w:val="708A3D15"/>
    <w:rsid w:val="70903100"/>
    <w:rsid w:val="7094107D"/>
    <w:rsid w:val="70B03540"/>
    <w:rsid w:val="70B04FD1"/>
    <w:rsid w:val="70B76860"/>
    <w:rsid w:val="70D67EB4"/>
    <w:rsid w:val="70ED1938"/>
    <w:rsid w:val="710E1103"/>
    <w:rsid w:val="712711B6"/>
    <w:rsid w:val="7127443D"/>
    <w:rsid w:val="713C5401"/>
    <w:rsid w:val="7151723A"/>
    <w:rsid w:val="71736F50"/>
    <w:rsid w:val="718C2705"/>
    <w:rsid w:val="718D2E39"/>
    <w:rsid w:val="718E628B"/>
    <w:rsid w:val="71906C6C"/>
    <w:rsid w:val="719350A4"/>
    <w:rsid w:val="719D059F"/>
    <w:rsid w:val="71A50F52"/>
    <w:rsid w:val="71BA5068"/>
    <w:rsid w:val="71BF0EB1"/>
    <w:rsid w:val="71CD285F"/>
    <w:rsid w:val="71EE499D"/>
    <w:rsid w:val="71F8315C"/>
    <w:rsid w:val="71F83500"/>
    <w:rsid w:val="71FC19F9"/>
    <w:rsid w:val="7225203F"/>
    <w:rsid w:val="722D0D70"/>
    <w:rsid w:val="722F5521"/>
    <w:rsid w:val="723B3631"/>
    <w:rsid w:val="724501DD"/>
    <w:rsid w:val="72453989"/>
    <w:rsid w:val="724739C8"/>
    <w:rsid w:val="724A6915"/>
    <w:rsid w:val="724B7673"/>
    <w:rsid w:val="724C7C82"/>
    <w:rsid w:val="72560E33"/>
    <w:rsid w:val="725C2791"/>
    <w:rsid w:val="72683B2B"/>
    <w:rsid w:val="726D5164"/>
    <w:rsid w:val="729A27BB"/>
    <w:rsid w:val="72A316C6"/>
    <w:rsid w:val="72A66EA6"/>
    <w:rsid w:val="72A730A1"/>
    <w:rsid w:val="72BB7201"/>
    <w:rsid w:val="72CF4138"/>
    <w:rsid w:val="72D26780"/>
    <w:rsid w:val="72D46CB3"/>
    <w:rsid w:val="72D56249"/>
    <w:rsid w:val="72E82DB2"/>
    <w:rsid w:val="72F32A50"/>
    <w:rsid w:val="72FB5142"/>
    <w:rsid w:val="72FE1DE6"/>
    <w:rsid w:val="7308473D"/>
    <w:rsid w:val="730924AD"/>
    <w:rsid w:val="730B45CC"/>
    <w:rsid w:val="733028FA"/>
    <w:rsid w:val="73423499"/>
    <w:rsid w:val="7344635E"/>
    <w:rsid w:val="735510F8"/>
    <w:rsid w:val="735E4620"/>
    <w:rsid w:val="736C664F"/>
    <w:rsid w:val="738803BC"/>
    <w:rsid w:val="73916C87"/>
    <w:rsid w:val="739217D5"/>
    <w:rsid w:val="739A44BB"/>
    <w:rsid w:val="739C75F0"/>
    <w:rsid w:val="73AD50C6"/>
    <w:rsid w:val="73B67726"/>
    <w:rsid w:val="73D019E2"/>
    <w:rsid w:val="73DD360C"/>
    <w:rsid w:val="73E21061"/>
    <w:rsid w:val="73EB6176"/>
    <w:rsid w:val="73FC54F0"/>
    <w:rsid w:val="740D3DE3"/>
    <w:rsid w:val="740E0FB7"/>
    <w:rsid w:val="741B7888"/>
    <w:rsid w:val="741E6D35"/>
    <w:rsid w:val="74247F29"/>
    <w:rsid w:val="7428012D"/>
    <w:rsid w:val="743518A5"/>
    <w:rsid w:val="74367725"/>
    <w:rsid w:val="74414257"/>
    <w:rsid w:val="744556BC"/>
    <w:rsid w:val="7447526F"/>
    <w:rsid w:val="744A225B"/>
    <w:rsid w:val="74632272"/>
    <w:rsid w:val="7473371F"/>
    <w:rsid w:val="748A2847"/>
    <w:rsid w:val="748B5B9F"/>
    <w:rsid w:val="748C529B"/>
    <w:rsid w:val="74AA6209"/>
    <w:rsid w:val="74BB5404"/>
    <w:rsid w:val="74DD31F6"/>
    <w:rsid w:val="74F40D7A"/>
    <w:rsid w:val="74F946E7"/>
    <w:rsid w:val="750A5E63"/>
    <w:rsid w:val="751971C9"/>
    <w:rsid w:val="75275C40"/>
    <w:rsid w:val="752F4037"/>
    <w:rsid w:val="75357DB4"/>
    <w:rsid w:val="755A178A"/>
    <w:rsid w:val="757155F2"/>
    <w:rsid w:val="7577699C"/>
    <w:rsid w:val="757A72A2"/>
    <w:rsid w:val="757F0C16"/>
    <w:rsid w:val="759252EF"/>
    <w:rsid w:val="759F2CDC"/>
    <w:rsid w:val="759F78C3"/>
    <w:rsid w:val="75A66E0A"/>
    <w:rsid w:val="75A86E00"/>
    <w:rsid w:val="75B015A8"/>
    <w:rsid w:val="75CB073B"/>
    <w:rsid w:val="75DE6402"/>
    <w:rsid w:val="75E336B8"/>
    <w:rsid w:val="75EE1457"/>
    <w:rsid w:val="75F0310B"/>
    <w:rsid w:val="75F1568F"/>
    <w:rsid w:val="75F55193"/>
    <w:rsid w:val="7600249D"/>
    <w:rsid w:val="760A1289"/>
    <w:rsid w:val="760A43CB"/>
    <w:rsid w:val="760B6009"/>
    <w:rsid w:val="764E6625"/>
    <w:rsid w:val="765E69CE"/>
    <w:rsid w:val="765F53F9"/>
    <w:rsid w:val="76694FAD"/>
    <w:rsid w:val="766A703C"/>
    <w:rsid w:val="76766724"/>
    <w:rsid w:val="767A54BD"/>
    <w:rsid w:val="767B3E93"/>
    <w:rsid w:val="76877E2F"/>
    <w:rsid w:val="76911C7F"/>
    <w:rsid w:val="769948C6"/>
    <w:rsid w:val="76A82399"/>
    <w:rsid w:val="76AD2336"/>
    <w:rsid w:val="76B40434"/>
    <w:rsid w:val="76B62F74"/>
    <w:rsid w:val="76C76E67"/>
    <w:rsid w:val="76C82567"/>
    <w:rsid w:val="76D11871"/>
    <w:rsid w:val="76DA4682"/>
    <w:rsid w:val="76DC2585"/>
    <w:rsid w:val="76DE47B4"/>
    <w:rsid w:val="76E049C7"/>
    <w:rsid w:val="77024BF4"/>
    <w:rsid w:val="770902F0"/>
    <w:rsid w:val="770B1B6B"/>
    <w:rsid w:val="770D5ED5"/>
    <w:rsid w:val="770F0A92"/>
    <w:rsid w:val="770F1A9F"/>
    <w:rsid w:val="77101A03"/>
    <w:rsid w:val="77111290"/>
    <w:rsid w:val="772C72CD"/>
    <w:rsid w:val="773D6723"/>
    <w:rsid w:val="774B7774"/>
    <w:rsid w:val="77545823"/>
    <w:rsid w:val="775F1345"/>
    <w:rsid w:val="7774545A"/>
    <w:rsid w:val="77750CCF"/>
    <w:rsid w:val="778901F1"/>
    <w:rsid w:val="778F6F88"/>
    <w:rsid w:val="77C27FD0"/>
    <w:rsid w:val="77D401DC"/>
    <w:rsid w:val="77DD6152"/>
    <w:rsid w:val="77F105A8"/>
    <w:rsid w:val="781F188A"/>
    <w:rsid w:val="782909D7"/>
    <w:rsid w:val="782B6B1D"/>
    <w:rsid w:val="78306A2D"/>
    <w:rsid w:val="78333B77"/>
    <w:rsid w:val="78462278"/>
    <w:rsid w:val="784F5787"/>
    <w:rsid w:val="786E6813"/>
    <w:rsid w:val="788041AB"/>
    <w:rsid w:val="7895695B"/>
    <w:rsid w:val="78AD2D80"/>
    <w:rsid w:val="78B94687"/>
    <w:rsid w:val="78C53AE4"/>
    <w:rsid w:val="78D14EA1"/>
    <w:rsid w:val="78D17FD0"/>
    <w:rsid w:val="78E51C5C"/>
    <w:rsid w:val="78F115C2"/>
    <w:rsid w:val="78FB5444"/>
    <w:rsid w:val="79006B87"/>
    <w:rsid w:val="79110669"/>
    <w:rsid w:val="79197396"/>
    <w:rsid w:val="792F1381"/>
    <w:rsid w:val="79346D56"/>
    <w:rsid w:val="79451C25"/>
    <w:rsid w:val="79514592"/>
    <w:rsid w:val="795221D4"/>
    <w:rsid w:val="795F0221"/>
    <w:rsid w:val="79613012"/>
    <w:rsid w:val="796252FE"/>
    <w:rsid w:val="79752E15"/>
    <w:rsid w:val="797848AB"/>
    <w:rsid w:val="797F5550"/>
    <w:rsid w:val="79893E0C"/>
    <w:rsid w:val="798C3BD2"/>
    <w:rsid w:val="79953FBA"/>
    <w:rsid w:val="79963DBD"/>
    <w:rsid w:val="799A5532"/>
    <w:rsid w:val="799D4356"/>
    <w:rsid w:val="79A522A2"/>
    <w:rsid w:val="79C00345"/>
    <w:rsid w:val="79DD5076"/>
    <w:rsid w:val="79E720DF"/>
    <w:rsid w:val="79F25EA5"/>
    <w:rsid w:val="79F76829"/>
    <w:rsid w:val="7A1C1AA5"/>
    <w:rsid w:val="7A2A7DCB"/>
    <w:rsid w:val="7A341C96"/>
    <w:rsid w:val="7A3A60A3"/>
    <w:rsid w:val="7A507324"/>
    <w:rsid w:val="7A53535E"/>
    <w:rsid w:val="7A8E2A47"/>
    <w:rsid w:val="7A900B5E"/>
    <w:rsid w:val="7A95085F"/>
    <w:rsid w:val="7AA36E77"/>
    <w:rsid w:val="7AA76DD1"/>
    <w:rsid w:val="7AAA5C4B"/>
    <w:rsid w:val="7AC7106C"/>
    <w:rsid w:val="7ACF3E00"/>
    <w:rsid w:val="7AE34562"/>
    <w:rsid w:val="7AE75258"/>
    <w:rsid w:val="7AEC6725"/>
    <w:rsid w:val="7AEF5530"/>
    <w:rsid w:val="7AF72AE5"/>
    <w:rsid w:val="7B005536"/>
    <w:rsid w:val="7B082EBB"/>
    <w:rsid w:val="7B0E4E14"/>
    <w:rsid w:val="7B160D01"/>
    <w:rsid w:val="7B1B0A51"/>
    <w:rsid w:val="7B1B49FF"/>
    <w:rsid w:val="7B387CC4"/>
    <w:rsid w:val="7B3D18BF"/>
    <w:rsid w:val="7B4165A6"/>
    <w:rsid w:val="7B4779D8"/>
    <w:rsid w:val="7B4B2FA7"/>
    <w:rsid w:val="7B567B00"/>
    <w:rsid w:val="7B6475E5"/>
    <w:rsid w:val="7B6B171D"/>
    <w:rsid w:val="7B7E3E7D"/>
    <w:rsid w:val="7B8A11BD"/>
    <w:rsid w:val="7B8F2B04"/>
    <w:rsid w:val="7B933FFC"/>
    <w:rsid w:val="7B963692"/>
    <w:rsid w:val="7B9B36ED"/>
    <w:rsid w:val="7B9E589E"/>
    <w:rsid w:val="7BA34703"/>
    <w:rsid w:val="7BA605E1"/>
    <w:rsid w:val="7BAA0CF9"/>
    <w:rsid w:val="7BAB5D61"/>
    <w:rsid w:val="7BD20F10"/>
    <w:rsid w:val="7BDF66C9"/>
    <w:rsid w:val="7BE75BA3"/>
    <w:rsid w:val="7BEC1A10"/>
    <w:rsid w:val="7BF02C26"/>
    <w:rsid w:val="7BF437A0"/>
    <w:rsid w:val="7BF7784F"/>
    <w:rsid w:val="7BF857C3"/>
    <w:rsid w:val="7BFA59F8"/>
    <w:rsid w:val="7BFD5C31"/>
    <w:rsid w:val="7BFF131E"/>
    <w:rsid w:val="7C157FB9"/>
    <w:rsid w:val="7C16626D"/>
    <w:rsid w:val="7C3E2DB7"/>
    <w:rsid w:val="7C4A0BE0"/>
    <w:rsid w:val="7C4C347A"/>
    <w:rsid w:val="7C5D1135"/>
    <w:rsid w:val="7C6245DF"/>
    <w:rsid w:val="7C6B1E45"/>
    <w:rsid w:val="7C700113"/>
    <w:rsid w:val="7C802B69"/>
    <w:rsid w:val="7C8D3DAD"/>
    <w:rsid w:val="7C9214AA"/>
    <w:rsid w:val="7C9F5482"/>
    <w:rsid w:val="7CAC3287"/>
    <w:rsid w:val="7CB373F3"/>
    <w:rsid w:val="7CB92CB8"/>
    <w:rsid w:val="7CBE6DCD"/>
    <w:rsid w:val="7CD35967"/>
    <w:rsid w:val="7CD871A5"/>
    <w:rsid w:val="7CDF596B"/>
    <w:rsid w:val="7CF02147"/>
    <w:rsid w:val="7CF24091"/>
    <w:rsid w:val="7CF34E39"/>
    <w:rsid w:val="7CF70054"/>
    <w:rsid w:val="7CF95FF1"/>
    <w:rsid w:val="7CF96B4D"/>
    <w:rsid w:val="7D351EEB"/>
    <w:rsid w:val="7D384692"/>
    <w:rsid w:val="7D38672A"/>
    <w:rsid w:val="7D537B5C"/>
    <w:rsid w:val="7D652D10"/>
    <w:rsid w:val="7D884C43"/>
    <w:rsid w:val="7D9700E8"/>
    <w:rsid w:val="7DB67480"/>
    <w:rsid w:val="7DBA1202"/>
    <w:rsid w:val="7DC9385D"/>
    <w:rsid w:val="7DE65EF4"/>
    <w:rsid w:val="7DE669F5"/>
    <w:rsid w:val="7E041C29"/>
    <w:rsid w:val="7E0B60C0"/>
    <w:rsid w:val="7E120E6D"/>
    <w:rsid w:val="7E3C4D21"/>
    <w:rsid w:val="7E3E6958"/>
    <w:rsid w:val="7E435E6D"/>
    <w:rsid w:val="7E445C1A"/>
    <w:rsid w:val="7E4851C0"/>
    <w:rsid w:val="7E560013"/>
    <w:rsid w:val="7E682F48"/>
    <w:rsid w:val="7E6F622C"/>
    <w:rsid w:val="7E706D55"/>
    <w:rsid w:val="7E957537"/>
    <w:rsid w:val="7E9F5752"/>
    <w:rsid w:val="7EC871EC"/>
    <w:rsid w:val="7ED2669C"/>
    <w:rsid w:val="7ED643C6"/>
    <w:rsid w:val="7EDE145C"/>
    <w:rsid w:val="7EE0422B"/>
    <w:rsid w:val="7EFA4F30"/>
    <w:rsid w:val="7F233816"/>
    <w:rsid w:val="7F3D6AAB"/>
    <w:rsid w:val="7F474FA1"/>
    <w:rsid w:val="7F4F7D9A"/>
    <w:rsid w:val="7F54405B"/>
    <w:rsid w:val="7F6C689A"/>
    <w:rsid w:val="7F7F2E58"/>
    <w:rsid w:val="7F8565CD"/>
    <w:rsid w:val="7F860A6E"/>
    <w:rsid w:val="7F9C7AEE"/>
    <w:rsid w:val="7FAC054E"/>
    <w:rsid w:val="7FAF2BD6"/>
    <w:rsid w:val="7FB46FEB"/>
    <w:rsid w:val="7FC51605"/>
    <w:rsid w:val="7FC87AF6"/>
    <w:rsid w:val="7FDA7C10"/>
    <w:rsid w:val="7FF47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6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1"/>
    <w:qFormat/>
    <w:uiPriority w:val="0"/>
    <w:pPr>
      <w:keepNext/>
      <w:keepLines/>
      <w:spacing w:before="260" w:after="260" w:line="360" w:lineRule="auto"/>
      <w:jc w:val="center"/>
      <w:outlineLvl w:val="2"/>
    </w:pPr>
    <w:rPr>
      <w:b/>
      <w:bCs/>
      <w:sz w:val="30"/>
      <w:szCs w:val="32"/>
      <w:lang w:val="zh-CN"/>
    </w:rPr>
  </w:style>
  <w:style w:type="paragraph" w:styleId="5">
    <w:name w:val="heading 4"/>
    <w:basedOn w:val="4"/>
    <w:next w:val="6"/>
    <w:link w:val="62"/>
    <w:qFormat/>
    <w:uiPriority w:val="0"/>
    <w:pPr>
      <w:spacing w:before="156" w:beforeLines="50" w:after="156" w:afterLines="50"/>
      <w:ind w:left="284" w:hanging="284"/>
      <w:outlineLvl w:val="3"/>
    </w:pPr>
    <w:rPr>
      <w:rFonts w:ascii="Arial" w:hAnsi="Arial"/>
      <w:b w:val="0"/>
      <w:bCs w:val="0"/>
      <w:color w:val="000000"/>
      <w:sz w:val="24"/>
      <w:szCs w:val="24"/>
    </w:rPr>
  </w:style>
  <w:style w:type="paragraph" w:styleId="7">
    <w:name w:val="heading 5"/>
    <w:basedOn w:val="5"/>
    <w:next w:val="6"/>
    <w:link w:val="63"/>
    <w:qFormat/>
    <w:uiPriority w:val="0"/>
    <w:pPr>
      <w:spacing w:line="240" w:lineRule="exact"/>
      <w:outlineLvl w:val="4"/>
    </w:pPr>
  </w:style>
  <w:style w:type="paragraph" w:styleId="8">
    <w:name w:val="heading 6"/>
    <w:basedOn w:val="1"/>
    <w:next w:val="1"/>
    <w:link w:val="64"/>
    <w:unhideWhenUsed/>
    <w:qFormat/>
    <w:uiPriority w:val="0"/>
    <w:pPr>
      <w:keepNext/>
      <w:keepLines/>
      <w:spacing w:before="240" w:after="64" w:line="320" w:lineRule="auto"/>
      <w:outlineLvl w:val="5"/>
    </w:pPr>
    <w:rPr>
      <w:rFonts w:ascii="Cambria" w:hAnsi="Cambria"/>
      <w:b/>
      <w:bCs/>
      <w:sz w:val="24"/>
      <w:szCs w:val="24"/>
      <w:lang w:val="zh-CN"/>
    </w:rPr>
  </w:style>
  <w:style w:type="paragraph" w:styleId="9">
    <w:name w:val="heading 7"/>
    <w:basedOn w:val="1"/>
    <w:next w:val="6"/>
    <w:link w:val="65"/>
    <w:qFormat/>
    <w:uiPriority w:val="0"/>
    <w:pPr>
      <w:keepNext/>
      <w:keepLines/>
      <w:spacing w:before="240" w:after="64" w:line="360" w:lineRule="auto"/>
      <w:jc w:val="center"/>
      <w:outlineLvl w:val="6"/>
    </w:pPr>
    <w:rPr>
      <w:b/>
      <w:sz w:val="28"/>
      <w:lang w:val="zh-CN"/>
    </w:rPr>
  </w:style>
  <w:style w:type="paragraph" w:styleId="10">
    <w:name w:val="heading 8"/>
    <w:basedOn w:val="1"/>
    <w:next w:val="6"/>
    <w:link w:val="66"/>
    <w:qFormat/>
    <w:uiPriority w:val="0"/>
    <w:pPr>
      <w:keepNext/>
      <w:keepLines/>
      <w:spacing w:before="240" w:after="64" w:line="320" w:lineRule="auto"/>
      <w:outlineLvl w:val="7"/>
    </w:pPr>
    <w:rPr>
      <w:rFonts w:ascii="Arial" w:hAnsi="Arial" w:eastAsia="黑体"/>
      <w:sz w:val="24"/>
      <w:lang w:val="zh-CN"/>
    </w:rPr>
  </w:style>
  <w:style w:type="paragraph" w:styleId="11">
    <w:name w:val="heading 9"/>
    <w:basedOn w:val="1"/>
    <w:next w:val="6"/>
    <w:link w:val="67"/>
    <w:qFormat/>
    <w:uiPriority w:val="0"/>
    <w:pPr>
      <w:keepNext/>
      <w:keepLines/>
      <w:spacing w:before="240" w:after="64" w:line="320" w:lineRule="auto"/>
      <w:outlineLvl w:val="8"/>
    </w:pPr>
    <w:rPr>
      <w:rFonts w:ascii="Arial" w:hAnsi="Arial" w:eastAsia="黑体"/>
      <w:lang w:val="zh-CN"/>
    </w:rPr>
  </w:style>
  <w:style w:type="character" w:default="1" w:styleId="45">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6">
    <w:name w:val="Normal Indent"/>
    <w:basedOn w:val="1"/>
    <w:next w:val="1"/>
    <w:link w:val="218"/>
    <w:qFormat/>
    <w:uiPriority w:val="0"/>
    <w:pPr>
      <w:ind w:firstLine="420" w:firstLineChars="200"/>
    </w:pPr>
  </w:style>
  <w:style w:type="paragraph" w:styleId="12">
    <w:name w:val="toc 7"/>
    <w:basedOn w:val="1"/>
    <w:next w:val="1"/>
    <w:qFormat/>
    <w:uiPriority w:val="0"/>
    <w:pPr>
      <w:ind w:left="1260"/>
      <w:jc w:val="left"/>
    </w:pPr>
    <w:rPr>
      <w:sz w:val="18"/>
      <w:szCs w:val="18"/>
    </w:rPr>
  </w:style>
  <w:style w:type="paragraph" w:styleId="13">
    <w:name w:val="Document Map"/>
    <w:basedOn w:val="1"/>
    <w:link w:val="81"/>
    <w:qFormat/>
    <w:uiPriority w:val="0"/>
    <w:pPr>
      <w:shd w:val="clear" w:color="auto" w:fill="000080"/>
    </w:pPr>
    <w:rPr>
      <w:lang w:val="zh-CN"/>
    </w:rPr>
  </w:style>
  <w:style w:type="paragraph" w:styleId="14">
    <w:name w:val="annotation text"/>
    <w:basedOn w:val="1"/>
    <w:link w:val="78"/>
    <w:qFormat/>
    <w:uiPriority w:val="0"/>
    <w:pPr>
      <w:jc w:val="left"/>
    </w:pPr>
    <w:rPr>
      <w:lang w:val="zh-CN"/>
    </w:rPr>
  </w:style>
  <w:style w:type="paragraph" w:styleId="15">
    <w:name w:val="Body Text 3"/>
    <w:basedOn w:val="1"/>
    <w:link w:val="80"/>
    <w:qFormat/>
    <w:uiPriority w:val="0"/>
    <w:pPr>
      <w:spacing w:after="120"/>
    </w:pPr>
    <w:rPr>
      <w:sz w:val="16"/>
      <w:szCs w:val="16"/>
      <w:lang w:val="zh-CN"/>
    </w:rPr>
  </w:style>
  <w:style w:type="paragraph" w:styleId="16">
    <w:name w:val="Body Text"/>
    <w:basedOn w:val="1"/>
    <w:next w:val="1"/>
    <w:link w:val="83"/>
    <w:qFormat/>
    <w:uiPriority w:val="0"/>
    <w:pPr>
      <w:spacing w:after="120"/>
    </w:pPr>
    <w:rPr>
      <w:lang w:val="zh-CN"/>
    </w:rPr>
  </w:style>
  <w:style w:type="paragraph" w:styleId="17">
    <w:name w:val="Body Text Indent"/>
    <w:basedOn w:val="1"/>
    <w:next w:val="18"/>
    <w:link w:val="82"/>
    <w:qFormat/>
    <w:uiPriority w:val="0"/>
    <w:pPr>
      <w:spacing w:after="120"/>
      <w:ind w:left="420" w:leftChars="200"/>
    </w:pPr>
    <w:rPr>
      <w:lang w:val="zh-CN"/>
    </w:rPr>
  </w:style>
  <w:style w:type="paragraph" w:styleId="18">
    <w:name w:val="envelope return"/>
    <w:basedOn w:val="1"/>
    <w:qFormat/>
    <w:uiPriority w:val="0"/>
    <w:pPr>
      <w:snapToGrid w:val="0"/>
    </w:pPr>
    <w:rPr>
      <w:rFonts w:ascii="Arial" w:hAnsi="Arial"/>
    </w:rPr>
  </w:style>
  <w:style w:type="paragraph" w:styleId="19">
    <w:name w:val="Block Text"/>
    <w:basedOn w:val="1"/>
    <w:qFormat/>
    <w:uiPriority w:val="0"/>
    <w:pPr>
      <w:tabs>
        <w:tab w:val="left" w:pos="900"/>
      </w:tabs>
      <w:snapToGrid w:val="0"/>
      <w:spacing w:line="360" w:lineRule="auto"/>
      <w:ind w:left="-180" w:right="-334" w:firstLine="482"/>
    </w:pPr>
    <w:rPr>
      <w:rFonts w:ascii="仿宋_GB2312" w:eastAsia="仿宋_GB2312"/>
      <w:sz w:val="24"/>
    </w:r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39"/>
    <w:pPr>
      <w:ind w:left="840" w:leftChars="400"/>
    </w:pPr>
  </w:style>
  <w:style w:type="paragraph" w:styleId="22">
    <w:name w:val="Plain Text"/>
    <w:basedOn w:val="1"/>
    <w:next w:val="1"/>
    <w:link w:val="74"/>
    <w:qFormat/>
    <w:uiPriority w:val="0"/>
    <w:rPr>
      <w:rFonts w:ascii="宋体" w:hAnsi="Courier New"/>
    </w:rPr>
  </w:style>
  <w:style w:type="paragraph" w:styleId="23">
    <w:name w:val="toc 8"/>
    <w:basedOn w:val="1"/>
    <w:next w:val="1"/>
    <w:qFormat/>
    <w:uiPriority w:val="0"/>
    <w:pPr>
      <w:ind w:left="1470"/>
      <w:jc w:val="left"/>
    </w:pPr>
    <w:rPr>
      <w:sz w:val="18"/>
      <w:szCs w:val="18"/>
    </w:rPr>
  </w:style>
  <w:style w:type="paragraph" w:styleId="24">
    <w:name w:val="Date"/>
    <w:basedOn w:val="1"/>
    <w:next w:val="1"/>
    <w:link w:val="87"/>
    <w:qFormat/>
    <w:uiPriority w:val="0"/>
    <w:pPr>
      <w:ind w:left="100" w:leftChars="2500"/>
    </w:pPr>
    <w:rPr>
      <w:rFonts w:ascii="宋体" w:hAnsi="Courier New"/>
      <w:b/>
      <w:bCs/>
      <w:sz w:val="28"/>
      <w:szCs w:val="21"/>
      <w:lang w:val="zh-CN"/>
    </w:rPr>
  </w:style>
  <w:style w:type="paragraph" w:styleId="25">
    <w:name w:val="Body Text Indent 2"/>
    <w:basedOn w:val="1"/>
    <w:link w:val="89"/>
    <w:qFormat/>
    <w:uiPriority w:val="0"/>
    <w:pPr>
      <w:spacing w:after="120" w:line="480" w:lineRule="auto"/>
      <w:ind w:left="420" w:leftChars="200"/>
    </w:pPr>
    <w:rPr>
      <w:lang w:val="zh-CN"/>
    </w:rPr>
  </w:style>
  <w:style w:type="paragraph" w:styleId="26">
    <w:name w:val="Balloon Text"/>
    <w:basedOn w:val="1"/>
    <w:link w:val="86"/>
    <w:semiHidden/>
    <w:qFormat/>
    <w:uiPriority w:val="99"/>
    <w:rPr>
      <w:sz w:val="18"/>
      <w:szCs w:val="18"/>
      <w:lang w:val="zh-CN"/>
    </w:rPr>
  </w:style>
  <w:style w:type="paragraph" w:styleId="27">
    <w:name w:val="footer"/>
    <w:basedOn w:val="1"/>
    <w:link w:val="88"/>
    <w:qFormat/>
    <w:uiPriority w:val="99"/>
    <w:pPr>
      <w:tabs>
        <w:tab w:val="center" w:pos="4153"/>
        <w:tab w:val="right" w:pos="8306"/>
      </w:tabs>
      <w:snapToGrid w:val="0"/>
      <w:jc w:val="left"/>
    </w:pPr>
    <w:rPr>
      <w:sz w:val="18"/>
      <w:lang w:val="zh-CN"/>
    </w:rPr>
  </w:style>
  <w:style w:type="paragraph" w:styleId="28">
    <w:name w:val="header"/>
    <w:basedOn w:val="1"/>
    <w:link w:val="85"/>
    <w:qFormat/>
    <w:uiPriority w:val="0"/>
    <w:pPr>
      <w:pBdr>
        <w:bottom w:val="single" w:color="auto" w:sz="6" w:space="1"/>
      </w:pBdr>
      <w:tabs>
        <w:tab w:val="center" w:pos="4153"/>
        <w:tab w:val="right" w:pos="8306"/>
      </w:tabs>
      <w:snapToGrid w:val="0"/>
      <w:jc w:val="center"/>
    </w:pPr>
    <w:rPr>
      <w:sz w:val="18"/>
      <w:lang w:val="zh-CN"/>
    </w:rPr>
  </w:style>
  <w:style w:type="paragraph" w:styleId="29">
    <w:name w:val="toc 1"/>
    <w:basedOn w:val="1"/>
    <w:next w:val="1"/>
    <w:qFormat/>
    <w:uiPriority w:val="39"/>
  </w:style>
  <w:style w:type="paragraph" w:styleId="30">
    <w:name w:val="toc 4"/>
    <w:basedOn w:val="1"/>
    <w:next w:val="1"/>
    <w:qFormat/>
    <w:uiPriority w:val="0"/>
    <w:pPr>
      <w:ind w:left="630"/>
      <w:jc w:val="left"/>
    </w:pPr>
    <w:rPr>
      <w:sz w:val="18"/>
      <w:szCs w:val="18"/>
    </w:rPr>
  </w:style>
  <w:style w:type="paragraph" w:styleId="31">
    <w:name w:val="Subtitle"/>
    <w:basedOn w:val="1"/>
    <w:next w:val="1"/>
    <w:link w:val="217"/>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32">
    <w:name w:val="toc 6"/>
    <w:basedOn w:val="1"/>
    <w:next w:val="1"/>
    <w:qFormat/>
    <w:uiPriority w:val="0"/>
    <w:pPr>
      <w:ind w:left="1050"/>
      <w:jc w:val="left"/>
    </w:pPr>
    <w:rPr>
      <w:sz w:val="18"/>
      <w:szCs w:val="18"/>
    </w:rPr>
  </w:style>
  <w:style w:type="paragraph" w:styleId="33">
    <w:name w:val="Body Text Indent 3"/>
    <w:basedOn w:val="1"/>
    <w:link w:val="84"/>
    <w:qFormat/>
    <w:uiPriority w:val="0"/>
    <w:pPr>
      <w:spacing w:after="120"/>
      <w:ind w:left="420" w:leftChars="200"/>
    </w:pPr>
    <w:rPr>
      <w:sz w:val="16"/>
      <w:szCs w:val="16"/>
      <w:lang w:val="zh-CN"/>
    </w:rPr>
  </w:style>
  <w:style w:type="paragraph" w:styleId="34">
    <w:name w:val="toc 2"/>
    <w:basedOn w:val="1"/>
    <w:next w:val="1"/>
    <w:qFormat/>
    <w:uiPriority w:val="39"/>
    <w:pPr>
      <w:ind w:left="420" w:leftChars="200"/>
    </w:pPr>
  </w:style>
  <w:style w:type="paragraph" w:styleId="35">
    <w:name w:val="toc 9"/>
    <w:basedOn w:val="1"/>
    <w:next w:val="1"/>
    <w:qFormat/>
    <w:uiPriority w:val="0"/>
    <w:pPr>
      <w:ind w:left="1680"/>
      <w:jc w:val="left"/>
    </w:pPr>
    <w:rPr>
      <w:sz w:val="18"/>
      <w:szCs w:val="18"/>
    </w:rPr>
  </w:style>
  <w:style w:type="paragraph" w:styleId="36">
    <w:name w:val="Body Text 2"/>
    <w:basedOn w:val="1"/>
    <w:link w:val="115"/>
    <w:qFormat/>
    <w:uiPriority w:val="0"/>
    <w:rPr>
      <w:sz w:val="24"/>
      <w:lang w:val="zh-CN"/>
    </w:rPr>
  </w:style>
  <w:style w:type="paragraph" w:styleId="37">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zh-CN"/>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9">
    <w:name w:val="Title"/>
    <w:basedOn w:val="1"/>
    <w:next w:val="1"/>
    <w:link w:val="140"/>
    <w:qFormat/>
    <w:uiPriority w:val="10"/>
    <w:pPr>
      <w:spacing w:before="240" w:after="60"/>
      <w:jc w:val="center"/>
      <w:outlineLvl w:val="0"/>
    </w:pPr>
    <w:rPr>
      <w:rFonts w:ascii="Cambria" w:hAnsi="Cambria"/>
      <w:b/>
      <w:bCs/>
      <w:sz w:val="32"/>
      <w:szCs w:val="32"/>
      <w:lang w:val="zh-CN"/>
    </w:rPr>
  </w:style>
  <w:style w:type="paragraph" w:styleId="40">
    <w:name w:val="annotation subject"/>
    <w:basedOn w:val="14"/>
    <w:next w:val="14"/>
    <w:link w:val="79"/>
    <w:qFormat/>
    <w:uiPriority w:val="99"/>
    <w:rPr>
      <w:b/>
      <w:bCs/>
    </w:rPr>
  </w:style>
  <w:style w:type="paragraph" w:styleId="41">
    <w:name w:val="Body Text First Indent"/>
    <w:basedOn w:val="16"/>
    <w:next w:val="1"/>
    <w:link w:val="114"/>
    <w:qFormat/>
    <w:uiPriority w:val="0"/>
    <w:pPr>
      <w:ind w:firstLine="420" w:firstLineChars="100"/>
    </w:pPr>
  </w:style>
  <w:style w:type="paragraph" w:styleId="42">
    <w:name w:val="Body Text First Indent 2"/>
    <w:basedOn w:val="17"/>
    <w:link w:val="163"/>
    <w:qFormat/>
    <w:uiPriority w:val="0"/>
    <w:pPr>
      <w:ind w:firstLine="420" w:firstLineChars="200"/>
    </w:pPr>
    <w:rPr>
      <w:rFonts w:hAnsi="Calibri"/>
      <w:szCs w:val="24"/>
    </w:rPr>
  </w:style>
  <w:style w:type="table" w:styleId="44">
    <w:name w:val="Table Grid"/>
    <w:basedOn w:val="4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22"/>
    <w:rPr>
      <w:b/>
      <w:bCs/>
    </w:rPr>
  </w:style>
  <w:style w:type="character" w:styleId="47">
    <w:name w:val="page number"/>
    <w:basedOn w:val="45"/>
    <w:qFormat/>
    <w:uiPriority w:val="0"/>
  </w:style>
  <w:style w:type="character" w:styleId="48">
    <w:name w:val="FollowedHyperlink"/>
    <w:basedOn w:val="45"/>
    <w:qFormat/>
    <w:uiPriority w:val="99"/>
    <w:rPr>
      <w:color w:val="0066CD"/>
      <w:u w:val="none"/>
    </w:rPr>
  </w:style>
  <w:style w:type="character" w:styleId="49">
    <w:name w:val="Emphasis"/>
    <w:qFormat/>
    <w:uiPriority w:val="0"/>
    <w:rPr>
      <w:color w:val="C60A00"/>
    </w:rPr>
  </w:style>
  <w:style w:type="character" w:styleId="50">
    <w:name w:val="HTML Definition"/>
    <w:basedOn w:val="45"/>
    <w:qFormat/>
    <w:uiPriority w:val="0"/>
    <w:rPr>
      <w:i/>
    </w:rPr>
  </w:style>
  <w:style w:type="character" w:styleId="51">
    <w:name w:val="HTML Acronym"/>
    <w:basedOn w:val="45"/>
    <w:qFormat/>
    <w:uiPriority w:val="0"/>
  </w:style>
  <w:style w:type="character" w:styleId="52">
    <w:name w:val="Hyperlink"/>
    <w:basedOn w:val="45"/>
    <w:qFormat/>
    <w:uiPriority w:val="99"/>
    <w:rPr>
      <w:color w:val="0000FF"/>
      <w:u w:val="single"/>
    </w:rPr>
  </w:style>
  <w:style w:type="character" w:styleId="53">
    <w:name w:val="HTML Code"/>
    <w:basedOn w:val="45"/>
    <w:qFormat/>
    <w:uiPriority w:val="0"/>
    <w:rPr>
      <w:rFonts w:hint="default" w:ascii="Consolas" w:hAnsi="Consolas" w:eastAsia="Consolas" w:cs="Consolas"/>
      <w:color w:val="C7254E"/>
      <w:sz w:val="21"/>
      <w:szCs w:val="21"/>
      <w:shd w:val="clear" w:fill="F9F2F4"/>
    </w:rPr>
  </w:style>
  <w:style w:type="character" w:styleId="54">
    <w:name w:val="annotation reference"/>
    <w:qFormat/>
    <w:uiPriority w:val="0"/>
    <w:rPr>
      <w:sz w:val="21"/>
      <w:szCs w:val="21"/>
    </w:rPr>
  </w:style>
  <w:style w:type="character" w:styleId="55">
    <w:name w:val="HTML Keyboard"/>
    <w:basedOn w:val="45"/>
    <w:qFormat/>
    <w:uiPriority w:val="0"/>
    <w:rPr>
      <w:rFonts w:hint="default" w:ascii="Consolas" w:hAnsi="Consolas" w:eastAsia="Consolas" w:cs="Consolas"/>
      <w:color w:val="FFFFFF"/>
      <w:sz w:val="21"/>
      <w:szCs w:val="21"/>
      <w:shd w:val="clear" w:fill="333333"/>
    </w:rPr>
  </w:style>
  <w:style w:type="character" w:styleId="56">
    <w:name w:val="HTML Sample"/>
    <w:basedOn w:val="45"/>
    <w:qFormat/>
    <w:uiPriority w:val="0"/>
    <w:rPr>
      <w:rFonts w:ascii="Consolas" w:hAnsi="Consolas" w:eastAsia="Consolas" w:cs="Consolas"/>
      <w:sz w:val="21"/>
      <w:szCs w:val="21"/>
    </w:rPr>
  </w:style>
  <w:style w:type="paragraph" w:customStyle="1" w:styleId="57">
    <w:name w:val="Body Text 21"/>
    <w:basedOn w:val="1"/>
    <w:qFormat/>
    <w:uiPriority w:val="0"/>
    <w:pPr>
      <w:spacing w:line="500" w:lineRule="exact"/>
    </w:pPr>
    <w:rPr>
      <w:rFonts w:ascii="宋体"/>
      <w:sz w:val="24"/>
    </w:rPr>
  </w:style>
  <w:style w:type="paragraph" w:customStyle="1" w:styleId="58">
    <w:name w:val="目录 21"/>
    <w:basedOn w:val="1"/>
    <w:next w:val="1"/>
    <w:qFormat/>
    <w:uiPriority w:val="0"/>
    <w:pPr>
      <w:spacing w:before="100" w:beforeAutospacing="1" w:after="100" w:afterAutospacing="1"/>
      <w:ind w:left="420" w:leftChars="200"/>
    </w:pPr>
  </w:style>
  <w:style w:type="character" w:customStyle="1" w:styleId="59">
    <w:name w:val="标题 1 Char"/>
    <w:link w:val="3"/>
    <w:qFormat/>
    <w:uiPriority w:val="0"/>
    <w:rPr>
      <w:rFonts w:eastAsia="宋体"/>
      <w:b/>
      <w:bCs/>
      <w:kern w:val="44"/>
      <w:sz w:val="44"/>
      <w:szCs w:val="44"/>
      <w:lang w:val="en-US" w:eastAsia="zh-CN" w:bidi="ar-SA"/>
    </w:rPr>
  </w:style>
  <w:style w:type="character" w:customStyle="1" w:styleId="60">
    <w:name w:val="标题 2 Char"/>
    <w:link w:val="2"/>
    <w:qFormat/>
    <w:uiPriority w:val="0"/>
    <w:rPr>
      <w:rFonts w:ascii="Arial" w:hAnsi="Arial" w:eastAsia="黑体"/>
      <w:b/>
      <w:bCs/>
      <w:kern w:val="2"/>
      <w:sz w:val="32"/>
      <w:szCs w:val="32"/>
      <w:lang w:val="en-US" w:eastAsia="zh-CN" w:bidi="ar-SA"/>
    </w:rPr>
  </w:style>
  <w:style w:type="character" w:customStyle="1" w:styleId="61">
    <w:name w:val="标题 3 Char"/>
    <w:link w:val="4"/>
    <w:qFormat/>
    <w:uiPriority w:val="0"/>
    <w:rPr>
      <w:b/>
      <w:bCs/>
      <w:kern w:val="2"/>
      <w:sz w:val="30"/>
      <w:szCs w:val="32"/>
      <w:lang w:val="zh-CN" w:eastAsia="zh-CN"/>
    </w:rPr>
  </w:style>
  <w:style w:type="character" w:customStyle="1" w:styleId="62">
    <w:name w:val="标题 4 Char"/>
    <w:link w:val="5"/>
    <w:qFormat/>
    <w:uiPriority w:val="0"/>
    <w:rPr>
      <w:rFonts w:ascii="Arial" w:hAnsi="Arial"/>
      <w:color w:val="000000"/>
      <w:kern w:val="2"/>
      <w:sz w:val="24"/>
      <w:szCs w:val="24"/>
      <w:lang w:val="zh-CN" w:eastAsia="zh-CN"/>
    </w:rPr>
  </w:style>
  <w:style w:type="character" w:customStyle="1" w:styleId="63">
    <w:name w:val="标题 5 Char"/>
    <w:link w:val="7"/>
    <w:qFormat/>
    <w:uiPriority w:val="0"/>
    <w:rPr>
      <w:rFonts w:ascii="Arial" w:hAnsi="Arial"/>
      <w:color w:val="000000"/>
      <w:kern w:val="2"/>
      <w:sz w:val="24"/>
      <w:szCs w:val="24"/>
      <w:lang w:val="zh-CN" w:eastAsia="zh-CN"/>
    </w:rPr>
  </w:style>
  <w:style w:type="character" w:customStyle="1" w:styleId="64">
    <w:name w:val="标题 6 Char"/>
    <w:link w:val="8"/>
    <w:qFormat/>
    <w:uiPriority w:val="0"/>
    <w:rPr>
      <w:rFonts w:ascii="Cambria" w:hAnsi="Cambria"/>
      <w:b/>
      <w:bCs/>
      <w:kern w:val="2"/>
      <w:sz w:val="24"/>
      <w:szCs w:val="24"/>
    </w:rPr>
  </w:style>
  <w:style w:type="character" w:customStyle="1" w:styleId="65">
    <w:name w:val="标题 7 Char"/>
    <w:link w:val="9"/>
    <w:qFormat/>
    <w:uiPriority w:val="0"/>
    <w:rPr>
      <w:b/>
      <w:kern w:val="2"/>
      <w:sz w:val="28"/>
      <w:lang w:val="zh-CN" w:eastAsia="zh-CN"/>
    </w:rPr>
  </w:style>
  <w:style w:type="character" w:customStyle="1" w:styleId="66">
    <w:name w:val="标题 8 Char"/>
    <w:link w:val="10"/>
    <w:qFormat/>
    <w:uiPriority w:val="0"/>
    <w:rPr>
      <w:rFonts w:ascii="Arial" w:hAnsi="Arial" w:eastAsia="黑体"/>
      <w:kern w:val="2"/>
      <w:sz w:val="24"/>
      <w:lang w:val="zh-CN" w:eastAsia="zh-CN"/>
    </w:rPr>
  </w:style>
  <w:style w:type="character" w:customStyle="1" w:styleId="67">
    <w:name w:val="标题 9 Char"/>
    <w:link w:val="11"/>
    <w:qFormat/>
    <w:uiPriority w:val="0"/>
    <w:rPr>
      <w:rFonts w:ascii="Arial" w:hAnsi="Arial" w:eastAsia="黑体"/>
      <w:kern w:val="2"/>
      <w:sz w:val="21"/>
      <w:lang w:val="zh-CN" w:eastAsia="zh-CN"/>
    </w:rPr>
  </w:style>
  <w:style w:type="character" w:customStyle="1" w:styleId="68">
    <w:name w:val="！正文（四号字） Char"/>
    <w:link w:val="69"/>
    <w:qFormat/>
    <w:uiPriority w:val="0"/>
    <w:rPr>
      <w:kern w:val="2"/>
      <w:sz w:val="24"/>
      <w:szCs w:val="28"/>
      <w:lang w:val="en-US" w:eastAsia="zh-CN" w:bidi="ar-SA"/>
    </w:rPr>
  </w:style>
  <w:style w:type="paragraph" w:customStyle="1" w:styleId="69">
    <w:name w:val="！正文（四号字）"/>
    <w:link w:val="68"/>
    <w:qFormat/>
    <w:uiPriority w:val="0"/>
    <w:pPr>
      <w:snapToGrid w:val="0"/>
      <w:spacing w:line="360" w:lineRule="auto"/>
      <w:ind w:firstLine="200" w:firstLineChars="200"/>
      <w:jc w:val="both"/>
    </w:pPr>
    <w:rPr>
      <w:rFonts w:ascii="Times New Roman" w:hAnsi="Times New Roman" w:eastAsia="宋体" w:cs="Times New Roman"/>
      <w:kern w:val="2"/>
      <w:sz w:val="24"/>
      <w:szCs w:val="28"/>
      <w:lang w:val="en-US" w:eastAsia="zh-CN" w:bidi="ar-SA"/>
    </w:rPr>
  </w:style>
  <w:style w:type="character" w:customStyle="1" w:styleId="70">
    <w:name w:val="Char Char12"/>
    <w:qFormat/>
    <w:uiPriority w:val="0"/>
    <w:rPr>
      <w:rFonts w:ascii="Arial" w:hAnsi="Arial" w:eastAsia="黑体"/>
      <w:b/>
      <w:bCs/>
      <w:kern w:val="2"/>
      <w:sz w:val="32"/>
      <w:szCs w:val="32"/>
      <w:lang w:val="en-US" w:eastAsia="zh-CN" w:bidi="ar-SA"/>
    </w:rPr>
  </w:style>
  <w:style w:type="character" w:customStyle="1" w:styleId="71">
    <w:name w:val="纯文本 Char"/>
    <w:qFormat/>
    <w:uiPriority w:val="0"/>
    <w:rPr>
      <w:rFonts w:ascii="宋体" w:hAnsi="Courier New" w:eastAsia="宋体"/>
      <w:kern w:val="2"/>
      <w:sz w:val="21"/>
      <w:lang w:val="en-US" w:eastAsia="zh-CN" w:bidi="ar-SA"/>
    </w:rPr>
  </w:style>
  <w:style w:type="character" w:customStyle="1" w:styleId="72">
    <w:name w:val="普通文字 Char2"/>
    <w:qFormat/>
    <w:uiPriority w:val="0"/>
    <w:rPr>
      <w:rFonts w:ascii="宋体" w:hAnsi="Courier New" w:eastAsia="宋体"/>
      <w:kern w:val="2"/>
      <w:sz w:val="21"/>
      <w:lang w:val="en-US" w:eastAsia="zh-CN" w:bidi="ar-SA"/>
    </w:rPr>
  </w:style>
  <w:style w:type="character" w:customStyle="1" w:styleId="73">
    <w:name w:val="Char Char3"/>
    <w:qFormat/>
    <w:uiPriority w:val="0"/>
    <w:rPr>
      <w:rFonts w:ascii="Arial" w:hAnsi="Arial" w:eastAsia="黑体"/>
      <w:b/>
      <w:bCs/>
      <w:kern w:val="2"/>
      <w:sz w:val="32"/>
      <w:szCs w:val="32"/>
      <w:lang w:val="en-US" w:eastAsia="zh-CN" w:bidi="ar-SA"/>
    </w:rPr>
  </w:style>
  <w:style w:type="character" w:customStyle="1" w:styleId="74">
    <w:name w:val="纯文本 Char1"/>
    <w:link w:val="22"/>
    <w:qFormat/>
    <w:uiPriority w:val="0"/>
    <w:rPr>
      <w:rFonts w:ascii="宋体" w:hAnsi="Courier New" w:eastAsia="宋体"/>
      <w:kern w:val="2"/>
      <w:sz w:val="21"/>
      <w:lang w:val="en-US" w:eastAsia="zh-CN" w:bidi="ar-SA"/>
    </w:rPr>
  </w:style>
  <w:style w:type="character" w:customStyle="1" w:styleId="75">
    <w:name w:val="apple-converted-space"/>
    <w:basedOn w:val="45"/>
    <w:qFormat/>
    <w:uiPriority w:val="0"/>
  </w:style>
  <w:style w:type="paragraph" w:customStyle="1" w:styleId="76">
    <w:name w:val="p15"/>
    <w:basedOn w:val="1"/>
    <w:qFormat/>
    <w:uiPriority w:val="0"/>
    <w:pPr>
      <w:widowControl/>
    </w:pPr>
    <w:rPr>
      <w:rFonts w:ascii="宋体" w:hAnsi="宋体" w:cs="宋体"/>
      <w:kern w:val="0"/>
      <w:szCs w:val="21"/>
    </w:rPr>
  </w:style>
  <w:style w:type="character" w:customStyle="1" w:styleId="77">
    <w:name w:val="HTML 预设格式 Char"/>
    <w:link w:val="37"/>
    <w:qFormat/>
    <w:uiPriority w:val="0"/>
    <w:rPr>
      <w:rFonts w:ascii="宋体" w:hAnsi="宋体" w:cs="宋体"/>
      <w:sz w:val="24"/>
      <w:szCs w:val="24"/>
    </w:rPr>
  </w:style>
  <w:style w:type="character" w:customStyle="1" w:styleId="78">
    <w:name w:val="批注文字 Char"/>
    <w:link w:val="14"/>
    <w:qFormat/>
    <w:uiPriority w:val="0"/>
    <w:rPr>
      <w:kern w:val="2"/>
      <w:sz w:val="21"/>
    </w:rPr>
  </w:style>
  <w:style w:type="character" w:customStyle="1" w:styleId="79">
    <w:name w:val="批注主题 Char"/>
    <w:link w:val="40"/>
    <w:qFormat/>
    <w:uiPriority w:val="99"/>
    <w:rPr>
      <w:b/>
      <w:bCs/>
      <w:kern w:val="2"/>
      <w:sz w:val="21"/>
    </w:rPr>
  </w:style>
  <w:style w:type="character" w:customStyle="1" w:styleId="80">
    <w:name w:val="正文文本 3 Char"/>
    <w:link w:val="15"/>
    <w:qFormat/>
    <w:uiPriority w:val="0"/>
    <w:rPr>
      <w:kern w:val="2"/>
      <w:sz w:val="16"/>
      <w:szCs w:val="16"/>
    </w:rPr>
  </w:style>
  <w:style w:type="character" w:customStyle="1" w:styleId="81">
    <w:name w:val="文档结构图 Char"/>
    <w:link w:val="13"/>
    <w:qFormat/>
    <w:uiPriority w:val="0"/>
    <w:rPr>
      <w:kern w:val="2"/>
      <w:sz w:val="21"/>
      <w:shd w:val="clear" w:color="auto" w:fill="000080"/>
    </w:rPr>
  </w:style>
  <w:style w:type="character" w:customStyle="1" w:styleId="82">
    <w:name w:val="正文文本缩进 Char"/>
    <w:link w:val="17"/>
    <w:qFormat/>
    <w:uiPriority w:val="0"/>
    <w:rPr>
      <w:kern w:val="2"/>
      <w:sz w:val="21"/>
    </w:rPr>
  </w:style>
  <w:style w:type="character" w:customStyle="1" w:styleId="83">
    <w:name w:val="正文文本 Char1"/>
    <w:link w:val="16"/>
    <w:qFormat/>
    <w:uiPriority w:val="99"/>
    <w:rPr>
      <w:kern w:val="2"/>
      <w:sz w:val="21"/>
    </w:rPr>
  </w:style>
  <w:style w:type="character" w:customStyle="1" w:styleId="84">
    <w:name w:val="正文文本缩进 3 Char"/>
    <w:link w:val="33"/>
    <w:qFormat/>
    <w:uiPriority w:val="0"/>
    <w:rPr>
      <w:kern w:val="2"/>
      <w:sz w:val="16"/>
      <w:szCs w:val="16"/>
    </w:rPr>
  </w:style>
  <w:style w:type="character" w:customStyle="1" w:styleId="85">
    <w:name w:val="页眉 Char"/>
    <w:link w:val="28"/>
    <w:qFormat/>
    <w:uiPriority w:val="0"/>
    <w:rPr>
      <w:kern w:val="2"/>
      <w:sz w:val="18"/>
    </w:rPr>
  </w:style>
  <w:style w:type="character" w:customStyle="1" w:styleId="86">
    <w:name w:val="批注框文本 Char"/>
    <w:link w:val="26"/>
    <w:qFormat/>
    <w:uiPriority w:val="99"/>
    <w:rPr>
      <w:kern w:val="2"/>
      <w:sz w:val="18"/>
      <w:szCs w:val="18"/>
    </w:rPr>
  </w:style>
  <w:style w:type="character" w:customStyle="1" w:styleId="87">
    <w:name w:val="日期 Char"/>
    <w:link w:val="24"/>
    <w:qFormat/>
    <w:uiPriority w:val="0"/>
    <w:rPr>
      <w:rFonts w:ascii="宋体" w:hAnsi="Courier New" w:cs="Courier New"/>
      <w:b/>
      <w:bCs/>
      <w:kern w:val="2"/>
      <w:sz w:val="28"/>
      <w:szCs w:val="21"/>
    </w:rPr>
  </w:style>
  <w:style w:type="character" w:customStyle="1" w:styleId="88">
    <w:name w:val="页脚 Char"/>
    <w:link w:val="27"/>
    <w:qFormat/>
    <w:uiPriority w:val="99"/>
    <w:rPr>
      <w:kern w:val="2"/>
      <w:sz w:val="18"/>
    </w:rPr>
  </w:style>
  <w:style w:type="character" w:customStyle="1" w:styleId="89">
    <w:name w:val="正文文本缩进 2 Char"/>
    <w:link w:val="25"/>
    <w:qFormat/>
    <w:uiPriority w:val="0"/>
    <w:rPr>
      <w:kern w:val="2"/>
      <w:sz w:val="21"/>
    </w:rPr>
  </w:style>
  <w:style w:type="paragraph" w:customStyle="1" w:styleId="90">
    <w:name w:val="正文4"/>
    <w:basedOn w:val="1"/>
    <w:qFormat/>
    <w:uiPriority w:val="0"/>
    <w:pPr>
      <w:ind w:firstLine="630"/>
    </w:pPr>
    <w:rPr>
      <w:sz w:val="28"/>
    </w:rPr>
  </w:style>
  <w:style w:type="paragraph" w:customStyle="1" w:styleId="91">
    <w:name w:val="Char1 Char Char Char Char Char Char Char Char Char Char Char Char Char Char Char Char Char Char Char"/>
    <w:basedOn w:val="1"/>
    <w:qFormat/>
    <w:uiPriority w:val="0"/>
    <w:pPr>
      <w:spacing w:line="360" w:lineRule="auto"/>
    </w:pPr>
  </w:style>
  <w:style w:type="paragraph" w:customStyle="1" w:styleId="92">
    <w:name w:val="默认段落字体 Para Char Char Char Char Char Char Char Char Char Char Char Char Char Char"/>
    <w:basedOn w:val="13"/>
    <w:qFormat/>
    <w:uiPriority w:val="0"/>
  </w:style>
  <w:style w:type="paragraph" w:customStyle="1" w:styleId="93">
    <w:name w:val="Char1"/>
    <w:basedOn w:val="1"/>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94">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95">
    <w:name w:val="普通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6">
    <w:name w:val="列出段落1"/>
    <w:basedOn w:val="1"/>
    <w:qFormat/>
    <w:uiPriority w:val="34"/>
    <w:pPr>
      <w:spacing w:line="360" w:lineRule="auto"/>
      <w:ind w:firstLine="420" w:firstLineChars="200"/>
    </w:pPr>
    <w:rPr>
      <w:rFonts w:ascii="Calibri" w:hAnsi="Calibri"/>
      <w:szCs w:val="22"/>
    </w:rPr>
  </w:style>
  <w:style w:type="paragraph" w:customStyle="1" w:styleId="97">
    <w:name w:val="Char Char Char Char"/>
    <w:basedOn w:val="1"/>
    <w:qFormat/>
    <w:uiPriority w:val="0"/>
    <w:pPr>
      <w:widowControl/>
      <w:spacing w:before="100" w:beforeAutospacing="1" w:after="100" w:afterAutospacing="1" w:line="330" w:lineRule="atLeast"/>
      <w:ind w:left="360"/>
      <w:jc w:val="left"/>
    </w:pPr>
    <w:rPr>
      <w:rFonts w:ascii="ˎ̥" w:hAnsi="ˎ̥" w:cs="宋体"/>
      <w:color w:val="51585D"/>
      <w:kern w:val="0"/>
      <w:szCs w:val="18"/>
    </w:rPr>
  </w:style>
  <w:style w:type="paragraph" w:customStyle="1" w:styleId="98">
    <w:name w:val="p0"/>
    <w:basedOn w:val="1"/>
    <w:qFormat/>
    <w:uiPriority w:val="0"/>
    <w:pPr>
      <w:widowControl/>
    </w:pPr>
    <w:rPr>
      <w:kern w:val="0"/>
      <w:szCs w:val="21"/>
    </w:rPr>
  </w:style>
  <w:style w:type="paragraph" w:customStyle="1" w:styleId="99">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 w:type="paragraph" w:customStyle="1" w:styleId="100">
    <w:name w:val="Char Char Char Char1"/>
    <w:basedOn w:val="1"/>
    <w:qFormat/>
    <w:uiPriority w:val="0"/>
    <w:pPr>
      <w:tabs>
        <w:tab w:val="left" w:pos="425"/>
      </w:tabs>
      <w:ind w:left="425" w:hanging="425"/>
    </w:pPr>
    <w:rPr>
      <w:rFonts w:ascii="仿宋_GB2312" w:hAnsi="宋体" w:eastAsia="仿宋_GB2312"/>
      <w:b/>
      <w:kern w:val="24"/>
      <w:sz w:val="32"/>
      <w:szCs w:val="32"/>
    </w:rPr>
  </w:style>
  <w:style w:type="paragraph" w:customStyle="1" w:styleId="101">
    <w:name w:val="Char"/>
    <w:basedOn w:val="1"/>
    <w:qFormat/>
    <w:uiPriority w:val="0"/>
    <w:rPr>
      <w:sz w:val="24"/>
      <w:szCs w:val="24"/>
    </w:rPr>
  </w:style>
  <w:style w:type="paragraph" w:customStyle="1" w:styleId="102">
    <w:name w:val="Char2"/>
    <w:basedOn w:val="1"/>
    <w:qFormat/>
    <w:uiPriority w:val="0"/>
    <w:rPr>
      <w:sz w:val="24"/>
      <w:szCs w:val="24"/>
    </w:rPr>
  </w:style>
  <w:style w:type="paragraph" w:customStyle="1" w:styleId="10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4">
    <w:name w:val="Char Char Char Char Char1 Char"/>
    <w:basedOn w:val="1"/>
    <w:qFormat/>
    <w:uiPriority w:val="0"/>
    <w:rPr>
      <w:rFonts w:ascii="Tahoma" w:hAnsi="Tahoma"/>
      <w:sz w:val="24"/>
    </w:rPr>
  </w:style>
  <w:style w:type="paragraph" w:customStyle="1" w:styleId="105">
    <w:name w:val="表格文字"/>
    <w:basedOn w:val="1"/>
    <w:qFormat/>
    <w:uiPriority w:val="0"/>
    <w:pPr>
      <w:adjustRightInd w:val="0"/>
      <w:spacing w:line="420" w:lineRule="atLeast"/>
      <w:jc w:val="left"/>
      <w:textAlignment w:val="baseline"/>
    </w:pPr>
    <w:rPr>
      <w:kern w:val="0"/>
    </w:rPr>
  </w:style>
  <w:style w:type="paragraph" w:customStyle="1" w:styleId="106">
    <w:name w:val="纯文本1"/>
    <w:basedOn w:val="1"/>
    <w:qFormat/>
    <w:uiPriority w:val="0"/>
    <w:pPr>
      <w:adjustRightInd w:val="0"/>
      <w:jc w:val="left"/>
      <w:textAlignment w:val="baseline"/>
    </w:pPr>
    <w:rPr>
      <w:rFonts w:ascii="宋体" w:hAnsi="Courier New"/>
      <w:sz w:val="24"/>
    </w:rPr>
  </w:style>
  <w:style w:type="paragraph" w:customStyle="1" w:styleId="107">
    <w:name w:val="6'"/>
    <w:basedOn w:val="1"/>
    <w:qFormat/>
    <w:uiPriority w:val="0"/>
    <w:pPr>
      <w:autoSpaceDE w:val="0"/>
      <w:autoSpaceDN w:val="0"/>
      <w:adjustRightInd w:val="0"/>
      <w:snapToGrid w:val="0"/>
      <w:spacing w:line="320" w:lineRule="exact"/>
      <w:jc w:val="center"/>
      <w:textAlignment w:val="baseline"/>
    </w:pPr>
    <w:rPr>
      <w:spacing w:val="20"/>
      <w:kern w:val="28"/>
    </w:rPr>
  </w:style>
  <w:style w:type="character" w:customStyle="1" w:styleId="108">
    <w:name w:val="Char Char5"/>
    <w:qFormat/>
    <w:uiPriority w:val="0"/>
    <w:rPr>
      <w:rFonts w:ascii="宋体" w:hAnsi="Courier New" w:eastAsia="宋体"/>
      <w:kern w:val="2"/>
      <w:sz w:val="21"/>
      <w:lang w:val="en-US" w:eastAsia="zh-CN" w:bidi="ar-SA"/>
    </w:rPr>
  </w:style>
  <w:style w:type="paragraph" w:customStyle="1" w:styleId="109">
    <w:name w:val="公文标题"/>
    <w:basedOn w:val="4"/>
    <w:qFormat/>
    <w:uiPriority w:val="0"/>
    <w:pPr>
      <w:spacing w:line="240" w:lineRule="auto"/>
      <w:ind w:left="1469" w:right="1542"/>
    </w:pPr>
    <w:rPr>
      <w:bCs w:val="0"/>
      <w:sz w:val="44"/>
      <w:szCs w:val="24"/>
    </w:rPr>
  </w:style>
  <w:style w:type="paragraph" w:customStyle="1" w:styleId="11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1">
    <w:name w:val="发文落款"/>
    <w:basedOn w:val="110"/>
    <w:qFormat/>
    <w:uiPriority w:val="0"/>
    <w:pPr>
      <w:ind w:left="4094" w:right="607" w:firstLine="0"/>
      <w:jc w:val="center"/>
    </w:pPr>
  </w:style>
  <w:style w:type="character" w:customStyle="1" w:styleId="112">
    <w:name w:val="孙普文字 Char"/>
    <w:qFormat/>
    <w:uiPriority w:val="0"/>
    <w:rPr>
      <w:rFonts w:ascii="宋体" w:hAnsi="Courier New" w:eastAsia="宋体"/>
      <w:kern w:val="2"/>
      <w:sz w:val="21"/>
      <w:lang w:val="en-US" w:eastAsia="zh-CN" w:bidi="ar-SA"/>
    </w:rPr>
  </w:style>
  <w:style w:type="paragraph" w:customStyle="1" w:styleId="113">
    <w:name w:val="formtable1"/>
    <w:basedOn w:val="1"/>
    <w:qFormat/>
    <w:uiPriority w:val="0"/>
    <w:pPr>
      <w:widowControl/>
      <w:pBdr>
        <w:left w:val="single" w:color="CCCCCC" w:sz="6" w:space="0"/>
      </w:pBdr>
      <w:spacing w:before="100" w:beforeAutospacing="1" w:after="100" w:afterAutospacing="1"/>
      <w:jc w:val="left"/>
    </w:pPr>
    <w:rPr>
      <w:rFonts w:ascii="宋体" w:hAnsi="宋体" w:cs="宋体"/>
      <w:kern w:val="0"/>
      <w:sz w:val="24"/>
      <w:szCs w:val="24"/>
    </w:rPr>
  </w:style>
  <w:style w:type="character" w:customStyle="1" w:styleId="114">
    <w:name w:val="正文首行缩进 Char"/>
    <w:link w:val="41"/>
    <w:qFormat/>
    <w:uiPriority w:val="0"/>
    <w:rPr>
      <w:kern w:val="2"/>
      <w:sz w:val="21"/>
    </w:rPr>
  </w:style>
  <w:style w:type="character" w:customStyle="1" w:styleId="115">
    <w:name w:val="正文文本 2 Char"/>
    <w:link w:val="36"/>
    <w:qFormat/>
    <w:uiPriority w:val="0"/>
    <w:rPr>
      <w:kern w:val="2"/>
      <w:sz w:val="24"/>
    </w:rPr>
  </w:style>
  <w:style w:type="character" w:customStyle="1" w:styleId="116">
    <w:name w:val="正文文本 Char"/>
    <w:qFormat/>
    <w:uiPriority w:val="0"/>
    <w:rPr>
      <w:rFonts w:ascii="仿宋_GB2312" w:eastAsia="仿宋_GB2312"/>
      <w:kern w:val="2"/>
      <w:sz w:val="28"/>
      <w:lang w:bidi="ar-SA"/>
    </w:rPr>
  </w:style>
  <w:style w:type="character" w:customStyle="1" w:styleId="117">
    <w:name w:val="正文首行缩进 Char1"/>
    <w:basedOn w:val="83"/>
    <w:qFormat/>
    <w:uiPriority w:val="0"/>
    <w:rPr>
      <w:kern w:val="2"/>
      <w:sz w:val="21"/>
    </w:rPr>
  </w:style>
  <w:style w:type="character" w:customStyle="1" w:styleId="118">
    <w:name w:val="HTML 预设格式 Char1"/>
    <w:qFormat/>
    <w:uiPriority w:val="0"/>
    <w:rPr>
      <w:rFonts w:ascii="Courier New" w:hAnsi="Courier New" w:cs="Courier New"/>
      <w:kern w:val="2"/>
    </w:rPr>
  </w:style>
  <w:style w:type="character" w:customStyle="1" w:styleId="119">
    <w:name w:val="正文文本 2 Char1"/>
    <w:qFormat/>
    <w:uiPriority w:val="0"/>
    <w:rPr>
      <w:kern w:val="2"/>
      <w:sz w:val="21"/>
    </w:rPr>
  </w:style>
  <w:style w:type="paragraph" w:customStyle="1" w:styleId="120">
    <w:name w:val="p17"/>
    <w:basedOn w:val="1"/>
    <w:qFormat/>
    <w:uiPriority w:val="0"/>
    <w:pPr>
      <w:widowControl/>
    </w:pPr>
    <w:rPr>
      <w:rFonts w:ascii="宋体" w:hAnsi="宋体" w:cs="宋体"/>
      <w:kern w:val="0"/>
      <w:szCs w:val="21"/>
    </w:rPr>
  </w:style>
  <w:style w:type="paragraph" w:customStyle="1" w:styleId="121">
    <w:name w:val="Char Char Char Char Char1 Char Char Char Char Char Char Char"/>
    <w:basedOn w:val="1"/>
    <w:qFormat/>
    <w:uiPriority w:val="0"/>
    <w:pPr>
      <w:spacing w:line="360" w:lineRule="auto"/>
    </w:pPr>
    <w:rPr>
      <w:rFonts w:ascii="Tahoma" w:hAnsi="Tahoma"/>
      <w:sz w:val="24"/>
    </w:rPr>
  </w:style>
  <w:style w:type="character" w:customStyle="1" w:styleId="122">
    <w:name w:val="纯文本 Char2"/>
    <w:qFormat/>
    <w:uiPriority w:val="0"/>
    <w:rPr>
      <w:rFonts w:ascii="宋体" w:hAnsi="Courier New"/>
      <w:kern w:val="2"/>
      <w:sz w:val="21"/>
    </w:rPr>
  </w:style>
  <w:style w:type="paragraph" w:customStyle="1" w:styleId="123">
    <w:name w:val="域名"/>
    <w:basedOn w:val="1"/>
    <w:qFormat/>
    <w:uiPriority w:val="0"/>
    <w:pPr>
      <w:adjustRightInd w:val="0"/>
      <w:spacing w:line="240" w:lineRule="exact"/>
      <w:textAlignment w:val="baseline"/>
    </w:pPr>
    <w:rPr>
      <w:rFonts w:ascii="宋体" w:eastAsia="仿宋_GB2312"/>
      <w:b/>
      <w:color w:val="FF0000"/>
      <w:kern w:val="0"/>
    </w:rPr>
  </w:style>
  <w:style w:type="paragraph" w:customStyle="1" w:styleId="124">
    <w:name w:val="xl22"/>
    <w:basedOn w:val="1"/>
    <w:qFormat/>
    <w:uiPriority w:val="0"/>
    <w:pPr>
      <w:widowControl/>
      <w:spacing w:before="100" w:beforeAutospacing="1" w:after="100" w:afterAutospacing="1"/>
      <w:jc w:val="center"/>
      <w:textAlignment w:val="center"/>
    </w:pPr>
    <w:rPr>
      <w:rFonts w:hint="eastAsia" w:ascii="仿宋_GB2312" w:hAnsi="宋体" w:eastAsia="仿宋_GB2312"/>
      <w:kern w:val="0"/>
      <w:sz w:val="24"/>
      <w:szCs w:val="24"/>
    </w:rPr>
  </w:style>
  <w:style w:type="character" w:customStyle="1" w:styleId="125">
    <w:name w:val="标题 2 Char1"/>
    <w:qFormat/>
    <w:uiPriority w:val="9"/>
    <w:rPr>
      <w:rFonts w:ascii="Arial" w:hAnsi="Arial" w:eastAsia="黑体"/>
      <w:b/>
      <w:bCs/>
      <w:kern w:val="2"/>
      <w:sz w:val="32"/>
      <w:szCs w:val="32"/>
    </w:rPr>
  </w:style>
  <w:style w:type="paragraph" w:customStyle="1" w:styleId="126">
    <w:name w:val="表格标题粗体_制度头表格"/>
    <w:qFormat/>
    <w:uiPriority w:val="0"/>
    <w:pPr>
      <w:jc w:val="center"/>
    </w:pPr>
    <w:rPr>
      <w:rFonts w:ascii="Times New Roman" w:hAnsi="Times New Roman" w:eastAsia="宋体" w:cs="Times New Roman"/>
      <w:b/>
      <w:sz w:val="21"/>
      <w:szCs w:val="21"/>
      <w:lang w:val="en-US" w:eastAsia="zh-CN" w:bidi="ar-SA"/>
    </w:rPr>
  </w:style>
  <w:style w:type="paragraph" w:customStyle="1" w:styleId="127">
    <w:name w:val="表格标题正常_制度头表格"/>
    <w:qFormat/>
    <w:uiPriority w:val="0"/>
    <w:pPr>
      <w:jc w:val="center"/>
    </w:pPr>
    <w:rPr>
      <w:rFonts w:ascii="Times New Roman" w:hAnsi="Times New Roman" w:eastAsia="宋体" w:cs="Times New Roman"/>
      <w:sz w:val="21"/>
      <w:lang w:val="en-US" w:eastAsia="zh-CN" w:bidi="ar-SA"/>
    </w:rPr>
  </w:style>
  <w:style w:type="paragraph" w:customStyle="1" w:styleId="128">
    <w:name w:val="表格内容靠左正常_制度头表格"/>
    <w:qFormat/>
    <w:uiPriority w:val="0"/>
    <w:rPr>
      <w:rFonts w:ascii="Times New Roman" w:hAnsi="Times New Roman" w:eastAsia="宋体" w:cs="Times New Roman"/>
      <w:sz w:val="21"/>
      <w:szCs w:val="21"/>
      <w:lang w:val="en-US" w:eastAsia="zh-CN" w:bidi="ar-SA"/>
    </w:rPr>
  </w:style>
  <w:style w:type="paragraph" w:customStyle="1" w:styleId="129">
    <w:name w:val="表格空行_制度头表格"/>
    <w:basedOn w:val="127"/>
    <w:qFormat/>
    <w:uiPriority w:val="0"/>
    <w:pPr>
      <w:tabs>
        <w:tab w:val="left" w:pos="2960"/>
      </w:tabs>
      <w:jc w:val="both"/>
    </w:pPr>
    <w:rPr>
      <w:rFonts w:eastAsia="黑体"/>
      <w:sz w:val="11"/>
      <w:szCs w:val="30"/>
    </w:rPr>
  </w:style>
  <w:style w:type="character" w:customStyle="1" w:styleId="130">
    <w:name w:val="Char Char26"/>
    <w:qFormat/>
    <w:uiPriority w:val="0"/>
    <w:rPr>
      <w:rFonts w:ascii="Arial" w:hAnsi="Arial" w:eastAsia="黑体"/>
      <w:b/>
      <w:bCs/>
      <w:kern w:val="2"/>
      <w:sz w:val="32"/>
      <w:szCs w:val="32"/>
      <w:lang w:val="en-US" w:eastAsia="zh-CN" w:bidi="ar-SA"/>
    </w:rPr>
  </w:style>
  <w:style w:type="paragraph" w:customStyle="1" w:styleId="131">
    <w:name w:val="11"/>
    <w:basedOn w:val="17"/>
    <w:link w:val="132"/>
    <w:qFormat/>
    <w:uiPriority w:val="0"/>
    <w:pPr>
      <w:spacing w:line="360" w:lineRule="auto"/>
    </w:pPr>
    <w:rPr>
      <w:rFonts w:hAnsi="宋体"/>
      <w:b/>
      <w:szCs w:val="21"/>
    </w:rPr>
  </w:style>
  <w:style w:type="character" w:customStyle="1" w:styleId="132">
    <w:name w:val="11 Char"/>
    <w:link w:val="131"/>
    <w:qFormat/>
    <w:uiPriority w:val="0"/>
    <w:rPr>
      <w:rFonts w:hAnsi="宋体"/>
      <w:b/>
      <w:kern w:val="2"/>
      <w:sz w:val="21"/>
      <w:szCs w:val="21"/>
    </w:rPr>
  </w:style>
  <w:style w:type="character" w:customStyle="1" w:styleId="133">
    <w:name w:val="正文文本缩进 Char1"/>
    <w:qFormat/>
    <w:uiPriority w:val="99"/>
  </w:style>
  <w:style w:type="paragraph" w:customStyle="1" w:styleId="134">
    <w:name w:val="英文1"/>
    <w:basedOn w:val="1"/>
    <w:qFormat/>
    <w:uiPriority w:val="0"/>
    <w:pPr>
      <w:tabs>
        <w:tab w:val="left" w:pos="1155"/>
      </w:tabs>
      <w:adjustRightInd w:val="0"/>
      <w:snapToGrid w:val="0"/>
      <w:spacing w:beforeLines="50" w:line="240" w:lineRule="exact"/>
      <w:ind w:left="733" w:leftChars="349" w:firstLine="373" w:firstLineChars="207"/>
    </w:pPr>
    <w:rPr>
      <w:rFonts w:ascii="Arial" w:hAnsi="Arial" w:cs="Arial"/>
      <w:sz w:val="18"/>
      <w:szCs w:val="24"/>
    </w:rPr>
  </w:style>
  <w:style w:type="paragraph" w:customStyle="1" w:styleId="135">
    <w:name w:val="中文1"/>
    <w:basedOn w:val="134"/>
    <w:qFormat/>
    <w:uiPriority w:val="0"/>
    <w:pPr>
      <w:spacing w:afterLines="150"/>
      <w:ind w:firstLine="371" w:firstLineChars="206"/>
    </w:pPr>
    <w:rPr>
      <w:rFonts w:ascii="宋体" w:hAnsi="宋体"/>
    </w:rPr>
  </w:style>
  <w:style w:type="paragraph" w:customStyle="1" w:styleId="136">
    <w:name w:val="样式 段后: 0.5 行1"/>
    <w:basedOn w:val="1"/>
    <w:qFormat/>
    <w:uiPriority w:val="0"/>
    <w:pPr>
      <w:snapToGrid w:val="0"/>
      <w:spacing w:afterLines="50"/>
    </w:pPr>
    <w:rPr>
      <w:rFonts w:cs="宋体"/>
      <w:sz w:val="24"/>
      <w:szCs w:val="24"/>
    </w:rPr>
  </w:style>
  <w:style w:type="paragraph" w:customStyle="1" w:styleId="137">
    <w:name w:val="样式 样式 样式1 + 段后: 0.5 行 + 段后: 0.5 行"/>
    <w:basedOn w:val="1"/>
    <w:qFormat/>
    <w:uiPriority w:val="0"/>
    <w:pPr>
      <w:numPr>
        <w:ilvl w:val="0"/>
        <w:numId w:val="1"/>
      </w:numPr>
      <w:adjustRightInd w:val="0"/>
      <w:snapToGrid w:val="0"/>
      <w:jc w:val="left"/>
      <w:outlineLvl w:val="0"/>
    </w:pPr>
    <w:rPr>
      <w:rFonts w:ascii="宋体" w:hAnsi="Arial" w:cs="宋体"/>
      <w:sz w:val="24"/>
    </w:rPr>
  </w:style>
  <w:style w:type="paragraph" w:customStyle="1" w:styleId="138">
    <w:name w:val="第二级"/>
    <w:basedOn w:val="1"/>
    <w:qFormat/>
    <w:uiPriority w:val="0"/>
    <w:pPr>
      <w:numPr>
        <w:ilvl w:val="1"/>
        <w:numId w:val="2"/>
      </w:numPr>
      <w:adjustRightInd w:val="0"/>
      <w:snapToGrid w:val="0"/>
      <w:spacing w:afterLines="50"/>
      <w:ind w:left="0" w:firstLine="0"/>
      <w:jc w:val="left"/>
      <w:outlineLvl w:val="1"/>
    </w:pPr>
    <w:rPr>
      <w:rFonts w:ascii="宋体" w:hAnsi="Arial"/>
      <w:sz w:val="24"/>
    </w:rPr>
  </w:style>
  <w:style w:type="paragraph" w:customStyle="1" w:styleId="139">
    <w:name w:val="样式 第二级 + 段后: 0.5 行"/>
    <w:basedOn w:val="138"/>
    <w:qFormat/>
    <w:uiPriority w:val="0"/>
    <w:pPr>
      <w:spacing w:afterLines="0"/>
      <w:ind w:left="567" w:hanging="567"/>
    </w:pPr>
    <w:rPr>
      <w:rFonts w:cs="宋体"/>
    </w:rPr>
  </w:style>
  <w:style w:type="character" w:customStyle="1" w:styleId="140">
    <w:name w:val="标题 Char"/>
    <w:link w:val="39"/>
    <w:qFormat/>
    <w:uiPriority w:val="10"/>
    <w:rPr>
      <w:rFonts w:ascii="Cambria" w:hAnsi="Cambria"/>
      <w:b/>
      <w:bCs/>
      <w:kern w:val="2"/>
      <w:sz w:val="32"/>
      <w:szCs w:val="32"/>
      <w:lang w:val="zh-CN" w:eastAsia="zh-CN"/>
    </w:rPr>
  </w:style>
  <w:style w:type="paragraph" w:customStyle="1" w:styleId="141">
    <w:name w:val="无间隔1"/>
    <w:link w:val="142"/>
    <w:qFormat/>
    <w:uiPriority w:val="1"/>
    <w:pPr>
      <w:widowControl w:val="0"/>
      <w:jc w:val="both"/>
    </w:pPr>
    <w:rPr>
      <w:rFonts w:ascii="Times New Roman" w:hAnsi="Times New Roman" w:eastAsia="宋体" w:cs="Times New Roman"/>
      <w:kern w:val="2"/>
      <w:sz w:val="24"/>
      <w:lang w:val="en-US" w:eastAsia="zh-CN" w:bidi="ar-SA"/>
    </w:rPr>
  </w:style>
  <w:style w:type="character" w:customStyle="1" w:styleId="142">
    <w:name w:val="无间隔 Char"/>
    <w:link w:val="141"/>
    <w:qFormat/>
    <w:uiPriority w:val="1"/>
    <w:rPr>
      <w:kern w:val="2"/>
      <w:sz w:val="24"/>
      <w:lang w:bidi="ar-SA"/>
    </w:rPr>
  </w:style>
  <w:style w:type="paragraph" w:customStyle="1" w:styleId="143">
    <w:name w:val="TOC 标题1"/>
    <w:basedOn w:val="3"/>
    <w:next w:val="1"/>
    <w:unhideWhenUsed/>
    <w:qFormat/>
    <w:uiPriority w:val="39"/>
    <w:pPr>
      <w:widowControl/>
      <w:adjustRightInd w:val="0"/>
      <w:spacing w:before="480" w:after="0" w:line="276" w:lineRule="auto"/>
      <w:jc w:val="left"/>
      <w:outlineLvl w:val="9"/>
    </w:pPr>
    <w:rPr>
      <w:rFonts w:ascii="Cambria" w:hAnsi="Cambria"/>
      <w:b w:val="0"/>
      <w:color w:val="365F91"/>
      <w:kern w:val="0"/>
      <w:sz w:val="28"/>
      <w:szCs w:val="28"/>
    </w:rPr>
  </w:style>
  <w:style w:type="character" w:customStyle="1" w:styleId="144">
    <w:name w:val="正文文本 3 Char1"/>
    <w:qFormat/>
    <w:uiPriority w:val="0"/>
    <w:rPr>
      <w:rFonts w:eastAsia="仿宋_GB2312"/>
      <w:sz w:val="16"/>
      <w:szCs w:val="16"/>
    </w:rPr>
  </w:style>
  <w:style w:type="character" w:customStyle="1" w:styleId="145">
    <w:name w:val="日期 Char1"/>
    <w:qFormat/>
    <w:uiPriority w:val="0"/>
    <w:rPr>
      <w:rFonts w:ascii="Times New Roman" w:hAnsi="Times New Roman" w:eastAsia="宋体" w:cs="Times New Roman"/>
      <w:szCs w:val="20"/>
    </w:rPr>
  </w:style>
  <w:style w:type="character" w:customStyle="1" w:styleId="146">
    <w:name w:val="！正文（四号字） Char Char"/>
    <w:qFormat/>
    <w:uiPriority w:val="0"/>
    <w:rPr>
      <w:rFonts w:eastAsia="Times New Roman"/>
      <w:kern w:val="2"/>
      <w:sz w:val="24"/>
      <w:szCs w:val="28"/>
      <w:lang w:val="en-US" w:eastAsia="zh-CN" w:bidi="ar-SA"/>
    </w:rPr>
  </w:style>
  <w:style w:type="character" w:customStyle="1" w:styleId="147">
    <w:name w:val="文档结构图 Char1"/>
    <w:qFormat/>
    <w:uiPriority w:val="0"/>
    <w:rPr>
      <w:rFonts w:ascii="宋体"/>
      <w:sz w:val="18"/>
      <w:szCs w:val="18"/>
    </w:rPr>
  </w:style>
  <w:style w:type="character" w:customStyle="1" w:styleId="148">
    <w:name w:val="Char Char13"/>
    <w:qFormat/>
    <w:uiPriority w:val="0"/>
    <w:rPr>
      <w:rFonts w:ascii="宋体" w:eastAsia="宋体"/>
      <w:kern w:val="2"/>
      <w:sz w:val="24"/>
      <w:lang w:val="en-US" w:eastAsia="zh-CN" w:bidi="ar-SA"/>
    </w:rPr>
  </w:style>
  <w:style w:type="character" w:customStyle="1" w:styleId="149">
    <w:name w:val="批注文字 Char1"/>
    <w:qFormat/>
    <w:uiPriority w:val="0"/>
    <w:rPr>
      <w:rFonts w:eastAsia="仿宋_GB2312"/>
      <w:sz w:val="30"/>
    </w:rPr>
  </w:style>
  <w:style w:type="character" w:customStyle="1" w:styleId="150">
    <w:name w:val="Comment Text Char"/>
    <w:qFormat/>
    <w:locked/>
    <w:uiPriority w:val="0"/>
    <w:rPr>
      <w:kern w:val="2"/>
      <w:sz w:val="24"/>
      <w:szCs w:val="24"/>
    </w:rPr>
  </w:style>
  <w:style w:type="character" w:customStyle="1" w:styleId="151">
    <w:name w:val="h Char1"/>
    <w:qFormat/>
    <w:locked/>
    <w:uiPriority w:val="0"/>
    <w:rPr>
      <w:rFonts w:eastAsia="仿宋_GB2312"/>
      <w:sz w:val="18"/>
    </w:rPr>
  </w:style>
  <w:style w:type="character" w:customStyle="1" w:styleId="152">
    <w:name w:val="Char Char10"/>
    <w:qFormat/>
    <w:uiPriority w:val="0"/>
    <w:rPr>
      <w:rFonts w:ascii="宋体" w:hAnsi="Courier New" w:eastAsia="宋体" w:cs="宋体"/>
      <w:kern w:val="2"/>
      <w:sz w:val="24"/>
      <w:szCs w:val="24"/>
      <w:lang w:val="en-US" w:eastAsia="zh-CN"/>
    </w:rPr>
  </w:style>
  <w:style w:type="character" w:customStyle="1" w:styleId="153">
    <w:name w:val="正文首行缩进 2 Char1"/>
    <w:qFormat/>
    <w:uiPriority w:val="0"/>
    <w:rPr>
      <w:rFonts w:ascii="宋体" w:hAnsi="宋体" w:eastAsia="仿宋_GB2312"/>
      <w:sz w:val="30"/>
      <w:szCs w:val="28"/>
    </w:rPr>
  </w:style>
  <w:style w:type="character" w:customStyle="1" w:styleId="154">
    <w:name w:val="批注主题 Char1"/>
    <w:qFormat/>
    <w:uiPriority w:val="0"/>
    <w:rPr>
      <w:rFonts w:eastAsia="仿宋_GB2312"/>
      <w:b/>
      <w:bCs/>
      <w:sz w:val="30"/>
    </w:rPr>
  </w:style>
  <w:style w:type="character" w:customStyle="1" w:styleId="155">
    <w:name w:val="Char Char22"/>
    <w:qFormat/>
    <w:uiPriority w:val="0"/>
    <w:rPr>
      <w:rFonts w:ascii="Arial" w:hAnsi="Arial" w:eastAsia="黑体"/>
      <w:b/>
      <w:bCs/>
      <w:kern w:val="2"/>
      <w:sz w:val="32"/>
      <w:szCs w:val="32"/>
      <w:lang w:val="en-US" w:eastAsia="zh-CN" w:bidi="ar-SA"/>
    </w:rPr>
  </w:style>
  <w:style w:type="character" w:customStyle="1" w:styleId="156">
    <w:name w:val="Char Char121"/>
    <w:qFormat/>
    <w:uiPriority w:val="0"/>
    <w:rPr>
      <w:rFonts w:eastAsia="仿宋_GB2312"/>
      <w:sz w:val="18"/>
    </w:rPr>
  </w:style>
  <w:style w:type="character" w:customStyle="1" w:styleId="157">
    <w:name w:val="Char Char11"/>
    <w:qFormat/>
    <w:uiPriority w:val="0"/>
    <w:rPr>
      <w:kern w:val="2"/>
      <w:sz w:val="26"/>
    </w:rPr>
  </w:style>
  <w:style w:type="character" w:customStyle="1" w:styleId="158">
    <w:name w:val="Comment Subject Char"/>
    <w:qFormat/>
    <w:locked/>
    <w:uiPriority w:val="0"/>
    <w:rPr>
      <w:b/>
      <w:bCs/>
      <w:kern w:val="2"/>
      <w:sz w:val="24"/>
      <w:szCs w:val="24"/>
    </w:rPr>
  </w:style>
  <w:style w:type="character" w:customStyle="1" w:styleId="159">
    <w:name w:val="正文文本缩进 3 Char1"/>
    <w:qFormat/>
    <w:uiPriority w:val="0"/>
    <w:rPr>
      <w:rFonts w:eastAsia="仿宋_GB2312"/>
      <w:sz w:val="16"/>
      <w:szCs w:val="16"/>
    </w:rPr>
  </w:style>
  <w:style w:type="character" w:customStyle="1" w:styleId="160">
    <w:name w:val="Footer-Even Char1"/>
    <w:qFormat/>
    <w:locked/>
    <w:uiPriority w:val="0"/>
    <w:rPr>
      <w:rFonts w:eastAsia="仿宋_GB2312"/>
      <w:sz w:val="18"/>
    </w:rPr>
  </w:style>
  <w:style w:type="paragraph" w:customStyle="1" w:styleId="161">
    <w:name w:val="bn"/>
    <w:basedOn w:val="1"/>
    <w:qFormat/>
    <w:uiPriority w:val="0"/>
    <w:pPr>
      <w:topLinePunct/>
      <w:snapToGrid w:val="0"/>
      <w:ind w:left="20" w:leftChars="20" w:right="20" w:rightChars="20"/>
      <w:jc w:val="center"/>
    </w:pPr>
    <w:rPr>
      <w:color w:val="000000"/>
      <w:kern w:val="18"/>
      <w:sz w:val="18"/>
      <w:szCs w:val="18"/>
    </w:rPr>
  </w:style>
  <w:style w:type="paragraph" w:customStyle="1" w:styleId="162">
    <w:name w:val="bg"/>
    <w:basedOn w:val="17"/>
    <w:qFormat/>
    <w:uiPriority w:val="0"/>
    <w:pPr>
      <w:topLinePunct/>
      <w:snapToGrid w:val="0"/>
      <w:spacing w:after="0"/>
      <w:ind w:left="0" w:leftChars="0"/>
      <w:jc w:val="center"/>
    </w:pPr>
    <w:rPr>
      <w:rFonts w:hAnsi="Calibri"/>
      <w:color w:val="000000"/>
      <w:sz w:val="18"/>
      <w:szCs w:val="18"/>
      <w:lang w:val="en-US"/>
    </w:rPr>
  </w:style>
  <w:style w:type="character" w:customStyle="1" w:styleId="163">
    <w:name w:val="正文首行缩进 2 Char"/>
    <w:link w:val="42"/>
    <w:qFormat/>
    <w:uiPriority w:val="0"/>
    <w:rPr>
      <w:rFonts w:hAnsi="Calibri"/>
      <w:kern w:val="2"/>
      <w:sz w:val="21"/>
      <w:szCs w:val="24"/>
    </w:rPr>
  </w:style>
  <w:style w:type="paragraph" w:customStyle="1" w:styleId="164">
    <w:name w:val="Char1 Char Char Char Char Char Char Char Char Char Char Char Char Char Char Char Char Char Char Char1"/>
    <w:basedOn w:val="1"/>
    <w:qFormat/>
    <w:uiPriority w:val="0"/>
    <w:pPr>
      <w:spacing w:line="360" w:lineRule="auto"/>
    </w:pPr>
  </w:style>
  <w:style w:type="paragraph" w:customStyle="1" w:styleId="165">
    <w:name w:val="Char Char Char Char Char Char Char Char Char Char Char Char"/>
    <w:basedOn w:val="1"/>
    <w:qFormat/>
    <w:uiPriority w:val="0"/>
    <w:pPr>
      <w:spacing w:line="360" w:lineRule="auto"/>
    </w:pPr>
  </w:style>
  <w:style w:type="paragraph" w:customStyle="1" w:styleId="166">
    <w:name w:val="修订1"/>
    <w:hidden/>
    <w:semiHidden/>
    <w:qFormat/>
    <w:uiPriority w:val="99"/>
    <w:rPr>
      <w:rFonts w:ascii="Times New Roman" w:hAnsi="Times New Roman" w:eastAsia="宋体" w:cs="Times New Roman"/>
      <w:kern w:val="2"/>
      <w:sz w:val="21"/>
      <w:lang w:val="en-US" w:eastAsia="zh-CN" w:bidi="ar-SA"/>
    </w:rPr>
  </w:style>
  <w:style w:type="table" w:customStyle="1" w:styleId="167">
    <w:name w:val="网格型1"/>
    <w:basedOn w:val="4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8">
    <w:name w:val="批注主题 Char2"/>
    <w:qFormat/>
    <w:uiPriority w:val="99"/>
    <w:rPr>
      <w:rFonts w:eastAsia="仿宋_GB2312"/>
      <w:b/>
      <w:bCs/>
      <w:sz w:val="30"/>
    </w:rPr>
  </w:style>
  <w:style w:type="character" w:customStyle="1" w:styleId="169">
    <w:name w:val="正文文本缩进 3 Char2"/>
    <w:qFormat/>
    <w:uiPriority w:val="99"/>
    <w:rPr>
      <w:rFonts w:eastAsia="仿宋_GB2312"/>
      <w:sz w:val="16"/>
      <w:szCs w:val="16"/>
    </w:rPr>
  </w:style>
  <w:style w:type="character" w:customStyle="1" w:styleId="170">
    <w:name w:val="正文首行缩进 Char2"/>
    <w:qFormat/>
    <w:uiPriority w:val="99"/>
    <w:rPr>
      <w:rFonts w:eastAsia="仿宋_GB2312"/>
      <w:kern w:val="2"/>
      <w:sz w:val="30"/>
    </w:rPr>
  </w:style>
  <w:style w:type="character" w:customStyle="1" w:styleId="171">
    <w:name w:val="Char Char51"/>
    <w:qFormat/>
    <w:uiPriority w:val="0"/>
    <w:rPr>
      <w:rFonts w:ascii="宋体" w:hAnsi="Courier New" w:eastAsia="宋体"/>
      <w:kern w:val="2"/>
      <w:sz w:val="21"/>
      <w:lang w:val="en-US" w:eastAsia="zh-CN" w:bidi="ar-SA"/>
    </w:rPr>
  </w:style>
  <w:style w:type="character" w:customStyle="1" w:styleId="172">
    <w:name w:val="日期 Char2"/>
    <w:qFormat/>
    <w:uiPriority w:val="99"/>
    <w:rPr>
      <w:rFonts w:eastAsia="仿宋_GB2312"/>
      <w:sz w:val="30"/>
    </w:rPr>
  </w:style>
  <w:style w:type="paragraph" w:customStyle="1" w:styleId="173">
    <w:name w:val="Char11"/>
    <w:basedOn w:val="1"/>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character" w:customStyle="1" w:styleId="174">
    <w:name w:val="正文文本 2 Char2"/>
    <w:basedOn w:val="45"/>
    <w:semiHidden/>
    <w:qFormat/>
    <w:uiPriority w:val="99"/>
  </w:style>
  <w:style w:type="character" w:customStyle="1" w:styleId="175">
    <w:name w:val="正文文本缩进 Char2"/>
    <w:basedOn w:val="45"/>
    <w:semiHidden/>
    <w:qFormat/>
    <w:uiPriority w:val="99"/>
  </w:style>
  <w:style w:type="character" w:customStyle="1" w:styleId="176">
    <w:name w:val="批注文字 Char2"/>
    <w:basedOn w:val="45"/>
    <w:semiHidden/>
    <w:qFormat/>
    <w:uiPriority w:val="99"/>
  </w:style>
  <w:style w:type="character" w:customStyle="1" w:styleId="177">
    <w:name w:val="日期 Char3"/>
    <w:basedOn w:val="45"/>
    <w:semiHidden/>
    <w:qFormat/>
    <w:uiPriority w:val="99"/>
  </w:style>
  <w:style w:type="character" w:customStyle="1" w:styleId="178">
    <w:name w:val="正文文本缩进 2 Char1"/>
    <w:basedOn w:val="45"/>
    <w:semiHidden/>
    <w:qFormat/>
    <w:uiPriority w:val="99"/>
  </w:style>
  <w:style w:type="character" w:customStyle="1" w:styleId="179">
    <w:name w:val="正文文本缩进 3 Char3"/>
    <w:semiHidden/>
    <w:qFormat/>
    <w:uiPriority w:val="99"/>
    <w:rPr>
      <w:sz w:val="16"/>
      <w:szCs w:val="16"/>
    </w:rPr>
  </w:style>
  <w:style w:type="character" w:customStyle="1" w:styleId="180">
    <w:name w:val="正文文本 Char2"/>
    <w:basedOn w:val="45"/>
    <w:semiHidden/>
    <w:qFormat/>
    <w:uiPriority w:val="99"/>
  </w:style>
  <w:style w:type="character" w:customStyle="1" w:styleId="181">
    <w:name w:val="正文首行缩进 Char3"/>
    <w:basedOn w:val="180"/>
    <w:semiHidden/>
    <w:qFormat/>
    <w:uiPriority w:val="99"/>
  </w:style>
  <w:style w:type="character" w:customStyle="1" w:styleId="182">
    <w:name w:val="页眉 Char1"/>
    <w:semiHidden/>
    <w:qFormat/>
    <w:uiPriority w:val="99"/>
    <w:rPr>
      <w:sz w:val="18"/>
      <w:szCs w:val="18"/>
    </w:rPr>
  </w:style>
  <w:style w:type="character" w:customStyle="1" w:styleId="183">
    <w:name w:val="纯文本 Char3"/>
    <w:semiHidden/>
    <w:qFormat/>
    <w:uiPriority w:val="99"/>
    <w:rPr>
      <w:rFonts w:ascii="宋体" w:hAnsi="Courier New" w:eastAsia="宋体" w:cs="Courier New"/>
      <w:szCs w:val="21"/>
    </w:rPr>
  </w:style>
  <w:style w:type="character" w:customStyle="1" w:styleId="184">
    <w:name w:val="批注主题 Char3"/>
    <w:semiHidden/>
    <w:qFormat/>
    <w:uiPriority w:val="99"/>
    <w:rPr>
      <w:b/>
      <w:bCs/>
    </w:rPr>
  </w:style>
  <w:style w:type="paragraph" w:customStyle="1" w:styleId="185">
    <w:name w:val="默认段落字体 Para Char Char Char Char"/>
    <w:basedOn w:val="1"/>
    <w:qFormat/>
    <w:uiPriority w:val="0"/>
    <w:rPr>
      <w:szCs w:val="24"/>
    </w:rPr>
  </w:style>
  <w:style w:type="character" w:customStyle="1" w:styleId="186">
    <w:name w:val="HTML 预设格式 Char2"/>
    <w:semiHidden/>
    <w:qFormat/>
    <w:uiPriority w:val="99"/>
    <w:rPr>
      <w:rFonts w:ascii="Courier New" w:hAnsi="Courier New" w:cs="Courier New"/>
      <w:sz w:val="20"/>
      <w:szCs w:val="20"/>
    </w:rPr>
  </w:style>
  <w:style w:type="character" w:customStyle="1" w:styleId="187">
    <w:name w:val="文档结构图 Char2"/>
    <w:semiHidden/>
    <w:qFormat/>
    <w:uiPriority w:val="99"/>
    <w:rPr>
      <w:rFonts w:ascii="宋体" w:eastAsia="宋体"/>
      <w:sz w:val="18"/>
      <w:szCs w:val="18"/>
    </w:rPr>
  </w:style>
  <w:style w:type="character" w:customStyle="1" w:styleId="188">
    <w:name w:val="页脚 Char1"/>
    <w:semiHidden/>
    <w:qFormat/>
    <w:uiPriority w:val="99"/>
    <w:rPr>
      <w:sz w:val="18"/>
      <w:szCs w:val="18"/>
    </w:rPr>
  </w:style>
  <w:style w:type="paragraph" w:customStyle="1" w:styleId="189">
    <w:name w:val="纯文本11"/>
    <w:basedOn w:val="1"/>
    <w:qFormat/>
    <w:uiPriority w:val="0"/>
    <w:pPr>
      <w:adjustRightInd w:val="0"/>
      <w:jc w:val="left"/>
      <w:textAlignment w:val="baseline"/>
    </w:pPr>
    <w:rPr>
      <w:rFonts w:ascii="宋体" w:hAnsi="Courier New"/>
      <w:sz w:val="24"/>
    </w:rPr>
  </w:style>
  <w:style w:type="character" w:customStyle="1" w:styleId="190">
    <w:name w:val="正文文本 3 Char2"/>
    <w:semiHidden/>
    <w:qFormat/>
    <w:uiPriority w:val="99"/>
    <w:rPr>
      <w:sz w:val="16"/>
      <w:szCs w:val="16"/>
    </w:rPr>
  </w:style>
  <w:style w:type="character" w:customStyle="1" w:styleId="191">
    <w:name w:val="正文首行缩进 2 Char2"/>
    <w:basedOn w:val="175"/>
    <w:semiHidden/>
    <w:qFormat/>
    <w:uiPriority w:val="99"/>
  </w:style>
  <w:style w:type="character" w:customStyle="1" w:styleId="192">
    <w:name w:val="标题 Char1"/>
    <w:qFormat/>
    <w:uiPriority w:val="10"/>
    <w:rPr>
      <w:rFonts w:ascii="Cambria" w:hAnsi="Cambria" w:eastAsia="宋体" w:cs="Times New Roman"/>
      <w:b/>
      <w:bCs/>
      <w:sz w:val="32"/>
      <w:szCs w:val="32"/>
    </w:rPr>
  </w:style>
  <w:style w:type="paragraph" w:customStyle="1" w:styleId="193">
    <w:name w:val="Char Char Char Char Char1 Char1"/>
    <w:basedOn w:val="1"/>
    <w:qFormat/>
    <w:uiPriority w:val="0"/>
    <w:rPr>
      <w:rFonts w:ascii="Tahoma" w:hAnsi="Tahoma"/>
      <w:sz w:val="24"/>
    </w:rPr>
  </w:style>
  <w:style w:type="paragraph" w:customStyle="1" w:styleId="194">
    <w:name w:val="by"/>
    <w:basedOn w:val="162"/>
    <w:qFormat/>
    <w:uiPriority w:val="0"/>
    <w:pPr>
      <w:autoSpaceDE w:val="0"/>
      <w:autoSpaceDN w:val="0"/>
      <w:adjustRightInd w:val="0"/>
      <w:spacing w:afterLines="10"/>
      <w:ind w:left="545" w:leftChars="25" w:right="52" w:rightChars="25" w:hanging="493" w:hangingChars="275"/>
      <w:jc w:val="both"/>
    </w:pPr>
    <w:rPr>
      <w:spacing w:val="2"/>
    </w:rPr>
  </w:style>
  <w:style w:type="character" w:customStyle="1" w:styleId="195">
    <w:name w:val="已访问的超链接1"/>
    <w:unhideWhenUsed/>
    <w:qFormat/>
    <w:uiPriority w:val="99"/>
    <w:rPr>
      <w:color w:val="800080"/>
      <w:u w:val="single"/>
    </w:rPr>
  </w:style>
  <w:style w:type="paragraph" w:customStyle="1" w:styleId="196">
    <w:name w:val="font5"/>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97">
    <w:name w:val="font6"/>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98">
    <w:name w:val="font7"/>
    <w:basedOn w:val="1"/>
    <w:qFormat/>
    <w:uiPriority w:val="0"/>
    <w:pPr>
      <w:widowControl/>
      <w:spacing w:before="100" w:beforeAutospacing="1" w:after="100" w:afterAutospacing="1"/>
      <w:jc w:val="left"/>
    </w:pPr>
    <w:rPr>
      <w:rFonts w:ascii="宋体" w:hAnsi="宋体" w:cs="宋体"/>
      <w:color w:val="333333"/>
      <w:kern w:val="0"/>
      <w:sz w:val="20"/>
    </w:rPr>
  </w:style>
  <w:style w:type="paragraph" w:customStyle="1" w:styleId="199">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0">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0"/>
    </w:rPr>
  </w:style>
  <w:style w:type="paragraph" w:customStyle="1" w:styleId="201">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0"/>
    </w:rPr>
  </w:style>
  <w:style w:type="paragraph" w:customStyle="1" w:styleId="202">
    <w:name w:val="xl65"/>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b/>
      <w:bCs/>
      <w:kern w:val="0"/>
      <w:sz w:val="20"/>
    </w:rPr>
  </w:style>
  <w:style w:type="paragraph" w:customStyle="1" w:styleId="203">
    <w:name w:val="xl66"/>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b/>
      <w:bCs/>
      <w:kern w:val="0"/>
      <w:sz w:val="20"/>
    </w:rPr>
  </w:style>
  <w:style w:type="paragraph" w:customStyle="1" w:styleId="204">
    <w:name w:val="xl67"/>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 w:val="20"/>
    </w:rPr>
  </w:style>
  <w:style w:type="paragraph" w:customStyle="1" w:styleId="205">
    <w:name w:val="xl68"/>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0"/>
    </w:rPr>
  </w:style>
  <w:style w:type="paragraph" w:customStyle="1" w:styleId="206">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0"/>
    </w:rPr>
  </w:style>
  <w:style w:type="paragraph" w:customStyle="1" w:styleId="207">
    <w:name w:val="xl70"/>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0"/>
    </w:rPr>
  </w:style>
  <w:style w:type="paragraph" w:customStyle="1" w:styleId="208">
    <w:name w:val="xl71"/>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FF0000"/>
      <w:kern w:val="0"/>
      <w:sz w:val="20"/>
    </w:rPr>
  </w:style>
  <w:style w:type="paragraph" w:customStyle="1" w:styleId="209">
    <w:name w:val="xl72"/>
    <w:basedOn w:val="1"/>
    <w:qFormat/>
    <w:uiPriority w:val="0"/>
    <w:pPr>
      <w:widowControl/>
      <w:pBdr>
        <w:right w:val="single" w:color="auto" w:sz="8" w:space="0"/>
      </w:pBdr>
      <w:spacing w:before="100" w:beforeAutospacing="1" w:after="100" w:afterAutospacing="1"/>
      <w:jc w:val="left"/>
    </w:pPr>
    <w:rPr>
      <w:rFonts w:ascii="宋体" w:hAnsi="宋体" w:cs="宋体"/>
      <w:kern w:val="0"/>
      <w:sz w:val="20"/>
    </w:rPr>
  </w:style>
  <w:style w:type="paragraph" w:customStyle="1" w:styleId="210">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0"/>
    </w:rPr>
  </w:style>
  <w:style w:type="paragraph" w:customStyle="1" w:styleId="211">
    <w:name w:val="xl74"/>
    <w:basedOn w:val="1"/>
    <w:qFormat/>
    <w:uiPriority w:val="0"/>
    <w:pPr>
      <w:widowControl/>
      <w:spacing w:before="100" w:beforeAutospacing="1" w:after="100" w:afterAutospacing="1"/>
      <w:jc w:val="left"/>
    </w:pPr>
    <w:rPr>
      <w:rFonts w:ascii="宋体" w:hAnsi="宋体" w:cs="宋体"/>
      <w:kern w:val="0"/>
      <w:sz w:val="20"/>
    </w:rPr>
  </w:style>
  <w:style w:type="paragraph" w:customStyle="1" w:styleId="212">
    <w:name w:val="xl75"/>
    <w:basedOn w:val="1"/>
    <w:qFormat/>
    <w:uiPriority w:val="0"/>
    <w:pPr>
      <w:widowControl/>
      <w:spacing w:before="100" w:beforeAutospacing="1" w:after="100" w:afterAutospacing="1"/>
      <w:jc w:val="center"/>
    </w:pPr>
    <w:rPr>
      <w:rFonts w:ascii="宋体" w:hAnsi="宋体" w:cs="宋体"/>
      <w:kern w:val="0"/>
      <w:sz w:val="20"/>
    </w:rPr>
  </w:style>
  <w:style w:type="paragraph" w:customStyle="1" w:styleId="213">
    <w:name w:val="xl76"/>
    <w:basedOn w:val="1"/>
    <w:qFormat/>
    <w:uiPriority w:val="0"/>
    <w:pPr>
      <w:widowControl/>
      <w:spacing w:before="100" w:beforeAutospacing="1" w:after="100" w:afterAutospacing="1"/>
      <w:jc w:val="left"/>
    </w:pPr>
    <w:rPr>
      <w:rFonts w:ascii="宋体" w:hAnsi="宋体" w:cs="宋体"/>
      <w:kern w:val="0"/>
      <w:sz w:val="20"/>
    </w:rPr>
  </w:style>
  <w:style w:type="paragraph" w:customStyle="1" w:styleId="214">
    <w:name w:val="font9"/>
    <w:basedOn w:val="1"/>
    <w:qFormat/>
    <w:uiPriority w:val="0"/>
    <w:pPr>
      <w:widowControl/>
      <w:spacing w:before="100" w:beforeAutospacing="1" w:after="100" w:afterAutospacing="1"/>
      <w:jc w:val="left"/>
    </w:pPr>
    <w:rPr>
      <w:rFonts w:ascii="MS Mincho" w:hAnsi="MS Mincho" w:eastAsia="MS Mincho" w:cs="宋体"/>
      <w:color w:val="000000"/>
      <w:kern w:val="0"/>
      <w:sz w:val="20"/>
    </w:rPr>
  </w:style>
  <w:style w:type="paragraph" w:customStyle="1" w:styleId="215">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6">
    <w:name w:val="大标题"/>
    <w:basedOn w:val="11"/>
    <w:next w:val="11"/>
    <w:qFormat/>
    <w:uiPriority w:val="0"/>
    <w:pPr>
      <w:spacing w:line="360" w:lineRule="auto"/>
      <w:jc w:val="center"/>
    </w:pPr>
    <w:rPr>
      <w:b/>
      <w:sz w:val="32"/>
      <w:szCs w:val="21"/>
      <w:lang w:val="en-US"/>
    </w:rPr>
  </w:style>
  <w:style w:type="character" w:customStyle="1" w:styleId="217">
    <w:name w:val="副标题 Char"/>
    <w:basedOn w:val="45"/>
    <w:link w:val="31"/>
    <w:qFormat/>
    <w:uiPriority w:val="0"/>
    <w:rPr>
      <w:rFonts w:asciiTheme="majorHAnsi" w:hAnsiTheme="majorHAnsi" w:cstheme="majorBidi"/>
      <w:b/>
      <w:bCs/>
      <w:kern w:val="28"/>
      <w:sz w:val="32"/>
      <w:szCs w:val="32"/>
    </w:rPr>
  </w:style>
  <w:style w:type="character" w:customStyle="1" w:styleId="218">
    <w:name w:val="正文缩进 Char"/>
    <w:link w:val="6"/>
    <w:qFormat/>
    <w:locked/>
    <w:uiPriority w:val="0"/>
    <w:rPr>
      <w:kern w:val="2"/>
      <w:sz w:val="21"/>
    </w:rPr>
  </w:style>
  <w:style w:type="paragraph" w:customStyle="1" w:styleId="219">
    <w:name w:val="Char Char1 Char Char"/>
    <w:basedOn w:val="13"/>
    <w:qFormat/>
    <w:uiPriority w:val="0"/>
    <w:pPr>
      <w:adjustRightInd w:val="0"/>
      <w:spacing w:line="436" w:lineRule="exact"/>
      <w:ind w:left="357"/>
      <w:jc w:val="left"/>
      <w:outlineLvl w:val="3"/>
    </w:pPr>
    <w:rPr>
      <w:rFonts w:ascii="Tahoma" w:hAnsi="Tahoma"/>
      <w:b/>
      <w:sz w:val="24"/>
      <w:szCs w:val="24"/>
      <w:lang w:val="en-US"/>
    </w:rPr>
  </w:style>
  <w:style w:type="paragraph" w:customStyle="1" w:styleId="220">
    <w:name w:val="页脚1"/>
    <w:basedOn w:val="1"/>
    <w:qFormat/>
    <w:uiPriority w:val="0"/>
    <w:pPr>
      <w:tabs>
        <w:tab w:val="center" w:pos="4153"/>
        <w:tab w:val="right" w:pos="8306"/>
      </w:tabs>
      <w:snapToGrid w:val="0"/>
      <w:jc w:val="left"/>
    </w:pPr>
    <w:rPr>
      <w:sz w:val="18"/>
      <w:szCs w:val="18"/>
    </w:rPr>
  </w:style>
  <w:style w:type="paragraph" w:customStyle="1" w:styleId="221">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222">
    <w:name w:val="正文首行缩进1"/>
    <w:basedOn w:val="1"/>
    <w:qFormat/>
    <w:uiPriority w:val="0"/>
    <w:pPr>
      <w:spacing w:beforeLines="50" w:line="360" w:lineRule="auto"/>
      <w:ind w:firstLine="200" w:firstLineChars="200"/>
    </w:pPr>
    <w:rPr>
      <w:sz w:val="24"/>
      <w:szCs w:val="24"/>
    </w:rPr>
  </w:style>
  <w:style w:type="paragraph" w:customStyle="1" w:styleId="223">
    <w:name w:val="南网格式"/>
    <w:basedOn w:val="1"/>
    <w:qFormat/>
    <w:uiPriority w:val="0"/>
    <w:pPr>
      <w:widowControl/>
      <w:spacing w:before="120" w:line="360" w:lineRule="auto"/>
      <w:jc w:val="left"/>
    </w:pPr>
    <w:rPr>
      <w:rFonts w:ascii="宋体" w:hAnsi="宋体" w:cstheme="minorBidi"/>
      <w:sz w:val="24"/>
      <w:szCs w:val="28"/>
      <w:lang w:val="zh-CN"/>
    </w:rPr>
  </w:style>
  <w:style w:type="paragraph" w:customStyle="1" w:styleId="224">
    <w:name w:val="无间隔2"/>
    <w:qFormat/>
    <w:uiPriority w:val="1"/>
    <w:pPr>
      <w:widowControl w:val="0"/>
      <w:jc w:val="both"/>
    </w:pPr>
    <w:rPr>
      <w:rFonts w:ascii="Calibri" w:hAnsi="Calibri" w:eastAsiaTheme="minorEastAsia" w:cstheme="minorBidi"/>
      <w:kern w:val="2"/>
      <w:sz w:val="21"/>
      <w:szCs w:val="22"/>
      <w:lang w:val="en-US" w:eastAsia="zh-CN" w:bidi="ar-SA"/>
    </w:rPr>
  </w:style>
  <w:style w:type="paragraph" w:customStyle="1" w:styleId="225">
    <w:name w:val="_Style 2"/>
    <w:basedOn w:val="3"/>
    <w:next w:val="1"/>
    <w:qFormat/>
    <w:uiPriority w:val="39"/>
    <w:pPr>
      <w:widowControl/>
      <w:tabs>
        <w:tab w:val="left" w:pos="720"/>
      </w:tabs>
      <w:spacing w:before="480" w:after="0" w:line="276" w:lineRule="auto"/>
      <w:outlineLvl w:val="9"/>
    </w:pPr>
    <w:rPr>
      <w:rFonts w:ascii="Cambria" w:hAnsi="Cambria"/>
      <w:color w:val="365F91"/>
      <w:kern w:val="0"/>
      <w:sz w:val="28"/>
      <w:szCs w:val="28"/>
    </w:rPr>
  </w:style>
  <w:style w:type="paragraph" w:customStyle="1" w:styleId="226">
    <w:name w:val="列出段落2"/>
    <w:basedOn w:val="1"/>
    <w:qFormat/>
    <w:uiPriority w:val="0"/>
    <w:pPr>
      <w:ind w:firstLine="420" w:firstLineChars="200"/>
    </w:pPr>
    <w:rPr>
      <w:rFonts w:ascii="Calibri" w:hAnsi="Calibri"/>
      <w:szCs w:val="22"/>
    </w:rPr>
  </w:style>
  <w:style w:type="paragraph" w:customStyle="1" w:styleId="227">
    <w:name w:val="标题1李洪"/>
    <w:basedOn w:val="1"/>
    <w:qFormat/>
    <w:uiPriority w:val="0"/>
    <w:pPr>
      <w:tabs>
        <w:tab w:val="left" w:pos="567"/>
      </w:tabs>
      <w:ind w:left="567" w:hanging="567"/>
    </w:pPr>
    <w:rPr>
      <w:sz w:val="20"/>
      <w:szCs w:val="24"/>
    </w:rPr>
  </w:style>
  <w:style w:type="paragraph" w:customStyle="1" w:styleId="228">
    <w:name w:val="标题 2李洪"/>
    <w:basedOn w:val="1"/>
    <w:qFormat/>
    <w:uiPriority w:val="0"/>
    <w:pPr>
      <w:tabs>
        <w:tab w:val="left" w:pos="567"/>
      </w:tabs>
      <w:ind w:left="567" w:hanging="567"/>
    </w:pPr>
    <w:rPr>
      <w:szCs w:val="24"/>
    </w:rPr>
  </w:style>
  <w:style w:type="paragraph" w:customStyle="1" w:styleId="229">
    <w:name w:val="样式1"/>
    <w:basedOn w:val="1"/>
    <w:qFormat/>
    <w:uiPriority w:val="0"/>
    <w:pPr>
      <w:spacing w:line="420" w:lineRule="auto"/>
      <w:jc w:val="center"/>
    </w:pPr>
    <w:rPr>
      <w:rFonts w:ascii="宋体" w:hAnsiTheme="minorHAnsi" w:eastAsiaTheme="minorEastAsia" w:cstheme="minorBidi"/>
      <w:sz w:val="24"/>
      <w:szCs w:val="22"/>
    </w:rPr>
  </w:style>
  <w:style w:type="paragraph" w:customStyle="1" w:styleId="230">
    <w:name w:val="正文5"/>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231">
    <w:name w:val="List Paragraph"/>
    <w:basedOn w:val="1"/>
    <w:qFormat/>
    <w:uiPriority w:val="34"/>
    <w:pPr>
      <w:ind w:firstLine="420" w:firstLineChars="200"/>
    </w:pPr>
    <w:rPr>
      <w:szCs w:val="24"/>
    </w:rPr>
  </w:style>
  <w:style w:type="character" w:customStyle="1" w:styleId="232">
    <w:name w:val="页码1"/>
    <w:qFormat/>
    <w:uiPriority w:val="0"/>
  </w:style>
  <w:style w:type="paragraph" w:customStyle="1" w:styleId="233">
    <w:name w:val="页眉1"/>
    <w:basedOn w:val="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22"/>
    </w:rPr>
  </w:style>
  <w:style w:type="character" w:customStyle="1" w:styleId="234">
    <w:name w:val="font11"/>
    <w:basedOn w:val="45"/>
    <w:qFormat/>
    <w:uiPriority w:val="0"/>
    <w:rPr>
      <w:rFonts w:hint="eastAsia" w:ascii="宋体" w:hAnsi="宋体" w:eastAsia="宋体" w:cs="宋体"/>
      <w:color w:val="000000"/>
      <w:sz w:val="18"/>
      <w:szCs w:val="18"/>
      <w:u w:val="none"/>
    </w:rPr>
  </w:style>
  <w:style w:type="paragraph" w:customStyle="1" w:styleId="23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36">
    <w:name w:val="章标题"/>
    <w:next w:val="22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37">
    <w:name w:val="一级条标题"/>
    <w:next w:val="221"/>
    <w:qFormat/>
    <w:uiPriority w:val="0"/>
    <w:pPr>
      <w:spacing w:beforeLines="50" w:afterLines="50"/>
      <w:outlineLvl w:val="2"/>
    </w:pPr>
    <w:rPr>
      <w:rFonts w:ascii="黑体" w:hAnsi="Times New Roman" w:eastAsia="黑体" w:cs="Times New Roman"/>
      <w:sz w:val="21"/>
      <w:szCs w:val="21"/>
      <w:lang w:val="en-US" w:eastAsia="zh-CN" w:bidi="ar-SA"/>
    </w:rPr>
  </w:style>
  <w:style w:type="character" w:customStyle="1" w:styleId="238">
    <w:name w:val="font01"/>
    <w:basedOn w:val="45"/>
    <w:qFormat/>
    <w:uiPriority w:val="0"/>
    <w:rPr>
      <w:rFonts w:hint="eastAsia" w:ascii="宋体" w:hAnsi="宋体" w:eastAsia="宋体" w:cs="宋体"/>
      <w:b/>
      <w:color w:val="000000"/>
      <w:sz w:val="28"/>
      <w:szCs w:val="28"/>
      <w:u w:val="none"/>
    </w:rPr>
  </w:style>
  <w:style w:type="paragraph" w:customStyle="1" w:styleId="239">
    <w:name w:val="_Style 3"/>
    <w:basedOn w:val="1"/>
    <w:qFormat/>
    <w:uiPriority w:val="0"/>
    <w:pPr>
      <w:ind w:firstLine="420" w:firstLineChars="200"/>
    </w:pPr>
    <w:rPr>
      <w:rFonts w:ascii="@DotumChe" w:hAnsi="@DotumChe" w:eastAsia="@DotumChe" w:cs="@DotumChe"/>
      <w:sz w:val="20"/>
    </w:rPr>
  </w:style>
  <w:style w:type="character" w:customStyle="1" w:styleId="240">
    <w:name w:val="18"/>
    <w:qFormat/>
    <w:uiPriority w:val="0"/>
    <w:rPr>
      <w:rFonts w:hint="eastAsia" w:ascii="微软雅黑" w:hAnsi="微软雅黑" w:eastAsia="微软雅黑"/>
      <w:color w:val="000000"/>
      <w:sz w:val="21"/>
      <w:szCs w:val="21"/>
    </w:rPr>
  </w:style>
  <w:style w:type="character" w:customStyle="1" w:styleId="241">
    <w:name w:val="font21"/>
    <w:unhideWhenUsed/>
    <w:qFormat/>
    <w:uiPriority w:val="0"/>
    <w:rPr>
      <w:rFonts w:hint="eastAsia" w:ascii="宋体" w:hAnsi="宋体" w:eastAsia="宋体"/>
      <w:color w:val="000000"/>
      <w:sz w:val="22"/>
    </w:rPr>
  </w:style>
  <w:style w:type="character" w:customStyle="1" w:styleId="242">
    <w:name w:val="v-line"/>
    <w:basedOn w:val="45"/>
    <w:qFormat/>
    <w:uiPriority w:val="0"/>
  </w:style>
  <w:style w:type="character" w:customStyle="1" w:styleId="243">
    <w:name w:val="img01"/>
    <w:basedOn w:val="45"/>
    <w:qFormat/>
    <w:uiPriority w:val="0"/>
  </w:style>
  <w:style w:type="character" w:customStyle="1" w:styleId="244">
    <w:name w:val="page-selected"/>
    <w:basedOn w:val="45"/>
    <w:qFormat/>
    <w:uiPriority w:val="0"/>
    <w:rPr>
      <w:color w:val="888888"/>
      <w:shd w:val="clear" w:fill="F2F2F2"/>
    </w:rPr>
  </w:style>
  <w:style w:type="character" w:customStyle="1" w:styleId="245">
    <w:name w:val="img02"/>
    <w:basedOn w:val="45"/>
    <w:qFormat/>
    <w:uiPriority w:val="0"/>
    <w:rPr>
      <w:color w:val="666666"/>
    </w:rPr>
  </w:style>
  <w:style w:type="character" w:customStyle="1" w:styleId="246">
    <w:name w:val="more"/>
    <w:basedOn w:val="45"/>
    <w:qFormat/>
    <w:uiPriority w:val="0"/>
    <w:rPr>
      <w:color w:val="0861B0"/>
      <w:sz w:val="24"/>
      <w:szCs w:val="24"/>
    </w:rPr>
  </w:style>
  <w:style w:type="character" w:customStyle="1" w:styleId="247">
    <w:name w:val="active7"/>
    <w:basedOn w:val="45"/>
    <w:qFormat/>
    <w:uiPriority w:val="0"/>
    <w:rPr>
      <w:color w:val="FFFFFF"/>
      <w:shd w:val="clear" w:fill="0861B0"/>
    </w:rPr>
  </w:style>
  <w:style w:type="character" w:customStyle="1" w:styleId="248">
    <w:name w:val="first-child"/>
    <w:basedOn w:val="45"/>
    <w:qFormat/>
    <w:uiPriority w:val="0"/>
    <w:rPr>
      <w:color w:val="333333"/>
    </w:rPr>
  </w:style>
  <w:style w:type="character" w:customStyle="1" w:styleId="249">
    <w:name w:val="first-child1"/>
    <w:basedOn w:val="45"/>
    <w:qFormat/>
    <w:uiPriority w:val="0"/>
    <w:rPr>
      <w:color w:val="333333"/>
      <w:sz w:val="24"/>
      <w:szCs w:val="24"/>
    </w:rPr>
  </w:style>
  <w:style w:type="character" w:customStyle="1" w:styleId="250">
    <w:name w:val="first-child2"/>
    <w:basedOn w:val="45"/>
    <w:qFormat/>
    <w:uiPriority w:val="0"/>
  </w:style>
  <w:style w:type="character" w:customStyle="1" w:styleId="251">
    <w:name w:val="first-child3"/>
    <w:basedOn w:val="45"/>
    <w:qFormat/>
    <w:uiPriority w:val="0"/>
    <w:rPr>
      <w:color w:val="0861B0"/>
      <w:sz w:val="24"/>
      <w:szCs w:val="24"/>
    </w:rPr>
  </w:style>
  <w:style w:type="character" w:customStyle="1" w:styleId="252">
    <w:name w:val="ca-lead"/>
    <w:basedOn w:val="45"/>
    <w:qFormat/>
    <w:uiPriority w:val="0"/>
  </w:style>
  <w:style w:type="character" w:customStyle="1" w:styleId="253">
    <w:name w:val="common-questions"/>
    <w:basedOn w:val="45"/>
    <w:qFormat/>
    <w:uiPriority w:val="0"/>
  </w:style>
  <w:style w:type="character" w:customStyle="1" w:styleId="254">
    <w:name w:val="money-service"/>
    <w:basedOn w:val="45"/>
    <w:qFormat/>
    <w:uiPriority w:val="0"/>
  </w:style>
  <w:style w:type="character" w:customStyle="1" w:styleId="255">
    <w:name w:val="download-center"/>
    <w:basedOn w:val="45"/>
    <w:qFormat/>
    <w:uiPriority w:val="0"/>
  </w:style>
  <w:style w:type="character" w:customStyle="1" w:styleId="256">
    <w:name w:val="img03"/>
    <w:basedOn w:val="45"/>
    <w:qFormat/>
    <w:uiPriority w:val="0"/>
  </w:style>
  <w:style w:type="character" w:customStyle="1" w:styleId="257">
    <w:name w:val="img04"/>
    <w:basedOn w:val="45"/>
    <w:qFormat/>
    <w:uiPriority w:val="0"/>
  </w:style>
  <w:style w:type="character" w:customStyle="1" w:styleId="258">
    <w:name w:val="img05"/>
    <w:basedOn w:val="45"/>
    <w:qFormat/>
    <w:uiPriority w:val="0"/>
  </w:style>
  <w:style w:type="character" w:customStyle="1" w:styleId="259">
    <w:name w:val="link-wrap"/>
    <w:basedOn w:val="45"/>
    <w:qFormat/>
    <w:uiPriority w:val="0"/>
    <w:rPr>
      <w:bdr w:val="single" w:color="ECECEC" w:sz="6" w:space="0"/>
    </w:rPr>
  </w:style>
  <w:style w:type="character" w:customStyle="1" w:styleId="260">
    <w:name w:val="page-first2"/>
    <w:basedOn w:val="45"/>
    <w:qFormat/>
    <w:uiPriority w:val="0"/>
    <w:rPr>
      <w:color w:val="CCCCCC"/>
    </w:rPr>
  </w:style>
  <w:style w:type="character" w:customStyle="1" w:styleId="261">
    <w:name w:val="page-next2"/>
    <w:basedOn w:val="45"/>
    <w:qFormat/>
    <w:uiPriority w:val="0"/>
    <w:rPr>
      <w:color w:val="CCCCCC"/>
    </w:rPr>
  </w:style>
  <w:style w:type="character" w:customStyle="1" w:styleId="262">
    <w:name w:val="pagesize-selected2"/>
    <w:basedOn w:val="45"/>
    <w:qFormat/>
    <w:uiPriority w:val="0"/>
    <w:rPr>
      <w:color w:val="888888"/>
    </w:rPr>
  </w:style>
  <w:style w:type="character" w:customStyle="1" w:styleId="263">
    <w:name w:val="page-end3"/>
    <w:basedOn w:val="45"/>
    <w:qFormat/>
    <w:uiPriority w:val="0"/>
    <w:rPr>
      <w:color w:val="CCCCCC"/>
    </w:rPr>
  </w:style>
  <w:style w:type="character" w:customStyle="1" w:styleId="264">
    <w:name w:val="hover13"/>
    <w:basedOn w:val="45"/>
    <w:qFormat/>
    <w:uiPriority w:val="0"/>
    <w:rPr>
      <w:shd w:val="clear" w:fill="F0F0F0"/>
    </w:rPr>
  </w:style>
  <w:style w:type="character" w:customStyle="1" w:styleId="265">
    <w:name w:val="fontstyle01"/>
    <w:basedOn w:val="45"/>
    <w:qFormat/>
    <w:uiPriority w:val="0"/>
    <w:rPr>
      <w:rFonts w:hint="eastAsia" w:ascii="仿宋_GB2312" w:eastAsia="仿宋_GB2312"/>
      <w:color w:val="000000"/>
      <w:sz w:val="28"/>
      <w:szCs w:val="28"/>
    </w:rPr>
  </w:style>
  <w:style w:type="paragraph" w:customStyle="1" w:styleId="266">
    <w:name w:val="USE 1"/>
    <w:basedOn w:val="1"/>
    <w:qFormat/>
    <w:uiPriority w:val="0"/>
    <w:pPr>
      <w:spacing w:line="200" w:lineRule="atLeast"/>
      <w:jc w:val="left"/>
    </w:pPr>
    <w:rPr>
      <w:rFonts w:ascii="宋体" w:hAnsi="宋体"/>
      <w:b/>
      <w:sz w:val="24"/>
      <w:szCs w:val="28"/>
    </w:rPr>
  </w:style>
  <w:style w:type="paragraph" w:customStyle="1" w:styleId="267">
    <w:name w:val="_Style 33"/>
    <w:basedOn w:val="17"/>
    <w:next w:val="42"/>
    <w:qFormat/>
    <w:uiPriority w:val="0"/>
    <w:pPr>
      <w:ind w:left="200" w:firstLine="200" w:firstLineChars="200"/>
    </w:pPr>
    <w:rPr>
      <w:rFonts w:ascii="Calibri" w:hAnsi="Calibri" w:cs="黑体"/>
    </w:rPr>
  </w:style>
  <w:style w:type="paragraph" w:customStyle="1" w:styleId="268">
    <w:name w:val="样式 (符号) 宋体 小四 行距: 1.5 倍行距"/>
    <w:basedOn w:val="1"/>
    <w:qFormat/>
    <w:uiPriority w:val="0"/>
    <w:pPr>
      <w:widowControl/>
      <w:spacing w:line="360" w:lineRule="auto"/>
      <w:ind w:firstLine="200" w:firstLineChars="200"/>
      <w:jc w:val="left"/>
    </w:pPr>
    <w:rPr>
      <w:rFonts w:ascii="宋体" w:hAnsi="宋体" w:cs="宋体"/>
      <w:sz w:val="24"/>
    </w:rPr>
  </w:style>
  <w:style w:type="table" w:customStyle="1" w:styleId="26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8e4b38b-5f3c-416c-bd3b-e06ba6f13f03}"/>
        <w:style w:val=""/>
        <w:category>
          <w:name w:val="常规"/>
          <w:gallery w:val="placeholder"/>
        </w:category>
        <w:types>
          <w:type w:val="bbPlcHdr"/>
        </w:types>
        <w:behaviors>
          <w:behavior w:val="content"/>
        </w:behaviors>
        <w:description w:val=""/>
        <w:guid w:val="{28e4b38b-5f3c-416c-bd3b-e06ba6f13f03}"/>
      </w:docPartPr>
      <w:docPartBody>
        <w:p>
          <w:r>
            <w:rPr>
              <w:color w:val="808080"/>
            </w:rPr>
            <w:t>单击此处输入文字。</w:t>
          </w:r>
        </w:p>
      </w:docPartBody>
    </w:docPart>
    <w:docPart>
      <w:docPartPr>
        <w:name w:val="{b7befd5f-d23a-45c6-bfad-7700d7070bed}"/>
        <w:style w:val=""/>
        <w:category>
          <w:name w:val="常规"/>
          <w:gallery w:val="placeholder"/>
        </w:category>
        <w:types>
          <w:type w:val="bbPlcHdr"/>
        </w:types>
        <w:behaviors>
          <w:behavior w:val="content"/>
        </w:behaviors>
        <w:description w:val=""/>
        <w:guid w:val="{b7befd5f-d23a-45c6-bfad-7700d7070bed}"/>
      </w:docPartPr>
      <w:docPartBody>
        <w:p>
          <w:r>
            <w:rPr>
              <w:color w:val="808080"/>
            </w:rPr>
            <w:t>单击此处输入文字。</w:t>
          </w:r>
        </w:p>
      </w:docPartBody>
    </w:docPart>
    <w:docPart>
      <w:docPartPr>
        <w:name w:val="{cf0df3de-5770-4253-ac65-a38d6420304d}"/>
        <w:style w:val=""/>
        <w:category>
          <w:name w:val="常规"/>
          <w:gallery w:val="placeholder"/>
        </w:category>
        <w:types>
          <w:type w:val="bbPlcHdr"/>
        </w:types>
        <w:behaviors>
          <w:behavior w:val="content"/>
        </w:behaviors>
        <w:description w:val=""/>
        <w:guid w:val="{cf0df3de-5770-4253-ac65-a38d6420304d}"/>
      </w:docPartPr>
      <w:docPartBody>
        <w:p>
          <w:r>
            <w:rPr>
              <w:color w:val="808080"/>
            </w:rPr>
            <w:t>单击此处输入文字。</w:t>
          </w:r>
        </w:p>
      </w:docPartBody>
    </w:docPart>
    <w:docPart>
      <w:docPartPr>
        <w:name w:val="{c88a1e25-47b1-40aa-8f90-1cf4195a5c95}"/>
        <w:style w:val=""/>
        <w:category>
          <w:name w:val="常规"/>
          <w:gallery w:val="placeholder"/>
        </w:category>
        <w:types>
          <w:type w:val="bbPlcHdr"/>
        </w:types>
        <w:behaviors>
          <w:behavior w:val="content"/>
        </w:behaviors>
        <w:description w:val=""/>
        <w:guid w:val="{c88a1e25-47b1-40aa-8f90-1cf4195a5c95}"/>
      </w:docPartPr>
      <w:docPartBody>
        <w:p>
          <w:r>
            <w:rPr>
              <w:color w:val="808080"/>
            </w:rPr>
            <w:t>单击此处输入文字。</w:t>
          </w:r>
        </w:p>
      </w:docPartBody>
    </w:docPart>
    <w:docPart>
      <w:docPartPr>
        <w:name w:val="{fe82703b-54d2-4159-ac80-88e4c5c63f17}"/>
        <w:style w:val=""/>
        <w:category>
          <w:name w:val="常规"/>
          <w:gallery w:val="placeholder"/>
        </w:category>
        <w:types>
          <w:type w:val="bbPlcHdr"/>
        </w:types>
        <w:behaviors>
          <w:behavior w:val="content"/>
        </w:behaviors>
        <w:description w:val=""/>
        <w:guid w:val="{fe82703b-54d2-4159-ac80-88e4c5c63f17}"/>
      </w:docPartPr>
      <w:docPartBody>
        <w:p>
          <w:r>
            <w:rPr>
              <w:color w:val="808080"/>
            </w:rPr>
            <w:t>单击此处输入文字。</w:t>
          </w:r>
        </w:p>
      </w:docPartBody>
    </w:docPart>
    <w:docPart>
      <w:docPartPr>
        <w:name w:val="{fe947a7d-5614-4a86-8208-628168ee495a}"/>
        <w:style w:val=""/>
        <w:category>
          <w:name w:val="常规"/>
          <w:gallery w:val="placeholder"/>
        </w:category>
        <w:types>
          <w:type w:val="bbPlcHdr"/>
        </w:types>
        <w:behaviors>
          <w:behavior w:val="content"/>
        </w:behaviors>
        <w:description w:val=""/>
        <w:guid w:val="{fe947a7d-5614-4a86-8208-628168ee495a}"/>
      </w:docPartPr>
      <w:docPartBody>
        <w:p>
          <w:r>
            <w:rPr>
              <w:color w:val="808080"/>
            </w:rPr>
            <w:t>单击此处输入文字。</w:t>
          </w:r>
        </w:p>
      </w:docPartBody>
    </w:docPart>
    <w:docPart>
      <w:docPartPr>
        <w:name w:val="{00a92e5f-1d2e-4356-9b14-4e6a06849389}"/>
        <w:style w:val=""/>
        <w:category>
          <w:name w:val="常规"/>
          <w:gallery w:val="placeholder"/>
        </w:category>
        <w:types>
          <w:type w:val="bbPlcHdr"/>
        </w:types>
        <w:behaviors>
          <w:behavior w:val="content"/>
        </w:behaviors>
        <w:description w:val=""/>
        <w:guid w:val="{00a92e5f-1d2e-4356-9b14-4e6a06849389}"/>
      </w:docPartPr>
      <w:docPartBody>
        <w:p>
          <w:r>
            <w:rPr>
              <w:color w:val="808080"/>
            </w:rPr>
            <w:t>单击此处输入文字。</w:t>
          </w:r>
        </w:p>
      </w:docPartBody>
    </w:docPart>
    <w:docPart>
      <w:docPartPr>
        <w:name w:val="{2f7fdc3f-dd56-41a3-9445-985464b5dadc}"/>
        <w:style w:val=""/>
        <w:category>
          <w:name w:val="常规"/>
          <w:gallery w:val="placeholder"/>
        </w:category>
        <w:types>
          <w:type w:val="bbPlcHdr"/>
        </w:types>
        <w:behaviors>
          <w:behavior w:val="content"/>
        </w:behaviors>
        <w:description w:val=""/>
        <w:guid w:val="{2f7fdc3f-dd56-41a3-9445-985464b5dadc}"/>
      </w:docPartPr>
      <w:docPartBody>
        <w:p>
          <w:r>
            <w:rPr>
              <w:color w:val="808080"/>
            </w:rPr>
            <w:t>单击此处输入文字。</w:t>
          </w:r>
        </w:p>
      </w:docPartBody>
    </w:docPart>
    <w:docPart>
      <w:docPartPr>
        <w:name w:val="{d48025b3-f705-47a4-9e33-73487293e823}"/>
        <w:style w:val=""/>
        <w:category>
          <w:name w:val="常规"/>
          <w:gallery w:val="placeholder"/>
        </w:category>
        <w:types>
          <w:type w:val="bbPlcHdr"/>
        </w:types>
        <w:behaviors>
          <w:behavior w:val="content"/>
        </w:behaviors>
        <w:description w:val=""/>
        <w:guid w:val="{d48025b3-f705-47a4-9e33-73487293e823}"/>
      </w:docPartPr>
      <w:docPartBody>
        <w:p>
          <w:r>
            <w:rPr>
              <w:color w:val="808080"/>
            </w:rPr>
            <w:t>单击此处输入文字。</w:t>
          </w:r>
        </w:p>
      </w:docPartBody>
    </w:docPart>
    <w:docPart>
      <w:docPartPr>
        <w:name w:val="{80d335f3-2517-4a18-af10-4c6ae59b0f54}"/>
        <w:style w:val=""/>
        <w:category>
          <w:name w:val="常规"/>
          <w:gallery w:val="placeholder"/>
        </w:category>
        <w:types>
          <w:type w:val="bbPlcHdr"/>
        </w:types>
        <w:behaviors>
          <w:behavior w:val="content"/>
        </w:behaviors>
        <w:description w:val=""/>
        <w:guid w:val="{80d335f3-2517-4a18-af10-4c6ae59b0f54}"/>
      </w:docPartPr>
      <w:docPartBody>
        <w:p>
          <w:r>
            <w:rPr>
              <w:color w:val="808080"/>
            </w:rPr>
            <w:t>单击此处输入文字。</w:t>
          </w:r>
        </w:p>
      </w:docPartBody>
    </w:docPart>
    <w:docPart>
      <w:docPartPr>
        <w:name w:val="{951eb614-43b4-4de7-b274-68becf67f400}"/>
        <w:style w:val=""/>
        <w:category>
          <w:name w:val="常规"/>
          <w:gallery w:val="placeholder"/>
        </w:category>
        <w:types>
          <w:type w:val="bbPlcHdr"/>
        </w:types>
        <w:behaviors>
          <w:behavior w:val="content"/>
        </w:behaviors>
        <w:description w:val=""/>
        <w:guid w:val="{951eb614-43b4-4de7-b274-68becf67f400}"/>
      </w:docPartPr>
      <w:docPartBody>
        <w:p>
          <w:r>
            <w:rPr>
              <w:color w:val="808080"/>
            </w:rPr>
            <w:t>单击此处输入文字。</w:t>
          </w:r>
        </w:p>
      </w:docPartBody>
    </w:docPart>
    <w:docPart>
      <w:docPartPr>
        <w:name w:val="{27f92d26-dab8-452d-b81f-1c5a9d25b326}"/>
        <w:style w:val=""/>
        <w:category>
          <w:name w:val="常规"/>
          <w:gallery w:val="placeholder"/>
        </w:category>
        <w:types>
          <w:type w:val="bbPlcHdr"/>
        </w:types>
        <w:behaviors>
          <w:behavior w:val="content"/>
        </w:behaviors>
        <w:description w:val=""/>
        <w:guid w:val="{27f92d26-dab8-452d-b81f-1c5a9d25b326}"/>
      </w:docPartPr>
      <w:docPartBody>
        <w:p>
          <w:r>
            <w:rPr>
              <w:color w:val="808080"/>
            </w:rPr>
            <w:t>单击此处输入文字。</w:t>
          </w:r>
        </w:p>
      </w:docPartBody>
    </w:docPart>
    <w:docPart>
      <w:docPartPr>
        <w:name w:val="{20515fd2-6e74-4621-87c3-c8e191812b4d}"/>
        <w:style w:val=""/>
        <w:category>
          <w:name w:val="常规"/>
          <w:gallery w:val="placeholder"/>
        </w:category>
        <w:types>
          <w:type w:val="bbPlcHdr"/>
        </w:types>
        <w:behaviors>
          <w:behavior w:val="content"/>
        </w:behaviors>
        <w:description w:val=""/>
        <w:guid w:val="{20515fd2-6e74-4621-87c3-c8e191812b4d}"/>
      </w:docPartPr>
      <w:docPartBody>
        <w:p>
          <w:r>
            <w:rPr>
              <w:color w:val="808080"/>
            </w:rPr>
            <w:t>单击此处输入文字。</w:t>
          </w:r>
        </w:p>
      </w:docPartBody>
    </w:docPart>
    <w:docPart>
      <w:docPartPr>
        <w:name w:val="{c291fd5d-c456-4089-b6f0-79bf7d26bed1}"/>
        <w:style w:val=""/>
        <w:category>
          <w:name w:val="常规"/>
          <w:gallery w:val="placeholder"/>
        </w:category>
        <w:types>
          <w:type w:val="bbPlcHdr"/>
        </w:types>
        <w:behaviors>
          <w:behavior w:val="content"/>
        </w:behaviors>
        <w:description w:val=""/>
        <w:guid w:val="{c291fd5d-c456-4089-b6f0-79bf7d26bed1}"/>
      </w:docPartPr>
      <w:docPartBody>
        <w:p>
          <w:r>
            <w:rPr>
              <w:color w:val="808080"/>
            </w:rPr>
            <w:t>单击此处输入文字。</w:t>
          </w:r>
        </w:p>
      </w:docPartBody>
    </w:docPart>
    <w:docPart>
      <w:docPartPr>
        <w:name w:val="{ede642a2-81ec-4dc0-95e7-286168d3fb0c}"/>
        <w:style w:val=""/>
        <w:category>
          <w:name w:val="常规"/>
          <w:gallery w:val="placeholder"/>
        </w:category>
        <w:types>
          <w:type w:val="bbPlcHdr"/>
        </w:types>
        <w:behaviors>
          <w:behavior w:val="content"/>
        </w:behaviors>
        <w:description w:val=""/>
        <w:guid w:val="{ede642a2-81ec-4dc0-95e7-286168d3fb0c}"/>
      </w:docPartPr>
      <w:docPartBody>
        <w:p>
          <w:r>
            <w:rPr>
              <w:color w:val="808080"/>
            </w:rPr>
            <w:t>单击此处输入文字。</w:t>
          </w:r>
        </w:p>
      </w:docPartBody>
    </w:docPart>
    <w:docPart>
      <w:docPartPr>
        <w:name w:val="{85c78448-e6dc-46c2-b763-ff07a5ce2892}"/>
        <w:style w:val=""/>
        <w:category>
          <w:name w:val="常规"/>
          <w:gallery w:val="placeholder"/>
        </w:category>
        <w:types>
          <w:type w:val="bbPlcHdr"/>
        </w:types>
        <w:behaviors>
          <w:behavior w:val="content"/>
        </w:behaviors>
        <w:description w:val=""/>
        <w:guid w:val="{85c78448-e6dc-46c2-b763-ff07a5ce2892}"/>
      </w:docPartPr>
      <w:docPartBody>
        <w:p>
          <w:r>
            <w:rPr>
              <w:color w:val="808080"/>
            </w:rPr>
            <w:t>单击此处输入文字。</w:t>
          </w:r>
        </w:p>
      </w:docPartBody>
    </w:docPart>
    <w:docPart>
      <w:docPartPr>
        <w:name w:val="{dfc88c6e-eb15-405f-b1e9-895a1587dd32}"/>
        <w:style w:val=""/>
        <w:category>
          <w:name w:val="常规"/>
          <w:gallery w:val="placeholder"/>
        </w:category>
        <w:types>
          <w:type w:val="bbPlcHdr"/>
        </w:types>
        <w:behaviors>
          <w:behavior w:val="content"/>
        </w:behaviors>
        <w:description w:val=""/>
        <w:guid w:val="{dfc88c6e-eb15-405f-b1e9-895a1587dd32}"/>
      </w:docPartPr>
      <w:docPartBody>
        <w:p>
          <w:r>
            <w:rPr>
              <w:color w:val="808080"/>
            </w:rPr>
            <w:t>单击此处输入文字。</w:t>
          </w:r>
        </w:p>
      </w:docPartBody>
    </w:docPart>
    <w:docPart>
      <w:docPartPr>
        <w:name w:val="{62056812-41b3-4324-89dc-931675587408}"/>
        <w:style w:val=""/>
        <w:category>
          <w:name w:val="常规"/>
          <w:gallery w:val="placeholder"/>
        </w:category>
        <w:types>
          <w:type w:val="bbPlcHdr"/>
        </w:types>
        <w:behaviors>
          <w:behavior w:val="content"/>
        </w:behaviors>
        <w:description w:val=""/>
        <w:guid w:val="{62056812-41b3-4324-89dc-931675587408}"/>
      </w:docPartPr>
      <w:docPartBody>
        <w:p>
          <w:r>
            <w:rPr>
              <w:color w:val="808080"/>
            </w:rPr>
            <w:t>单击此处输入文字。</w:t>
          </w:r>
        </w:p>
      </w:docPartBody>
    </w:docPart>
    <w:docPart>
      <w:docPartPr>
        <w:name w:val="{0efd7659-297a-4ee5-98b9-90c6b2f20c2c}"/>
        <w:style w:val=""/>
        <w:category>
          <w:name w:val="常规"/>
          <w:gallery w:val="placeholder"/>
        </w:category>
        <w:types>
          <w:type w:val="bbPlcHdr"/>
        </w:types>
        <w:behaviors>
          <w:behavior w:val="content"/>
        </w:behaviors>
        <w:description w:val=""/>
        <w:guid w:val="{0efd7659-297a-4ee5-98b9-90c6b2f20c2c}"/>
      </w:docPartPr>
      <w:docPartBody>
        <w:p>
          <w:r>
            <w:rPr>
              <w:color w:val="808080"/>
            </w:rPr>
            <w:t>单击此处输入文字。</w:t>
          </w:r>
        </w:p>
      </w:docPartBody>
    </w:docPart>
    <w:docPart>
      <w:docPartPr>
        <w:name w:val="{bebce5b0-fe54-450b-9f44-915e592b8132}"/>
        <w:style w:val=""/>
        <w:category>
          <w:name w:val="常规"/>
          <w:gallery w:val="placeholder"/>
        </w:category>
        <w:types>
          <w:type w:val="bbPlcHdr"/>
        </w:types>
        <w:behaviors>
          <w:behavior w:val="content"/>
        </w:behaviors>
        <w:description w:val=""/>
        <w:guid w:val="{bebce5b0-fe54-450b-9f44-915e592b8132}"/>
      </w:docPartPr>
      <w:docPartBody>
        <w:p>
          <w:r>
            <w:rPr>
              <w:color w:val="808080"/>
            </w:rPr>
            <w:t>单击此处输入文字。</w:t>
          </w:r>
        </w:p>
      </w:docPartBody>
    </w:docPart>
    <w:docPart>
      <w:docPartPr>
        <w:name w:val="{c95be0fb-6fe4-4f6d-9d14-dd6be718cd76}"/>
        <w:style w:val=""/>
        <w:category>
          <w:name w:val="常规"/>
          <w:gallery w:val="placeholder"/>
        </w:category>
        <w:types>
          <w:type w:val="bbPlcHdr"/>
        </w:types>
        <w:behaviors>
          <w:behavior w:val="content"/>
        </w:behaviors>
        <w:description w:val=""/>
        <w:guid w:val="{c95be0fb-6fe4-4f6d-9d14-dd6be718cd76}"/>
      </w:docPartPr>
      <w:docPartBody>
        <w:p>
          <w:r>
            <w:rPr>
              <w:color w:val="808080"/>
            </w:rPr>
            <w:t>单击此处输入文字。</w:t>
          </w:r>
        </w:p>
      </w:docPartBody>
    </w:docPart>
    <w:docPart>
      <w:docPartPr>
        <w:name w:val="{1bdb7ac7-4378-435a-abcd-f74c2f5dc7da}"/>
        <w:style w:val=""/>
        <w:category>
          <w:name w:val="常规"/>
          <w:gallery w:val="placeholder"/>
        </w:category>
        <w:types>
          <w:type w:val="bbPlcHdr"/>
        </w:types>
        <w:behaviors>
          <w:behavior w:val="content"/>
        </w:behaviors>
        <w:description w:val=""/>
        <w:guid w:val="{1bdb7ac7-4378-435a-abcd-f74c2f5dc7da}"/>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60CB65-040D-4162-8F53-F001E445AFE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176</Pages>
  <Words>137991</Words>
  <Characters>147339</Characters>
  <Lines>451</Lines>
  <Paragraphs>127</Paragraphs>
  <TotalTime>0</TotalTime>
  <ScaleCrop>false</ScaleCrop>
  <LinksUpToDate>false</LinksUpToDate>
  <CharactersWithSpaces>154780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2018-03-15T08:45:00Z</dcterms:created>
  <dc:creator>CHENJF</dc:creator>
  <cp:lastModifiedBy>jkl</cp:lastModifiedBy>
  <cp:lastPrinted>2018-08-20T09:04:00Z</cp:lastPrinted>
  <dcterms:modified xsi:type="dcterms:W3CDTF">2023-09-15T07:48:02Z</dcterms:modified>
  <dc:title>220kV及以上电网工程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状态">
    <vt:lpwstr>xxx</vt:lpwstr>
  </property>
  <property fmtid="{D5CDD505-2E9C-101B-9397-08002B2CF9AE}" pid="3" name="KSOProductBuildVer">
    <vt:lpwstr>2052-11.8.2.12085</vt:lpwstr>
  </property>
  <property fmtid="{D5CDD505-2E9C-101B-9397-08002B2CF9AE}" pid="4" name="ICV">
    <vt:lpwstr>CF3A6C84AEEB4EB28318F24E644CF06C</vt:lpwstr>
  </property>
</Properties>
</file>