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rPr>
          <w:rFonts w:ascii="宋体" w:hAnsi="宋体" w:eastAsia="宋体" w:cs="宋体"/>
          <w:color w:val="auto"/>
          <w:highlight w:val="none"/>
        </w:rPr>
      </w:pPr>
    </w:p>
    <w:p>
      <w:pPr>
        <w:tabs>
          <w:tab w:val="left" w:pos="1118"/>
        </w:tabs>
        <w:spacing w:before="307" w:line="360" w:lineRule="auto"/>
        <w:ind w:right="453"/>
        <w:jc w:val="center"/>
        <w:rPr>
          <w:b/>
          <w:color w:val="auto"/>
          <w:kern w:val="2"/>
          <w:sz w:val="44"/>
          <w:szCs w:val="44"/>
          <w:highlight w:val="none"/>
          <w:lang w:val="en-US" w:bidi="ar-SA"/>
        </w:rPr>
      </w:pPr>
      <w:r>
        <w:rPr>
          <w:rFonts w:hint="eastAsia"/>
          <w:b/>
          <w:color w:val="auto"/>
          <w:sz w:val="52"/>
          <w:szCs w:val="52"/>
          <w:highlight w:val="none"/>
          <w:lang w:eastAsia="zh-CN"/>
        </w:rPr>
        <w:t>广东省环境辐射监测中心粤东分部工程监理</w:t>
      </w:r>
    </w:p>
    <w:p>
      <w:pPr>
        <w:tabs>
          <w:tab w:val="left" w:pos="1118"/>
        </w:tabs>
        <w:spacing w:before="307" w:line="360" w:lineRule="auto"/>
        <w:ind w:right="453"/>
        <w:jc w:val="center"/>
        <w:rPr>
          <w:b/>
          <w:color w:val="auto"/>
          <w:kern w:val="2"/>
          <w:sz w:val="44"/>
          <w:szCs w:val="44"/>
          <w:highlight w:val="none"/>
          <w:lang w:val="en-US" w:bidi="ar-SA"/>
        </w:rPr>
      </w:pPr>
    </w:p>
    <w:p>
      <w:pPr>
        <w:tabs>
          <w:tab w:val="left" w:pos="1118"/>
        </w:tabs>
        <w:spacing w:before="307" w:line="360" w:lineRule="auto"/>
        <w:ind w:right="453"/>
        <w:jc w:val="both"/>
        <w:rPr>
          <w:b/>
          <w:color w:val="auto"/>
          <w:kern w:val="2"/>
          <w:sz w:val="44"/>
          <w:szCs w:val="44"/>
          <w:highlight w:val="none"/>
          <w:lang w:val="en-US" w:bidi="ar-SA"/>
        </w:rPr>
      </w:pPr>
    </w:p>
    <w:p>
      <w:pPr>
        <w:tabs>
          <w:tab w:val="left" w:pos="1118"/>
        </w:tabs>
        <w:spacing w:before="307" w:line="360" w:lineRule="auto"/>
        <w:ind w:right="453"/>
        <w:jc w:val="center"/>
        <w:rPr>
          <w:b/>
          <w:color w:val="auto"/>
          <w:spacing w:val="26"/>
          <w:kern w:val="2"/>
          <w:sz w:val="110"/>
          <w:highlight w:val="none"/>
          <w:lang w:val="en-US" w:bidi="ar-SA"/>
        </w:rPr>
      </w:pPr>
      <w:r>
        <w:rPr>
          <w:rFonts w:hint="eastAsia"/>
          <w:b/>
          <w:color w:val="auto"/>
          <w:spacing w:val="26"/>
          <w:kern w:val="2"/>
          <w:sz w:val="110"/>
          <w:highlight w:val="none"/>
          <w:lang w:val="en-US" w:bidi="ar-SA"/>
        </w:rPr>
        <w:t>招标公告</w:t>
      </w:r>
    </w:p>
    <w:p>
      <w:pPr>
        <w:tabs>
          <w:tab w:val="left" w:pos="1118"/>
        </w:tabs>
        <w:spacing w:before="307" w:line="360" w:lineRule="auto"/>
        <w:ind w:right="453"/>
        <w:jc w:val="center"/>
        <w:rPr>
          <w:b/>
          <w:color w:val="auto"/>
          <w:spacing w:val="26"/>
          <w:kern w:val="2"/>
          <w:sz w:val="110"/>
          <w:highlight w:val="none"/>
          <w:lang w:val="en-US" w:bidi="ar-SA"/>
        </w:rPr>
      </w:pPr>
    </w:p>
    <w:p>
      <w:pPr>
        <w:tabs>
          <w:tab w:val="left" w:pos="1118"/>
        </w:tabs>
        <w:spacing w:before="307" w:line="360" w:lineRule="auto"/>
        <w:ind w:right="453"/>
        <w:jc w:val="center"/>
        <w:rPr>
          <w:b/>
          <w:color w:val="auto"/>
          <w:spacing w:val="26"/>
          <w:kern w:val="2"/>
          <w:sz w:val="110"/>
          <w:highlight w:val="none"/>
          <w:lang w:val="en-US" w:bidi="ar-SA"/>
        </w:rPr>
      </w:pPr>
    </w:p>
    <w:p>
      <w:pPr>
        <w:spacing w:line="360" w:lineRule="auto"/>
        <w:ind w:firstLine="945"/>
        <w:rPr>
          <w:rFonts w:hint="eastAsia" w:eastAsia="宋体"/>
          <w:color w:val="auto"/>
          <w:sz w:val="30"/>
          <w:highlight w:val="none"/>
          <w:u w:val="single"/>
          <w:lang w:eastAsia="zh-CN"/>
        </w:rPr>
      </w:pPr>
      <w:r>
        <w:rPr>
          <w:rFonts w:hint="eastAsia"/>
          <w:color w:val="auto"/>
          <w:sz w:val="30"/>
          <w:highlight w:val="none"/>
        </w:rPr>
        <w:t>招  标 单 位：</w:t>
      </w:r>
      <w:r>
        <w:rPr>
          <w:rFonts w:hint="eastAsia"/>
          <w:color w:val="auto"/>
          <w:sz w:val="30"/>
          <w:highlight w:val="none"/>
          <w:u w:val="single"/>
          <w:lang w:val="en-US" w:eastAsia="zh-CN"/>
        </w:rPr>
        <w:t>广东省环境辐射监测中心</w:t>
      </w:r>
    </w:p>
    <w:p>
      <w:pPr>
        <w:spacing w:line="360" w:lineRule="auto"/>
        <w:ind w:firstLine="945"/>
        <w:rPr>
          <w:rFonts w:hint="eastAsia" w:eastAsia="宋体"/>
          <w:color w:val="auto"/>
          <w:sz w:val="30"/>
          <w:highlight w:val="none"/>
          <w:u w:val="single"/>
          <w:lang w:eastAsia="zh-CN"/>
        </w:rPr>
      </w:pPr>
      <w:r>
        <w:rPr>
          <w:rFonts w:hint="eastAsia"/>
          <w:color w:val="auto"/>
          <w:sz w:val="30"/>
          <w:highlight w:val="none"/>
        </w:rPr>
        <w:t>招标代理单位：</w:t>
      </w:r>
      <w:r>
        <w:rPr>
          <w:rFonts w:hint="eastAsia"/>
          <w:color w:val="auto"/>
          <w:sz w:val="30"/>
          <w:highlight w:val="none"/>
          <w:u w:val="single"/>
          <w:lang w:val="en-US" w:eastAsia="zh-CN"/>
        </w:rPr>
        <w:t>广东建伟工程咨询有限公司</w:t>
      </w:r>
    </w:p>
    <w:p>
      <w:pPr>
        <w:spacing w:line="360" w:lineRule="auto"/>
        <w:ind w:firstLine="945"/>
        <w:rPr>
          <w:b/>
          <w:color w:val="auto"/>
          <w:spacing w:val="26"/>
          <w:kern w:val="2"/>
          <w:sz w:val="110"/>
          <w:highlight w:val="none"/>
          <w:lang w:val="en-US" w:bidi="ar-SA"/>
        </w:rPr>
      </w:pPr>
      <w:r>
        <w:rPr>
          <w:rFonts w:hint="eastAsia"/>
          <w:color w:val="auto"/>
          <w:sz w:val="32"/>
          <w:highlight w:val="none"/>
        </w:rPr>
        <w:t>日       期：</w:t>
      </w:r>
      <w:r>
        <w:rPr>
          <w:rFonts w:hint="eastAsia"/>
          <w:color w:val="auto"/>
          <w:sz w:val="30"/>
          <w:highlight w:val="none"/>
          <w:u w:val="single"/>
        </w:rPr>
        <w:t>202</w:t>
      </w:r>
      <w:r>
        <w:rPr>
          <w:rFonts w:hint="eastAsia"/>
          <w:color w:val="auto"/>
          <w:sz w:val="30"/>
          <w:highlight w:val="none"/>
          <w:u w:val="single"/>
          <w:lang w:val="en-US"/>
        </w:rPr>
        <w:t>3</w:t>
      </w:r>
      <w:r>
        <w:rPr>
          <w:rFonts w:hint="eastAsia"/>
          <w:color w:val="auto"/>
          <w:sz w:val="30"/>
          <w:highlight w:val="none"/>
          <w:u w:val="single"/>
        </w:rPr>
        <w:t>年</w:t>
      </w:r>
      <w:r>
        <w:rPr>
          <w:rFonts w:hint="eastAsia"/>
          <w:color w:val="auto"/>
          <w:sz w:val="30"/>
          <w:highlight w:val="none"/>
          <w:u w:val="single"/>
          <w:lang w:val="en-US" w:eastAsia="zh-CN"/>
        </w:rPr>
        <w:t xml:space="preserve"> 9 </w:t>
      </w:r>
      <w:r>
        <w:rPr>
          <w:rFonts w:hint="eastAsia"/>
          <w:color w:val="auto"/>
          <w:sz w:val="30"/>
          <w:highlight w:val="none"/>
          <w:u w:val="single"/>
        </w:rPr>
        <w:t>月</w:t>
      </w:r>
    </w:p>
    <w:p>
      <w:pPr>
        <w:pStyle w:val="7"/>
        <w:spacing w:line="360" w:lineRule="auto"/>
        <w:jc w:val="center"/>
        <w:rPr>
          <w:b/>
          <w:color w:val="auto"/>
          <w:kern w:val="2"/>
          <w:sz w:val="32"/>
          <w:szCs w:val="32"/>
          <w:highlight w:val="none"/>
          <w:lang w:val="en-US"/>
        </w:rPr>
        <w:sectPr>
          <w:pgSz w:w="11906" w:h="16838"/>
          <w:pgMar w:top="1440" w:right="1080" w:bottom="1440" w:left="1080" w:header="851" w:footer="992" w:gutter="0"/>
          <w:cols w:space="425" w:num="1"/>
          <w:docGrid w:type="lines" w:linePitch="312" w:charSpace="0"/>
        </w:sectPr>
      </w:pPr>
    </w:p>
    <w:p>
      <w:pPr>
        <w:pStyle w:val="7"/>
        <w:spacing w:line="360" w:lineRule="auto"/>
        <w:jc w:val="center"/>
        <w:rPr>
          <w:color w:val="auto"/>
          <w:sz w:val="28"/>
          <w:szCs w:val="28"/>
          <w:highlight w:val="none"/>
        </w:rPr>
      </w:pPr>
      <w:r>
        <w:rPr>
          <w:rFonts w:hint="eastAsia"/>
          <w:b/>
          <w:color w:val="auto"/>
          <w:sz w:val="32"/>
          <w:szCs w:val="32"/>
          <w:highlight w:val="none"/>
          <w:lang w:eastAsia="zh-CN"/>
        </w:rPr>
        <w:t>广东省环境辐射监测中心粤东分部工程监理</w:t>
      </w:r>
      <w:r>
        <w:rPr>
          <w:rFonts w:hint="eastAsia"/>
          <w:b/>
          <w:color w:val="auto"/>
          <w:kern w:val="2"/>
          <w:sz w:val="32"/>
          <w:szCs w:val="32"/>
          <w:highlight w:val="none"/>
        </w:rPr>
        <w:t>招标公告</w:t>
      </w:r>
    </w:p>
    <w:p>
      <w:pPr>
        <w:pStyle w:val="14"/>
        <w:tabs>
          <w:tab w:val="left" w:pos="642"/>
        </w:tabs>
        <w:spacing w:line="600" w:lineRule="exact"/>
        <w:ind w:left="0" w:firstLine="0"/>
        <w:rPr>
          <w:color w:val="auto"/>
          <w:highlight w:val="none"/>
        </w:rPr>
      </w:pPr>
      <w:bookmarkStart w:id="0" w:name="_bookmark2"/>
      <w:bookmarkEnd w:id="0"/>
      <w:r>
        <w:rPr>
          <w:rFonts w:hint="eastAsia"/>
          <w:b/>
          <w:color w:val="auto"/>
          <w:sz w:val="32"/>
          <w:highlight w:val="none"/>
          <w:lang w:val="en-US"/>
        </w:rPr>
        <w:t>1.</w:t>
      </w:r>
      <w:r>
        <w:rPr>
          <w:rFonts w:hint="eastAsia"/>
          <w:b/>
          <w:color w:val="auto"/>
          <w:sz w:val="32"/>
          <w:highlight w:val="none"/>
        </w:rPr>
        <w:t>招标条件</w:t>
      </w:r>
    </w:p>
    <w:p>
      <w:pPr>
        <w:pStyle w:val="14"/>
        <w:tabs>
          <w:tab w:val="left" w:pos="642"/>
        </w:tabs>
        <w:snapToGrid w:val="0"/>
        <w:spacing w:line="600" w:lineRule="exact"/>
        <w:ind w:left="0" w:firstLine="480" w:firstLineChars="200"/>
        <w:rPr>
          <w:rFonts w:hint="eastAsia"/>
          <w:color w:val="auto"/>
          <w:sz w:val="24"/>
          <w:szCs w:val="24"/>
          <w:highlight w:val="none"/>
        </w:rPr>
      </w:pPr>
      <w:bookmarkStart w:id="1" w:name="_bookmark3"/>
      <w:bookmarkEnd w:id="1"/>
      <w:r>
        <w:rPr>
          <w:rFonts w:hint="eastAsia"/>
          <w:color w:val="auto"/>
          <w:sz w:val="24"/>
          <w:szCs w:val="24"/>
          <w:highlight w:val="none"/>
          <w:lang w:eastAsia="zh-CN"/>
        </w:rPr>
        <w:t>广东省环境辐射监测中心粤东分部工程监理</w:t>
      </w:r>
      <w:r>
        <w:rPr>
          <w:rFonts w:hint="eastAsia"/>
          <w:color w:val="auto"/>
          <w:sz w:val="24"/>
          <w:szCs w:val="24"/>
          <w:highlight w:val="none"/>
        </w:rPr>
        <w:t>已由广东省发展和改革委员会文件(粤发改投审</w:t>
      </w:r>
      <w:r>
        <w:rPr>
          <w:rFonts w:hint="default"/>
          <w:color w:val="auto"/>
          <w:sz w:val="24"/>
          <w:szCs w:val="24"/>
          <w:highlight w:val="none"/>
          <w:lang w:val="en-US"/>
        </w:rPr>
        <w:t>〔</w:t>
      </w:r>
      <w:r>
        <w:rPr>
          <w:rFonts w:hint="eastAsia"/>
          <w:color w:val="auto"/>
          <w:sz w:val="24"/>
          <w:szCs w:val="24"/>
          <w:highlight w:val="none"/>
        </w:rPr>
        <w:t>2023〕34号）批准建设，资金已落实，各项手续已经完备。现决定对该工程</w:t>
      </w:r>
      <w:r>
        <w:rPr>
          <w:rFonts w:hint="eastAsia"/>
          <w:color w:val="auto"/>
          <w:sz w:val="24"/>
          <w:szCs w:val="24"/>
          <w:highlight w:val="none"/>
          <w:lang w:eastAsia="zh-CN"/>
        </w:rPr>
        <w:t>监理</w:t>
      </w:r>
      <w:r>
        <w:rPr>
          <w:rFonts w:hint="eastAsia"/>
          <w:color w:val="auto"/>
          <w:sz w:val="24"/>
          <w:szCs w:val="24"/>
          <w:highlight w:val="none"/>
        </w:rPr>
        <w:t>进行公开招标，选定承包人。</w:t>
      </w:r>
    </w:p>
    <w:p>
      <w:pPr>
        <w:pStyle w:val="14"/>
        <w:tabs>
          <w:tab w:val="left" w:pos="642"/>
        </w:tabs>
        <w:snapToGrid w:val="0"/>
        <w:spacing w:line="600" w:lineRule="exact"/>
        <w:ind w:left="0" w:leftChars="0" w:firstLine="0" w:firstLineChars="0"/>
        <w:rPr>
          <w:b/>
          <w:color w:val="auto"/>
          <w:sz w:val="32"/>
          <w:highlight w:val="none"/>
        </w:rPr>
      </w:pPr>
      <w:r>
        <w:rPr>
          <w:rFonts w:hint="eastAsia"/>
          <w:b/>
          <w:color w:val="auto"/>
          <w:sz w:val="32"/>
          <w:highlight w:val="none"/>
          <w:lang w:val="en-US"/>
        </w:rPr>
        <w:t>2.</w:t>
      </w:r>
      <w:r>
        <w:rPr>
          <w:rFonts w:hint="eastAsia"/>
          <w:b/>
          <w:color w:val="auto"/>
          <w:sz w:val="32"/>
          <w:highlight w:val="none"/>
        </w:rPr>
        <w:t>项目概况与招标范围</w:t>
      </w:r>
    </w:p>
    <w:p>
      <w:pPr>
        <w:wordWrap w:val="0"/>
        <w:adjustRightInd w:val="0"/>
        <w:spacing w:line="400" w:lineRule="exact"/>
        <w:ind w:firstLine="480" w:firstLineChars="200"/>
        <w:rPr>
          <w:color w:val="auto"/>
          <w:sz w:val="24"/>
          <w:szCs w:val="24"/>
          <w:highlight w:val="none"/>
        </w:rPr>
      </w:pPr>
      <w:r>
        <w:rPr>
          <w:rFonts w:hint="eastAsia"/>
          <w:color w:val="auto"/>
          <w:sz w:val="24"/>
          <w:szCs w:val="24"/>
          <w:highlight w:val="none"/>
        </w:rPr>
        <w:t>2.1 招标项目概况</w:t>
      </w:r>
      <w:bookmarkStart w:id="40" w:name="_GoBack"/>
      <w:bookmarkEnd w:id="40"/>
    </w:p>
    <w:p>
      <w:pPr>
        <w:wordWrap w:val="0"/>
        <w:adjustRightInd w:val="0"/>
        <w:spacing w:line="400" w:lineRule="exact"/>
        <w:ind w:left="2880" w:leftChars="218" w:hanging="2400" w:hangingChars="1000"/>
        <w:rPr>
          <w:color w:val="auto"/>
          <w:sz w:val="24"/>
          <w:szCs w:val="24"/>
          <w:highlight w:val="none"/>
        </w:rPr>
      </w:pPr>
      <w:r>
        <w:rPr>
          <w:rFonts w:hint="eastAsia"/>
          <w:color w:val="auto"/>
          <w:sz w:val="24"/>
          <w:szCs w:val="24"/>
          <w:highlight w:val="none"/>
          <w:lang w:val="en-US"/>
        </w:rPr>
        <w:t>2.1.1</w:t>
      </w:r>
      <w:r>
        <w:rPr>
          <w:rFonts w:hint="eastAsia"/>
          <w:color w:val="auto"/>
          <w:sz w:val="24"/>
          <w:szCs w:val="24"/>
          <w:highlight w:val="none"/>
        </w:rPr>
        <w:t>招标项目名称：</w:t>
      </w:r>
      <w:r>
        <w:rPr>
          <w:rFonts w:hint="eastAsia"/>
          <w:bCs/>
          <w:color w:val="auto"/>
          <w:sz w:val="24"/>
          <w:szCs w:val="24"/>
          <w:highlight w:val="none"/>
          <w:u w:val="single"/>
          <w:lang w:eastAsia="zh-CN"/>
        </w:rPr>
        <w:t>广东省环境辐射监测中心粤东分部工程监理</w:t>
      </w:r>
      <w:r>
        <w:rPr>
          <w:rFonts w:hint="eastAsia"/>
          <w:color w:val="auto"/>
          <w:sz w:val="24"/>
          <w:szCs w:val="24"/>
          <w:highlight w:val="none"/>
          <w:u w:val="single"/>
        </w:rPr>
        <w:t xml:space="preserve"> </w:t>
      </w:r>
    </w:p>
    <w:p>
      <w:pPr>
        <w:widowControl/>
        <w:adjustRightInd w:val="0"/>
        <w:spacing w:line="400" w:lineRule="exact"/>
        <w:ind w:firstLine="480" w:firstLineChars="200"/>
        <w:rPr>
          <w:rFonts w:hint="eastAsia" w:cs="仿宋_GB2312"/>
          <w:color w:val="auto"/>
          <w:sz w:val="24"/>
          <w:szCs w:val="24"/>
          <w:highlight w:val="none"/>
          <w:u w:val="single"/>
        </w:rPr>
      </w:pPr>
      <w:r>
        <w:rPr>
          <w:rFonts w:hint="eastAsia"/>
          <w:color w:val="auto"/>
          <w:sz w:val="24"/>
          <w:szCs w:val="24"/>
          <w:highlight w:val="none"/>
          <w:lang w:val="en-US"/>
        </w:rPr>
        <w:t>2.1.2</w:t>
      </w:r>
      <w:r>
        <w:rPr>
          <w:rFonts w:hint="eastAsia"/>
          <w:color w:val="auto"/>
          <w:sz w:val="24"/>
          <w:szCs w:val="24"/>
          <w:highlight w:val="none"/>
        </w:rPr>
        <w:t>工程建设规模：</w:t>
      </w:r>
      <w:r>
        <w:rPr>
          <w:rFonts w:hint="eastAsia" w:cs="仿宋_GB2312"/>
          <w:color w:val="auto"/>
          <w:sz w:val="24"/>
          <w:szCs w:val="24"/>
          <w:highlight w:val="none"/>
          <w:u w:val="single"/>
        </w:rPr>
        <w:t>广东省环境辐射监测中心粤东分部工程主要建设监测综合楼及其配套工程，各类用房建设规模为9100</w:t>
      </w:r>
      <w:r>
        <w:rPr>
          <w:rFonts w:hint="eastAsia" w:cs="仿宋_GB2312"/>
          <w:color w:val="auto"/>
          <w:sz w:val="24"/>
          <w:szCs w:val="24"/>
          <w:highlight w:val="none"/>
          <w:u w:val="single"/>
          <w:lang w:eastAsia="zh-CN"/>
        </w:rPr>
        <w:t>㎡</w:t>
      </w:r>
      <w:r>
        <w:rPr>
          <w:rFonts w:hint="eastAsia" w:cs="仿宋_GB2312"/>
          <w:color w:val="auto"/>
          <w:sz w:val="24"/>
          <w:szCs w:val="24"/>
          <w:highlight w:val="none"/>
          <w:u w:val="single"/>
        </w:rPr>
        <w:t>。本工程主要内容包括:1)前沿站和业务大楼建筑面积约6122</w:t>
      </w:r>
      <w:r>
        <w:rPr>
          <w:rFonts w:hint="eastAsia" w:cs="仿宋_GB2312"/>
          <w:color w:val="auto"/>
          <w:sz w:val="24"/>
          <w:szCs w:val="24"/>
          <w:highlight w:val="none"/>
          <w:u w:val="single"/>
          <w:lang w:eastAsia="zh-CN"/>
        </w:rPr>
        <w:t>㎡</w:t>
      </w:r>
      <w:r>
        <w:rPr>
          <w:rFonts w:hint="eastAsia" w:cs="仿宋_GB2312"/>
          <w:color w:val="auto"/>
          <w:sz w:val="24"/>
          <w:szCs w:val="24"/>
          <w:highlight w:val="none"/>
          <w:u w:val="single"/>
        </w:rPr>
        <w:t>;2)流出物实验室建筑面积约1944</w:t>
      </w:r>
      <w:r>
        <w:rPr>
          <w:rFonts w:hint="eastAsia" w:cs="仿宋_GB2312"/>
          <w:color w:val="auto"/>
          <w:sz w:val="24"/>
          <w:szCs w:val="24"/>
          <w:highlight w:val="none"/>
          <w:u w:val="single"/>
          <w:lang w:eastAsia="zh-CN"/>
        </w:rPr>
        <w:t>㎡</w:t>
      </w:r>
      <w:r>
        <w:rPr>
          <w:rFonts w:hint="eastAsia" w:cs="仿宋_GB2312"/>
          <w:color w:val="auto"/>
          <w:sz w:val="24"/>
          <w:szCs w:val="24"/>
          <w:highlight w:val="none"/>
          <w:u w:val="single"/>
        </w:rPr>
        <w:t>;3)生活楼建筑面积约</w:t>
      </w:r>
      <w:r>
        <w:rPr>
          <w:rFonts w:hint="eastAsia" w:cs="仿宋_GB2312"/>
          <w:color w:val="auto"/>
          <w:sz w:val="24"/>
          <w:szCs w:val="24"/>
          <w:highlight w:val="none"/>
          <w:u w:val="single"/>
          <w:lang w:val="en-US" w:eastAsia="zh-CN"/>
        </w:rPr>
        <w:t>984</w:t>
      </w:r>
      <w:r>
        <w:rPr>
          <w:rFonts w:hint="eastAsia" w:cs="仿宋_GB2312"/>
          <w:color w:val="auto"/>
          <w:sz w:val="24"/>
          <w:szCs w:val="24"/>
          <w:highlight w:val="none"/>
          <w:u w:val="single"/>
          <w:lang w:eastAsia="zh-CN"/>
        </w:rPr>
        <w:t>㎡</w:t>
      </w:r>
      <w:r>
        <w:rPr>
          <w:rFonts w:hint="eastAsia" w:cs="仿宋_GB2312"/>
          <w:color w:val="auto"/>
          <w:sz w:val="24"/>
          <w:szCs w:val="24"/>
          <w:highlight w:val="none"/>
          <w:u w:val="single"/>
        </w:rPr>
        <w:t>;4)连廊面积约50</w:t>
      </w:r>
      <w:r>
        <w:rPr>
          <w:rFonts w:hint="eastAsia" w:cs="仿宋_GB2312"/>
          <w:color w:val="auto"/>
          <w:sz w:val="24"/>
          <w:szCs w:val="24"/>
          <w:highlight w:val="none"/>
          <w:u w:val="single"/>
          <w:lang w:eastAsia="zh-CN"/>
        </w:rPr>
        <w:t>㎡</w:t>
      </w:r>
      <w:r>
        <w:rPr>
          <w:rFonts w:hint="eastAsia" w:cs="仿宋_GB2312"/>
          <w:color w:val="auto"/>
          <w:sz w:val="24"/>
          <w:szCs w:val="24"/>
          <w:highlight w:val="none"/>
          <w:u w:val="single"/>
        </w:rPr>
        <w:t>;5)道路、绿化等其他配套工程。</w:t>
      </w:r>
    </w:p>
    <w:p>
      <w:pPr>
        <w:pStyle w:val="2"/>
        <w:rPr>
          <w:rFonts w:hint="eastAsia" w:ascii="宋体" w:hAnsi="宋体" w:eastAsia="宋体" w:cs="仿宋_GB2312"/>
          <w:color w:val="auto"/>
          <w:sz w:val="24"/>
          <w:szCs w:val="24"/>
          <w:highlight w:val="none"/>
          <w:u w:val="single"/>
          <w:lang w:val="zh-CN" w:eastAsia="zh-CN" w:bidi="zh-CN"/>
        </w:rPr>
      </w:pPr>
      <w:r>
        <w:rPr>
          <w:rFonts w:hint="eastAsia" w:ascii="宋体" w:hAnsi="宋体" w:eastAsia="宋体" w:cs="仿宋_GB2312"/>
          <w:color w:val="auto"/>
          <w:sz w:val="24"/>
          <w:szCs w:val="24"/>
          <w:highlight w:val="none"/>
          <w:u w:val="single"/>
          <w:lang w:val="zh-CN" w:eastAsia="zh-CN" w:bidi="zh-CN"/>
        </w:rPr>
        <w:t>本项目拟建装配式建筑标准为基本装配式建筑，装配率为52%。</w:t>
      </w:r>
    </w:p>
    <w:p>
      <w:pPr>
        <w:wordWrap w:val="0"/>
        <w:adjustRightInd w:val="0"/>
        <w:spacing w:line="400" w:lineRule="exact"/>
        <w:ind w:firstLine="480" w:firstLineChars="200"/>
        <w:rPr>
          <w:color w:val="auto"/>
          <w:sz w:val="24"/>
          <w:szCs w:val="24"/>
          <w:highlight w:val="none"/>
        </w:rPr>
      </w:pPr>
      <w:r>
        <w:rPr>
          <w:rFonts w:hint="eastAsia"/>
          <w:color w:val="auto"/>
          <w:sz w:val="24"/>
          <w:szCs w:val="24"/>
          <w:highlight w:val="none"/>
          <w:lang w:val="en-US"/>
        </w:rPr>
        <w:t>2.1.3</w:t>
      </w:r>
      <w:r>
        <w:rPr>
          <w:rFonts w:hint="eastAsia"/>
          <w:color w:val="auto"/>
          <w:sz w:val="24"/>
          <w:szCs w:val="24"/>
          <w:highlight w:val="none"/>
        </w:rPr>
        <w:t>工程建设地点：</w:t>
      </w:r>
      <w:r>
        <w:rPr>
          <w:rFonts w:hint="eastAsia"/>
          <w:color w:val="auto"/>
          <w:sz w:val="24"/>
          <w:szCs w:val="24"/>
          <w:highlight w:val="none"/>
          <w:u w:val="single"/>
        </w:rPr>
        <w:t xml:space="preserve"> </w:t>
      </w:r>
      <w:r>
        <w:rPr>
          <w:rFonts w:hint="eastAsia"/>
          <w:color w:val="auto"/>
          <w:sz w:val="24"/>
          <w:szCs w:val="24"/>
          <w:highlight w:val="none"/>
          <w:u w:val="single"/>
          <w:lang w:eastAsia="zh-CN"/>
        </w:rPr>
        <w:t>汕尾市区马宫片区北山村北侧</w:t>
      </w:r>
      <w:r>
        <w:rPr>
          <w:rFonts w:hint="eastAsia"/>
          <w:color w:val="auto"/>
          <w:sz w:val="24"/>
          <w:szCs w:val="24"/>
          <w:highlight w:val="none"/>
          <w:u w:val="single"/>
        </w:rPr>
        <w:t>。</w:t>
      </w:r>
    </w:p>
    <w:p>
      <w:pPr>
        <w:adjustRightInd w:val="0"/>
        <w:snapToGrid w:val="0"/>
        <w:spacing w:line="400" w:lineRule="exact"/>
        <w:ind w:firstLine="480" w:firstLineChars="200"/>
        <w:rPr>
          <w:color w:val="auto"/>
          <w:sz w:val="24"/>
          <w:szCs w:val="24"/>
          <w:highlight w:val="none"/>
        </w:rPr>
      </w:pPr>
      <w:r>
        <w:rPr>
          <w:rFonts w:hint="eastAsia"/>
          <w:color w:val="auto"/>
          <w:sz w:val="24"/>
          <w:szCs w:val="24"/>
          <w:highlight w:val="none"/>
          <w:lang w:val="en-US"/>
        </w:rPr>
        <w:t>2.1.4</w:t>
      </w:r>
      <w:r>
        <w:rPr>
          <w:rFonts w:hint="eastAsia"/>
          <w:color w:val="auto"/>
          <w:sz w:val="24"/>
          <w:szCs w:val="24"/>
          <w:highlight w:val="none"/>
        </w:rPr>
        <w:t>投资总额：</w:t>
      </w:r>
      <w:r>
        <w:rPr>
          <w:rFonts w:hint="eastAsia"/>
          <w:color w:val="auto"/>
          <w:sz w:val="24"/>
          <w:szCs w:val="24"/>
          <w:highlight w:val="none"/>
          <w:u w:val="single"/>
          <w:lang w:eastAsia="zh-CN"/>
        </w:rPr>
        <w:t>本项目工程总投资8442万元，其中:1)工程费用5356万元；2)工程建设其他费用2460万元；3)预备费为626万元。</w:t>
      </w:r>
    </w:p>
    <w:p>
      <w:pPr>
        <w:wordWrap w:val="0"/>
        <w:adjustRightInd w:val="0"/>
        <w:spacing w:line="400" w:lineRule="exact"/>
        <w:ind w:firstLine="480" w:firstLineChars="200"/>
        <w:rPr>
          <w:color w:val="auto"/>
          <w:sz w:val="24"/>
          <w:szCs w:val="24"/>
          <w:highlight w:val="none"/>
        </w:rPr>
      </w:pPr>
      <w:r>
        <w:rPr>
          <w:rFonts w:hint="eastAsia"/>
          <w:color w:val="auto"/>
          <w:sz w:val="24"/>
          <w:szCs w:val="24"/>
          <w:highlight w:val="none"/>
        </w:rPr>
        <w:t>2.2招标范围</w:t>
      </w:r>
    </w:p>
    <w:p>
      <w:pPr>
        <w:wordWrap w:val="0"/>
        <w:adjustRightInd w:val="0"/>
        <w:spacing w:line="400" w:lineRule="exact"/>
        <w:ind w:firstLine="480" w:firstLineChars="200"/>
        <w:rPr>
          <w:color w:val="auto"/>
          <w:sz w:val="24"/>
          <w:szCs w:val="24"/>
          <w:highlight w:val="none"/>
        </w:rPr>
      </w:pPr>
      <w:r>
        <w:rPr>
          <w:rFonts w:hint="eastAsia"/>
          <w:color w:val="auto"/>
          <w:sz w:val="24"/>
          <w:szCs w:val="24"/>
          <w:highlight w:val="none"/>
          <w:lang w:val="en-US"/>
        </w:rPr>
        <w:t>2.2.1</w:t>
      </w:r>
      <w:r>
        <w:rPr>
          <w:rFonts w:hint="eastAsia"/>
          <w:color w:val="auto"/>
          <w:sz w:val="24"/>
          <w:szCs w:val="24"/>
          <w:highlight w:val="none"/>
        </w:rPr>
        <w:t>标段划分：</w:t>
      </w:r>
      <w:r>
        <w:rPr>
          <w:rFonts w:hint="eastAsia"/>
          <w:color w:val="auto"/>
          <w:sz w:val="24"/>
          <w:szCs w:val="24"/>
          <w:highlight w:val="none"/>
          <w:u w:val="single"/>
        </w:rPr>
        <w:t>本项目设1个标段。</w:t>
      </w:r>
    </w:p>
    <w:p>
      <w:pPr>
        <w:pStyle w:val="6"/>
        <w:adjustRightInd w:val="0"/>
        <w:spacing w:line="400" w:lineRule="exact"/>
        <w:ind w:firstLine="480" w:firstLineChars="200"/>
        <w:rPr>
          <w:color w:val="auto"/>
          <w:kern w:val="2"/>
          <w:sz w:val="24"/>
          <w:szCs w:val="24"/>
          <w:highlight w:val="none"/>
          <w:lang w:val="en-US" w:bidi="ar-SA"/>
        </w:rPr>
      </w:pPr>
      <w:r>
        <w:rPr>
          <w:rFonts w:hint="eastAsia"/>
          <w:color w:val="auto"/>
          <w:sz w:val="24"/>
          <w:szCs w:val="24"/>
          <w:highlight w:val="none"/>
          <w:lang w:val="en-US"/>
        </w:rPr>
        <w:t>2.2.2招标</w:t>
      </w:r>
      <w:r>
        <w:rPr>
          <w:rFonts w:hint="eastAsia"/>
          <w:color w:val="auto"/>
          <w:sz w:val="24"/>
          <w:szCs w:val="24"/>
          <w:highlight w:val="none"/>
        </w:rPr>
        <w:t>范围：</w:t>
      </w:r>
      <w:r>
        <w:rPr>
          <w:rFonts w:hint="eastAsia"/>
          <w:color w:val="auto"/>
          <w:sz w:val="24"/>
          <w:szCs w:val="24"/>
          <w:highlight w:val="none"/>
          <w:lang w:eastAsia="zh-CN"/>
        </w:rPr>
        <w:t>为</w:t>
      </w:r>
      <w:r>
        <w:rPr>
          <w:rFonts w:hint="eastAsia"/>
          <w:color w:val="auto"/>
          <w:kern w:val="2"/>
          <w:sz w:val="24"/>
          <w:szCs w:val="24"/>
          <w:highlight w:val="none"/>
          <w:lang w:val="en-US" w:bidi="ar-SA"/>
        </w:rPr>
        <w:t>本项目</w:t>
      </w:r>
      <w:r>
        <w:rPr>
          <w:rFonts w:hint="eastAsia"/>
          <w:color w:val="auto"/>
          <w:kern w:val="2"/>
          <w:sz w:val="24"/>
          <w:szCs w:val="24"/>
          <w:highlight w:val="none"/>
          <w:lang w:val="en-US" w:eastAsia="zh-CN" w:bidi="ar-SA"/>
        </w:rPr>
        <w:t>施工</w:t>
      </w:r>
      <w:r>
        <w:rPr>
          <w:rFonts w:hint="eastAsia"/>
          <w:color w:val="auto"/>
          <w:kern w:val="2"/>
          <w:sz w:val="24"/>
          <w:szCs w:val="24"/>
          <w:highlight w:val="none"/>
          <w:lang w:val="en-US" w:bidi="ar-SA"/>
        </w:rPr>
        <w:t>监理</w:t>
      </w:r>
      <w:r>
        <w:rPr>
          <w:rFonts w:hint="eastAsia"/>
          <w:color w:val="auto"/>
          <w:kern w:val="2"/>
          <w:sz w:val="24"/>
          <w:szCs w:val="24"/>
          <w:highlight w:val="none"/>
          <w:lang w:val="en-US" w:eastAsia="zh-CN" w:bidi="ar-SA"/>
        </w:rPr>
        <w:t>，施工监理</w:t>
      </w:r>
      <w:r>
        <w:rPr>
          <w:rFonts w:hint="eastAsia"/>
          <w:color w:val="auto"/>
          <w:kern w:val="2"/>
          <w:sz w:val="24"/>
          <w:szCs w:val="24"/>
          <w:highlight w:val="none"/>
          <w:lang w:val="en-US" w:bidi="ar-SA"/>
        </w:rPr>
        <w:t>工作包括：</w:t>
      </w:r>
    </w:p>
    <w:p>
      <w:pPr>
        <w:adjustRightInd w:val="0"/>
        <w:spacing w:line="400" w:lineRule="exact"/>
        <w:ind w:firstLine="480" w:firstLineChars="200"/>
        <w:rPr>
          <w:rFonts w:hint="eastAsia"/>
          <w:color w:val="auto"/>
          <w:kern w:val="2"/>
          <w:sz w:val="24"/>
          <w:szCs w:val="24"/>
          <w:highlight w:val="none"/>
          <w:u w:val="single"/>
          <w:lang w:val="en-US" w:bidi="ar-SA"/>
        </w:rPr>
      </w:pPr>
      <w:r>
        <w:rPr>
          <w:rFonts w:hint="eastAsia"/>
          <w:color w:val="auto"/>
          <w:kern w:val="2"/>
          <w:sz w:val="24"/>
          <w:szCs w:val="24"/>
          <w:highlight w:val="none"/>
          <w:u w:val="single"/>
          <w:lang w:val="en-US" w:bidi="ar-SA"/>
        </w:rPr>
        <w:t>勘察设计阶段、施工准备阶段、施工阶段、缺陷责任期阶段的质量、造价、进度控制；控制工程建设的工期、造价和安全文明的施工，进行工程建设的合同管理、信息管理；监督、管理建设工程合同的履行，协调建设单位和工程建设有关各方的工作关系，以及配合项目移交等监理工作。</w:t>
      </w:r>
    </w:p>
    <w:p>
      <w:pPr>
        <w:adjustRightInd w:val="0"/>
        <w:spacing w:line="400" w:lineRule="exact"/>
        <w:ind w:firstLine="480" w:firstLineChars="200"/>
        <w:rPr>
          <w:color w:val="auto"/>
          <w:sz w:val="24"/>
          <w:szCs w:val="24"/>
          <w:highlight w:val="none"/>
        </w:rPr>
      </w:pPr>
      <w:r>
        <w:rPr>
          <w:rFonts w:hint="eastAsia"/>
          <w:color w:val="auto"/>
          <w:sz w:val="24"/>
          <w:szCs w:val="24"/>
          <w:highlight w:val="none"/>
          <w:lang w:val="en-US"/>
        </w:rPr>
        <w:t>2.2.3</w:t>
      </w:r>
      <w:r>
        <w:rPr>
          <w:rFonts w:hint="eastAsia"/>
          <w:color w:val="auto"/>
          <w:sz w:val="24"/>
          <w:szCs w:val="24"/>
          <w:highlight w:val="none"/>
        </w:rPr>
        <w:t>服务期限：</w:t>
      </w:r>
      <w:r>
        <w:rPr>
          <w:rFonts w:hint="eastAsia"/>
          <w:color w:val="auto"/>
          <w:sz w:val="24"/>
          <w:szCs w:val="24"/>
          <w:highlight w:val="none"/>
          <w:u w:val="single"/>
          <w:lang w:val="en-US" w:eastAsia="zh-CN"/>
        </w:rPr>
        <w:t>自监理合同签订之日起，至工程竣工结算完成且工程缺陷责任期满结束</w:t>
      </w:r>
      <w:r>
        <w:rPr>
          <w:rFonts w:hint="eastAsia"/>
          <w:color w:val="auto"/>
          <w:sz w:val="24"/>
          <w:szCs w:val="24"/>
          <w:highlight w:val="none"/>
          <w:u w:val="single"/>
        </w:rPr>
        <w:t>。</w:t>
      </w:r>
    </w:p>
    <w:p>
      <w:pPr>
        <w:adjustRightInd w:val="0"/>
        <w:spacing w:line="400" w:lineRule="exact"/>
        <w:ind w:firstLine="480" w:firstLineChars="200"/>
        <w:rPr>
          <w:color w:val="auto"/>
          <w:sz w:val="24"/>
          <w:szCs w:val="24"/>
          <w:highlight w:val="none"/>
        </w:rPr>
      </w:pPr>
      <w:r>
        <w:rPr>
          <w:rFonts w:hint="eastAsia"/>
          <w:color w:val="auto"/>
          <w:sz w:val="24"/>
          <w:szCs w:val="24"/>
          <w:highlight w:val="none"/>
          <w:lang w:val="en-US"/>
        </w:rPr>
        <w:t>2.2.4质量标准</w:t>
      </w:r>
      <w:r>
        <w:rPr>
          <w:rFonts w:hint="eastAsia"/>
          <w:color w:val="auto"/>
          <w:sz w:val="24"/>
          <w:szCs w:val="24"/>
          <w:highlight w:val="none"/>
        </w:rPr>
        <w:t>：</w:t>
      </w:r>
    </w:p>
    <w:p>
      <w:pPr>
        <w:adjustRightInd w:val="0"/>
        <w:spacing w:line="400" w:lineRule="exact"/>
        <w:ind w:firstLine="480" w:firstLineChars="200"/>
        <w:rPr>
          <w:color w:val="auto"/>
          <w:sz w:val="24"/>
          <w:szCs w:val="24"/>
          <w:highlight w:val="none"/>
          <w:u w:val="single"/>
        </w:rPr>
      </w:pPr>
      <w:r>
        <w:rPr>
          <w:rFonts w:hint="eastAsia"/>
          <w:color w:val="auto"/>
          <w:sz w:val="24"/>
          <w:szCs w:val="24"/>
          <w:highlight w:val="none"/>
          <w:u w:val="single"/>
        </w:rPr>
        <w:t>（1）质量控制目标：合格。</w:t>
      </w:r>
    </w:p>
    <w:p>
      <w:pPr>
        <w:adjustRightInd w:val="0"/>
        <w:spacing w:line="400" w:lineRule="exact"/>
        <w:ind w:firstLine="480" w:firstLineChars="200"/>
        <w:rPr>
          <w:color w:val="auto"/>
          <w:sz w:val="24"/>
          <w:szCs w:val="24"/>
          <w:highlight w:val="none"/>
          <w:u w:val="single"/>
        </w:rPr>
      </w:pPr>
      <w:r>
        <w:rPr>
          <w:rFonts w:hint="eastAsia"/>
          <w:color w:val="auto"/>
          <w:sz w:val="24"/>
          <w:szCs w:val="24"/>
          <w:highlight w:val="none"/>
          <w:u w:val="single"/>
        </w:rPr>
        <w:t>（2）进度控制目标：按委托人对工期的要求进行进度目标控制。</w:t>
      </w:r>
    </w:p>
    <w:p>
      <w:pPr>
        <w:adjustRightInd w:val="0"/>
        <w:spacing w:line="400" w:lineRule="exact"/>
        <w:ind w:firstLine="480" w:firstLineChars="200"/>
        <w:rPr>
          <w:color w:val="auto"/>
          <w:sz w:val="24"/>
          <w:szCs w:val="24"/>
          <w:highlight w:val="none"/>
          <w:u w:val="single"/>
        </w:rPr>
      </w:pPr>
      <w:r>
        <w:rPr>
          <w:rFonts w:hint="eastAsia"/>
          <w:color w:val="auto"/>
          <w:sz w:val="24"/>
          <w:szCs w:val="24"/>
          <w:highlight w:val="none"/>
          <w:u w:val="single"/>
        </w:rPr>
        <w:t>（3）投资控制目标：所监理的建安工程结算不超过合同价，且不超过相应的建安工程费概算批复。</w:t>
      </w:r>
    </w:p>
    <w:p>
      <w:pPr>
        <w:adjustRightInd w:val="0"/>
        <w:spacing w:line="400" w:lineRule="exact"/>
        <w:ind w:firstLine="480" w:firstLineChars="200"/>
        <w:rPr>
          <w:color w:val="auto"/>
          <w:sz w:val="24"/>
          <w:szCs w:val="24"/>
          <w:highlight w:val="none"/>
          <w:u w:val="single"/>
        </w:rPr>
      </w:pPr>
      <w:r>
        <w:rPr>
          <w:rFonts w:hint="eastAsia"/>
          <w:color w:val="auto"/>
          <w:sz w:val="24"/>
          <w:szCs w:val="24"/>
          <w:highlight w:val="none"/>
          <w:u w:val="single"/>
        </w:rPr>
        <w:t>（4）安全生产文明施工控制目标：确保工程无人员死亡事故；确保实施期内有关建设人员不违反委托人安全监管规定。</w:t>
      </w:r>
    </w:p>
    <w:p>
      <w:pPr>
        <w:adjustRightInd w:val="0"/>
        <w:spacing w:line="400" w:lineRule="exact"/>
        <w:ind w:firstLine="480" w:firstLineChars="200"/>
        <w:rPr>
          <w:color w:val="auto"/>
          <w:sz w:val="24"/>
          <w:szCs w:val="24"/>
          <w:highlight w:val="none"/>
          <w:u w:val="single"/>
        </w:rPr>
      </w:pPr>
      <w:r>
        <w:rPr>
          <w:rFonts w:hint="eastAsia"/>
          <w:color w:val="auto"/>
          <w:sz w:val="24"/>
          <w:szCs w:val="24"/>
          <w:highlight w:val="none"/>
          <w:u w:val="single"/>
        </w:rPr>
        <w:t>（5）职业健康安全管理目标：杜绝发生一般事故等级以上的伤亡事故且工伤责任事故死亡人数为零。</w:t>
      </w:r>
    </w:p>
    <w:p>
      <w:pPr>
        <w:wordWrap w:val="0"/>
        <w:adjustRightInd w:val="0"/>
        <w:spacing w:line="400" w:lineRule="exact"/>
        <w:ind w:firstLine="480" w:firstLineChars="200"/>
        <w:rPr>
          <w:color w:val="auto"/>
          <w:sz w:val="24"/>
          <w:szCs w:val="24"/>
          <w:highlight w:val="none"/>
        </w:rPr>
      </w:pPr>
      <w:r>
        <w:rPr>
          <w:rFonts w:hint="eastAsia"/>
          <w:color w:val="auto"/>
          <w:sz w:val="24"/>
          <w:szCs w:val="24"/>
          <w:highlight w:val="none"/>
          <w:lang w:val="en-US"/>
        </w:rPr>
        <w:t>2.2.5本项目</w:t>
      </w:r>
      <w:r>
        <w:rPr>
          <w:rFonts w:hint="eastAsia"/>
          <w:color w:val="auto"/>
          <w:sz w:val="24"/>
          <w:szCs w:val="24"/>
          <w:highlight w:val="none"/>
        </w:rPr>
        <w:t>最高投标限价：</w:t>
      </w:r>
      <w:r>
        <w:rPr>
          <w:rFonts w:hint="eastAsia"/>
          <w:color w:val="auto"/>
          <w:sz w:val="24"/>
          <w:szCs w:val="24"/>
          <w:highlight w:val="none"/>
          <w:u w:val="single"/>
          <w:lang w:val="en-US" w:eastAsia="zh-CN"/>
        </w:rPr>
        <w:t>108.75</w:t>
      </w:r>
      <w:r>
        <w:rPr>
          <w:rFonts w:hint="eastAsia"/>
          <w:color w:val="auto"/>
          <w:sz w:val="24"/>
          <w:szCs w:val="24"/>
          <w:highlight w:val="none"/>
          <w:u w:val="single"/>
        </w:rPr>
        <w:t>万元</w:t>
      </w:r>
      <w:r>
        <w:rPr>
          <w:rFonts w:hint="eastAsia"/>
          <w:color w:val="auto"/>
          <w:sz w:val="24"/>
          <w:szCs w:val="24"/>
          <w:highlight w:val="none"/>
        </w:rPr>
        <w:t>。</w:t>
      </w:r>
    </w:p>
    <w:p>
      <w:pPr>
        <w:pStyle w:val="14"/>
        <w:tabs>
          <w:tab w:val="left" w:pos="642"/>
        </w:tabs>
        <w:snapToGrid w:val="0"/>
        <w:spacing w:line="600" w:lineRule="exact"/>
        <w:ind w:left="0" w:firstLine="0"/>
        <w:rPr>
          <w:color w:val="auto"/>
          <w:sz w:val="21"/>
          <w:highlight w:val="none"/>
        </w:rPr>
      </w:pPr>
      <w:bookmarkStart w:id="2" w:name="_bookmark4"/>
      <w:bookmarkEnd w:id="2"/>
      <w:r>
        <w:rPr>
          <w:rFonts w:hint="eastAsia"/>
          <w:b/>
          <w:color w:val="auto"/>
          <w:sz w:val="32"/>
          <w:highlight w:val="none"/>
          <w:lang w:val="en-US"/>
        </w:rPr>
        <w:t>3.</w:t>
      </w:r>
      <w:r>
        <w:rPr>
          <w:rFonts w:hint="eastAsia"/>
          <w:b/>
          <w:color w:val="auto"/>
          <w:sz w:val="32"/>
          <w:highlight w:val="none"/>
        </w:rPr>
        <w:t>投标人资格要求</w:t>
      </w:r>
    </w:p>
    <w:p>
      <w:pPr>
        <w:pStyle w:val="14"/>
        <w:tabs>
          <w:tab w:val="left" w:pos="642"/>
        </w:tabs>
        <w:spacing w:line="400" w:lineRule="exact"/>
        <w:ind w:left="0" w:firstLine="480" w:firstLineChars="200"/>
        <w:rPr>
          <w:color w:val="auto"/>
          <w:sz w:val="24"/>
          <w:szCs w:val="24"/>
          <w:highlight w:val="none"/>
        </w:rPr>
      </w:pPr>
      <w:r>
        <w:rPr>
          <w:rFonts w:hint="eastAsia"/>
          <w:color w:val="auto"/>
          <w:sz w:val="24"/>
          <w:szCs w:val="24"/>
          <w:highlight w:val="none"/>
        </w:rPr>
        <w:t>3.1本次招标要求投标人须具备相应资质。</w:t>
      </w:r>
    </w:p>
    <w:p>
      <w:pPr>
        <w:adjustRightInd w:val="0"/>
        <w:spacing w:line="400" w:lineRule="exact"/>
        <w:ind w:firstLine="480" w:firstLineChars="200"/>
        <w:rPr>
          <w:color w:val="auto"/>
          <w:sz w:val="24"/>
          <w:szCs w:val="24"/>
          <w:highlight w:val="none"/>
        </w:rPr>
      </w:pPr>
      <w:r>
        <w:rPr>
          <w:rFonts w:hint="eastAsia"/>
          <w:color w:val="auto"/>
          <w:sz w:val="24"/>
          <w:szCs w:val="24"/>
          <w:highlight w:val="none"/>
          <w:lang w:val="en-US"/>
        </w:rPr>
        <w:t>3.1.1</w:t>
      </w:r>
      <w:r>
        <w:rPr>
          <w:rFonts w:hint="eastAsia"/>
          <w:color w:val="auto"/>
          <w:sz w:val="24"/>
          <w:szCs w:val="24"/>
          <w:highlight w:val="none"/>
        </w:rPr>
        <w:t>本次招标要求投标人须具备以下资质：</w:t>
      </w:r>
    </w:p>
    <w:p>
      <w:pPr>
        <w:adjustRightInd w:val="0"/>
        <w:spacing w:line="400" w:lineRule="exact"/>
        <w:ind w:firstLine="480" w:firstLineChars="200"/>
        <w:rPr>
          <w:color w:val="auto"/>
          <w:sz w:val="24"/>
          <w:szCs w:val="24"/>
          <w:highlight w:val="none"/>
          <w:u w:val="single"/>
          <w:lang w:val="en-US"/>
        </w:rPr>
      </w:pPr>
      <w:r>
        <w:rPr>
          <w:rFonts w:hint="eastAsia"/>
          <w:color w:val="auto"/>
          <w:sz w:val="24"/>
          <w:szCs w:val="24"/>
          <w:highlight w:val="none"/>
          <w:u w:val="single"/>
        </w:rPr>
        <w:t>投标人必须具有建设行政主管部门核发的工程监理综合资质或房屋建筑工程监理专业乙级以上（含乙级）资质（须提供企业法人营业执照，企业资质证书复印件）。香港企业参加投标的，须在广东省住房和城乡建设主管部门备案且备案的业务范围满足本项目招标文件要求。</w:t>
      </w:r>
    </w:p>
    <w:p>
      <w:pPr>
        <w:spacing w:line="400" w:lineRule="exact"/>
        <w:ind w:firstLine="480" w:firstLineChars="200"/>
        <w:rPr>
          <w:color w:val="auto"/>
          <w:sz w:val="24"/>
          <w:szCs w:val="24"/>
          <w:highlight w:val="none"/>
          <w:u w:val="single"/>
        </w:rPr>
      </w:pPr>
      <w:r>
        <w:rPr>
          <w:rFonts w:hint="eastAsia"/>
          <w:color w:val="auto"/>
          <w:sz w:val="24"/>
          <w:szCs w:val="24"/>
          <w:highlight w:val="none"/>
          <w:u w:val="single"/>
        </w:rPr>
        <w:t>注：①住房和城乡建设部或广东省各级住房城乡建设主管部门核发的工程监理企业资质，资质证书有效期按《住房和城乡建设部办公厅关于建设工程企业资质延续有关事项的通知》（建办市函〔2020〕334号）、《广东省住房和城乡建设厅关于建设工程企业资质延续有关事项的通知》（粤建许函〔2020〕298号）和《广州市住房和城乡建设局关于建设工程企业资质有效期顺延的通知》（穗建审批〔2020〕295号）规定的资质证书有效期延期日期执行。</w:t>
      </w:r>
    </w:p>
    <w:p>
      <w:pPr>
        <w:pStyle w:val="14"/>
        <w:tabs>
          <w:tab w:val="left" w:pos="642"/>
        </w:tabs>
        <w:spacing w:line="400" w:lineRule="exact"/>
        <w:ind w:left="0" w:firstLine="480" w:firstLineChars="200"/>
        <w:rPr>
          <w:color w:val="auto"/>
          <w:sz w:val="24"/>
          <w:szCs w:val="24"/>
          <w:highlight w:val="none"/>
          <w:u w:val="single"/>
        </w:rPr>
      </w:pPr>
      <w:r>
        <w:rPr>
          <w:rFonts w:hint="eastAsia"/>
          <w:color w:val="auto"/>
          <w:sz w:val="24"/>
          <w:szCs w:val="24"/>
          <w:highlight w:val="none"/>
          <w:u w:val="single"/>
        </w:rPr>
        <w:t>②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w:t>
      </w:r>
    </w:p>
    <w:p>
      <w:pPr>
        <w:pStyle w:val="14"/>
        <w:tabs>
          <w:tab w:val="left" w:pos="1040"/>
          <w:tab w:val="left" w:pos="2952"/>
          <w:tab w:val="left" w:pos="4126"/>
        </w:tabs>
        <w:spacing w:line="400" w:lineRule="exact"/>
        <w:ind w:left="0" w:firstLine="480" w:firstLineChars="200"/>
        <w:rPr>
          <w:color w:val="auto"/>
          <w:sz w:val="24"/>
          <w:szCs w:val="24"/>
          <w:highlight w:val="none"/>
        </w:rPr>
      </w:pPr>
      <w:r>
        <w:rPr>
          <w:rFonts w:hint="eastAsia"/>
          <w:color w:val="auto"/>
          <w:sz w:val="24"/>
          <w:szCs w:val="24"/>
          <w:highlight w:val="none"/>
          <w:lang w:val="en-US"/>
        </w:rPr>
        <w:t xml:space="preserve">3.2 </w:t>
      </w:r>
      <w:r>
        <w:rPr>
          <w:rFonts w:hint="eastAsia"/>
          <w:color w:val="auto"/>
          <w:sz w:val="24"/>
          <w:szCs w:val="24"/>
          <w:highlight w:val="none"/>
        </w:rPr>
        <w:t>本次招标</w:t>
      </w:r>
      <w:r>
        <w:rPr>
          <w:rFonts w:hint="eastAsia"/>
          <w:color w:val="auto"/>
          <w:sz w:val="24"/>
          <w:szCs w:val="24"/>
          <w:highlight w:val="none"/>
          <w:u w:val="single"/>
        </w:rPr>
        <w:t xml:space="preserve"> </w:t>
      </w:r>
      <w:r>
        <w:rPr>
          <w:rFonts w:hint="eastAsia"/>
          <w:color w:val="auto"/>
          <w:sz w:val="24"/>
          <w:szCs w:val="24"/>
          <w:highlight w:val="none"/>
          <w:u w:val="single"/>
          <w:lang w:eastAsia="zh-CN"/>
        </w:rPr>
        <w:t>不</w:t>
      </w:r>
      <w:r>
        <w:rPr>
          <w:rFonts w:hint="eastAsia"/>
          <w:color w:val="auto"/>
          <w:sz w:val="24"/>
          <w:szCs w:val="24"/>
          <w:highlight w:val="none"/>
          <w:u w:val="single"/>
        </w:rPr>
        <w:t xml:space="preserve">接受 </w:t>
      </w:r>
      <w:r>
        <w:rPr>
          <w:rFonts w:hint="eastAsia"/>
          <w:color w:val="auto"/>
          <w:sz w:val="24"/>
          <w:szCs w:val="24"/>
          <w:highlight w:val="none"/>
        </w:rPr>
        <w:t>联合体投标。</w:t>
      </w:r>
    </w:p>
    <w:p>
      <w:pPr>
        <w:spacing w:line="400" w:lineRule="exact"/>
        <w:ind w:firstLine="480" w:firstLineChars="200"/>
        <w:rPr>
          <w:rFonts w:hint="eastAsia" w:eastAsia="宋体"/>
          <w:color w:val="auto"/>
          <w:sz w:val="24"/>
          <w:szCs w:val="24"/>
          <w:highlight w:val="none"/>
          <w:lang w:eastAsia="zh-CN"/>
        </w:rPr>
      </w:pPr>
      <w:r>
        <w:rPr>
          <w:rFonts w:hint="eastAsia"/>
          <w:color w:val="auto"/>
          <w:sz w:val="24"/>
          <w:szCs w:val="24"/>
          <w:highlight w:val="none"/>
        </w:rPr>
        <w:t>3.3 拟任本项目总监理工程师具备有效国家注册监理工程师注册执业证书（房屋建筑工程专业），并且不存在有三个以上在建、已中标未开工的项目总监理工程师情形。（提供注册证书、职称证、身份证复印件；房建专业监理工程师2名（提供注册证书或上岗资格证书、身份证复印件）；现场监理员2名（提供资格证、身份证复印件）；注册造价工程师1名（提供注册证书复印件）</w:t>
      </w:r>
      <w:r>
        <w:rPr>
          <w:rFonts w:hint="eastAsia"/>
          <w:color w:val="auto"/>
          <w:sz w:val="24"/>
          <w:szCs w:val="24"/>
          <w:highlight w:val="none"/>
          <w:lang w:eastAsia="zh-CN"/>
        </w:rPr>
        <w:t>。</w:t>
      </w:r>
    </w:p>
    <w:p>
      <w:pPr>
        <w:spacing w:line="400" w:lineRule="exact"/>
        <w:ind w:firstLine="480" w:firstLineChars="200"/>
        <w:rPr>
          <w:color w:val="auto"/>
          <w:sz w:val="24"/>
          <w:szCs w:val="24"/>
          <w:highlight w:val="none"/>
          <w:lang w:val="en-US"/>
        </w:rPr>
      </w:pPr>
      <w:r>
        <w:rPr>
          <w:rFonts w:hint="eastAsia"/>
          <w:color w:val="auto"/>
          <w:sz w:val="24"/>
          <w:szCs w:val="24"/>
          <w:highlight w:val="none"/>
        </w:rPr>
        <w:t>拟派本项目监理机构人员必须一人一岗，且为本企业员工，并提供近3个月内的社保缴纳证明复印件；或已在广东省住房和城乡建设主管部门备案且备案的业务范围满足本项目招标文件要求的香港专业人士[香港专业人士的备案业务范围依据《广东省住房和城乡建设厅关于印发香港工程建设咨询企业和专业人士在粤港澳大湾区内地城市开业执业试点管理暂行办法的通知》（粤建规范〔2020〕1号）确定]。</w:t>
      </w:r>
    </w:p>
    <w:p>
      <w:pPr>
        <w:spacing w:line="400" w:lineRule="exact"/>
        <w:ind w:firstLine="480" w:firstLineChars="200"/>
        <w:rPr>
          <w:color w:val="auto"/>
          <w:sz w:val="24"/>
          <w:szCs w:val="24"/>
          <w:highlight w:val="none"/>
        </w:rPr>
      </w:pPr>
      <w:r>
        <w:rPr>
          <w:rFonts w:hint="eastAsia"/>
          <w:color w:val="auto"/>
          <w:kern w:val="2"/>
          <w:sz w:val="24"/>
          <w:szCs w:val="24"/>
          <w:highlight w:val="none"/>
          <w:lang w:val="en-US" w:bidi="ar-SA"/>
        </w:rPr>
        <w:t>3.4 其他要求：</w:t>
      </w:r>
    </w:p>
    <w:p>
      <w:pPr>
        <w:spacing w:line="400" w:lineRule="exact"/>
        <w:ind w:firstLine="480" w:firstLineChars="200"/>
        <w:rPr>
          <w:color w:val="auto"/>
          <w:sz w:val="24"/>
          <w:szCs w:val="24"/>
          <w:highlight w:val="none"/>
        </w:rPr>
      </w:pPr>
      <w:r>
        <w:rPr>
          <w:rFonts w:hint="eastAsia"/>
          <w:color w:val="auto"/>
          <w:sz w:val="24"/>
          <w:szCs w:val="24"/>
          <w:highlight w:val="none"/>
        </w:rPr>
        <w:t>（1）投标人参加投标的意思表达清楚，投标人代表被授权有效。</w:t>
      </w:r>
    </w:p>
    <w:p>
      <w:pPr>
        <w:spacing w:line="400" w:lineRule="exact"/>
        <w:ind w:firstLine="480" w:firstLineChars="200"/>
        <w:rPr>
          <w:color w:val="auto"/>
          <w:sz w:val="24"/>
          <w:szCs w:val="24"/>
          <w:highlight w:val="none"/>
        </w:rPr>
      </w:pPr>
      <w:r>
        <w:rPr>
          <w:rFonts w:hint="eastAsia"/>
          <w:color w:val="auto"/>
          <w:sz w:val="24"/>
          <w:szCs w:val="24"/>
          <w:highlight w:val="none"/>
        </w:rPr>
        <w:t>（2）投标人均具有独立法人资格，持有有效的工商行政管理部门核发的法人营业执照，按国家法律经营。</w:t>
      </w:r>
      <w:r>
        <w:rPr>
          <w:rFonts w:hint="eastAsia"/>
          <w:color w:val="auto"/>
          <w:sz w:val="24"/>
          <w:szCs w:val="24"/>
          <w:highlight w:val="none"/>
          <w:u w:val="single"/>
        </w:rPr>
        <w:t>香港企业具有在香港公司注册证书及商业登记证。</w:t>
      </w:r>
    </w:p>
    <w:p>
      <w:pPr>
        <w:pStyle w:val="14"/>
        <w:tabs>
          <w:tab w:val="left" w:pos="1040"/>
          <w:tab w:val="left" w:pos="2952"/>
          <w:tab w:val="left" w:pos="4126"/>
        </w:tabs>
        <w:spacing w:line="400" w:lineRule="exact"/>
        <w:ind w:left="0" w:firstLine="480" w:firstLineChars="200"/>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3</w:t>
      </w:r>
      <w:r>
        <w:rPr>
          <w:rFonts w:hint="eastAsia"/>
          <w:color w:val="auto"/>
          <w:sz w:val="24"/>
          <w:szCs w:val="24"/>
          <w:highlight w:val="none"/>
        </w:rPr>
        <w:t>）投标人已按规定格式出具《投标人声明》（详见招标文件第六章）。</w:t>
      </w:r>
    </w:p>
    <w:p>
      <w:pPr>
        <w:pStyle w:val="14"/>
        <w:tabs>
          <w:tab w:val="left" w:pos="1040"/>
          <w:tab w:val="left" w:pos="2952"/>
          <w:tab w:val="left" w:pos="4126"/>
        </w:tabs>
        <w:spacing w:line="400" w:lineRule="exact"/>
        <w:ind w:left="0" w:firstLine="480" w:firstLineChars="200"/>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4</w:t>
      </w:r>
      <w:r>
        <w:rPr>
          <w:rFonts w:hint="eastAsia"/>
          <w:color w:val="auto"/>
          <w:sz w:val="24"/>
          <w:szCs w:val="24"/>
          <w:highlight w:val="none"/>
        </w:rPr>
        <w:t>）</w:t>
      </w:r>
      <w:r>
        <w:rPr>
          <w:rFonts w:hint="eastAsia"/>
          <w:color w:val="auto"/>
          <w:sz w:val="24"/>
          <w:szCs w:val="24"/>
          <w:highlight w:val="none"/>
          <w:lang w:val="en-US"/>
        </w:rPr>
        <w:t>投标人未出现以下情形：与其他投标人的单位负责人为同一人或者存在控股、管理关系的（按投标人提供的：《投标人声明》第六条内容进行评审）。如不同投标申请人出现单位负责人为同一人或者存在控股、管理关系的情形，则相关投标均无效。</w:t>
      </w:r>
    </w:p>
    <w:p>
      <w:pPr>
        <w:pStyle w:val="14"/>
        <w:tabs>
          <w:tab w:val="left" w:pos="642"/>
        </w:tabs>
        <w:snapToGrid w:val="0"/>
        <w:spacing w:line="600" w:lineRule="exact"/>
        <w:ind w:left="0" w:firstLine="0"/>
        <w:rPr>
          <w:b/>
          <w:color w:val="auto"/>
          <w:sz w:val="32"/>
          <w:szCs w:val="32"/>
          <w:highlight w:val="none"/>
        </w:rPr>
      </w:pPr>
      <w:bookmarkStart w:id="3" w:name="_bookmark5"/>
      <w:bookmarkEnd w:id="3"/>
      <w:r>
        <w:rPr>
          <w:rFonts w:hint="eastAsia"/>
          <w:b/>
          <w:color w:val="auto"/>
          <w:sz w:val="32"/>
          <w:szCs w:val="32"/>
          <w:highlight w:val="none"/>
          <w:lang w:val="en-US"/>
        </w:rPr>
        <w:t>4.</w:t>
      </w:r>
      <w:r>
        <w:rPr>
          <w:rFonts w:hint="eastAsia"/>
          <w:b/>
          <w:color w:val="auto"/>
          <w:sz w:val="32"/>
          <w:szCs w:val="32"/>
          <w:highlight w:val="none"/>
        </w:rPr>
        <w:t>招标文件的获取</w:t>
      </w:r>
    </w:p>
    <w:p>
      <w:pPr>
        <w:spacing w:line="400" w:lineRule="exact"/>
        <w:ind w:firstLine="480" w:firstLineChars="200"/>
        <w:rPr>
          <w:color w:val="auto"/>
          <w:sz w:val="24"/>
          <w:szCs w:val="24"/>
          <w:highlight w:val="none"/>
        </w:rPr>
      </w:pPr>
      <w:bookmarkStart w:id="4" w:name="_bookmark6"/>
      <w:bookmarkEnd w:id="4"/>
      <w:r>
        <w:rPr>
          <w:rFonts w:hint="eastAsia"/>
          <w:color w:val="auto"/>
          <w:sz w:val="24"/>
          <w:szCs w:val="24"/>
          <w:highlight w:val="none"/>
        </w:rPr>
        <w:t>4.1凡有意参加投标者，请于</w:t>
      </w:r>
      <w:r>
        <w:rPr>
          <w:rFonts w:hint="eastAsia"/>
          <w:color w:val="auto"/>
          <w:sz w:val="24"/>
          <w:szCs w:val="24"/>
          <w:highlight w:val="none"/>
          <w:u w:val="single"/>
        </w:rPr>
        <w:t>202</w:t>
      </w:r>
      <w:r>
        <w:rPr>
          <w:rFonts w:hint="eastAsia"/>
          <w:color w:val="auto"/>
          <w:sz w:val="24"/>
          <w:szCs w:val="24"/>
          <w:highlight w:val="none"/>
          <w:u w:val="single"/>
          <w:lang w:val="en-US"/>
        </w:rPr>
        <w:t>3</w:t>
      </w:r>
      <w:r>
        <w:rPr>
          <w:rFonts w:hint="eastAsia"/>
          <w:color w:val="auto"/>
          <w:sz w:val="24"/>
          <w:szCs w:val="24"/>
          <w:highlight w:val="none"/>
        </w:rPr>
        <w:t>年</w:t>
      </w:r>
      <w:r>
        <w:rPr>
          <w:rFonts w:hint="eastAsia"/>
          <w:color w:val="auto"/>
          <w:sz w:val="24"/>
          <w:szCs w:val="24"/>
          <w:highlight w:val="none"/>
          <w:lang w:val="en-US"/>
        </w:rPr>
        <w:t xml:space="preserve"> </w:t>
      </w:r>
      <w:r>
        <w:rPr>
          <w:rFonts w:hint="eastAsia"/>
          <w:color w:val="auto"/>
          <w:sz w:val="24"/>
          <w:szCs w:val="24"/>
          <w:highlight w:val="none"/>
        </w:rPr>
        <w:t>月</w:t>
      </w:r>
      <w:r>
        <w:rPr>
          <w:rFonts w:hint="eastAsia"/>
          <w:color w:val="auto"/>
          <w:sz w:val="24"/>
          <w:szCs w:val="24"/>
          <w:highlight w:val="none"/>
          <w:lang w:val="en-US"/>
        </w:rPr>
        <w:t xml:space="preserve"> </w:t>
      </w:r>
      <w:r>
        <w:rPr>
          <w:rFonts w:hint="eastAsia"/>
          <w:color w:val="auto"/>
          <w:sz w:val="24"/>
          <w:szCs w:val="24"/>
          <w:highlight w:val="none"/>
        </w:rPr>
        <w:t>日</w:t>
      </w:r>
      <w:r>
        <w:rPr>
          <w:color w:val="auto"/>
          <w:sz w:val="24"/>
          <w:szCs w:val="24"/>
          <w:highlight w:val="none"/>
          <w:u w:val="single"/>
          <w:lang w:val="en-US"/>
        </w:rPr>
        <w:t xml:space="preserve">  </w:t>
      </w:r>
      <w:r>
        <w:rPr>
          <w:rFonts w:hint="eastAsia"/>
          <w:color w:val="auto"/>
          <w:sz w:val="24"/>
          <w:szCs w:val="24"/>
          <w:highlight w:val="none"/>
        </w:rPr>
        <w:t>时</w:t>
      </w:r>
      <w:r>
        <w:rPr>
          <w:color w:val="auto"/>
          <w:sz w:val="24"/>
          <w:szCs w:val="24"/>
          <w:highlight w:val="none"/>
          <w:u w:val="single"/>
          <w:lang w:val="en-US"/>
        </w:rPr>
        <w:t xml:space="preserve">  </w:t>
      </w:r>
      <w:r>
        <w:rPr>
          <w:rFonts w:hint="eastAsia"/>
          <w:color w:val="auto"/>
          <w:sz w:val="24"/>
          <w:szCs w:val="24"/>
          <w:highlight w:val="none"/>
        </w:rPr>
        <w:t>分至</w:t>
      </w:r>
      <w:r>
        <w:rPr>
          <w:rFonts w:hint="eastAsia"/>
          <w:color w:val="auto"/>
          <w:sz w:val="24"/>
          <w:szCs w:val="24"/>
          <w:highlight w:val="none"/>
          <w:u w:val="single"/>
        </w:rPr>
        <w:t>202</w:t>
      </w:r>
      <w:r>
        <w:rPr>
          <w:rFonts w:hint="eastAsia"/>
          <w:color w:val="auto"/>
          <w:sz w:val="24"/>
          <w:szCs w:val="24"/>
          <w:highlight w:val="none"/>
          <w:u w:val="single"/>
          <w:lang w:val="en-US"/>
        </w:rPr>
        <w:t>3</w:t>
      </w:r>
      <w:r>
        <w:rPr>
          <w:rFonts w:hint="eastAsia"/>
          <w:color w:val="auto"/>
          <w:sz w:val="24"/>
          <w:szCs w:val="24"/>
          <w:highlight w:val="none"/>
        </w:rPr>
        <w:t>年</w:t>
      </w:r>
      <w:r>
        <w:rPr>
          <w:color w:val="auto"/>
          <w:sz w:val="24"/>
          <w:szCs w:val="24"/>
          <w:highlight w:val="none"/>
          <w:u w:val="single"/>
          <w:lang w:val="en-US"/>
        </w:rPr>
        <w:t xml:space="preserve">  </w:t>
      </w:r>
      <w:r>
        <w:rPr>
          <w:rFonts w:hint="eastAsia"/>
          <w:color w:val="auto"/>
          <w:sz w:val="24"/>
          <w:szCs w:val="24"/>
          <w:highlight w:val="none"/>
        </w:rPr>
        <w:t>月</w:t>
      </w:r>
      <w:r>
        <w:rPr>
          <w:color w:val="auto"/>
          <w:sz w:val="24"/>
          <w:szCs w:val="24"/>
          <w:highlight w:val="none"/>
          <w:u w:val="single"/>
          <w:lang w:val="en-US"/>
        </w:rPr>
        <w:t xml:space="preserve">  </w:t>
      </w:r>
      <w:r>
        <w:rPr>
          <w:rFonts w:hint="eastAsia"/>
          <w:color w:val="auto"/>
          <w:sz w:val="24"/>
          <w:szCs w:val="24"/>
          <w:highlight w:val="none"/>
        </w:rPr>
        <w:t>日</w:t>
      </w:r>
      <w:r>
        <w:rPr>
          <w:color w:val="auto"/>
          <w:sz w:val="24"/>
          <w:szCs w:val="24"/>
          <w:highlight w:val="none"/>
          <w:u w:val="single"/>
          <w:lang w:val="en-US"/>
        </w:rPr>
        <w:t xml:space="preserve">  </w:t>
      </w:r>
      <w:r>
        <w:rPr>
          <w:rFonts w:hint="eastAsia"/>
          <w:color w:val="auto"/>
          <w:sz w:val="24"/>
          <w:szCs w:val="24"/>
          <w:highlight w:val="none"/>
        </w:rPr>
        <w:t>时</w:t>
      </w:r>
      <w:r>
        <w:rPr>
          <w:color w:val="auto"/>
          <w:sz w:val="24"/>
          <w:szCs w:val="24"/>
          <w:highlight w:val="none"/>
          <w:u w:val="single"/>
          <w:lang w:val="en-US"/>
        </w:rPr>
        <w:t xml:space="preserve">   </w:t>
      </w:r>
      <w:r>
        <w:rPr>
          <w:rFonts w:hint="eastAsia"/>
          <w:color w:val="auto"/>
          <w:sz w:val="24"/>
          <w:szCs w:val="24"/>
          <w:highlight w:val="none"/>
        </w:rPr>
        <w:t>分(北京时间，下同)，登录广州公共资源交易中心网站（http//www.gzggzy.cn）下载电子招标文件。</w:t>
      </w:r>
    </w:p>
    <w:p>
      <w:pPr>
        <w:spacing w:line="400" w:lineRule="exact"/>
        <w:ind w:firstLine="480" w:firstLineChars="200"/>
        <w:rPr>
          <w:color w:val="auto"/>
          <w:sz w:val="24"/>
          <w:szCs w:val="24"/>
          <w:highlight w:val="none"/>
        </w:rPr>
      </w:pPr>
      <w:r>
        <w:rPr>
          <w:rFonts w:hint="eastAsia"/>
          <w:color w:val="auto"/>
          <w:sz w:val="24"/>
          <w:szCs w:val="24"/>
          <w:highlight w:val="none"/>
        </w:rPr>
        <w:t>4.2招标公告发布时间</w:t>
      </w:r>
    </w:p>
    <w:p>
      <w:pPr>
        <w:spacing w:line="400" w:lineRule="exact"/>
        <w:ind w:firstLine="480" w:firstLineChars="200"/>
        <w:rPr>
          <w:color w:val="auto"/>
          <w:sz w:val="24"/>
          <w:szCs w:val="24"/>
          <w:highlight w:val="none"/>
        </w:rPr>
      </w:pPr>
      <w:r>
        <w:rPr>
          <w:rFonts w:hint="eastAsia"/>
          <w:color w:val="auto"/>
          <w:sz w:val="24"/>
          <w:szCs w:val="24"/>
          <w:highlight w:val="none"/>
        </w:rPr>
        <w:t xml:space="preserve">发布招标公告时间(含本日): </w:t>
      </w:r>
      <w:r>
        <w:rPr>
          <w:rFonts w:hint="eastAsia"/>
          <w:color w:val="auto"/>
          <w:sz w:val="24"/>
          <w:szCs w:val="24"/>
          <w:highlight w:val="none"/>
          <w:u w:val="single"/>
        </w:rPr>
        <w:t>202</w:t>
      </w:r>
      <w:r>
        <w:rPr>
          <w:rFonts w:hint="eastAsia"/>
          <w:color w:val="auto"/>
          <w:sz w:val="24"/>
          <w:szCs w:val="24"/>
          <w:highlight w:val="none"/>
          <w:u w:val="single"/>
          <w:lang w:val="en-US"/>
        </w:rPr>
        <w:t>3</w:t>
      </w:r>
      <w:r>
        <w:rPr>
          <w:rFonts w:hint="eastAsia"/>
          <w:color w:val="auto"/>
          <w:sz w:val="24"/>
          <w:szCs w:val="24"/>
          <w:highlight w:val="none"/>
        </w:rPr>
        <w:t>年</w:t>
      </w:r>
      <w:r>
        <w:rPr>
          <w:color w:val="auto"/>
          <w:sz w:val="24"/>
          <w:szCs w:val="24"/>
          <w:highlight w:val="none"/>
          <w:u w:val="single"/>
          <w:lang w:val="en-US"/>
        </w:rPr>
        <w:t xml:space="preserve">  </w:t>
      </w:r>
      <w:r>
        <w:rPr>
          <w:rFonts w:hint="eastAsia"/>
          <w:color w:val="auto"/>
          <w:sz w:val="24"/>
          <w:szCs w:val="24"/>
          <w:highlight w:val="none"/>
        </w:rPr>
        <w:t>月</w:t>
      </w:r>
      <w:r>
        <w:rPr>
          <w:color w:val="auto"/>
          <w:sz w:val="24"/>
          <w:szCs w:val="24"/>
          <w:highlight w:val="none"/>
          <w:u w:val="single"/>
          <w:lang w:val="en-US"/>
        </w:rPr>
        <w:t xml:space="preserve">  </w:t>
      </w:r>
      <w:r>
        <w:rPr>
          <w:rFonts w:hint="eastAsia"/>
          <w:color w:val="auto"/>
          <w:sz w:val="24"/>
          <w:szCs w:val="24"/>
          <w:highlight w:val="none"/>
        </w:rPr>
        <w:t>日</w:t>
      </w:r>
      <w:r>
        <w:rPr>
          <w:color w:val="auto"/>
          <w:sz w:val="24"/>
          <w:szCs w:val="24"/>
          <w:highlight w:val="none"/>
          <w:u w:val="single"/>
          <w:lang w:val="en-US"/>
        </w:rPr>
        <w:t xml:space="preserve">  </w:t>
      </w:r>
      <w:r>
        <w:rPr>
          <w:rFonts w:hint="eastAsia"/>
          <w:color w:val="auto"/>
          <w:sz w:val="24"/>
          <w:szCs w:val="24"/>
          <w:highlight w:val="none"/>
        </w:rPr>
        <w:t>时</w:t>
      </w:r>
      <w:r>
        <w:rPr>
          <w:color w:val="auto"/>
          <w:sz w:val="24"/>
          <w:szCs w:val="24"/>
          <w:highlight w:val="none"/>
          <w:u w:val="single"/>
          <w:lang w:val="en-US"/>
        </w:rPr>
        <w:t xml:space="preserve">   </w:t>
      </w:r>
      <w:r>
        <w:rPr>
          <w:rFonts w:hint="eastAsia"/>
          <w:color w:val="auto"/>
          <w:sz w:val="24"/>
          <w:szCs w:val="24"/>
          <w:highlight w:val="none"/>
        </w:rPr>
        <w:t>分至</w:t>
      </w:r>
      <w:r>
        <w:rPr>
          <w:rFonts w:hint="eastAsia"/>
          <w:color w:val="auto"/>
          <w:sz w:val="24"/>
          <w:szCs w:val="24"/>
          <w:highlight w:val="none"/>
          <w:u w:val="single"/>
        </w:rPr>
        <w:t>202</w:t>
      </w:r>
      <w:r>
        <w:rPr>
          <w:rFonts w:hint="eastAsia"/>
          <w:color w:val="auto"/>
          <w:sz w:val="24"/>
          <w:szCs w:val="24"/>
          <w:highlight w:val="none"/>
          <w:u w:val="single"/>
          <w:lang w:val="en-US"/>
        </w:rPr>
        <w:t>3</w:t>
      </w:r>
      <w:r>
        <w:rPr>
          <w:rFonts w:hint="eastAsia"/>
          <w:color w:val="auto"/>
          <w:sz w:val="24"/>
          <w:szCs w:val="24"/>
          <w:highlight w:val="none"/>
        </w:rPr>
        <w:t>年</w:t>
      </w:r>
      <w:r>
        <w:rPr>
          <w:color w:val="auto"/>
          <w:sz w:val="24"/>
          <w:szCs w:val="24"/>
          <w:highlight w:val="none"/>
          <w:u w:val="single"/>
          <w:lang w:val="en-US"/>
        </w:rPr>
        <w:t xml:space="preserve">  </w:t>
      </w:r>
      <w:r>
        <w:rPr>
          <w:rFonts w:hint="eastAsia"/>
          <w:color w:val="auto"/>
          <w:sz w:val="24"/>
          <w:szCs w:val="24"/>
          <w:highlight w:val="none"/>
        </w:rPr>
        <w:t>月</w:t>
      </w:r>
      <w:r>
        <w:rPr>
          <w:color w:val="auto"/>
          <w:sz w:val="24"/>
          <w:szCs w:val="24"/>
          <w:highlight w:val="none"/>
          <w:u w:val="single"/>
          <w:lang w:val="en-US"/>
        </w:rPr>
        <w:t xml:space="preserve">  </w:t>
      </w:r>
      <w:r>
        <w:rPr>
          <w:rFonts w:hint="eastAsia"/>
          <w:color w:val="auto"/>
          <w:sz w:val="24"/>
          <w:szCs w:val="24"/>
          <w:highlight w:val="none"/>
        </w:rPr>
        <w:t>日</w:t>
      </w:r>
      <w:r>
        <w:rPr>
          <w:color w:val="auto"/>
          <w:sz w:val="24"/>
          <w:szCs w:val="24"/>
          <w:highlight w:val="none"/>
          <w:u w:val="single"/>
          <w:lang w:val="en-US"/>
        </w:rPr>
        <w:t xml:space="preserve">  </w:t>
      </w:r>
      <w:r>
        <w:rPr>
          <w:rFonts w:hint="eastAsia"/>
          <w:color w:val="auto"/>
          <w:sz w:val="24"/>
          <w:szCs w:val="24"/>
          <w:highlight w:val="none"/>
        </w:rPr>
        <w:t>时</w:t>
      </w:r>
      <w:r>
        <w:rPr>
          <w:color w:val="auto"/>
          <w:sz w:val="24"/>
          <w:szCs w:val="24"/>
          <w:highlight w:val="none"/>
          <w:u w:val="single"/>
          <w:lang w:val="en-US"/>
        </w:rPr>
        <w:t xml:space="preserve">   </w:t>
      </w:r>
      <w:r>
        <w:rPr>
          <w:rFonts w:hint="eastAsia"/>
          <w:color w:val="auto"/>
          <w:sz w:val="24"/>
          <w:szCs w:val="24"/>
          <w:highlight w:val="none"/>
        </w:rPr>
        <w:t>分。</w:t>
      </w:r>
    </w:p>
    <w:p>
      <w:pPr>
        <w:spacing w:line="400" w:lineRule="exact"/>
        <w:ind w:firstLine="480" w:firstLineChars="200"/>
        <w:rPr>
          <w:color w:val="auto"/>
          <w:sz w:val="24"/>
          <w:szCs w:val="24"/>
          <w:highlight w:val="none"/>
        </w:rPr>
      </w:pPr>
      <w:r>
        <w:rPr>
          <w:rFonts w:hint="eastAsia"/>
          <w:color w:val="auto"/>
          <w:sz w:val="24"/>
          <w:szCs w:val="24"/>
          <w:highlight w:val="none"/>
        </w:rPr>
        <w:t>注：（1）发布招标公告的时间为招标公告发出之日起至递交投标文件截止时间止。</w:t>
      </w:r>
    </w:p>
    <w:p>
      <w:pPr>
        <w:widowControl/>
        <w:shd w:val="clear" w:color="auto" w:fill="FFFFFF"/>
        <w:snapToGrid w:val="0"/>
        <w:spacing w:line="400" w:lineRule="exact"/>
        <w:ind w:firstLine="480" w:firstLineChars="200"/>
        <w:rPr>
          <w:color w:val="auto"/>
          <w:sz w:val="24"/>
          <w:szCs w:val="24"/>
          <w:highlight w:val="none"/>
        </w:rPr>
      </w:pPr>
      <w:bookmarkStart w:id="5" w:name="_Toc16176"/>
      <w:r>
        <w:rPr>
          <w:rFonts w:hint="eastAsia"/>
          <w:color w:val="auto"/>
          <w:sz w:val="24"/>
          <w:szCs w:val="24"/>
          <w:highlight w:val="none"/>
        </w:rPr>
        <w:t>（2）本公告发布之日起发布招标文件，</w:t>
      </w:r>
      <w:bookmarkEnd w:id="5"/>
      <w:r>
        <w:rPr>
          <w:rFonts w:hint="eastAsia"/>
          <w:color w:val="auto"/>
          <w:sz w:val="24"/>
          <w:szCs w:val="24"/>
          <w:highlight w:val="none"/>
        </w:rPr>
        <w:t>并从招标公告发布之日起开始计算备标时间。</w:t>
      </w:r>
    </w:p>
    <w:p>
      <w:pPr>
        <w:spacing w:line="400" w:lineRule="exact"/>
        <w:ind w:firstLine="480" w:firstLineChars="200"/>
        <w:rPr>
          <w:color w:val="auto"/>
          <w:sz w:val="24"/>
          <w:szCs w:val="24"/>
          <w:highlight w:val="none"/>
        </w:rPr>
      </w:pPr>
      <w:r>
        <w:rPr>
          <w:rFonts w:hint="eastAsia"/>
          <w:color w:val="auto"/>
          <w:sz w:val="24"/>
          <w:szCs w:val="24"/>
          <w:highlight w:val="none"/>
        </w:rPr>
        <w:t>（3）投标人应在递交投标文件截止时间前，登录</w:t>
      </w:r>
      <w:r>
        <w:rPr>
          <w:rFonts w:hint="eastAsia"/>
          <w:color w:val="auto"/>
          <w:sz w:val="24"/>
          <w:szCs w:val="24"/>
          <w:highlight w:val="none"/>
          <w:u w:val="single"/>
        </w:rPr>
        <w:t>广州公共资源交易中心</w:t>
      </w:r>
      <w:r>
        <w:rPr>
          <w:rFonts w:hint="eastAsia"/>
          <w:color w:val="auto"/>
          <w:sz w:val="24"/>
          <w:szCs w:val="24"/>
          <w:highlight w:val="none"/>
        </w:rPr>
        <w:t>交易平台网站办理网上投标登记手续。按照交易平台关于全流程电子化项目的相关指南进行操作。详见</w:t>
      </w:r>
      <w:r>
        <w:rPr>
          <w:rFonts w:hint="eastAsia"/>
          <w:color w:val="auto"/>
          <w:sz w:val="24"/>
          <w:szCs w:val="24"/>
          <w:highlight w:val="none"/>
          <w:u w:val="single"/>
        </w:rPr>
        <w:t>广州公共资源交易中心网站（网址：http://www.gzggzy.cn）</w:t>
      </w:r>
      <w:r>
        <w:rPr>
          <w:rFonts w:hint="eastAsia"/>
          <w:color w:val="auto"/>
          <w:sz w:val="24"/>
          <w:szCs w:val="24"/>
          <w:highlight w:val="none"/>
        </w:rPr>
        <w:t>。</w:t>
      </w:r>
    </w:p>
    <w:p>
      <w:pPr>
        <w:spacing w:line="400" w:lineRule="exact"/>
        <w:ind w:firstLine="480" w:firstLineChars="200"/>
        <w:rPr>
          <w:color w:val="auto"/>
          <w:sz w:val="24"/>
          <w:szCs w:val="24"/>
          <w:highlight w:val="none"/>
          <w:u w:val="single"/>
        </w:rPr>
      </w:pPr>
      <w:r>
        <w:rPr>
          <w:rFonts w:hint="eastAsia"/>
          <w:color w:val="auto"/>
          <w:sz w:val="24"/>
          <w:szCs w:val="24"/>
          <w:highlight w:val="none"/>
        </w:rPr>
        <w:t>4.3本项目采用资格后审方式。</w:t>
      </w:r>
    </w:p>
    <w:p>
      <w:pPr>
        <w:spacing w:line="600" w:lineRule="exact"/>
        <w:rPr>
          <w:b/>
          <w:color w:val="auto"/>
          <w:sz w:val="32"/>
          <w:szCs w:val="32"/>
          <w:highlight w:val="none"/>
        </w:rPr>
      </w:pPr>
      <w:r>
        <w:rPr>
          <w:rFonts w:hint="eastAsia"/>
          <w:b/>
          <w:color w:val="auto"/>
          <w:sz w:val="32"/>
          <w:szCs w:val="32"/>
          <w:highlight w:val="none"/>
          <w:lang w:val="en-US"/>
        </w:rPr>
        <w:t>5.</w:t>
      </w:r>
      <w:r>
        <w:rPr>
          <w:rFonts w:hint="eastAsia"/>
          <w:b/>
          <w:color w:val="auto"/>
          <w:sz w:val="32"/>
          <w:szCs w:val="32"/>
          <w:highlight w:val="none"/>
        </w:rPr>
        <w:t>投标文件的递交</w:t>
      </w:r>
    </w:p>
    <w:p>
      <w:pPr>
        <w:snapToGrid w:val="0"/>
        <w:spacing w:line="400" w:lineRule="exact"/>
        <w:ind w:firstLine="480" w:firstLineChars="200"/>
        <w:rPr>
          <w:color w:val="auto"/>
          <w:sz w:val="24"/>
          <w:szCs w:val="24"/>
          <w:highlight w:val="none"/>
        </w:rPr>
      </w:pPr>
      <w:r>
        <w:rPr>
          <w:rFonts w:hint="eastAsia"/>
          <w:color w:val="auto"/>
          <w:sz w:val="24"/>
          <w:szCs w:val="24"/>
          <w:highlight w:val="none"/>
        </w:rPr>
        <w:t>5.1 递交电子投标文件。</w:t>
      </w:r>
    </w:p>
    <w:p>
      <w:pPr>
        <w:snapToGrid w:val="0"/>
        <w:spacing w:line="400" w:lineRule="exact"/>
        <w:ind w:firstLine="480" w:firstLineChars="200"/>
        <w:rPr>
          <w:color w:val="auto"/>
          <w:sz w:val="24"/>
          <w:szCs w:val="24"/>
          <w:highlight w:val="none"/>
        </w:rPr>
      </w:pPr>
      <w:r>
        <w:rPr>
          <w:rFonts w:hint="eastAsia"/>
          <w:color w:val="auto"/>
          <w:sz w:val="24"/>
          <w:szCs w:val="24"/>
          <w:highlight w:val="none"/>
        </w:rPr>
        <w:t>投标文件递交的截止时间（投标截止时间，下同）为</w:t>
      </w:r>
      <w:r>
        <w:rPr>
          <w:rFonts w:hint="eastAsia"/>
          <w:color w:val="auto"/>
          <w:sz w:val="24"/>
          <w:szCs w:val="24"/>
          <w:highlight w:val="none"/>
          <w:u w:val="single"/>
        </w:rPr>
        <w:t>202</w:t>
      </w:r>
      <w:r>
        <w:rPr>
          <w:rFonts w:hint="eastAsia"/>
          <w:color w:val="auto"/>
          <w:sz w:val="24"/>
          <w:szCs w:val="24"/>
          <w:highlight w:val="none"/>
          <w:u w:val="single"/>
          <w:lang w:val="en-US"/>
        </w:rPr>
        <w:t>3</w:t>
      </w:r>
      <w:r>
        <w:rPr>
          <w:rFonts w:hint="eastAsia"/>
          <w:color w:val="auto"/>
          <w:sz w:val="24"/>
          <w:szCs w:val="24"/>
          <w:highlight w:val="none"/>
        </w:rPr>
        <w:t>年</w:t>
      </w:r>
      <w:r>
        <w:rPr>
          <w:color w:val="auto"/>
          <w:sz w:val="24"/>
          <w:szCs w:val="24"/>
          <w:highlight w:val="none"/>
          <w:u w:val="single"/>
          <w:lang w:val="en-US"/>
        </w:rPr>
        <w:t xml:space="preserve">  </w:t>
      </w:r>
      <w:r>
        <w:rPr>
          <w:rFonts w:hint="eastAsia"/>
          <w:color w:val="auto"/>
          <w:sz w:val="24"/>
          <w:szCs w:val="24"/>
          <w:highlight w:val="none"/>
        </w:rPr>
        <w:t>月</w:t>
      </w:r>
      <w:r>
        <w:rPr>
          <w:color w:val="auto"/>
          <w:sz w:val="24"/>
          <w:szCs w:val="24"/>
          <w:highlight w:val="none"/>
          <w:u w:val="single"/>
          <w:lang w:val="en-US"/>
        </w:rPr>
        <w:t xml:space="preserve">  </w:t>
      </w:r>
      <w:r>
        <w:rPr>
          <w:rFonts w:hint="eastAsia"/>
          <w:color w:val="auto"/>
          <w:sz w:val="24"/>
          <w:szCs w:val="24"/>
          <w:highlight w:val="none"/>
        </w:rPr>
        <w:t>日</w:t>
      </w:r>
      <w:r>
        <w:rPr>
          <w:color w:val="auto"/>
          <w:sz w:val="24"/>
          <w:szCs w:val="24"/>
          <w:highlight w:val="none"/>
          <w:u w:val="single"/>
          <w:lang w:val="en-US"/>
        </w:rPr>
        <w:t xml:space="preserve">  </w:t>
      </w:r>
      <w:r>
        <w:rPr>
          <w:rFonts w:hint="eastAsia"/>
          <w:color w:val="auto"/>
          <w:sz w:val="24"/>
          <w:szCs w:val="24"/>
          <w:highlight w:val="none"/>
        </w:rPr>
        <w:t>时</w:t>
      </w:r>
      <w:r>
        <w:rPr>
          <w:color w:val="auto"/>
          <w:sz w:val="24"/>
          <w:szCs w:val="24"/>
          <w:highlight w:val="none"/>
          <w:u w:val="single"/>
          <w:lang w:val="en-US"/>
        </w:rPr>
        <w:t xml:space="preserve">   </w:t>
      </w:r>
      <w:r>
        <w:rPr>
          <w:rFonts w:hint="eastAsia"/>
          <w:color w:val="auto"/>
          <w:sz w:val="24"/>
          <w:szCs w:val="24"/>
          <w:highlight w:val="none"/>
        </w:rPr>
        <w:t>分，投标人应在截止时间前通过</w:t>
      </w:r>
      <w:r>
        <w:rPr>
          <w:rFonts w:hint="eastAsia"/>
          <w:color w:val="auto"/>
          <w:sz w:val="24"/>
          <w:szCs w:val="24"/>
          <w:highlight w:val="none"/>
          <w:u w:val="single"/>
        </w:rPr>
        <w:t>广州公共资源交易中心交易平台（网址：http://www.gzggzy.cn）</w:t>
      </w:r>
      <w:r>
        <w:rPr>
          <w:rFonts w:hint="eastAsia"/>
          <w:color w:val="auto"/>
          <w:sz w:val="24"/>
          <w:szCs w:val="24"/>
          <w:highlight w:val="none"/>
        </w:rPr>
        <w:t>递交电子投标文件。</w:t>
      </w:r>
    </w:p>
    <w:p>
      <w:pPr>
        <w:snapToGrid w:val="0"/>
        <w:spacing w:line="400" w:lineRule="exact"/>
        <w:ind w:firstLine="480" w:firstLineChars="200"/>
        <w:rPr>
          <w:color w:val="auto"/>
          <w:sz w:val="24"/>
          <w:szCs w:val="24"/>
          <w:highlight w:val="none"/>
        </w:rPr>
      </w:pPr>
      <w:r>
        <w:rPr>
          <w:rFonts w:hint="eastAsia"/>
          <w:color w:val="auto"/>
          <w:sz w:val="24"/>
          <w:szCs w:val="24"/>
          <w:highlight w:val="none"/>
        </w:rPr>
        <w:t>5.2提交投标文件光盘（备用）。</w:t>
      </w:r>
    </w:p>
    <w:p>
      <w:pPr>
        <w:snapToGrid w:val="0"/>
        <w:spacing w:line="400" w:lineRule="exact"/>
        <w:ind w:firstLine="480" w:firstLineChars="200"/>
        <w:rPr>
          <w:color w:val="auto"/>
          <w:sz w:val="24"/>
          <w:szCs w:val="24"/>
          <w:highlight w:val="none"/>
        </w:rPr>
      </w:pPr>
      <w:r>
        <w:rPr>
          <w:rFonts w:hint="eastAsia"/>
          <w:color w:val="auto"/>
          <w:sz w:val="24"/>
          <w:szCs w:val="24"/>
          <w:highlight w:val="none"/>
        </w:rPr>
        <w:t>投标文件电子光盘（备用）递交时间：</w:t>
      </w:r>
      <w:r>
        <w:rPr>
          <w:rFonts w:hint="eastAsia"/>
          <w:color w:val="auto"/>
          <w:sz w:val="24"/>
          <w:szCs w:val="24"/>
          <w:highlight w:val="none"/>
          <w:u w:val="single"/>
        </w:rPr>
        <w:t>202</w:t>
      </w:r>
      <w:r>
        <w:rPr>
          <w:rFonts w:hint="eastAsia"/>
          <w:color w:val="auto"/>
          <w:sz w:val="24"/>
          <w:szCs w:val="24"/>
          <w:highlight w:val="none"/>
          <w:u w:val="single"/>
          <w:lang w:val="en-US"/>
        </w:rPr>
        <w:t>3</w:t>
      </w:r>
      <w:r>
        <w:rPr>
          <w:rFonts w:hint="eastAsia"/>
          <w:color w:val="auto"/>
          <w:sz w:val="24"/>
          <w:szCs w:val="24"/>
          <w:highlight w:val="none"/>
        </w:rPr>
        <w:t>年</w:t>
      </w:r>
      <w:r>
        <w:rPr>
          <w:color w:val="auto"/>
          <w:sz w:val="24"/>
          <w:szCs w:val="24"/>
          <w:highlight w:val="none"/>
          <w:u w:val="single"/>
          <w:lang w:val="en-US"/>
        </w:rPr>
        <w:t xml:space="preserve">  </w:t>
      </w:r>
      <w:r>
        <w:rPr>
          <w:rFonts w:hint="eastAsia"/>
          <w:color w:val="auto"/>
          <w:sz w:val="24"/>
          <w:szCs w:val="24"/>
          <w:highlight w:val="none"/>
        </w:rPr>
        <w:t>月</w:t>
      </w:r>
      <w:r>
        <w:rPr>
          <w:color w:val="auto"/>
          <w:sz w:val="24"/>
          <w:szCs w:val="24"/>
          <w:highlight w:val="none"/>
          <w:u w:val="single"/>
          <w:lang w:val="en-US"/>
        </w:rPr>
        <w:t xml:space="preserve">  </w:t>
      </w:r>
      <w:r>
        <w:rPr>
          <w:rFonts w:hint="eastAsia"/>
          <w:color w:val="auto"/>
          <w:sz w:val="24"/>
          <w:szCs w:val="24"/>
          <w:highlight w:val="none"/>
        </w:rPr>
        <w:t>日</w:t>
      </w:r>
      <w:r>
        <w:rPr>
          <w:color w:val="auto"/>
          <w:sz w:val="24"/>
          <w:szCs w:val="24"/>
          <w:highlight w:val="none"/>
          <w:u w:val="single"/>
          <w:lang w:val="en-US"/>
        </w:rPr>
        <w:t xml:space="preserve">  </w:t>
      </w:r>
      <w:r>
        <w:rPr>
          <w:rFonts w:hint="eastAsia"/>
          <w:color w:val="auto"/>
          <w:sz w:val="24"/>
          <w:szCs w:val="24"/>
          <w:highlight w:val="none"/>
        </w:rPr>
        <w:t>时</w:t>
      </w:r>
      <w:r>
        <w:rPr>
          <w:color w:val="auto"/>
          <w:sz w:val="24"/>
          <w:szCs w:val="24"/>
          <w:highlight w:val="none"/>
          <w:u w:val="single"/>
          <w:lang w:val="en-US"/>
        </w:rPr>
        <w:t xml:space="preserve">   </w:t>
      </w:r>
      <w:r>
        <w:rPr>
          <w:rFonts w:hint="eastAsia"/>
          <w:color w:val="auto"/>
          <w:sz w:val="24"/>
          <w:szCs w:val="24"/>
          <w:highlight w:val="none"/>
        </w:rPr>
        <w:t>分至</w:t>
      </w:r>
      <w:r>
        <w:rPr>
          <w:rFonts w:hint="eastAsia"/>
          <w:color w:val="auto"/>
          <w:sz w:val="24"/>
          <w:szCs w:val="24"/>
          <w:highlight w:val="none"/>
          <w:u w:val="single"/>
        </w:rPr>
        <w:t>202</w:t>
      </w:r>
      <w:r>
        <w:rPr>
          <w:rFonts w:hint="eastAsia"/>
          <w:color w:val="auto"/>
          <w:sz w:val="24"/>
          <w:szCs w:val="24"/>
          <w:highlight w:val="none"/>
          <w:u w:val="single"/>
          <w:lang w:val="en-US"/>
        </w:rPr>
        <w:t>3</w:t>
      </w:r>
      <w:r>
        <w:rPr>
          <w:rFonts w:hint="eastAsia"/>
          <w:color w:val="auto"/>
          <w:sz w:val="24"/>
          <w:szCs w:val="24"/>
          <w:highlight w:val="none"/>
        </w:rPr>
        <w:t>年</w:t>
      </w:r>
      <w:r>
        <w:rPr>
          <w:color w:val="auto"/>
          <w:sz w:val="24"/>
          <w:szCs w:val="24"/>
          <w:highlight w:val="none"/>
          <w:u w:val="single"/>
          <w:lang w:val="en-US"/>
        </w:rPr>
        <w:t xml:space="preserve">  </w:t>
      </w:r>
      <w:r>
        <w:rPr>
          <w:rFonts w:hint="eastAsia"/>
          <w:color w:val="auto"/>
          <w:sz w:val="24"/>
          <w:szCs w:val="24"/>
          <w:highlight w:val="none"/>
        </w:rPr>
        <w:t>月</w:t>
      </w:r>
      <w:r>
        <w:rPr>
          <w:color w:val="auto"/>
          <w:sz w:val="24"/>
          <w:szCs w:val="24"/>
          <w:highlight w:val="none"/>
          <w:u w:val="single"/>
          <w:lang w:val="en-US"/>
        </w:rPr>
        <w:t xml:space="preserve">  </w:t>
      </w:r>
      <w:r>
        <w:rPr>
          <w:rFonts w:hint="eastAsia"/>
          <w:color w:val="auto"/>
          <w:sz w:val="24"/>
          <w:szCs w:val="24"/>
          <w:highlight w:val="none"/>
        </w:rPr>
        <w:t>日</w:t>
      </w:r>
      <w:r>
        <w:rPr>
          <w:color w:val="auto"/>
          <w:sz w:val="24"/>
          <w:szCs w:val="24"/>
          <w:highlight w:val="none"/>
          <w:u w:val="single"/>
          <w:lang w:val="en-US"/>
        </w:rPr>
        <w:t xml:space="preserve">  </w:t>
      </w:r>
      <w:r>
        <w:rPr>
          <w:rFonts w:hint="eastAsia"/>
          <w:color w:val="auto"/>
          <w:sz w:val="24"/>
          <w:szCs w:val="24"/>
          <w:highlight w:val="none"/>
        </w:rPr>
        <w:t>时</w:t>
      </w:r>
      <w:r>
        <w:rPr>
          <w:color w:val="auto"/>
          <w:sz w:val="24"/>
          <w:szCs w:val="24"/>
          <w:highlight w:val="none"/>
          <w:u w:val="single"/>
          <w:lang w:val="en-US"/>
        </w:rPr>
        <w:t xml:space="preserve">   </w:t>
      </w:r>
      <w:r>
        <w:rPr>
          <w:rFonts w:hint="eastAsia"/>
          <w:color w:val="auto"/>
          <w:sz w:val="24"/>
          <w:szCs w:val="24"/>
          <w:highlight w:val="none"/>
        </w:rPr>
        <w:t>分；地点：广州公共资源交易中心</w:t>
      </w:r>
      <w:r>
        <w:rPr>
          <w:rFonts w:hint="eastAsia"/>
          <w:color w:val="auto"/>
          <w:sz w:val="24"/>
          <w:szCs w:val="24"/>
          <w:highlight w:val="none"/>
          <w:lang w:val="en-US"/>
        </w:rPr>
        <w:t xml:space="preserve">  </w:t>
      </w:r>
      <w:r>
        <w:rPr>
          <w:rFonts w:hint="eastAsia"/>
          <w:color w:val="auto"/>
          <w:sz w:val="24"/>
          <w:szCs w:val="24"/>
          <w:highlight w:val="none"/>
        </w:rPr>
        <w:t>开标室。（电子光盘需按规定封装。投标人在将数据刻录到光盘之后，投标前自行检查文件是否可以读取)</w:t>
      </w:r>
    </w:p>
    <w:p>
      <w:pPr>
        <w:snapToGrid w:val="0"/>
        <w:spacing w:line="400" w:lineRule="exact"/>
        <w:ind w:firstLine="480" w:firstLineChars="200"/>
        <w:rPr>
          <w:color w:val="auto"/>
          <w:sz w:val="24"/>
          <w:szCs w:val="24"/>
          <w:highlight w:val="none"/>
        </w:rPr>
      </w:pPr>
      <w:r>
        <w:rPr>
          <w:rFonts w:hint="eastAsia"/>
          <w:color w:val="auto"/>
          <w:sz w:val="24"/>
          <w:szCs w:val="24"/>
          <w:highlight w:val="none"/>
        </w:rPr>
        <w:t>5.3投标人完成电子投标上传后，电子招标投标交易平台即时向投标人发出递交回执通知。递交时间以递交回执通知载明的传输时间为准。</w:t>
      </w:r>
    </w:p>
    <w:p>
      <w:pPr>
        <w:snapToGrid w:val="0"/>
        <w:spacing w:line="400" w:lineRule="exact"/>
        <w:ind w:firstLine="480" w:firstLineChars="200"/>
        <w:rPr>
          <w:color w:val="auto"/>
          <w:sz w:val="24"/>
          <w:szCs w:val="24"/>
          <w:highlight w:val="none"/>
        </w:rPr>
      </w:pPr>
      <w:r>
        <w:rPr>
          <w:rFonts w:hint="eastAsia"/>
          <w:color w:val="auto"/>
          <w:sz w:val="24"/>
          <w:szCs w:val="24"/>
          <w:highlight w:val="none"/>
        </w:rPr>
        <w:t>5.4 逾期送达的投标文件，电子招标投标交易平台将予以拒收。</w:t>
      </w:r>
    </w:p>
    <w:p>
      <w:pPr>
        <w:pStyle w:val="7"/>
        <w:snapToGrid w:val="0"/>
        <w:spacing w:line="400" w:lineRule="exact"/>
        <w:ind w:firstLine="480" w:firstLineChars="200"/>
        <w:rPr>
          <w:color w:val="auto"/>
          <w:sz w:val="24"/>
          <w:szCs w:val="24"/>
          <w:highlight w:val="none"/>
          <w:lang w:val="en-US"/>
        </w:rPr>
      </w:pPr>
      <w:r>
        <w:rPr>
          <w:rFonts w:hint="eastAsia"/>
          <w:color w:val="auto"/>
          <w:sz w:val="24"/>
          <w:szCs w:val="24"/>
          <w:highlight w:val="none"/>
        </w:rPr>
        <w:t>5.5</w:t>
      </w:r>
      <w:r>
        <w:rPr>
          <w:rFonts w:hint="eastAsia"/>
          <w:color w:val="auto"/>
          <w:sz w:val="24"/>
          <w:szCs w:val="24"/>
          <w:highlight w:val="none"/>
          <w:lang w:val="en-US"/>
        </w:rPr>
        <w:t xml:space="preserve"> </w:t>
      </w:r>
      <w:r>
        <w:rPr>
          <w:rFonts w:hint="eastAsia"/>
          <w:color w:val="auto"/>
          <w:sz w:val="24"/>
          <w:szCs w:val="24"/>
          <w:highlight w:val="none"/>
          <w:u w:val="single"/>
        </w:rPr>
        <w:t>开标时间</w:t>
      </w:r>
      <w:r>
        <w:rPr>
          <w:rFonts w:hint="eastAsia"/>
          <w:color w:val="auto"/>
          <w:sz w:val="24"/>
          <w:szCs w:val="24"/>
          <w:highlight w:val="none"/>
        </w:rPr>
        <w:t>：</w:t>
      </w:r>
      <w:r>
        <w:rPr>
          <w:rFonts w:hint="eastAsia"/>
          <w:color w:val="auto"/>
          <w:sz w:val="24"/>
          <w:szCs w:val="24"/>
          <w:highlight w:val="none"/>
          <w:u w:val="single"/>
        </w:rPr>
        <w:t>202</w:t>
      </w:r>
      <w:r>
        <w:rPr>
          <w:rFonts w:hint="eastAsia"/>
          <w:color w:val="auto"/>
          <w:sz w:val="24"/>
          <w:szCs w:val="24"/>
          <w:highlight w:val="none"/>
          <w:u w:val="single"/>
          <w:lang w:val="en-US"/>
        </w:rPr>
        <w:t>3</w:t>
      </w:r>
      <w:r>
        <w:rPr>
          <w:rFonts w:hint="eastAsia"/>
          <w:color w:val="auto"/>
          <w:sz w:val="24"/>
          <w:szCs w:val="24"/>
          <w:highlight w:val="none"/>
        </w:rPr>
        <w:t>年</w:t>
      </w:r>
      <w:r>
        <w:rPr>
          <w:color w:val="auto"/>
          <w:sz w:val="24"/>
          <w:szCs w:val="24"/>
          <w:highlight w:val="none"/>
          <w:u w:val="single"/>
          <w:lang w:val="en-US"/>
        </w:rPr>
        <w:t xml:space="preserve">  </w:t>
      </w:r>
      <w:r>
        <w:rPr>
          <w:rFonts w:hint="eastAsia"/>
          <w:color w:val="auto"/>
          <w:sz w:val="24"/>
          <w:szCs w:val="24"/>
          <w:highlight w:val="none"/>
        </w:rPr>
        <w:t>月</w:t>
      </w:r>
      <w:r>
        <w:rPr>
          <w:color w:val="auto"/>
          <w:sz w:val="24"/>
          <w:szCs w:val="24"/>
          <w:highlight w:val="none"/>
          <w:u w:val="single"/>
          <w:lang w:val="en-US"/>
        </w:rPr>
        <w:t xml:space="preserve">  </w:t>
      </w:r>
      <w:r>
        <w:rPr>
          <w:rFonts w:hint="eastAsia"/>
          <w:color w:val="auto"/>
          <w:sz w:val="24"/>
          <w:szCs w:val="24"/>
          <w:highlight w:val="none"/>
        </w:rPr>
        <w:t>日</w:t>
      </w:r>
      <w:r>
        <w:rPr>
          <w:color w:val="auto"/>
          <w:sz w:val="24"/>
          <w:szCs w:val="24"/>
          <w:highlight w:val="none"/>
          <w:u w:val="single"/>
          <w:lang w:val="en-US"/>
        </w:rPr>
        <w:t xml:space="preserve">  </w:t>
      </w:r>
      <w:r>
        <w:rPr>
          <w:rFonts w:hint="eastAsia"/>
          <w:color w:val="auto"/>
          <w:sz w:val="24"/>
          <w:szCs w:val="24"/>
          <w:highlight w:val="none"/>
        </w:rPr>
        <w:t>时</w:t>
      </w:r>
      <w:r>
        <w:rPr>
          <w:color w:val="auto"/>
          <w:sz w:val="24"/>
          <w:szCs w:val="24"/>
          <w:highlight w:val="none"/>
          <w:u w:val="single"/>
          <w:lang w:val="en-US"/>
        </w:rPr>
        <w:t xml:space="preserve">   </w:t>
      </w:r>
      <w:r>
        <w:rPr>
          <w:rFonts w:hint="eastAsia"/>
          <w:color w:val="auto"/>
          <w:sz w:val="24"/>
          <w:szCs w:val="24"/>
          <w:highlight w:val="none"/>
        </w:rPr>
        <w:t>分。地点：广州公共资源交易中心</w:t>
      </w:r>
      <w:r>
        <w:rPr>
          <w:color w:val="auto"/>
          <w:sz w:val="24"/>
          <w:szCs w:val="24"/>
          <w:highlight w:val="none"/>
          <w:u w:val="single"/>
          <w:lang w:val="en-US"/>
        </w:rPr>
        <w:t xml:space="preserve">   </w:t>
      </w:r>
      <w:r>
        <w:rPr>
          <w:rFonts w:hint="eastAsia"/>
          <w:color w:val="auto"/>
          <w:sz w:val="24"/>
          <w:szCs w:val="24"/>
          <w:highlight w:val="none"/>
        </w:rPr>
        <w:t>开标室。</w:t>
      </w:r>
      <w:r>
        <w:rPr>
          <w:rFonts w:hint="eastAsia"/>
          <w:color w:val="auto"/>
          <w:sz w:val="24"/>
          <w:szCs w:val="24"/>
          <w:highlight w:val="none"/>
          <w:lang w:val="en-US"/>
        </w:rPr>
        <w:t xml:space="preserve"> </w:t>
      </w:r>
    </w:p>
    <w:p>
      <w:pPr>
        <w:pStyle w:val="14"/>
        <w:tabs>
          <w:tab w:val="left" w:pos="642"/>
        </w:tabs>
        <w:spacing w:line="600" w:lineRule="exact"/>
        <w:ind w:left="0" w:firstLine="0"/>
        <w:rPr>
          <w:b/>
          <w:color w:val="auto"/>
          <w:sz w:val="24"/>
          <w:szCs w:val="24"/>
          <w:highlight w:val="none"/>
          <w:lang w:val="en-US"/>
        </w:rPr>
      </w:pPr>
      <w:bookmarkStart w:id="6" w:name="_bookmark7"/>
      <w:bookmarkEnd w:id="6"/>
      <w:r>
        <w:rPr>
          <w:rFonts w:hint="eastAsia"/>
          <w:b/>
          <w:color w:val="auto"/>
          <w:sz w:val="32"/>
          <w:szCs w:val="32"/>
          <w:highlight w:val="none"/>
          <w:lang w:val="en-US"/>
        </w:rPr>
        <w:t>6.</w:t>
      </w:r>
      <w:r>
        <w:rPr>
          <w:rFonts w:hint="eastAsia"/>
          <w:b/>
          <w:color w:val="auto"/>
          <w:sz w:val="32"/>
          <w:szCs w:val="32"/>
          <w:highlight w:val="none"/>
        </w:rPr>
        <w:t>发布公告的媒介</w:t>
      </w:r>
    </w:p>
    <w:p>
      <w:pPr>
        <w:pStyle w:val="14"/>
        <w:tabs>
          <w:tab w:val="left" w:pos="642"/>
        </w:tabs>
        <w:snapToGrid w:val="0"/>
        <w:spacing w:line="400" w:lineRule="exact"/>
        <w:ind w:left="0" w:firstLine="480" w:firstLineChars="200"/>
        <w:rPr>
          <w:color w:val="auto"/>
          <w:sz w:val="24"/>
          <w:szCs w:val="24"/>
          <w:highlight w:val="none"/>
          <w:lang w:val="en-US"/>
        </w:rPr>
      </w:pPr>
      <w:r>
        <w:rPr>
          <w:rFonts w:hint="eastAsia"/>
          <w:color w:val="auto"/>
          <w:sz w:val="24"/>
          <w:szCs w:val="24"/>
          <w:highlight w:val="none"/>
        </w:rPr>
        <w:t>本次招标公告同时在</w:t>
      </w:r>
      <w:r>
        <w:rPr>
          <w:rFonts w:hint="eastAsia"/>
          <w:color w:val="auto"/>
          <w:sz w:val="24"/>
          <w:szCs w:val="24"/>
          <w:highlight w:val="none"/>
          <w:u w:val="single"/>
        </w:rPr>
        <w:t>广州公共资源交易中心网</w:t>
      </w:r>
      <w:r>
        <w:rPr>
          <w:rFonts w:hint="eastAsia"/>
          <w:color w:val="auto"/>
          <w:sz w:val="24"/>
          <w:szCs w:val="24"/>
          <w:highlight w:val="none"/>
          <w:u w:val="single"/>
          <w:lang w:val="en-US"/>
        </w:rPr>
        <w:t>（</w:t>
      </w:r>
      <w:r>
        <w:rPr>
          <w:rFonts w:hint="eastAsia"/>
          <w:color w:val="auto"/>
          <w:sz w:val="24"/>
          <w:szCs w:val="24"/>
          <w:highlight w:val="none"/>
          <w:u w:val="single"/>
        </w:rPr>
        <w:t>网址</w:t>
      </w:r>
      <w:r>
        <w:rPr>
          <w:rFonts w:hint="eastAsia"/>
          <w:color w:val="auto"/>
          <w:sz w:val="24"/>
          <w:szCs w:val="24"/>
          <w:highlight w:val="none"/>
          <w:u w:val="single"/>
          <w:lang w:val="en-US"/>
        </w:rPr>
        <w:t>：http://ggzy.gz.gov.cn/）</w:t>
      </w:r>
      <w:r>
        <w:rPr>
          <w:rFonts w:hint="eastAsia"/>
          <w:color w:val="auto"/>
          <w:sz w:val="24"/>
          <w:szCs w:val="24"/>
          <w:highlight w:val="none"/>
          <w:u w:val="single"/>
        </w:rPr>
        <w:t>、广东省招标投标监管网</w:t>
      </w:r>
      <w:r>
        <w:rPr>
          <w:rFonts w:hint="eastAsia"/>
          <w:color w:val="auto"/>
          <w:sz w:val="24"/>
          <w:szCs w:val="24"/>
          <w:highlight w:val="none"/>
          <w:u w:val="single"/>
          <w:lang w:val="en-US"/>
        </w:rPr>
        <w:t>（</w:t>
      </w:r>
      <w:r>
        <w:rPr>
          <w:rFonts w:hint="eastAsia"/>
          <w:color w:val="auto"/>
          <w:sz w:val="24"/>
          <w:szCs w:val="24"/>
          <w:highlight w:val="none"/>
          <w:u w:val="single"/>
        </w:rPr>
        <w:t>网址</w:t>
      </w:r>
      <w:r>
        <w:rPr>
          <w:rFonts w:hint="eastAsia"/>
          <w:color w:val="auto"/>
          <w:sz w:val="24"/>
          <w:szCs w:val="24"/>
          <w:highlight w:val="none"/>
          <w:u w:val="single"/>
          <w:lang w:val="en-US"/>
        </w:rPr>
        <w:t>：http://zbtb.gd.gov.cn/login）</w:t>
      </w:r>
      <w:r>
        <w:rPr>
          <w:rFonts w:hint="eastAsia"/>
          <w:color w:val="auto"/>
          <w:sz w:val="24"/>
          <w:szCs w:val="24"/>
          <w:highlight w:val="none"/>
          <w:u w:val="single"/>
        </w:rPr>
        <w:t>和中国招标投标公共服务平台</w:t>
      </w:r>
      <w:r>
        <w:rPr>
          <w:rFonts w:hint="eastAsia"/>
          <w:color w:val="auto"/>
          <w:sz w:val="24"/>
          <w:szCs w:val="24"/>
          <w:highlight w:val="none"/>
          <w:u w:val="single"/>
          <w:lang w:val="en-US"/>
        </w:rPr>
        <w:t>（</w:t>
      </w:r>
      <w:r>
        <w:rPr>
          <w:rFonts w:hint="eastAsia"/>
          <w:color w:val="auto"/>
          <w:sz w:val="24"/>
          <w:szCs w:val="24"/>
          <w:highlight w:val="none"/>
          <w:u w:val="single"/>
        </w:rPr>
        <w:t>网址</w:t>
      </w:r>
      <w:r>
        <w:rPr>
          <w:rFonts w:hint="eastAsia"/>
          <w:color w:val="auto"/>
          <w:sz w:val="24"/>
          <w:szCs w:val="24"/>
          <w:highlight w:val="none"/>
          <w:u w:val="single"/>
          <w:lang w:val="en-US"/>
        </w:rPr>
        <w:t>：http://www.cebpubservice.com/）</w:t>
      </w:r>
      <w:r>
        <w:rPr>
          <w:rFonts w:hint="eastAsia"/>
          <w:color w:val="auto"/>
          <w:sz w:val="24"/>
          <w:szCs w:val="24"/>
          <w:highlight w:val="none"/>
          <w:u w:val="single"/>
        </w:rPr>
        <w:t>发布</w:t>
      </w:r>
      <w:r>
        <w:rPr>
          <w:rFonts w:hint="eastAsia"/>
          <w:color w:val="auto"/>
          <w:sz w:val="24"/>
          <w:szCs w:val="24"/>
          <w:highlight w:val="none"/>
          <w:u w:val="single"/>
          <w:lang w:val="en-US"/>
        </w:rPr>
        <w:t>，</w:t>
      </w:r>
      <w:r>
        <w:rPr>
          <w:rFonts w:hint="eastAsia"/>
          <w:color w:val="auto"/>
          <w:sz w:val="24"/>
          <w:szCs w:val="24"/>
          <w:highlight w:val="none"/>
          <w:u w:val="single"/>
        </w:rPr>
        <w:t>本公告的修改、补充在广州公共资源交易中心网站</w:t>
      </w:r>
      <w:r>
        <w:rPr>
          <w:rFonts w:hint="eastAsia"/>
          <w:color w:val="auto"/>
          <w:sz w:val="24"/>
          <w:szCs w:val="24"/>
          <w:highlight w:val="none"/>
        </w:rPr>
        <w:t>上发布。</w:t>
      </w:r>
    </w:p>
    <w:p>
      <w:pPr>
        <w:pStyle w:val="4"/>
        <w:spacing w:line="600" w:lineRule="exact"/>
        <w:ind w:left="403" w:hanging="403"/>
        <w:rPr>
          <w:rFonts w:ascii="宋体" w:hAnsi="宋体" w:eastAsia="宋体" w:cs="宋体"/>
          <w:color w:val="auto"/>
          <w:highlight w:val="none"/>
        </w:rPr>
      </w:pPr>
      <w:bookmarkStart w:id="7" w:name="_bookmark9"/>
      <w:bookmarkEnd w:id="7"/>
      <w:bookmarkStart w:id="8" w:name="_bookmark8"/>
      <w:bookmarkEnd w:id="8"/>
      <w:bookmarkStart w:id="9" w:name="_bookmark17"/>
      <w:bookmarkEnd w:id="9"/>
      <w:bookmarkStart w:id="10" w:name="_Toc492300552"/>
      <w:r>
        <w:rPr>
          <w:rFonts w:hint="eastAsia" w:ascii="宋体" w:hAnsi="宋体" w:eastAsia="宋体" w:cs="宋体"/>
          <w:color w:val="auto"/>
          <w:highlight w:val="none"/>
        </w:rPr>
        <w:t>7. 联系方式</w:t>
      </w:r>
      <w:bookmarkEnd w:id="10"/>
    </w:p>
    <w:p>
      <w:pPr>
        <w:topLinePunct/>
        <w:spacing w:line="400" w:lineRule="exact"/>
        <w:ind w:firstLine="480" w:firstLineChars="200"/>
        <w:rPr>
          <w:rFonts w:hint="eastAsia" w:eastAsia="宋体"/>
          <w:color w:val="auto"/>
          <w:sz w:val="24"/>
          <w:szCs w:val="24"/>
          <w:highlight w:val="none"/>
          <w:lang w:eastAsia="zh-CN"/>
        </w:rPr>
      </w:pPr>
      <w:bookmarkStart w:id="11" w:name="_Toc361508560"/>
      <w:bookmarkEnd w:id="11"/>
      <w:bookmarkStart w:id="12" w:name="_Toc384308185"/>
      <w:bookmarkEnd w:id="12"/>
      <w:bookmarkStart w:id="13" w:name="_Toc300834930"/>
      <w:bookmarkEnd w:id="13"/>
      <w:bookmarkStart w:id="14" w:name="_Toc152042289"/>
      <w:bookmarkEnd w:id="14"/>
      <w:bookmarkStart w:id="15" w:name="_Toc247527535"/>
      <w:bookmarkEnd w:id="15"/>
      <w:bookmarkStart w:id="16" w:name="_Toc144974481"/>
      <w:bookmarkEnd w:id="16"/>
      <w:bookmarkStart w:id="17" w:name="_Toc352691456"/>
      <w:bookmarkEnd w:id="17"/>
      <w:bookmarkStart w:id="18" w:name="_Toc17972"/>
      <w:bookmarkEnd w:id="18"/>
      <w:bookmarkStart w:id="19" w:name="_Toc10785"/>
      <w:bookmarkEnd w:id="19"/>
      <w:bookmarkStart w:id="20" w:name="_Toc361508562"/>
      <w:bookmarkEnd w:id="20"/>
      <w:bookmarkStart w:id="21" w:name="_Toc144974480"/>
      <w:bookmarkEnd w:id="21"/>
      <w:bookmarkStart w:id="22" w:name="_Toc300834927"/>
      <w:bookmarkEnd w:id="22"/>
      <w:bookmarkStart w:id="23" w:name="_Toc300834929"/>
      <w:bookmarkEnd w:id="23"/>
      <w:bookmarkStart w:id="24" w:name="_Toc352691453"/>
      <w:bookmarkEnd w:id="24"/>
      <w:bookmarkStart w:id="25" w:name="_Toc247513934"/>
      <w:bookmarkEnd w:id="25"/>
      <w:bookmarkStart w:id="26" w:name="_Toc247527536"/>
      <w:bookmarkEnd w:id="26"/>
      <w:bookmarkStart w:id="27" w:name="_Toc152045513"/>
      <w:bookmarkEnd w:id="27"/>
      <w:bookmarkStart w:id="28" w:name="_Toc384308187"/>
      <w:bookmarkEnd w:id="28"/>
      <w:bookmarkStart w:id="29" w:name="_Toc247513935"/>
      <w:bookmarkEnd w:id="29"/>
      <w:bookmarkStart w:id="30" w:name="_Toc361508563"/>
      <w:bookmarkEnd w:id="30"/>
      <w:bookmarkStart w:id="31" w:name="_Toc369531497"/>
      <w:bookmarkEnd w:id="31"/>
      <w:bookmarkStart w:id="32" w:name="_Toc369531495"/>
      <w:bookmarkEnd w:id="32"/>
      <w:bookmarkStart w:id="33" w:name="_Toc152042288"/>
      <w:bookmarkEnd w:id="33"/>
      <w:bookmarkStart w:id="34" w:name="_Toc152045512"/>
      <w:bookmarkEnd w:id="34"/>
      <w:bookmarkStart w:id="35" w:name="_Toc30817"/>
      <w:bookmarkEnd w:id="35"/>
      <w:bookmarkStart w:id="36" w:name="_Toc384308188"/>
      <w:bookmarkEnd w:id="36"/>
      <w:bookmarkStart w:id="37" w:name="_Toc352691455"/>
      <w:bookmarkEnd w:id="37"/>
      <w:bookmarkStart w:id="38" w:name="_Toc369531498"/>
      <w:bookmarkEnd w:id="38"/>
      <w:r>
        <w:rPr>
          <w:rFonts w:hint="eastAsia"/>
          <w:color w:val="auto"/>
          <w:sz w:val="24"/>
          <w:szCs w:val="24"/>
          <w:highlight w:val="none"/>
        </w:rPr>
        <w:t>招 标 人：</w:t>
      </w:r>
      <w:r>
        <w:rPr>
          <w:rFonts w:hint="eastAsia"/>
          <w:color w:val="auto"/>
          <w:sz w:val="24"/>
          <w:szCs w:val="24"/>
          <w:highlight w:val="none"/>
          <w:u w:val="single"/>
          <w:lang w:val="en-US" w:eastAsia="zh-CN"/>
        </w:rPr>
        <w:t>广东省环境辐射监测中心</w:t>
      </w:r>
    </w:p>
    <w:p>
      <w:pPr>
        <w:topLinePunct/>
        <w:spacing w:line="400" w:lineRule="exact"/>
        <w:ind w:firstLine="480" w:firstLineChars="200"/>
        <w:rPr>
          <w:rFonts w:hint="eastAsia" w:eastAsia="宋体"/>
          <w:color w:val="auto"/>
          <w:sz w:val="24"/>
          <w:szCs w:val="24"/>
          <w:highlight w:val="none"/>
          <w:u w:val="single"/>
          <w:lang w:eastAsia="zh-CN"/>
        </w:rPr>
      </w:pPr>
      <w:bookmarkStart w:id="39" w:name="_Hlk85835514"/>
      <w:r>
        <w:rPr>
          <w:rFonts w:hint="eastAsia"/>
          <w:color w:val="auto"/>
          <w:sz w:val="24"/>
          <w:szCs w:val="24"/>
          <w:highlight w:val="none"/>
        </w:rPr>
        <w:t>联系地址：</w:t>
      </w:r>
      <w:bookmarkEnd w:id="39"/>
      <w:r>
        <w:rPr>
          <w:rFonts w:hint="eastAsia"/>
          <w:color w:val="auto"/>
          <w:sz w:val="24"/>
          <w:szCs w:val="24"/>
          <w:highlight w:val="none"/>
          <w:u w:val="single"/>
          <w:lang w:eastAsia="zh-CN"/>
        </w:rPr>
        <w:t>广州市</w:t>
      </w:r>
      <w:r>
        <w:rPr>
          <w:rFonts w:hint="eastAsia"/>
          <w:color w:val="auto"/>
          <w:sz w:val="24"/>
          <w:szCs w:val="24"/>
          <w:highlight w:val="none"/>
          <w:u w:val="single"/>
          <w:lang w:val="en-US" w:eastAsia="zh-CN"/>
        </w:rPr>
        <w:t>海珠区</w:t>
      </w:r>
      <w:r>
        <w:rPr>
          <w:rFonts w:hint="eastAsia"/>
          <w:color w:val="auto"/>
          <w:sz w:val="24"/>
          <w:szCs w:val="24"/>
          <w:highlight w:val="none"/>
          <w:u w:val="single"/>
          <w:lang w:eastAsia="zh-CN"/>
        </w:rPr>
        <w:t>广州大道南860号</w:t>
      </w:r>
    </w:p>
    <w:p>
      <w:pPr>
        <w:topLinePunct/>
        <w:spacing w:line="400" w:lineRule="exact"/>
        <w:ind w:firstLine="480" w:firstLineChars="200"/>
        <w:rPr>
          <w:color w:val="auto"/>
          <w:sz w:val="24"/>
          <w:szCs w:val="24"/>
          <w:highlight w:val="none"/>
        </w:rPr>
      </w:pPr>
      <w:r>
        <w:rPr>
          <w:rFonts w:hint="eastAsia"/>
          <w:color w:val="auto"/>
          <w:sz w:val="24"/>
          <w:szCs w:val="24"/>
          <w:highlight w:val="none"/>
        </w:rPr>
        <w:t>联 系 人：</w:t>
      </w:r>
      <w:r>
        <w:rPr>
          <w:rFonts w:hint="eastAsia"/>
          <w:color w:val="auto"/>
          <w:sz w:val="24"/>
          <w:szCs w:val="24"/>
          <w:highlight w:val="none"/>
          <w:u w:val="single"/>
          <w:lang w:val="en-US"/>
        </w:rPr>
        <w:t xml:space="preserve"> </w:t>
      </w:r>
      <w:r>
        <w:rPr>
          <w:rFonts w:hint="eastAsia"/>
          <w:color w:val="auto"/>
          <w:sz w:val="24"/>
          <w:szCs w:val="24"/>
          <w:highlight w:val="none"/>
          <w:u w:val="single"/>
          <w:lang w:val="en-US" w:eastAsia="zh-CN"/>
        </w:rPr>
        <w:t>陈先生</w:t>
      </w:r>
      <w:r>
        <w:rPr>
          <w:rFonts w:hint="eastAsia"/>
          <w:color w:val="auto"/>
          <w:sz w:val="24"/>
          <w:szCs w:val="24"/>
          <w:highlight w:val="none"/>
          <w:u w:val="single"/>
          <w:lang w:val="en-US"/>
        </w:rPr>
        <w:t xml:space="preserve">   </w:t>
      </w:r>
    </w:p>
    <w:p>
      <w:pPr>
        <w:topLinePunct/>
        <w:spacing w:line="400" w:lineRule="exact"/>
        <w:ind w:firstLine="480" w:firstLineChars="200"/>
        <w:rPr>
          <w:rFonts w:cs="仿宋_GB2312"/>
          <w:color w:val="auto"/>
          <w:sz w:val="24"/>
          <w:szCs w:val="24"/>
          <w:highlight w:val="none"/>
          <w:lang w:val="en-US"/>
        </w:rPr>
      </w:pPr>
      <w:r>
        <w:rPr>
          <w:rFonts w:hint="eastAsia"/>
          <w:color w:val="auto"/>
          <w:sz w:val="24"/>
          <w:szCs w:val="24"/>
          <w:highlight w:val="none"/>
        </w:rPr>
        <w:t>联系电话：</w:t>
      </w:r>
      <w:r>
        <w:rPr>
          <w:rFonts w:hint="eastAsia" w:cs="仿宋_GB2312"/>
          <w:color w:val="auto"/>
          <w:sz w:val="24"/>
          <w:szCs w:val="24"/>
          <w:highlight w:val="none"/>
          <w:u w:val="single"/>
          <w:lang w:val="en-US" w:eastAsia="zh-CN"/>
        </w:rPr>
        <w:t>020-84228871</w:t>
      </w:r>
    </w:p>
    <w:p>
      <w:pPr>
        <w:pStyle w:val="2"/>
        <w:ind w:firstLine="440"/>
        <w:rPr>
          <w:color w:val="auto"/>
          <w:highlight w:val="none"/>
        </w:rPr>
      </w:pPr>
    </w:p>
    <w:p>
      <w:pPr>
        <w:adjustRightInd w:val="0"/>
        <w:snapToGrid w:val="0"/>
        <w:spacing w:line="400" w:lineRule="exact"/>
        <w:ind w:firstLine="480" w:firstLineChars="200"/>
        <w:rPr>
          <w:rFonts w:hint="eastAsia" w:eastAsia="宋体"/>
          <w:color w:val="auto"/>
          <w:sz w:val="24"/>
          <w:szCs w:val="24"/>
          <w:highlight w:val="none"/>
          <w:u w:val="single"/>
          <w:lang w:eastAsia="zh-CN"/>
        </w:rPr>
      </w:pPr>
      <w:r>
        <w:rPr>
          <w:rFonts w:hint="eastAsia"/>
          <w:color w:val="auto"/>
          <w:sz w:val="24"/>
          <w:szCs w:val="24"/>
          <w:highlight w:val="none"/>
        </w:rPr>
        <w:t>招标代理机构：</w:t>
      </w:r>
      <w:r>
        <w:rPr>
          <w:rFonts w:hint="eastAsia"/>
          <w:color w:val="auto"/>
          <w:sz w:val="24"/>
          <w:szCs w:val="24"/>
          <w:highlight w:val="none"/>
          <w:u w:val="single"/>
          <w:lang w:val="en-US" w:eastAsia="zh-CN"/>
        </w:rPr>
        <w:t>广东建伟工程咨询有限公司</w:t>
      </w:r>
    </w:p>
    <w:p>
      <w:pPr>
        <w:adjustRightInd w:val="0"/>
        <w:snapToGrid w:val="0"/>
        <w:spacing w:line="400" w:lineRule="exact"/>
        <w:ind w:firstLine="480" w:firstLineChars="200"/>
        <w:rPr>
          <w:rFonts w:hint="eastAsia" w:eastAsia="宋体"/>
          <w:color w:val="auto"/>
          <w:sz w:val="24"/>
          <w:szCs w:val="24"/>
          <w:highlight w:val="none"/>
          <w:u w:val="single"/>
          <w:lang w:val="en-US" w:eastAsia="zh-CN"/>
        </w:rPr>
      </w:pPr>
      <w:r>
        <w:rPr>
          <w:rFonts w:hint="eastAsia"/>
          <w:color w:val="auto"/>
          <w:sz w:val="24"/>
          <w:szCs w:val="24"/>
          <w:highlight w:val="none"/>
        </w:rPr>
        <w:t>联系地址：</w:t>
      </w:r>
      <w:r>
        <w:rPr>
          <w:rFonts w:hint="eastAsia" w:cs="仿宋_GB2312"/>
          <w:color w:val="auto"/>
          <w:sz w:val="24"/>
          <w:szCs w:val="24"/>
          <w:highlight w:val="none"/>
          <w:u w:val="single"/>
          <w:lang w:eastAsia="zh-CN"/>
        </w:rPr>
        <w:t>广州市越秀区盘福路医国后街1号大院自编1号10楼</w:t>
      </w:r>
    </w:p>
    <w:p>
      <w:pPr>
        <w:adjustRightInd w:val="0"/>
        <w:snapToGrid w:val="0"/>
        <w:spacing w:line="400" w:lineRule="exact"/>
        <w:ind w:firstLine="480" w:firstLineChars="200"/>
        <w:rPr>
          <w:color w:val="auto"/>
          <w:sz w:val="24"/>
          <w:szCs w:val="24"/>
          <w:highlight w:val="none"/>
          <w:u w:val="single"/>
        </w:rPr>
      </w:pPr>
      <w:r>
        <w:rPr>
          <w:rFonts w:hint="eastAsia"/>
          <w:color w:val="auto"/>
          <w:sz w:val="24"/>
          <w:szCs w:val="24"/>
          <w:highlight w:val="none"/>
        </w:rPr>
        <w:t>联 系 人：</w:t>
      </w:r>
      <w:r>
        <w:rPr>
          <w:rFonts w:hint="eastAsia"/>
          <w:color w:val="auto"/>
          <w:sz w:val="24"/>
          <w:szCs w:val="24"/>
          <w:highlight w:val="none"/>
          <w:u w:val="single"/>
          <w:lang w:val="en-US" w:eastAsia="zh-CN"/>
        </w:rPr>
        <w:t>李工</w:t>
      </w:r>
    </w:p>
    <w:p>
      <w:pPr>
        <w:adjustRightInd w:val="0"/>
        <w:snapToGrid w:val="0"/>
        <w:spacing w:line="400" w:lineRule="exact"/>
        <w:ind w:firstLine="480" w:firstLineChars="200"/>
        <w:rPr>
          <w:rFonts w:hint="eastAsia" w:eastAsia="宋体"/>
          <w:color w:val="auto"/>
          <w:sz w:val="24"/>
          <w:szCs w:val="24"/>
          <w:highlight w:val="none"/>
          <w:u w:val="single"/>
          <w:lang w:val="en-US" w:eastAsia="zh-CN"/>
        </w:rPr>
      </w:pPr>
      <w:r>
        <w:rPr>
          <w:rFonts w:hint="eastAsia"/>
          <w:color w:val="auto"/>
          <w:sz w:val="24"/>
          <w:szCs w:val="24"/>
          <w:highlight w:val="none"/>
        </w:rPr>
        <w:t>联系电话：</w:t>
      </w:r>
      <w:r>
        <w:rPr>
          <w:rFonts w:hint="eastAsia"/>
          <w:color w:val="auto"/>
          <w:sz w:val="24"/>
          <w:szCs w:val="24"/>
          <w:highlight w:val="none"/>
          <w:u w:val="single"/>
          <w:lang w:val="en-US"/>
        </w:rPr>
        <w:t>020-83192188</w:t>
      </w:r>
    </w:p>
    <w:p>
      <w:pPr>
        <w:pStyle w:val="2"/>
        <w:ind w:firstLine="440"/>
        <w:rPr>
          <w:color w:val="auto"/>
          <w:highlight w:val="none"/>
          <w:lang w:val="en-US"/>
        </w:rPr>
      </w:pPr>
    </w:p>
    <w:p>
      <w:pPr>
        <w:spacing w:line="400" w:lineRule="exact"/>
        <w:ind w:firstLine="480" w:firstLineChars="200"/>
        <w:rPr>
          <w:rFonts w:hint="eastAsia" w:eastAsia="宋体"/>
          <w:color w:val="auto"/>
          <w:sz w:val="24"/>
          <w:szCs w:val="24"/>
          <w:highlight w:val="none"/>
          <w:lang w:eastAsia="zh-CN"/>
        </w:rPr>
      </w:pPr>
      <w:r>
        <w:rPr>
          <w:rFonts w:hint="eastAsia"/>
          <w:color w:val="auto"/>
          <w:sz w:val="24"/>
          <w:szCs w:val="24"/>
          <w:highlight w:val="none"/>
        </w:rPr>
        <w:t>异议受理部门：</w:t>
      </w:r>
      <w:r>
        <w:rPr>
          <w:rFonts w:hint="eastAsia"/>
          <w:color w:val="auto"/>
          <w:sz w:val="24"/>
          <w:szCs w:val="24"/>
          <w:highlight w:val="none"/>
          <w:u w:val="single"/>
          <w:lang w:val="en-US" w:eastAsia="zh-CN"/>
        </w:rPr>
        <w:t>广东省环境辐射监测中心</w:t>
      </w:r>
    </w:p>
    <w:p>
      <w:pPr>
        <w:spacing w:line="400" w:lineRule="exact"/>
        <w:ind w:firstLine="480" w:firstLineChars="200"/>
        <w:rPr>
          <w:rFonts w:hint="eastAsia" w:eastAsia="宋体"/>
          <w:color w:val="auto"/>
          <w:sz w:val="24"/>
          <w:szCs w:val="24"/>
          <w:highlight w:val="none"/>
          <w:lang w:eastAsia="zh-CN"/>
        </w:rPr>
      </w:pPr>
      <w:r>
        <w:rPr>
          <w:rFonts w:hint="eastAsia"/>
          <w:color w:val="auto"/>
          <w:sz w:val="24"/>
          <w:szCs w:val="24"/>
          <w:highlight w:val="none"/>
        </w:rPr>
        <w:t>联系地址：</w:t>
      </w:r>
      <w:r>
        <w:rPr>
          <w:rFonts w:hint="eastAsia"/>
          <w:color w:val="auto"/>
          <w:sz w:val="24"/>
          <w:szCs w:val="24"/>
          <w:highlight w:val="none"/>
          <w:u w:val="single"/>
          <w:lang w:eastAsia="zh-CN"/>
        </w:rPr>
        <w:t>广州市</w:t>
      </w:r>
      <w:r>
        <w:rPr>
          <w:rFonts w:hint="eastAsia"/>
          <w:color w:val="auto"/>
          <w:sz w:val="24"/>
          <w:szCs w:val="24"/>
          <w:highlight w:val="none"/>
          <w:u w:val="single"/>
          <w:lang w:val="en-US" w:eastAsia="zh-CN"/>
        </w:rPr>
        <w:t>海珠区</w:t>
      </w:r>
      <w:r>
        <w:rPr>
          <w:rFonts w:hint="eastAsia"/>
          <w:color w:val="auto"/>
          <w:sz w:val="24"/>
          <w:szCs w:val="24"/>
          <w:highlight w:val="none"/>
          <w:u w:val="single"/>
          <w:lang w:eastAsia="zh-CN"/>
        </w:rPr>
        <w:t>广州大道南860号</w:t>
      </w:r>
    </w:p>
    <w:p>
      <w:pPr>
        <w:topLinePunct/>
        <w:spacing w:line="400" w:lineRule="exact"/>
        <w:ind w:firstLine="480" w:firstLineChars="200"/>
        <w:rPr>
          <w:color w:val="auto"/>
          <w:sz w:val="24"/>
          <w:szCs w:val="24"/>
          <w:highlight w:val="none"/>
        </w:rPr>
      </w:pPr>
      <w:r>
        <w:rPr>
          <w:rFonts w:hint="eastAsia"/>
          <w:color w:val="auto"/>
          <w:sz w:val="24"/>
          <w:szCs w:val="24"/>
          <w:highlight w:val="none"/>
        </w:rPr>
        <w:t>联 系 人：</w:t>
      </w:r>
      <w:r>
        <w:rPr>
          <w:rFonts w:hint="eastAsia"/>
          <w:color w:val="auto"/>
          <w:sz w:val="24"/>
          <w:szCs w:val="24"/>
          <w:highlight w:val="none"/>
          <w:u w:val="single"/>
          <w:lang w:val="en-US"/>
        </w:rPr>
        <w:t xml:space="preserve"> </w:t>
      </w:r>
      <w:r>
        <w:rPr>
          <w:rFonts w:hint="eastAsia"/>
          <w:color w:val="auto"/>
          <w:sz w:val="24"/>
          <w:szCs w:val="24"/>
          <w:highlight w:val="none"/>
          <w:u w:val="single"/>
          <w:lang w:val="en-US" w:eastAsia="zh-CN"/>
        </w:rPr>
        <w:t>陈先生</w:t>
      </w:r>
      <w:r>
        <w:rPr>
          <w:rFonts w:hint="eastAsia"/>
          <w:color w:val="auto"/>
          <w:sz w:val="24"/>
          <w:szCs w:val="24"/>
          <w:highlight w:val="none"/>
          <w:u w:val="single"/>
          <w:lang w:val="en-US"/>
        </w:rPr>
        <w:t xml:space="preserve">   </w:t>
      </w:r>
    </w:p>
    <w:p>
      <w:pPr>
        <w:topLinePunct/>
        <w:spacing w:line="400" w:lineRule="exact"/>
        <w:ind w:firstLine="480" w:firstLineChars="200"/>
        <w:rPr>
          <w:color w:val="auto"/>
          <w:sz w:val="24"/>
          <w:szCs w:val="24"/>
          <w:highlight w:val="none"/>
          <w:u w:val="single"/>
          <w:lang w:val="en-US"/>
        </w:rPr>
      </w:pPr>
      <w:r>
        <w:rPr>
          <w:rFonts w:hint="eastAsia"/>
          <w:color w:val="auto"/>
          <w:sz w:val="24"/>
          <w:szCs w:val="24"/>
          <w:highlight w:val="none"/>
        </w:rPr>
        <w:t>联系电话：</w:t>
      </w:r>
      <w:r>
        <w:rPr>
          <w:rFonts w:hint="eastAsia" w:cs="仿宋_GB2312"/>
          <w:color w:val="auto"/>
          <w:sz w:val="24"/>
          <w:szCs w:val="24"/>
          <w:highlight w:val="none"/>
          <w:u w:val="single"/>
          <w:lang w:val="en-US" w:eastAsia="zh-CN"/>
        </w:rPr>
        <w:t>020-84228871</w:t>
      </w:r>
    </w:p>
    <w:p>
      <w:pPr>
        <w:pStyle w:val="2"/>
        <w:ind w:firstLine="440"/>
        <w:rPr>
          <w:color w:val="auto"/>
          <w:highlight w:val="none"/>
        </w:rPr>
      </w:pPr>
    </w:p>
    <w:p>
      <w:pPr>
        <w:spacing w:line="400" w:lineRule="exact"/>
        <w:ind w:firstLine="480" w:firstLineChars="200"/>
        <w:rPr>
          <w:color w:val="auto"/>
          <w:sz w:val="24"/>
          <w:szCs w:val="24"/>
          <w:highlight w:val="none"/>
        </w:rPr>
      </w:pPr>
      <w:r>
        <w:rPr>
          <w:rFonts w:hint="eastAsia"/>
          <w:color w:val="auto"/>
          <w:sz w:val="24"/>
          <w:szCs w:val="24"/>
          <w:highlight w:val="none"/>
        </w:rPr>
        <w:t>招标监督机构：</w:t>
      </w:r>
      <w:r>
        <w:rPr>
          <w:rFonts w:hint="eastAsia"/>
          <w:color w:val="auto"/>
          <w:sz w:val="24"/>
          <w:szCs w:val="24"/>
          <w:highlight w:val="none"/>
          <w:u w:val="single"/>
          <w:lang w:val="en-US" w:eastAsia="zh-CN"/>
        </w:rPr>
        <w:t>汕尾市住房和城乡建设局</w:t>
      </w:r>
    </w:p>
    <w:p>
      <w:pPr>
        <w:spacing w:line="400" w:lineRule="exact"/>
        <w:ind w:firstLine="480" w:firstLineChars="200"/>
        <w:rPr>
          <w:rFonts w:hint="eastAsia" w:eastAsia="宋体"/>
          <w:color w:val="auto"/>
          <w:sz w:val="24"/>
          <w:szCs w:val="24"/>
          <w:highlight w:val="none"/>
          <w:u w:val="single"/>
          <w:lang w:val="en-US" w:eastAsia="zh-CN"/>
        </w:rPr>
      </w:pPr>
      <w:r>
        <w:rPr>
          <w:rFonts w:hint="eastAsia"/>
          <w:color w:val="auto"/>
          <w:sz w:val="24"/>
          <w:szCs w:val="24"/>
          <w:highlight w:val="none"/>
        </w:rPr>
        <w:t>监督电话：</w:t>
      </w:r>
      <w:r>
        <w:rPr>
          <w:rFonts w:hint="eastAsia"/>
          <w:color w:val="auto"/>
          <w:sz w:val="24"/>
          <w:szCs w:val="24"/>
          <w:highlight w:val="none"/>
          <w:u w:val="single"/>
          <w:lang w:val="en-US" w:eastAsia="zh-CN"/>
        </w:rPr>
        <w:t>0660-3325659</w:t>
      </w:r>
    </w:p>
    <w:sectPr>
      <w:footerReference r:id="rId3" w:type="default"/>
      <w:pgSz w:w="11906" w:h="16838"/>
      <w:pgMar w:top="1440" w:right="1080" w:bottom="1440" w:left="108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roid Sans">
    <w:altName w:val="微软雅黑"/>
    <w:panose1 w:val="00000000000000000000"/>
    <w:charset w:val="00"/>
    <w:family w:val="auto"/>
    <w:pitch w:val="default"/>
    <w:sig w:usb0="00000000" w:usb1="00000000" w:usb2="00000000" w:usb3="00000000" w:csb0="00040001" w:csb1="00000000"/>
  </w:font>
  <w:font w:name="Microsoft JhengHei">
    <w:panose1 w:val="020B0604030504040204"/>
    <w:charset w:val="88"/>
    <w:family w:val="swiss"/>
    <w:pitch w:val="default"/>
    <w:sig w:usb0="000002A7" w:usb1="28CF4400" w:usb2="00000016" w:usb3="00000000" w:csb0="00100009" w:csb1="00000000"/>
  </w:font>
  <w:font w:name="方正书宋简体">
    <w:altName w:val="宋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jYjM0NWIzYjdmMmU1OWFmMjI2NjMyZjU5OWUwZjcifQ=="/>
  </w:docVars>
  <w:rsids>
    <w:rsidRoot w:val="35D10437"/>
    <w:rsid w:val="000142E9"/>
    <w:rsid w:val="00107819"/>
    <w:rsid w:val="001D7B36"/>
    <w:rsid w:val="00200DDC"/>
    <w:rsid w:val="002A64CE"/>
    <w:rsid w:val="00366933"/>
    <w:rsid w:val="003727E4"/>
    <w:rsid w:val="003F1C31"/>
    <w:rsid w:val="00441C78"/>
    <w:rsid w:val="004D2DF8"/>
    <w:rsid w:val="006312F2"/>
    <w:rsid w:val="006867CA"/>
    <w:rsid w:val="0073657B"/>
    <w:rsid w:val="00764FA1"/>
    <w:rsid w:val="007C4D85"/>
    <w:rsid w:val="0092788F"/>
    <w:rsid w:val="009823FF"/>
    <w:rsid w:val="009C20A2"/>
    <w:rsid w:val="00A04659"/>
    <w:rsid w:val="00B22115"/>
    <w:rsid w:val="00B62009"/>
    <w:rsid w:val="00BA7635"/>
    <w:rsid w:val="00BE4496"/>
    <w:rsid w:val="00C47CBF"/>
    <w:rsid w:val="00C84E19"/>
    <w:rsid w:val="00C945D5"/>
    <w:rsid w:val="00CC73FB"/>
    <w:rsid w:val="00CD4D3F"/>
    <w:rsid w:val="00D26F49"/>
    <w:rsid w:val="00D27B08"/>
    <w:rsid w:val="00DB1403"/>
    <w:rsid w:val="00F32F6A"/>
    <w:rsid w:val="00F57ED7"/>
    <w:rsid w:val="00F60FBC"/>
    <w:rsid w:val="00F94EBE"/>
    <w:rsid w:val="02D67634"/>
    <w:rsid w:val="02EA6044"/>
    <w:rsid w:val="04AA1CCB"/>
    <w:rsid w:val="079A46C0"/>
    <w:rsid w:val="087B6AF2"/>
    <w:rsid w:val="0A633488"/>
    <w:rsid w:val="0DF9618E"/>
    <w:rsid w:val="0E4F7C80"/>
    <w:rsid w:val="0E871743"/>
    <w:rsid w:val="0EEB38B8"/>
    <w:rsid w:val="0EEC1973"/>
    <w:rsid w:val="108D45B8"/>
    <w:rsid w:val="111E001A"/>
    <w:rsid w:val="11293AD9"/>
    <w:rsid w:val="13AF2F6F"/>
    <w:rsid w:val="151A5B41"/>
    <w:rsid w:val="15391CA5"/>
    <w:rsid w:val="15AF0B8A"/>
    <w:rsid w:val="16816E34"/>
    <w:rsid w:val="17377902"/>
    <w:rsid w:val="17630EA3"/>
    <w:rsid w:val="17B20BC2"/>
    <w:rsid w:val="17CF0DD1"/>
    <w:rsid w:val="18151DAE"/>
    <w:rsid w:val="186B3909"/>
    <w:rsid w:val="18777F51"/>
    <w:rsid w:val="1C3D09EF"/>
    <w:rsid w:val="1C711ACC"/>
    <w:rsid w:val="1EA41923"/>
    <w:rsid w:val="203E3F67"/>
    <w:rsid w:val="20684DD7"/>
    <w:rsid w:val="217F568E"/>
    <w:rsid w:val="21A5084E"/>
    <w:rsid w:val="22752927"/>
    <w:rsid w:val="229774ED"/>
    <w:rsid w:val="22FF5C6C"/>
    <w:rsid w:val="240F029B"/>
    <w:rsid w:val="24313FEF"/>
    <w:rsid w:val="24622997"/>
    <w:rsid w:val="25145128"/>
    <w:rsid w:val="25276E09"/>
    <w:rsid w:val="257E4CCA"/>
    <w:rsid w:val="26927F61"/>
    <w:rsid w:val="29DB3466"/>
    <w:rsid w:val="2A2335F4"/>
    <w:rsid w:val="2A2B739C"/>
    <w:rsid w:val="2BC559DD"/>
    <w:rsid w:val="2C0B5E13"/>
    <w:rsid w:val="2C316584"/>
    <w:rsid w:val="2C370B80"/>
    <w:rsid w:val="2D3946AD"/>
    <w:rsid w:val="2EF25311"/>
    <w:rsid w:val="2FC20F7C"/>
    <w:rsid w:val="2FCB143A"/>
    <w:rsid w:val="30215EF3"/>
    <w:rsid w:val="307112DB"/>
    <w:rsid w:val="31364A8F"/>
    <w:rsid w:val="314358A9"/>
    <w:rsid w:val="33D92027"/>
    <w:rsid w:val="34D41166"/>
    <w:rsid w:val="34E9396E"/>
    <w:rsid w:val="35D10437"/>
    <w:rsid w:val="36201D7F"/>
    <w:rsid w:val="372C45FE"/>
    <w:rsid w:val="37323E61"/>
    <w:rsid w:val="37DC1F39"/>
    <w:rsid w:val="38254BEB"/>
    <w:rsid w:val="389D1F35"/>
    <w:rsid w:val="38B85D39"/>
    <w:rsid w:val="38D27B44"/>
    <w:rsid w:val="39002E1F"/>
    <w:rsid w:val="3A595FB3"/>
    <w:rsid w:val="3C1C6307"/>
    <w:rsid w:val="3C243C4B"/>
    <w:rsid w:val="3C8C72BA"/>
    <w:rsid w:val="3D0A15D5"/>
    <w:rsid w:val="3E437332"/>
    <w:rsid w:val="3EB85C4C"/>
    <w:rsid w:val="3EFE464C"/>
    <w:rsid w:val="3F0E44BF"/>
    <w:rsid w:val="3F283D71"/>
    <w:rsid w:val="3FE856B7"/>
    <w:rsid w:val="40F12E3B"/>
    <w:rsid w:val="42765112"/>
    <w:rsid w:val="431D0F1C"/>
    <w:rsid w:val="43BD33E2"/>
    <w:rsid w:val="442D5105"/>
    <w:rsid w:val="45461D96"/>
    <w:rsid w:val="45A333B2"/>
    <w:rsid w:val="4645313C"/>
    <w:rsid w:val="4713413E"/>
    <w:rsid w:val="478260E2"/>
    <w:rsid w:val="47C07D65"/>
    <w:rsid w:val="48A64A8A"/>
    <w:rsid w:val="49631002"/>
    <w:rsid w:val="49964873"/>
    <w:rsid w:val="499A554C"/>
    <w:rsid w:val="4A98446A"/>
    <w:rsid w:val="4B0A6048"/>
    <w:rsid w:val="4C4D1D40"/>
    <w:rsid w:val="4E6D1102"/>
    <w:rsid w:val="520E518D"/>
    <w:rsid w:val="529B5343"/>
    <w:rsid w:val="52A65B43"/>
    <w:rsid w:val="535C564C"/>
    <w:rsid w:val="552B64E3"/>
    <w:rsid w:val="55747599"/>
    <w:rsid w:val="55F7681C"/>
    <w:rsid w:val="561F520A"/>
    <w:rsid w:val="562F0831"/>
    <w:rsid w:val="568E0E83"/>
    <w:rsid w:val="5A3C4A35"/>
    <w:rsid w:val="5A4E7F71"/>
    <w:rsid w:val="5BB15C39"/>
    <w:rsid w:val="5BD6030A"/>
    <w:rsid w:val="5BDB5D5F"/>
    <w:rsid w:val="5D2673CB"/>
    <w:rsid w:val="5DC24A12"/>
    <w:rsid w:val="5E487A94"/>
    <w:rsid w:val="5F8D341C"/>
    <w:rsid w:val="61733C2F"/>
    <w:rsid w:val="62F06813"/>
    <w:rsid w:val="63F36145"/>
    <w:rsid w:val="63F8714F"/>
    <w:rsid w:val="63FA62EF"/>
    <w:rsid w:val="643E4FFA"/>
    <w:rsid w:val="65DB2A07"/>
    <w:rsid w:val="65E802E6"/>
    <w:rsid w:val="668D3F6F"/>
    <w:rsid w:val="67537048"/>
    <w:rsid w:val="676344B0"/>
    <w:rsid w:val="68B65545"/>
    <w:rsid w:val="69231D99"/>
    <w:rsid w:val="6983599F"/>
    <w:rsid w:val="698711F2"/>
    <w:rsid w:val="69A61752"/>
    <w:rsid w:val="69CE0EEC"/>
    <w:rsid w:val="6AB274B4"/>
    <w:rsid w:val="6BAE7E83"/>
    <w:rsid w:val="6C944351"/>
    <w:rsid w:val="6D5C27CA"/>
    <w:rsid w:val="6DFF6DF1"/>
    <w:rsid w:val="6F143538"/>
    <w:rsid w:val="6F931F3D"/>
    <w:rsid w:val="71345DDC"/>
    <w:rsid w:val="71CB5BE5"/>
    <w:rsid w:val="72AB5BDE"/>
    <w:rsid w:val="73251E07"/>
    <w:rsid w:val="73BA3A13"/>
    <w:rsid w:val="74191821"/>
    <w:rsid w:val="752540DA"/>
    <w:rsid w:val="755D75D1"/>
    <w:rsid w:val="759F24AC"/>
    <w:rsid w:val="769E4807"/>
    <w:rsid w:val="76E279E4"/>
    <w:rsid w:val="770825B0"/>
    <w:rsid w:val="771A56F5"/>
    <w:rsid w:val="77835A9F"/>
    <w:rsid w:val="78323BB7"/>
    <w:rsid w:val="784C2F6A"/>
    <w:rsid w:val="784C4C59"/>
    <w:rsid w:val="79E74373"/>
    <w:rsid w:val="7A5B74BD"/>
    <w:rsid w:val="7A9002EB"/>
    <w:rsid w:val="7ADC7DA0"/>
    <w:rsid w:val="7C310469"/>
    <w:rsid w:val="7C6C70F3"/>
    <w:rsid w:val="7C756A23"/>
    <w:rsid w:val="7CC0027B"/>
    <w:rsid w:val="7D133070"/>
    <w:rsid w:val="7D51487A"/>
    <w:rsid w:val="7DD34466"/>
    <w:rsid w:val="7DD77851"/>
    <w:rsid w:val="7E226FD5"/>
    <w:rsid w:val="7F1A7867"/>
    <w:rsid w:val="7F335FF7"/>
    <w:rsid w:val="7F633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Droid Sans" w:hAnsi="Droid Sans" w:eastAsia="宋体" w:cs="Droid Sans"/>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line="702" w:lineRule="exact"/>
      <w:ind w:right="457"/>
      <w:jc w:val="center"/>
      <w:outlineLvl w:val="0"/>
    </w:pPr>
    <w:rPr>
      <w:rFonts w:ascii="Microsoft JhengHei" w:hAnsi="Microsoft JhengHei" w:eastAsia="Microsoft JhengHei" w:cs="Microsoft JhengHei"/>
      <w:b/>
      <w:bCs/>
      <w:sz w:val="44"/>
      <w:szCs w:val="44"/>
    </w:rPr>
  </w:style>
  <w:style w:type="paragraph" w:styleId="4">
    <w:name w:val="heading 2"/>
    <w:basedOn w:val="1"/>
    <w:next w:val="1"/>
    <w:qFormat/>
    <w:uiPriority w:val="1"/>
    <w:pPr>
      <w:ind w:left="641" w:hanging="402"/>
      <w:outlineLvl w:val="1"/>
    </w:pPr>
    <w:rPr>
      <w:rFonts w:ascii="Microsoft JhengHei" w:hAnsi="Microsoft JhengHei" w:eastAsia="Microsoft JhengHei" w:cs="Microsoft JhengHei"/>
      <w:b/>
      <w:bCs/>
      <w:sz w:val="32"/>
      <w:szCs w:val="32"/>
    </w:rPr>
  </w:style>
  <w:style w:type="character" w:default="1" w:styleId="10">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首行缩进"/>
    <w:basedOn w:val="1"/>
    <w:qFormat/>
    <w:uiPriority w:val="0"/>
    <w:pPr>
      <w:spacing w:line="300" w:lineRule="auto"/>
      <w:ind w:firstLine="420" w:firstLineChars="200"/>
    </w:pPr>
    <w:rPr>
      <w:rFonts w:eastAsia="方正书宋简体"/>
      <w:szCs w:val="20"/>
    </w:rPr>
  </w:style>
  <w:style w:type="paragraph" w:styleId="5">
    <w:name w:val="Normal Indent"/>
    <w:basedOn w:val="1"/>
    <w:unhideWhenUsed/>
    <w:qFormat/>
    <w:uiPriority w:val="99"/>
    <w:pPr>
      <w:ind w:firstLine="420"/>
    </w:pPr>
    <w:rPr>
      <w:szCs w:val="24"/>
    </w:rPr>
  </w:style>
  <w:style w:type="paragraph" w:styleId="6">
    <w:name w:val="annotation text"/>
    <w:basedOn w:val="1"/>
    <w:qFormat/>
    <w:uiPriority w:val="0"/>
    <w:rPr>
      <w:sz w:val="30"/>
    </w:rPr>
  </w:style>
  <w:style w:type="paragraph" w:styleId="7">
    <w:name w:val="Body Text"/>
    <w:basedOn w:val="1"/>
    <w:qFormat/>
    <w:uiPriority w:val="1"/>
    <w:rPr>
      <w:sz w:val="21"/>
      <w:szCs w:val="21"/>
    </w:rPr>
  </w:style>
  <w:style w:type="paragraph" w:styleId="8">
    <w:name w:val="footer"/>
    <w:basedOn w:val="1"/>
    <w:qFormat/>
    <w:uiPriority w:val="0"/>
    <w:pPr>
      <w:tabs>
        <w:tab w:val="center" w:pos="4153"/>
        <w:tab w:val="right" w:pos="8306"/>
      </w:tabs>
      <w:snapToGrid w:val="0"/>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character" w:styleId="11">
    <w:name w:val="Hyperlink"/>
    <w:basedOn w:val="10"/>
    <w:qFormat/>
    <w:uiPriority w:val="0"/>
    <w:rPr>
      <w:color w:val="0000FF"/>
      <w:u w:val="single"/>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14">
    <w:name w:val="List Paragraph"/>
    <w:basedOn w:val="1"/>
    <w:qFormat/>
    <w:uiPriority w:val="1"/>
    <w:pPr>
      <w:ind w:left="240" w:firstLine="419"/>
    </w:pPr>
  </w:style>
  <w:style w:type="paragraph" w:customStyle="1" w:styleId="15">
    <w:name w:val="文一"/>
    <w:basedOn w:val="1"/>
    <w:qFormat/>
    <w:uiPriority w:val="99"/>
    <w:pPr>
      <w:topLinePunct/>
      <w:adjustRightInd w:val="0"/>
      <w:snapToGrid w:val="0"/>
      <w:spacing w:line="360" w:lineRule="auto"/>
      <w:ind w:firstLine="200" w:firstLineChars="200"/>
    </w:pPr>
    <w:rPr>
      <w:rFonts w:ascii="Times New Roman" w:hAnsi="Times New Roman" w:cs="Times New Roman"/>
      <w:spacing w:val="4"/>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2796</Words>
  <Characters>3214</Characters>
  <Lines>32</Lines>
  <Paragraphs>9</Paragraphs>
  <TotalTime>1</TotalTime>
  <ScaleCrop>false</ScaleCrop>
  <LinksUpToDate>false</LinksUpToDate>
  <CharactersWithSpaces>3335</CharactersWithSpaces>
  <Application>WPS Office_10.1.0.7311_F1E327BC-269C-435d-A152-05C5408002CA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2021-04-02T03:43:00Z</dcterms:created>
  <dc:creator>Administrator</dc:creator>
  <cp:lastModifiedBy>广东省环境辐射监测中心许维冰</cp:lastModifiedBy>
  <dcterms:modified xsi:type="dcterms:W3CDTF">2023-09-07T06:56:58Z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2052-10.1.0.7311</vt:lpwstr>
  </property>
  <property fmtid="{D5CDD505-2E9C-101B-9397-08002B2CF9AE}" pid="3" name="ICV">
    <vt:lpwstr>29E7ACC2CBD64F6C90333DB0B59B93B5_13</vt:lpwstr>
  </property>
</Properties>
</file>