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567" w:leftChars="-270" w:right="-624" w:rightChars="-297"/>
        <w:jc w:val="center"/>
        <w:rPr>
          <w:rFonts w:ascii="宋体" w:hAnsi="宋体" w:cs="宋体"/>
          <w:b/>
          <w:color w:val="auto"/>
          <w:kern w:val="2"/>
          <w:sz w:val="52"/>
          <w:szCs w:val="48"/>
          <w:highlight w:val="none"/>
        </w:rPr>
      </w:pPr>
    </w:p>
    <w:p>
      <w:pPr>
        <w:jc w:val="center"/>
        <w:rPr>
          <w:rFonts w:hint="eastAsia" w:eastAsia="宋体"/>
          <w:color w:val="auto"/>
          <w:highlight w:val="none"/>
          <w:lang w:eastAsia="zh-CN"/>
        </w:rPr>
      </w:pPr>
      <w:r>
        <w:rPr>
          <w:rFonts w:hint="eastAsia" w:cs="宋体"/>
          <w:b/>
          <w:color w:val="auto"/>
          <w:kern w:val="2"/>
          <w:sz w:val="48"/>
          <w:szCs w:val="48"/>
          <w:highlight w:val="none"/>
          <w:lang w:val="en-US" w:eastAsia="zh-CN"/>
        </w:rPr>
        <w:t>广东省环境辐射监测中心粤东分部工程勘察设计施工总承包（EPC）</w:t>
      </w:r>
    </w:p>
    <w:p>
      <w:pPr>
        <w:pStyle w:val="40"/>
        <w:rPr>
          <w:rFonts w:hint="default"/>
          <w:color w:val="auto"/>
          <w:highlight w:val="none"/>
        </w:rPr>
      </w:pPr>
    </w:p>
    <w:p>
      <w:pPr>
        <w:rPr>
          <w:color w:val="auto"/>
          <w:highlight w:val="none"/>
        </w:rPr>
      </w:pPr>
    </w:p>
    <w:p>
      <w:pPr>
        <w:pStyle w:val="40"/>
        <w:rPr>
          <w:rFonts w:hint="default"/>
          <w:color w:val="auto"/>
          <w:highlight w:val="none"/>
        </w:rPr>
      </w:pPr>
    </w:p>
    <w:p>
      <w:pPr>
        <w:rPr>
          <w:color w:val="auto"/>
          <w:highlight w:val="none"/>
        </w:rPr>
      </w:pPr>
    </w:p>
    <w:p>
      <w:pPr>
        <w:rPr>
          <w:color w:val="auto"/>
          <w:highlight w:val="none"/>
        </w:rPr>
      </w:pPr>
    </w:p>
    <w:p>
      <w:pPr>
        <w:pStyle w:val="18"/>
        <w:spacing w:line="360" w:lineRule="auto"/>
        <w:rPr>
          <w:color w:val="auto"/>
          <w:highlight w:val="none"/>
        </w:rPr>
      </w:pPr>
    </w:p>
    <w:p>
      <w:pPr>
        <w:pStyle w:val="18"/>
        <w:spacing w:line="360" w:lineRule="auto"/>
        <w:rPr>
          <w:color w:val="auto"/>
          <w:highlight w:val="none"/>
        </w:rPr>
      </w:pPr>
    </w:p>
    <w:p>
      <w:pPr>
        <w:spacing w:line="360" w:lineRule="auto"/>
        <w:jc w:val="center"/>
        <w:rPr>
          <w:rFonts w:ascii="宋体" w:hAnsi="宋体" w:cs="宋体"/>
          <w:color w:val="auto"/>
          <w:kern w:val="1"/>
          <w:sz w:val="84"/>
          <w:szCs w:val="84"/>
          <w:highlight w:val="none"/>
        </w:rPr>
      </w:pPr>
      <w:r>
        <w:rPr>
          <w:rFonts w:hint="eastAsia" w:ascii="宋体" w:hAnsi="宋体" w:cs="宋体"/>
          <w:b/>
          <w:bCs/>
          <w:color w:val="auto"/>
          <w:kern w:val="1"/>
          <w:sz w:val="84"/>
          <w:szCs w:val="84"/>
          <w:highlight w:val="none"/>
        </w:rPr>
        <w:t>招 标 文 件</w:t>
      </w:r>
    </w:p>
    <w:p>
      <w:pPr>
        <w:spacing w:line="360" w:lineRule="auto"/>
        <w:jc w:val="center"/>
        <w:rPr>
          <w:rFonts w:ascii="宋体" w:hAnsi="宋体" w:cs="宋体"/>
          <w:color w:val="auto"/>
          <w:kern w:val="1"/>
          <w:sz w:val="32"/>
          <w:szCs w:val="32"/>
          <w:highlight w:val="none"/>
        </w:rPr>
      </w:pPr>
    </w:p>
    <w:p>
      <w:pPr>
        <w:pStyle w:val="40"/>
        <w:rPr>
          <w:rFonts w:hint="default"/>
          <w:color w:val="auto"/>
          <w:highlight w:val="none"/>
        </w:rPr>
      </w:pPr>
    </w:p>
    <w:p>
      <w:pPr>
        <w:rPr>
          <w:color w:val="auto"/>
          <w:highlight w:val="none"/>
        </w:rPr>
      </w:pPr>
    </w:p>
    <w:p>
      <w:pPr>
        <w:pStyle w:val="18"/>
        <w:spacing w:line="360" w:lineRule="auto"/>
        <w:rPr>
          <w:color w:val="auto"/>
          <w:highlight w:val="none"/>
        </w:rPr>
      </w:pPr>
    </w:p>
    <w:p>
      <w:pPr>
        <w:spacing w:line="360" w:lineRule="auto"/>
        <w:rPr>
          <w:rFonts w:ascii="宋体" w:hAnsi="宋体" w:cs="宋体"/>
          <w:color w:val="auto"/>
          <w:kern w:val="1"/>
          <w:highlight w:val="none"/>
        </w:rPr>
      </w:pPr>
    </w:p>
    <w:p>
      <w:pPr>
        <w:pStyle w:val="18"/>
        <w:rPr>
          <w:color w:val="auto"/>
          <w:highlight w:val="none"/>
          <w:lang w:val="en-US"/>
        </w:rPr>
      </w:pPr>
    </w:p>
    <w:p>
      <w:pPr>
        <w:pStyle w:val="18"/>
        <w:rPr>
          <w:color w:val="auto"/>
          <w:highlight w:val="none"/>
          <w:lang w:val="en-US"/>
        </w:rPr>
      </w:pPr>
    </w:p>
    <w:p>
      <w:pPr>
        <w:pStyle w:val="18"/>
        <w:rPr>
          <w:color w:val="auto"/>
          <w:highlight w:val="none"/>
          <w:lang w:val="en-US"/>
        </w:rPr>
      </w:pPr>
    </w:p>
    <w:p>
      <w:pPr>
        <w:pStyle w:val="18"/>
        <w:rPr>
          <w:color w:val="auto"/>
          <w:highlight w:val="none"/>
          <w:lang w:val="en-US"/>
        </w:rPr>
      </w:pPr>
    </w:p>
    <w:p>
      <w:pPr>
        <w:spacing w:line="480" w:lineRule="auto"/>
        <w:ind w:firstLine="707" w:firstLineChars="220"/>
        <w:rPr>
          <w:rFonts w:hint="eastAsia" w:ascii="宋体" w:hAnsi="宋体" w:eastAsia="宋体" w:cs="宋体"/>
          <w:b/>
          <w:color w:val="auto"/>
          <w:kern w:val="1"/>
          <w:sz w:val="32"/>
          <w:szCs w:val="32"/>
          <w:highlight w:val="none"/>
          <w:lang w:eastAsia="zh-CN"/>
        </w:rPr>
      </w:pPr>
      <w:r>
        <w:rPr>
          <w:rFonts w:hint="eastAsia" w:ascii="宋体" w:hAnsi="宋体" w:cs="宋体"/>
          <w:b/>
          <w:color w:val="auto"/>
          <w:kern w:val="1"/>
          <w:sz w:val="32"/>
          <w:szCs w:val="32"/>
          <w:highlight w:val="none"/>
        </w:rPr>
        <w:t>招   标   人：</w:t>
      </w:r>
      <w:r>
        <w:rPr>
          <w:rFonts w:hint="eastAsia" w:ascii="宋体" w:hAnsi="宋体" w:cs="宋体"/>
          <w:b/>
          <w:color w:val="auto"/>
          <w:kern w:val="1"/>
          <w:sz w:val="32"/>
          <w:szCs w:val="32"/>
          <w:highlight w:val="none"/>
          <w:lang w:eastAsia="zh-CN"/>
        </w:rPr>
        <w:t>广东省环境辐射监测中心</w:t>
      </w:r>
    </w:p>
    <w:p>
      <w:pPr>
        <w:spacing w:line="480" w:lineRule="auto"/>
        <w:ind w:firstLine="707" w:firstLineChars="220"/>
        <w:rPr>
          <w:rFonts w:hint="eastAsia" w:ascii="宋体" w:hAnsi="宋体" w:eastAsia="宋体" w:cs="宋体"/>
          <w:b/>
          <w:color w:val="auto"/>
          <w:kern w:val="1"/>
          <w:sz w:val="32"/>
          <w:szCs w:val="32"/>
          <w:highlight w:val="none"/>
          <w:lang w:eastAsia="zh-CN"/>
        </w:rPr>
      </w:pPr>
      <w:bookmarkStart w:id="0" w:name="_Hlk69809718"/>
      <w:r>
        <w:rPr>
          <w:rFonts w:hint="eastAsia" w:ascii="宋体" w:hAnsi="宋体" w:cs="宋体"/>
          <w:b/>
          <w:color w:val="auto"/>
          <w:kern w:val="1"/>
          <w:sz w:val="32"/>
          <w:szCs w:val="32"/>
          <w:highlight w:val="none"/>
        </w:rPr>
        <w:t>招标代理机构：</w:t>
      </w:r>
      <w:bookmarkEnd w:id="0"/>
      <w:r>
        <w:rPr>
          <w:rFonts w:hint="eastAsia" w:ascii="宋体" w:hAnsi="宋体" w:cs="宋体"/>
          <w:b/>
          <w:color w:val="auto"/>
          <w:kern w:val="1"/>
          <w:sz w:val="32"/>
          <w:szCs w:val="32"/>
          <w:highlight w:val="none"/>
          <w:lang w:eastAsia="zh-CN"/>
        </w:rPr>
        <w:t>广东建伟工程咨询有限公司</w:t>
      </w:r>
    </w:p>
    <w:p>
      <w:pPr>
        <w:pStyle w:val="31"/>
        <w:ind w:firstLine="643" w:firstLineChars="200"/>
        <w:rPr>
          <w:rFonts w:hint="eastAsia" w:ascii="宋体" w:hAnsi="宋体" w:eastAsia="宋体" w:cs="宋体"/>
          <w:b/>
          <w:color w:val="auto"/>
          <w:kern w:val="1"/>
          <w:sz w:val="32"/>
          <w:szCs w:val="32"/>
          <w:highlight w:val="none"/>
          <w:lang w:eastAsia="zh-CN"/>
        </w:rPr>
      </w:pPr>
      <w:r>
        <w:rPr>
          <w:rFonts w:hint="eastAsia" w:ascii="宋体" w:hAnsi="宋体" w:cs="宋体"/>
          <w:b/>
          <w:color w:val="auto"/>
          <w:kern w:val="2"/>
          <w:sz w:val="32"/>
          <w:szCs w:val="32"/>
          <w:highlight w:val="none"/>
        </w:rPr>
        <w:t xml:space="preserve">日 </w:t>
      </w:r>
      <w:r>
        <w:rPr>
          <w:rFonts w:ascii="宋体" w:hAnsi="宋体" w:cs="宋体"/>
          <w:b/>
          <w:color w:val="auto"/>
          <w:kern w:val="2"/>
          <w:sz w:val="32"/>
          <w:szCs w:val="32"/>
          <w:highlight w:val="none"/>
        </w:rPr>
        <w:t xml:space="preserve">       </w:t>
      </w:r>
      <w:r>
        <w:rPr>
          <w:rFonts w:hint="eastAsia" w:ascii="宋体" w:hAnsi="宋体" w:cs="宋体"/>
          <w:b/>
          <w:color w:val="auto"/>
          <w:kern w:val="2"/>
          <w:sz w:val="32"/>
          <w:szCs w:val="32"/>
          <w:highlight w:val="none"/>
        </w:rPr>
        <w:t>期：</w:t>
      </w:r>
      <w:r>
        <w:rPr>
          <w:rFonts w:hint="eastAsia" w:ascii="宋体" w:hAnsi="宋体" w:cs="宋体"/>
          <w:b/>
          <w:color w:val="auto"/>
          <w:kern w:val="1"/>
          <w:sz w:val="32"/>
          <w:szCs w:val="32"/>
          <w:highlight w:val="none"/>
        </w:rPr>
        <w:t>2023年</w:t>
      </w:r>
      <w:bookmarkStart w:id="1" w:name="_Toc152042286"/>
      <w:bookmarkEnd w:id="1"/>
      <w:bookmarkStart w:id="2" w:name="_Toc144974478"/>
      <w:bookmarkEnd w:id="2"/>
      <w:bookmarkStart w:id="3" w:name="_Toc300834926"/>
      <w:bookmarkEnd w:id="3"/>
      <w:bookmarkStart w:id="4" w:name="_Toc367729707"/>
      <w:bookmarkEnd w:id="4"/>
      <w:bookmarkStart w:id="5" w:name="_Toc247527532"/>
      <w:bookmarkEnd w:id="5"/>
      <w:r>
        <w:rPr>
          <w:rFonts w:hint="eastAsia" w:ascii="宋体" w:hAnsi="宋体" w:cs="宋体"/>
          <w:b/>
          <w:color w:val="auto"/>
          <w:kern w:val="1"/>
          <w:sz w:val="32"/>
          <w:szCs w:val="32"/>
          <w:highlight w:val="none"/>
          <w:lang w:eastAsia="zh-CN"/>
        </w:rPr>
        <w:t xml:space="preserve"> </w:t>
      </w:r>
      <w:r>
        <w:rPr>
          <w:rFonts w:hint="eastAsia" w:ascii="宋体" w:hAnsi="宋体" w:cs="宋体"/>
          <w:b/>
          <w:color w:val="auto"/>
          <w:kern w:val="1"/>
          <w:sz w:val="32"/>
          <w:szCs w:val="32"/>
          <w:highlight w:val="none"/>
          <w:lang w:val="en-US" w:eastAsia="zh-CN"/>
        </w:rPr>
        <w:t>9</w:t>
      </w:r>
      <w:r>
        <w:rPr>
          <w:rFonts w:hint="eastAsia" w:ascii="宋体" w:hAnsi="宋体" w:cs="宋体"/>
          <w:b/>
          <w:color w:val="auto"/>
          <w:kern w:val="1"/>
          <w:sz w:val="32"/>
          <w:szCs w:val="32"/>
          <w:highlight w:val="none"/>
          <w:lang w:eastAsia="zh-CN"/>
        </w:rPr>
        <w:t xml:space="preserve"> 月</w:t>
      </w:r>
    </w:p>
    <w:p>
      <w:pPr>
        <w:pStyle w:val="31"/>
        <w:spacing w:line="360" w:lineRule="auto"/>
        <w:ind w:firstLine="3092" w:firstLineChars="1100"/>
        <w:rPr>
          <w:rFonts w:ascii="宋体" w:hAnsi="宋体" w:cs="宋体"/>
          <w:b/>
          <w:color w:val="auto"/>
          <w:sz w:val="28"/>
          <w:highlight w:val="none"/>
        </w:rPr>
        <w:sectPr>
          <w:headerReference r:id="rId4" w:type="first"/>
          <w:headerReference r:id="rId3" w:type="default"/>
          <w:footerReference r:id="rId5" w:type="default"/>
          <w:pgSz w:w="11906" w:h="16838"/>
          <w:pgMar w:top="1440" w:right="1269" w:bottom="1440" w:left="1597" w:header="851" w:footer="992" w:gutter="0"/>
          <w:pgNumType w:start="0"/>
          <w:cols w:space="720" w:num="1"/>
        </w:sectPr>
      </w:pPr>
    </w:p>
    <w:p>
      <w:pPr>
        <w:pStyle w:val="31"/>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pPr>
        <w:pStyle w:val="25"/>
        <w:tabs>
          <w:tab w:val="right" w:leader="dot" w:pos="9040"/>
        </w:tabs>
        <w:spacing w:line="600" w:lineRule="auto"/>
        <w:rPr>
          <w:rFonts w:ascii="宋体" w:hAnsi="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TOC \o </w:instrText>
      </w:r>
      <w:r>
        <w:rPr>
          <w:rFonts w:hint="eastAsia" w:ascii="宋体" w:hAnsi="宋体" w:cs="宋体"/>
          <w:color w:val="auto"/>
          <w:sz w:val="28"/>
          <w:szCs w:val="28"/>
          <w:highlight w:val="none"/>
        </w:rPr>
        <w:fldChar w:fldCharType="separate"/>
      </w:r>
      <w:bookmarkStart w:id="6" w:name="_Toc152042287"/>
      <w:bookmarkEnd w:id="6"/>
      <w:bookmarkStart w:id="7" w:name="_Toc152045511"/>
      <w:bookmarkEnd w:id="7"/>
      <w:bookmarkStart w:id="8" w:name="_Toc247527533"/>
      <w:bookmarkEnd w:id="8"/>
      <w:bookmarkStart w:id="9" w:name="_Toc247513932"/>
      <w:bookmarkEnd w:id="9"/>
      <w:bookmarkStart w:id="10" w:name="_Toc144974479"/>
      <w:bookmarkEnd w:id="10"/>
      <w:r>
        <w:rPr>
          <w:rFonts w:ascii="宋体" w:hAnsi="宋体" w:cs="宋体"/>
          <w:color w:val="auto"/>
          <w:sz w:val="28"/>
          <w:szCs w:val="28"/>
          <w:highlight w:val="none"/>
        </w:rPr>
        <w:t xml:space="preserve">第一章 </w:t>
      </w:r>
      <w:r>
        <w:rPr>
          <w:rFonts w:hint="eastAsia" w:ascii="宋体" w:hAnsi="宋体" w:cs="宋体"/>
          <w:color w:val="auto"/>
          <w:sz w:val="28"/>
          <w:szCs w:val="28"/>
          <w:highlight w:val="none"/>
        </w:rPr>
        <w:t>招标公告</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_Toc17070 </w:instrText>
      </w:r>
      <w:r>
        <w:rPr>
          <w:rFonts w:ascii="宋体" w:hAnsi="宋体"/>
          <w:color w:val="auto"/>
          <w:sz w:val="28"/>
          <w:szCs w:val="28"/>
          <w:highlight w:val="none"/>
        </w:rPr>
        <w:fldChar w:fldCharType="separate"/>
      </w:r>
      <w:r>
        <w:rPr>
          <w:rFonts w:ascii="宋体" w:hAnsi="宋体"/>
          <w:color w:val="auto"/>
          <w:sz w:val="28"/>
          <w:szCs w:val="28"/>
          <w:highlight w:val="none"/>
        </w:rPr>
        <w:t>2</w:t>
      </w:r>
      <w:r>
        <w:rPr>
          <w:rFonts w:ascii="宋体" w:hAnsi="宋体"/>
          <w:color w:val="auto"/>
          <w:sz w:val="28"/>
          <w:szCs w:val="28"/>
          <w:highlight w:val="none"/>
        </w:rPr>
        <w:fldChar w:fldCharType="end"/>
      </w:r>
    </w:p>
    <w:p>
      <w:pPr>
        <w:pStyle w:val="25"/>
        <w:tabs>
          <w:tab w:val="right" w:leader="dot" w:pos="9040"/>
        </w:tabs>
        <w:spacing w:line="600" w:lineRule="auto"/>
        <w:rPr>
          <w:rFonts w:ascii="宋体" w:hAnsi="宋体"/>
          <w:color w:val="auto"/>
          <w:sz w:val="28"/>
          <w:szCs w:val="28"/>
          <w:highlight w:val="none"/>
        </w:rPr>
      </w:pPr>
      <w:r>
        <w:rPr>
          <w:rFonts w:hint="eastAsia" w:ascii="宋体" w:hAnsi="宋体" w:cs="宋体"/>
          <w:color w:val="auto"/>
          <w:sz w:val="28"/>
          <w:szCs w:val="28"/>
          <w:highlight w:val="none"/>
        </w:rPr>
        <w:t>第二章 投标人须知</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_Toc28666 </w:instrText>
      </w:r>
      <w:r>
        <w:rPr>
          <w:rFonts w:ascii="宋体" w:hAnsi="宋体"/>
          <w:color w:val="auto"/>
          <w:sz w:val="28"/>
          <w:szCs w:val="28"/>
          <w:highlight w:val="none"/>
        </w:rPr>
        <w:fldChar w:fldCharType="separate"/>
      </w:r>
      <w:r>
        <w:rPr>
          <w:rFonts w:ascii="宋体" w:hAnsi="宋体"/>
          <w:color w:val="auto"/>
          <w:sz w:val="28"/>
          <w:szCs w:val="28"/>
          <w:highlight w:val="none"/>
        </w:rPr>
        <w:t>3</w:t>
      </w:r>
      <w:r>
        <w:rPr>
          <w:rFonts w:ascii="宋体" w:hAnsi="宋体"/>
          <w:color w:val="auto"/>
          <w:sz w:val="28"/>
          <w:szCs w:val="28"/>
          <w:highlight w:val="none"/>
        </w:rPr>
        <w:fldChar w:fldCharType="end"/>
      </w:r>
    </w:p>
    <w:p>
      <w:pPr>
        <w:pStyle w:val="25"/>
        <w:tabs>
          <w:tab w:val="right" w:leader="dot" w:pos="9040"/>
        </w:tabs>
        <w:spacing w:line="600" w:lineRule="auto"/>
        <w:rPr>
          <w:rFonts w:ascii="宋体" w:hAnsi="宋体"/>
          <w:color w:val="auto"/>
          <w:sz w:val="28"/>
          <w:szCs w:val="28"/>
          <w:highlight w:val="none"/>
        </w:rPr>
      </w:pPr>
      <w:r>
        <w:rPr>
          <w:rFonts w:hint="eastAsia" w:ascii="宋体" w:hAnsi="宋体" w:cs="宋体"/>
          <w:color w:val="auto"/>
          <w:sz w:val="28"/>
          <w:szCs w:val="28"/>
          <w:highlight w:val="none"/>
        </w:rPr>
        <w:t>第三章 评标办法（综合评估法）</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_Toc16394 </w:instrText>
      </w:r>
      <w:r>
        <w:rPr>
          <w:rFonts w:ascii="宋体" w:hAnsi="宋体"/>
          <w:color w:val="auto"/>
          <w:sz w:val="28"/>
          <w:szCs w:val="28"/>
          <w:highlight w:val="none"/>
        </w:rPr>
        <w:fldChar w:fldCharType="separate"/>
      </w:r>
      <w:r>
        <w:rPr>
          <w:rFonts w:ascii="宋体" w:hAnsi="宋体"/>
          <w:color w:val="auto"/>
          <w:sz w:val="28"/>
          <w:szCs w:val="28"/>
          <w:highlight w:val="none"/>
        </w:rPr>
        <w:t>29</w:t>
      </w:r>
      <w:r>
        <w:rPr>
          <w:rFonts w:ascii="宋体" w:hAnsi="宋体"/>
          <w:color w:val="auto"/>
          <w:sz w:val="28"/>
          <w:szCs w:val="28"/>
          <w:highlight w:val="none"/>
        </w:rPr>
        <w:fldChar w:fldCharType="end"/>
      </w:r>
    </w:p>
    <w:p>
      <w:pPr>
        <w:pStyle w:val="25"/>
        <w:tabs>
          <w:tab w:val="right" w:leader="dot" w:pos="9040"/>
        </w:tabs>
        <w:spacing w:line="600" w:lineRule="auto"/>
        <w:rPr>
          <w:rFonts w:ascii="宋体" w:hAnsi="宋体"/>
          <w:color w:val="auto"/>
          <w:sz w:val="28"/>
          <w:szCs w:val="28"/>
          <w:highlight w:val="none"/>
        </w:rPr>
      </w:pPr>
      <w:r>
        <w:rPr>
          <w:rFonts w:hint="eastAsia" w:ascii="宋体" w:hAnsi="宋体" w:cs="宋体"/>
          <w:color w:val="auto"/>
          <w:sz w:val="28"/>
          <w:szCs w:val="28"/>
          <w:highlight w:val="none"/>
        </w:rPr>
        <w:t>第四章 合同条款及格式</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_Toc16039 </w:instrText>
      </w:r>
      <w:r>
        <w:rPr>
          <w:rFonts w:ascii="宋体" w:hAnsi="宋体"/>
          <w:color w:val="auto"/>
          <w:sz w:val="28"/>
          <w:szCs w:val="28"/>
          <w:highlight w:val="none"/>
        </w:rPr>
        <w:fldChar w:fldCharType="separate"/>
      </w:r>
      <w:r>
        <w:rPr>
          <w:rFonts w:ascii="宋体" w:hAnsi="宋体"/>
          <w:color w:val="auto"/>
          <w:sz w:val="28"/>
          <w:szCs w:val="28"/>
          <w:highlight w:val="none"/>
        </w:rPr>
        <w:t>45</w:t>
      </w:r>
      <w:r>
        <w:rPr>
          <w:rFonts w:ascii="宋体" w:hAnsi="宋体"/>
          <w:color w:val="auto"/>
          <w:sz w:val="28"/>
          <w:szCs w:val="28"/>
          <w:highlight w:val="none"/>
        </w:rPr>
        <w:fldChar w:fldCharType="end"/>
      </w:r>
    </w:p>
    <w:p>
      <w:pPr>
        <w:pStyle w:val="25"/>
        <w:tabs>
          <w:tab w:val="right" w:leader="dot" w:pos="9040"/>
        </w:tabs>
        <w:spacing w:line="600" w:lineRule="auto"/>
        <w:rPr>
          <w:rFonts w:ascii="宋体" w:hAnsi="宋体"/>
          <w:color w:val="auto"/>
          <w:sz w:val="28"/>
          <w:szCs w:val="28"/>
          <w:highlight w:val="none"/>
        </w:rPr>
      </w:pPr>
      <w:r>
        <w:rPr>
          <w:rFonts w:hint="eastAsia" w:ascii="宋体" w:hAnsi="宋体"/>
          <w:color w:val="auto"/>
          <w:sz w:val="28"/>
          <w:szCs w:val="28"/>
          <w:highlight w:val="none"/>
        </w:rPr>
        <w:t>第五章 招标人要求</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_Toc16641 </w:instrText>
      </w:r>
      <w:r>
        <w:rPr>
          <w:rFonts w:ascii="宋体" w:hAnsi="宋体"/>
          <w:color w:val="auto"/>
          <w:sz w:val="28"/>
          <w:szCs w:val="28"/>
          <w:highlight w:val="none"/>
        </w:rPr>
        <w:fldChar w:fldCharType="separate"/>
      </w:r>
      <w:r>
        <w:rPr>
          <w:rFonts w:ascii="宋体" w:hAnsi="宋体"/>
          <w:color w:val="auto"/>
          <w:sz w:val="28"/>
          <w:szCs w:val="28"/>
          <w:highlight w:val="none"/>
        </w:rPr>
        <w:t>46</w:t>
      </w:r>
      <w:r>
        <w:rPr>
          <w:rFonts w:ascii="宋体" w:hAnsi="宋体"/>
          <w:color w:val="auto"/>
          <w:sz w:val="28"/>
          <w:szCs w:val="28"/>
          <w:highlight w:val="none"/>
        </w:rPr>
        <w:fldChar w:fldCharType="end"/>
      </w:r>
    </w:p>
    <w:p>
      <w:pPr>
        <w:pStyle w:val="25"/>
        <w:tabs>
          <w:tab w:val="right" w:leader="dot" w:pos="9040"/>
        </w:tabs>
        <w:spacing w:line="600" w:lineRule="auto"/>
        <w:rPr>
          <w:rFonts w:ascii="宋体" w:hAnsi="宋体"/>
          <w:color w:val="auto"/>
          <w:sz w:val="28"/>
          <w:szCs w:val="28"/>
          <w:highlight w:val="none"/>
        </w:rPr>
      </w:pPr>
      <w:r>
        <w:rPr>
          <w:rFonts w:hint="eastAsia" w:ascii="宋体" w:hAnsi="宋体"/>
          <w:color w:val="auto"/>
          <w:sz w:val="28"/>
          <w:szCs w:val="28"/>
          <w:highlight w:val="none"/>
        </w:rPr>
        <w:t>第六章 招标人提供的资料</w:t>
      </w:r>
      <w:bookmarkStart w:id="423" w:name="_GoBack"/>
      <w:bookmarkEnd w:id="423"/>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_Toc3467 </w:instrText>
      </w:r>
      <w:r>
        <w:rPr>
          <w:rFonts w:ascii="宋体" w:hAnsi="宋体"/>
          <w:color w:val="auto"/>
          <w:sz w:val="28"/>
          <w:szCs w:val="28"/>
          <w:highlight w:val="none"/>
        </w:rPr>
        <w:fldChar w:fldCharType="separate"/>
      </w:r>
      <w:r>
        <w:rPr>
          <w:rFonts w:ascii="宋体" w:hAnsi="宋体"/>
          <w:color w:val="auto"/>
          <w:sz w:val="28"/>
          <w:szCs w:val="28"/>
          <w:highlight w:val="none"/>
        </w:rPr>
        <w:t>47</w:t>
      </w:r>
      <w:r>
        <w:rPr>
          <w:rFonts w:ascii="宋体" w:hAnsi="宋体"/>
          <w:color w:val="auto"/>
          <w:sz w:val="28"/>
          <w:szCs w:val="28"/>
          <w:highlight w:val="none"/>
        </w:rPr>
        <w:fldChar w:fldCharType="end"/>
      </w:r>
    </w:p>
    <w:p>
      <w:pPr>
        <w:pStyle w:val="25"/>
        <w:tabs>
          <w:tab w:val="right" w:leader="dot" w:pos="9040"/>
        </w:tabs>
        <w:spacing w:line="600" w:lineRule="auto"/>
        <w:rPr>
          <w:rFonts w:ascii="宋体" w:hAnsi="宋体"/>
          <w:color w:val="auto"/>
          <w:sz w:val="28"/>
          <w:szCs w:val="28"/>
          <w:highlight w:val="none"/>
        </w:rPr>
      </w:pPr>
      <w:r>
        <w:rPr>
          <w:rFonts w:hint="eastAsia" w:ascii="宋体" w:hAnsi="宋体"/>
          <w:color w:val="auto"/>
          <w:sz w:val="28"/>
          <w:szCs w:val="28"/>
          <w:highlight w:val="none"/>
        </w:rPr>
        <w:t>第七章 投标文件格式</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_Toc18390 </w:instrText>
      </w:r>
      <w:r>
        <w:rPr>
          <w:rFonts w:ascii="宋体" w:hAnsi="宋体"/>
          <w:color w:val="auto"/>
          <w:sz w:val="28"/>
          <w:szCs w:val="28"/>
          <w:highlight w:val="none"/>
        </w:rPr>
        <w:fldChar w:fldCharType="separate"/>
      </w:r>
      <w:r>
        <w:rPr>
          <w:rFonts w:ascii="宋体" w:hAnsi="宋体"/>
          <w:color w:val="auto"/>
          <w:sz w:val="28"/>
          <w:szCs w:val="28"/>
          <w:highlight w:val="none"/>
        </w:rPr>
        <w:t>48</w:t>
      </w:r>
      <w:r>
        <w:rPr>
          <w:rFonts w:ascii="宋体" w:hAnsi="宋体"/>
          <w:color w:val="auto"/>
          <w:sz w:val="28"/>
          <w:szCs w:val="28"/>
          <w:highlight w:val="none"/>
        </w:rPr>
        <w:fldChar w:fldCharType="end"/>
      </w:r>
    </w:p>
    <w:p>
      <w:pPr>
        <w:pStyle w:val="25"/>
        <w:tabs>
          <w:tab w:val="right" w:leader="dot" w:pos="9040"/>
        </w:tabs>
        <w:spacing w:line="600" w:lineRule="auto"/>
        <w:rPr>
          <w:rFonts w:ascii="宋体" w:hAnsi="宋体"/>
          <w:color w:val="auto"/>
          <w:sz w:val="28"/>
          <w:szCs w:val="28"/>
          <w:highlight w:val="none"/>
        </w:rPr>
      </w:pPr>
      <w:r>
        <w:rPr>
          <w:rFonts w:hint="eastAsia" w:ascii="宋体" w:hAnsi="宋体" w:cs="宋体"/>
          <w:color w:val="auto"/>
          <w:sz w:val="28"/>
          <w:szCs w:val="28"/>
          <w:highlight w:val="none"/>
        </w:rPr>
        <w:t>第八章 最高投标限价细项汇总表</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_Toc5889 </w:instrText>
      </w:r>
      <w:r>
        <w:rPr>
          <w:rFonts w:ascii="宋体" w:hAnsi="宋体"/>
          <w:color w:val="auto"/>
          <w:sz w:val="28"/>
          <w:szCs w:val="28"/>
          <w:highlight w:val="none"/>
        </w:rPr>
        <w:fldChar w:fldCharType="separate"/>
      </w:r>
      <w:r>
        <w:rPr>
          <w:rFonts w:ascii="宋体" w:hAnsi="宋体"/>
          <w:color w:val="auto"/>
          <w:sz w:val="28"/>
          <w:szCs w:val="28"/>
          <w:highlight w:val="none"/>
        </w:rPr>
        <w:t>76</w:t>
      </w:r>
      <w:r>
        <w:rPr>
          <w:rFonts w:ascii="宋体" w:hAnsi="宋体"/>
          <w:color w:val="auto"/>
          <w:sz w:val="28"/>
          <w:szCs w:val="28"/>
          <w:highlight w:val="none"/>
        </w:rPr>
        <w:fldChar w:fldCharType="end"/>
      </w:r>
    </w:p>
    <w:p>
      <w:pPr>
        <w:pStyle w:val="25"/>
        <w:tabs>
          <w:tab w:val="right" w:leader="dot" w:pos="9297"/>
        </w:tabs>
        <w:spacing w:line="600" w:lineRule="auto"/>
        <w:rPr>
          <w:rFonts w:ascii="宋体" w:hAnsi="宋体" w:cs="宋体"/>
          <w:color w:val="auto"/>
          <w:highlight w:val="none"/>
        </w:rPr>
      </w:pPr>
      <w:r>
        <w:rPr>
          <w:rFonts w:hint="eastAsia" w:ascii="宋体" w:hAnsi="宋体" w:cs="宋体"/>
          <w:color w:val="auto"/>
          <w:sz w:val="28"/>
          <w:szCs w:val="28"/>
          <w:highlight w:val="none"/>
        </w:rPr>
        <w:fldChar w:fldCharType="end"/>
      </w:r>
      <w:bookmarkStart w:id="11" w:name="_Toc152045526"/>
      <w:bookmarkEnd w:id="11"/>
      <w:bookmarkStart w:id="12" w:name="_Toc247513949"/>
      <w:bookmarkEnd w:id="12"/>
      <w:bookmarkStart w:id="13" w:name="_Toc152042302"/>
      <w:bookmarkEnd w:id="13"/>
      <w:bookmarkStart w:id="14" w:name="_Toc247527551"/>
      <w:bookmarkEnd w:id="14"/>
      <w:bookmarkStart w:id="15" w:name="_Toc152045527"/>
      <w:bookmarkEnd w:id="15"/>
      <w:bookmarkStart w:id="16" w:name="_Toc247527550"/>
      <w:bookmarkEnd w:id="16"/>
      <w:bookmarkStart w:id="17" w:name="_Toc144974494"/>
      <w:bookmarkEnd w:id="17"/>
      <w:bookmarkStart w:id="18" w:name="_Toc443505819"/>
      <w:bookmarkEnd w:id="18"/>
      <w:bookmarkStart w:id="19" w:name="_Toc144974495"/>
      <w:bookmarkEnd w:id="19"/>
      <w:bookmarkStart w:id="20" w:name="_Toc152042303"/>
      <w:bookmarkEnd w:id="20"/>
      <w:bookmarkStart w:id="21" w:name="_Toc247513950"/>
      <w:bookmarkEnd w:id="21"/>
    </w:p>
    <w:p>
      <w:pPr>
        <w:pStyle w:val="4"/>
        <w:numPr>
          <w:ilvl w:val="0"/>
          <w:numId w:val="1"/>
        </w:numPr>
        <w:spacing w:line="360" w:lineRule="auto"/>
        <w:jc w:val="center"/>
        <w:rPr>
          <w:rFonts w:ascii="宋体" w:hAnsi="宋体" w:cs="宋体"/>
          <w:color w:val="auto"/>
          <w:highlight w:val="none"/>
        </w:rPr>
      </w:pPr>
      <w:bookmarkStart w:id="22" w:name="_Toc5620293"/>
      <w:r>
        <w:rPr>
          <w:rFonts w:ascii="宋体" w:hAnsi="宋体" w:cs="宋体"/>
          <w:color w:val="auto"/>
          <w:highlight w:val="none"/>
        </w:rPr>
        <w:br w:type="page"/>
      </w:r>
      <w:r>
        <w:rPr>
          <w:rFonts w:hint="eastAsia" w:ascii="宋体" w:hAnsi="宋体" w:cs="宋体"/>
          <w:color w:val="auto"/>
          <w:highlight w:val="none"/>
        </w:rPr>
        <w:t xml:space="preserve"> </w:t>
      </w:r>
      <w:bookmarkStart w:id="23" w:name="_Toc17070"/>
      <w:r>
        <w:rPr>
          <w:rFonts w:hint="eastAsia" w:ascii="宋体" w:hAnsi="宋体" w:cs="宋体"/>
          <w:color w:val="auto"/>
          <w:highlight w:val="none"/>
        </w:rPr>
        <w:t>招标公告</w:t>
      </w:r>
      <w:bookmarkEnd w:id="22"/>
      <w:bookmarkEnd w:id="23"/>
    </w:p>
    <w:p>
      <w:pPr>
        <w:jc w:val="center"/>
        <w:rPr>
          <w:rFonts w:hint="eastAsia"/>
          <w:color w:val="auto"/>
          <w:sz w:val="28"/>
          <w:szCs w:val="28"/>
          <w:highlight w:val="none"/>
        </w:rPr>
      </w:pPr>
      <w:r>
        <w:rPr>
          <w:rFonts w:hint="eastAsia"/>
          <w:color w:val="auto"/>
          <w:sz w:val="28"/>
          <w:szCs w:val="28"/>
          <w:highlight w:val="none"/>
        </w:rPr>
        <w:t>另册</w:t>
      </w:r>
    </w:p>
    <w:p>
      <w:pPr>
        <w:widowControl/>
        <w:jc w:val="left"/>
        <w:rPr>
          <w:rFonts w:ascii="宋体" w:hAnsi="宋体" w:cs="宋体"/>
          <w:b/>
          <w:color w:val="auto"/>
          <w:kern w:val="1"/>
          <w:sz w:val="44"/>
          <w:szCs w:val="44"/>
          <w:highlight w:val="none"/>
        </w:rPr>
      </w:pPr>
      <w:bookmarkStart w:id="24" w:name="_Toc12275"/>
      <w:bookmarkEnd w:id="24"/>
      <w:bookmarkStart w:id="25" w:name="_Toc5620294"/>
      <w:bookmarkStart w:id="26" w:name="_Toc28666"/>
      <w:r>
        <w:rPr>
          <w:rFonts w:ascii="宋体" w:hAnsi="宋体" w:cs="宋体"/>
          <w:color w:val="auto"/>
          <w:kern w:val="1"/>
          <w:highlight w:val="none"/>
        </w:rPr>
        <w:br w:type="page"/>
      </w:r>
      <w:r>
        <w:rPr>
          <w:rFonts w:ascii="宋体" w:hAnsi="宋体" w:cs="宋体"/>
          <w:b/>
          <w:color w:val="auto"/>
          <w:kern w:val="1"/>
          <w:sz w:val="44"/>
          <w:szCs w:val="44"/>
          <w:highlight w:val="none"/>
        </w:rPr>
        <w:t xml:space="preserve"> </w:t>
      </w:r>
    </w:p>
    <w:p>
      <w:pPr>
        <w:pStyle w:val="4"/>
        <w:spacing w:after="100" w:line="360" w:lineRule="auto"/>
        <w:jc w:val="center"/>
        <w:rPr>
          <w:rFonts w:ascii="宋体" w:hAnsi="宋体" w:cs="宋体"/>
          <w:color w:val="auto"/>
          <w:kern w:val="1"/>
          <w:highlight w:val="none"/>
        </w:rPr>
      </w:pPr>
      <w:r>
        <w:rPr>
          <w:rFonts w:hint="eastAsia" w:ascii="宋体" w:hAnsi="宋体" w:cs="宋体"/>
          <w:color w:val="auto"/>
          <w:kern w:val="1"/>
          <w:highlight w:val="none"/>
        </w:rPr>
        <w:t>第二章 投标人须知</w:t>
      </w:r>
      <w:bookmarkEnd w:id="25"/>
      <w:bookmarkEnd w:id="26"/>
    </w:p>
    <w:p>
      <w:pPr>
        <w:pStyle w:val="5"/>
        <w:spacing w:before="100" w:after="100" w:line="360" w:lineRule="auto"/>
        <w:jc w:val="center"/>
        <w:rPr>
          <w:rFonts w:ascii="宋体" w:hAnsi="宋体" w:eastAsia="宋体" w:cs="宋体"/>
          <w:color w:val="auto"/>
          <w:highlight w:val="none"/>
          <w:lang w:val="zh-CN"/>
        </w:rPr>
      </w:pPr>
      <w:bookmarkStart w:id="27" w:name="_Toc30749"/>
      <w:bookmarkEnd w:id="27"/>
      <w:bookmarkStart w:id="28" w:name="_Toc247527552"/>
      <w:bookmarkEnd w:id="28"/>
      <w:bookmarkStart w:id="29" w:name="_Toc443505821"/>
      <w:bookmarkEnd w:id="29"/>
      <w:bookmarkStart w:id="30" w:name="_Toc300834948"/>
      <w:bookmarkEnd w:id="30"/>
      <w:bookmarkStart w:id="31" w:name="_Toc144974496"/>
      <w:bookmarkEnd w:id="31"/>
      <w:bookmarkStart w:id="32" w:name="_Toc362816479"/>
      <w:bookmarkEnd w:id="32"/>
      <w:bookmarkStart w:id="33" w:name="_Toc152045528"/>
      <w:bookmarkEnd w:id="33"/>
      <w:bookmarkStart w:id="34" w:name="_Toc247513951"/>
      <w:bookmarkEnd w:id="34"/>
      <w:bookmarkStart w:id="35" w:name="_Toc6703"/>
      <w:bookmarkEnd w:id="35"/>
      <w:bookmarkStart w:id="36" w:name="_Toc357089510"/>
      <w:bookmarkEnd w:id="36"/>
      <w:bookmarkStart w:id="37" w:name="_Toc152042304"/>
      <w:bookmarkEnd w:id="37"/>
      <w:bookmarkStart w:id="38" w:name="_Toc18684"/>
      <w:bookmarkStart w:id="39" w:name="_Toc5620295"/>
      <w:r>
        <w:rPr>
          <w:rFonts w:hint="eastAsia" w:ascii="宋体" w:hAnsi="宋体" w:eastAsia="宋体" w:cs="宋体"/>
          <w:color w:val="auto"/>
          <w:highlight w:val="none"/>
          <w:lang w:val="zh-CN"/>
        </w:rPr>
        <w:t>投标人须知前附表</w:t>
      </w:r>
      <w:bookmarkEnd w:id="38"/>
      <w:bookmarkEnd w:id="39"/>
    </w:p>
    <w:tbl>
      <w:tblPr>
        <w:tblStyle w:val="35"/>
        <w:tblW w:w="9592" w:type="dxa"/>
        <w:jc w:val="center"/>
        <w:tblLayout w:type="fixed"/>
        <w:tblCellMar>
          <w:top w:w="0" w:type="dxa"/>
          <w:left w:w="108" w:type="dxa"/>
          <w:bottom w:w="0" w:type="dxa"/>
          <w:right w:w="108" w:type="dxa"/>
        </w:tblCellMar>
      </w:tblPr>
      <w:tblGrid>
        <w:gridCol w:w="884"/>
        <w:gridCol w:w="2513"/>
        <w:gridCol w:w="6195"/>
      </w:tblGrid>
      <w:tr>
        <w:tblPrEx>
          <w:tblCellMar>
            <w:top w:w="0" w:type="dxa"/>
            <w:left w:w="108" w:type="dxa"/>
            <w:bottom w:w="0" w:type="dxa"/>
            <w:right w:w="108" w:type="dxa"/>
          </w:tblCellMar>
        </w:tblPrEx>
        <w:trPr>
          <w:trHeight w:val="570" w:hRule="atLeast"/>
          <w:tblHeader/>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34" w:right="-107"/>
              <w:jc w:val="center"/>
              <w:rPr>
                <w:rFonts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条  款  名  称</w:t>
            </w:r>
          </w:p>
        </w:tc>
        <w:tc>
          <w:tcPr>
            <w:tcW w:w="61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编  列  内  容</w:t>
            </w:r>
          </w:p>
        </w:tc>
      </w:tr>
      <w:tr>
        <w:tblPrEx>
          <w:tblCellMar>
            <w:top w:w="0" w:type="dxa"/>
            <w:left w:w="108" w:type="dxa"/>
            <w:bottom w:w="0" w:type="dxa"/>
            <w:right w:w="108" w:type="dxa"/>
          </w:tblCellMar>
        </w:tblPrEx>
        <w:trPr>
          <w:trHeight w:val="128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1.1.2</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招标人</w:t>
            </w:r>
          </w:p>
        </w:tc>
        <w:tc>
          <w:tcPr>
            <w:tcW w:w="61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名称：</w:t>
            </w:r>
            <w:r>
              <w:rPr>
                <w:rFonts w:hint="eastAsia" w:ascii="宋体" w:hAnsi="宋体" w:cs="宋体"/>
                <w:color w:val="auto"/>
                <w:szCs w:val="21"/>
                <w:highlight w:val="none"/>
                <w:u w:val="none"/>
                <w:lang w:eastAsia="zh-CN"/>
              </w:rPr>
              <w:t>广东省环境辐射监测中心</w:t>
            </w:r>
          </w:p>
          <w:p>
            <w:pPr>
              <w:spacing w:line="360" w:lineRule="auto"/>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地址：</w:t>
            </w:r>
            <w:r>
              <w:rPr>
                <w:rFonts w:hint="eastAsia" w:ascii="宋体" w:hAnsi="宋体" w:cs="宋体"/>
                <w:color w:val="auto"/>
                <w:szCs w:val="21"/>
                <w:highlight w:val="none"/>
                <w:u w:val="none"/>
                <w:lang w:eastAsia="zh-CN"/>
              </w:rPr>
              <w:t>广州市广州大道南860号</w:t>
            </w:r>
          </w:p>
          <w:p>
            <w:pPr>
              <w:spacing w:line="360" w:lineRule="auto"/>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联系人：</w:t>
            </w:r>
            <w:r>
              <w:rPr>
                <w:rFonts w:hint="eastAsia" w:ascii="宋体" w:hAnsi="宋体" w:cs="宋体"/>
                <w:color w:val="auto"/>
                <w:szCs w:val="21"/>
                <w:highlight w:val="none"/>
                <w:u w:val="none"/>
                <w:lang w:val="en-US" w:eastAsia="zh-CN"/>
              </w:rPr>
              <w:t>陈</w:t>
            </w:r>
            <w:r>
              <w:rPr>
                <w:rFonts w:hint="eastAsia" w:ascii="宋体" w:hAnsi="宋体" w:cs="宋体"/>
                <w:color w:val="auto"/>
                <w:szCs w:val="21"/>
                <w:highlight w:val="none"/>
                <w:u w:val="none"/>
                <w:lang w:eastAsia="zh-CN"/>
              </w:rPr>
              <w:t>先生</w:t>
            </w:r>
          </w:p>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none"/>
              </w:rPr>
              <w:t>联系电话：</w:t>
            </w:r>
            <w:r>
              <w:rPr>
                <w:rFonts w:hint="eastAsia" w:ascii="宋体" w:hAnsi="宋体" w:cs="宋体"/>
                <w:color w:val="auto"/>
                <w:szCs w:val="21"/>
                <w:highlight w:val="none"/>
                <w:u w:val="none"/>
                <w:lang w:eastAsia="zh-CN"/>
              </w:rPr>
              <w:t>020-84228871</w:t>
            </w:r>
          </w:p>
        </w:tc>
      </w:tr>
      <w:tr>
        <w:tblPrEx>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1.1.3</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招标代理机构</w:t>
            </w:r>
          </w:p>
        </w:tc>
        <w:tc>
          <w:tcPr>
            <w:tcW w:w="61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名  称：广东建伟工程咨询有限公司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  址：广州市越秀区盘福路医国后街1号大院自编1号10楼</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联系人：李工</w:t>
            </w:r>
          </w:p>
          <w:p>
            <w:pPr>
              <w:spacing w:line="360" w:lineRule="auto"/>
              <w:rPr>
                <w:rFonts w:ascii="宋体" w:hAnsi="宋体" w:cs="宋体"/>
                <w:color w:val="auto"/>
                <w:szCs w:val="21"/>
                <w:highlight w:val="none"/>
              </w:rPr>
            </w:pPr>
            <w:r>
              <w:rPr>
                <w:rFonts w:hint="eastAsia" w:ascii="宋体" w:hAnsi="宋体" w:cs="宋体"/>
                <w:color w:val="auto"/>
                <w:szCs w:val="21"/>
                <w:highlight w:val="none"/>
              </w:rPr>
              <w:t>电  话：020-83192188</w:t>
            </w:r>
          </w:p>
        </w:tc>
      </w:tr>
      <w:tr>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1.1.4</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项目名称</w:t>
            </w:r>
          </w:p>
        </w:tc>
        <w:tc>
          <w:tcPr>
            <w:tcW w:w="61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广东省环境辐射监测中心粤东分部工程勘察设计施工总承包（EPC）</w:t>
            </w:r>
          </w:p>
        </w:tc>
      </w:tr>
      <w:tr>
        <w:tblPrEx>
          <w:tblCellMar>
            <w:top w:w="0" w:type="dxa"/>
            <w:left w:w="108" w:type="dxa"/>
            <w:bottom w:w="0" w:type="dxa"/>
            <w:right w:w="108" w:type="dxa"/>
          </w:tblCellMar>
        </w:tblPrEx>
        <w:trPr>
          <w:trHeight w:val="36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1.1.5</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建设地点</w:t>
            </w:r>
          </w:p>
        </w:tc>
        <w:tc>
          <w:tcPr>
            <w:tcW w:w="61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见本项目招标公告</w:t>
            </w:r>
          </w:p>
        </w:tc>
      </w:tr>
      <w:tr>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1.2.1</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资金来源及比例</w:t>
            </w:r>
          </w:p>
        </w:tc>
        <w:tc>
          <w:tcPr>
            <w:tcW w:w="61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见本项目招标公告</w:t>
            </w:r>
          </w:p>
        </w:tc>
      </w:tr>
      <w:tr>
        <w:tblPrEx>
          <w:tblCellMar>
            <w:top w:w="0" w:type="dxa"/>
            <w:left w:w="108" w:type="dxa"/>
            <w:bottom w:w="0" w:type="dxa"/>
            <w:right w:w="108" w:type="dxa"/>
          </w:tblCellMar>
        </w:tblPrEx>
        <w:trPr>
          <w:trHeight w:val="39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1.2.2</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资金落实情况</w:t>
            </w:r>
          </w:p>
        </w:tc>
        <w:tc>
          <w:tcPr>
            <w:tcW w:w="61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已落实</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1.3.1</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招标范围</w:t>
            </w:r>
          </w:p>
        </w:tc>
        <w:tc>
          <w:tcPr>
            <w:tcW w:w="61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tblPrEx>
          <w:tblCellMar>
            <w:top w:w="0" w:type="dxa"/>
            <w:left w:w="108" w:type="dxa"/>
            <w:bottom w:w="0" w:type="dxa"/>
            <w:right w:w="108" w:type="dxa"/>
          </w:tblCellMar>
        </w:tblPrEx>
        <w:trPr>
          <w:trHeight w:val="41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1.3.2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计划工期</w:t>
            </w:r>
          </w:p>
        </w:tc>
        <w:tc>
          <w:tcPr>
            <w:tcW w:w="6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left"/>
              <w:rPr>
                <w:rFonts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tblPrEx>
          <w:tblCellMar>
            <w:top w:w="0" w:type="dxa"/>
            <w:left w:w="108" w:type="dxa"/>
            <w:bottom w:w="0" w:type="dxa"/>
            <w:right w:w="108" w:type="dxa"/>
          </w:tblCellMar>
        </w:tblPrEx>
        <w:trPr>
          <w:trHeight w:val="40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1.3.3</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质量标准</w:t>
            </w:r>
          </w:p>
        </w:tc>
        <w:tc>
          <w:tcPr>
            <w:tcW w:w="61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tblPrEx>
          <w:tblCellMar>
            <w:top w:w="0" w:type="dxa"/>
            <w:left w:w="108" w:type="dxa"/>
            <w:bottom w:w="0" w:type="dxa"/>
            <w:right w:w="108" w:type="dxa"/>
          </w:tblCellMar>
        </w:tblPrEx>
        <w:trPr>
          <w:trHeight w:val="57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1.4.1</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投标人资质条件、能力和信誉</w:t>
            </w:r>
          </w:p>
        </w:tc>
        <w:tc>
          <w:tcPr>
            <w:tcW w:w="61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kern w:val="1"/>
                <w:szCs w:val="21"/>
                <w:highlight w:val="none"/>
              </w:rPr>
            </w:pPr>
            <w:r>
              <w:rPr>
                <w:rFonts w:hint="eastAsia" w:ascii="宋体" w:hAnsi="宋体" w:cs="宋体"/>
                <w:color w:val="auto"/>
                <w:szCs w:val="21"/>
                <w:highlight w:val="none"/>
              </w:rPr>
              <w:t>见本项目招标公告</w:t>
            </w:r>
          </w:p>
        </w:tc>
      </w:tr>
      <w:tr>
        <w:tblPrEx>
          <w:tblCellMar>
            <w:top w:w="0" w:type="dxa"/>
            <w:left w:w="108" w:type="dxa"/>
            <w:bottom w:w="0" w:type="dxa"/>
            <w:right w:w="108" w:type="dxa"/>
          </w:tblCellMar>
        </w:tblPrEx>
        <w:trPr>
          <w:trHeight w:val="75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1.4.2</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是否接受联合体投标</w:t>
            </w:r>
          </w:p>
        </w:tc>
        <w:tc>
          <w:tcPr>
            <w:tcW w:w="6195"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rPr>
                <w:color w:val="auto"/>
                <w:kern w:val="1"/>
                <w:sz w:val="21"/>
                <w:szCs w:val="21"/>
                <w:highlight w:val="none"/>
              </w:rPr>
            </w:pPr>
            <w:r>
              <w:rPr>
                <w:rFonts w:hint="eastAsia"/>
                <w:color w:val="auto"/>
                <w:kern w:val="1"/>
                <w:sz w:val="21"/>
                <w:szCs w:val="21"/>
                <w:highlight w:val="none"/>
              </w:rPr>
              <w:t>□不接受</w:t>
            </w:r>
          </w:p>
          <w:p>
            <w:pPr>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接受，应满足下列要求：</w:t>
            </w:r>
            <w:r>
              <w:rPr>
                <w:rFonts w:hint="eastAsia" w:ascii="宋体" w:hAnsi="宋体" w:cs="宋体"/>
                <w:color w:val="auto"/>
                <w:szCs w:val="21"/>
                <w:highlight w:val="none"/>
              </w:rPr>
              <w:t>见本项目招标公告要求。</w:t>
            </w:r>
          </w:p>
        </w:tc>
      </w:tr>
      <w:tr>
        <w:tblPrEx>
          <w:tblCellMar>
            <w:top w:w="0" w:type="dxa"/>
            <w:left w:w="108" w:type="dxa"/>
            <w:bottom w:w="0" w:type="dxa"/>
            <w:right w:w="108" w:type="dxa"/>
          </w:tblCellMar>
        </w:tblPrEx>
        <w:trPr>
          <w:trHeight w:val="84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1.5</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费用承担和设计成果补偿</w:t>
            </w:r>
          </w:p>
        </w:tc>
        <w:tc>
          <w:tcPr>
            <w:tcW w:w="61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不补偿</w:t>
            </w:r>
          </w:p>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□补偿，补偿标准：</w:t>
            </w:r>
            <w:r>
              <w:rPr>
                <w:rFonts w:hint="eastAsia" w:ascii="宋体" w:hAnsi="宋体" w:cs="宋体"/>
                <w:color w:val="auto"/>
                <w:szCs w:val="21"/>
                <w:highlight w:val="none"/>
              </w:rPr>
              <w:t>/</w:t>
            </w:r>
          </w:p>
        </w:tc>
      </w:tr>
      <w:tr>
        <w:tblPrEx>
          <w:tblCellMar>
            <w:top w:w="0" w:type="dxa"/>
            <w:left w:w="108" w:type="dxa"/>
            <w:bottom w:w="0" w:type="dxa"/>
            <w:right w:w="108" w:type="dxa"/>
          </w:tblCellMar>
        </w:tblPrEx>
        <w:trPr>
          <w:trHeight w:val="92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1.9.1</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踏勘</w:t>
            </w:r>
          </w:p>
        </w:tc>
        <w:tc>
          <w:tcPr>
            <w:tcW w:w="61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不组织：自行踏勘。</w:t>
            </w:r>
          </w:p>
          <w:p>
            <w:pPr>
              <w:tabs>
                <w:tab w:val="center" w:pos="2950"/>
              </w:tabs>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□组织，踏勘时间：</w:t>
            </w:r>
            <w:r>
              <w:rPr>
                <w:rFonts w:hint="eastAsia" w:ascii="宋体" w:hAnsi="宋体" w:cs="宋体"/>
                <w:color w:val="auto"/>
                <w:kern w:val="1"/>
                <w:szCs w:val="21"/>
                <w:highlight w:val="none"/>
              </w:rPr>
              <w:tab/>
            </w:r>
          </w:p>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踏勘集中地点：</w:t>
            </w:r>
          </w:p>
        </w:tc>
      </w:tr>
      <w:tr>
        <w:tblPrEx>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1.10.1</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投标预备会</w:t>
            </w:r>
          </w:p>
        </w:tc>
        <w:tc>
          <w:tcPr>
            <w:tcW w:w="6195"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rPr>
                <w:color w:val="auto"/>
                <w:kern w:val="1"/>
                <w:sz w:val="21"/>
                <w:szCs w:val="21"/>
                <w:highlight w:val="none"/>
              </w:rPr>
            </w:pPr>
            <w:r>
              <w:rPr>
                <w:rFonts w:hint="eastAsia"/>
                <w:color w:val="auto"/>
                <w:kern w:val="1"/>
                <w:sz w:val="21"/>
                <w:szCs w:val="21"/>
                <w:highlight w:val="none"/>
              </w:rPr>
              <w:t>■不召开</w:t>
            </w:r>
          </w:p>
          <w:p>
            <w:pPr>
              <w:widowControl/>
              <w:spacing w:line="360" w:lineRule="auto"/>
              <w:rPr>
                <w:rFonts w:ascii="宋体" w:hAnsi="宋体" w:cs="宋体"/>
                <w:color w:val="auto"/>
                <w:szCs w:val="21"/>
                <w:highlight w:val="none"/>
              </w:rPr>
            </w:pPr>
            <w:r>
              <w:rPr>
                <w:rFonts w:hint="eastAsia" w:ascii="宋体" w:hAnsi="宋体" w:cs="宋体"/>
                <w:color w:val="auto"/>
                <w:kern w:val="1"/>
                <w:szCs w:val="21"/>
                <w:highlight w:val="none"/>
              </w:rPr>
              <w:t>□</w:t>
            </w:r>
            <w:r>
              <w:rPr>
                <w:rFonts w:hint="eastAsia" w:ascii="宋体" w:hAnsi="宋体" w:cs="宋体"/>
                <w:color w:val="auto"/>
                <w:szCs w:val="21"/>
                <w:highlight w:val="none"/>
              </w:rPr>
              <w:t>召开，召开时间：另行通知</w:t>
            </w:r>
          </w:p>
          <w:p>
            <w:pPr>
              <w:spacing w:line="360" w:lineRule="auto"/>
              <w:rPr>
                <w:rFonts w:ascii="宋体" w:hAnsi="宋体" w:cs="宋体"/>
                <w:color w:val="auto"/>
                <w:kern w:val="1"/>
                <w:szCs w:val="21"/>
                <w:highlight w:val="none"/>
              </w:rPr>
            </w:pPr>
            <w:r>
              <w:rPr>
                <w:rFonts w:hint="eastAsia" w:ascii="宋体" w:hAnsi="宋体" w:cs="宋体"/>
                <w:color w:val="auto"/>
                <w:szCs w:val="21"/>
                <w:highlight w:val="none"/>
              </w:rPr>
              <w:t>召开地点：</w:t>
            </w:r>
          </w:p>
        </w:tc>
      </w:tr>
      <w:tr>
        <w:tblPrEx>
          <w:tblCellMar>
            <w:top w:w="0" w:type="dxa"/>
            <w:left w:w="108" w:type="dxa"/>
            <w:bottom w:w="0" w:type="dxa"/>
            <w:right w:w="108" w:type="dxa"/>
          </w:tblCellMar>
        </w:tblPrEx>
        <w:trPr>
          <w:trHeight w:val="17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1.10.2</w:t>
            </w:r>
          </w:p>
        </w:tc>
        <w:tc>
          <w:tcPr>
            <w:tcW w:w="2513" w:type="dxa"/>
            <w:tcBorders>
              <w:top w:val="single" w:color="000000" w:sz="4" w:space="0"/>
              <w:left w:val="single" w:color="000000" w:sz="4" w:space="0"/>
              <w:bottom w:val="single" w:color="000000" w:sz="4" w:space="0"/>
              <w:right w:val="single" w:color="000000" w:sz="4" w:space="0"/>
            </w:tcBorders>
            <w:vAlign w:val="center"/>
          </w:tcPr>
          <w:p>
            <w:pPr>
              <w:pStyle w:val="34"/>
              <w:spacing w:after="0" w:line="360" w:lineRule="auto"/>
              <w:ind w:firstLine="0"/>
              <w:jc w:val="center"/>
              <w:rPr>
                <w:rFonts w:ascii="宋体" w:hAnsi="宋体" w:cs="宋体"/>
                <w:color w:val="auto"/>
                <w:szCs w:val="21"/>
                <w:highlight w:val="none"/>
              </w:rPr>
            </w:pPr>
            <w:r>
              <w:rPr>
                <w:rFonts w:hint="eastAsia" w:ascii="宋体" w:hAnsi="宋体" w:cs="宋体"/>
                <w:color w:val="auto"/>
                <w:szCs w:val="21"/>
                <w:highlight w:val="none"/>
              </w:rPr>
              <w:t>招标答疑</w:t>
            </w:r>
          </w:p>
        </w:tc>
        <w:tc>
          <w:tcPr>
            <w:tcW w:w="61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auto"/>
                <w:kern w:val="1"/>
                <w:szCs w:val="21"/>
                <w:highlight w:val="none"/>
              </w:rPr>
            </w:pPr>
            <w:r>
              <w:rPr>
                <w:rFonts w:hint="eastAsia" w:ascii="宋体" w:hAnsi="宋体" w:cs="宋体"/>
                <w:color w:val="auto"/>
                <w:kern w:val="1"/>
                <w:szCs w:val="21"/>
                <w:highlight w:val="none"/>
              </w:rPr>
              <w:t>1.本项目采用网上答疑方式。</w:t>
            </w:r>
          </w:p>
          <w:p>
            <w:pPr>
              <w:spacing w:line="360" w:lineRule="auto"/>
              <w:jc w:val="left"/>
              <w:rPr>
                <w:rFonts w:ascii="宋体" w:hAnsi="宋体" w:cs="宋体"/>
                <w:color w:val="auto"/>
                <w:kern w:val="1"/>
                <w:szCs w:val="21"/>
                <w:highlight w:val="none"/>
              </w:rPr>
            </w:pPr>
            <w:r>
              <w:rPr>
                <w:rFonts w:hint="eastAsia" w:ascii="宋体" w:hAnsi="宋体" w:cs="宋体"/>
                <w:color w:val="auto"/>
                <w:kern w:val="1"/>
                <w:szCs w:val="21"/>
                <w:highlight w:val="none"/>
              </w:rPr>
              <w:t>2.投标人疑问期限：在投标截止日期前18日，将投标疑问</w:t>
            </w:r>
            <w:r>
              <w:rPr>
                <w:rFonts w:hint="eastAsia" w:ascii="宋体" w:hAnsi="宋体"/>
                <w:color w:val="auto"/>
                <w:szCs w:val="21"/>
                <w:highlight w:val="none"/>
              </w:rPr>
              <w:t>通过</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交易平台提交</w:t>
            </w:r>
            <w:r>
              <w:rPr>
                <w:rFonts w:hint="eastAsia" w:ascii="宋体" w:hAnsi="宋体" w:cs="宋体"/>
                <w:color w:val="auto"/>
                <w:kern w:val="1"/>
                <w:szCs w:val="21"/>
                <w:highlight w:val="none"/>
              </w:rPr>
              <w:t>。</w:t>
            </w:r>
          </w:p>
          <w:p>
            <w:pPr>
              <w:spacing w:line="360" w:lineRule="auto"/>
              <w:ind w:right="24"/>
              <w:jc w:val="left"/>
              <w:rPr>
                <w:rFonts w:ascii="宋体" w:hAnsi="宋体" w:cs="宋体"/>
                <w:color w:val="auto"/>
                <w:kern w:val="1"/>
                <w:szCs w:val="21"/>
                <w:highlight w:val="none"/>
              </w:rPr>
            </w:pPr>
            <w:r>
              <w:rPr>
                <w:rFonts w:hint="eastAsia" w:ascii="宋体" w:hAnsi="宋体" w:cs="宋体"/>
                <w:color w:val="auto"/>
                <w:kern w:val="1"/>
                <w:szCs w:val="21"/>
                <w:highlight w:val="none"/>
              </w:rPr>
              <w:t xml:space="preserve">3.招标人澄清、修补或答疑期限：在递交投标文件截止日期前15日，答疑纪要在广州公共资源交易中心（http://www.gzggzy.cn/）发布。 </w:t>
            </w:r>
          </w:p>
          <w:p>
            <w:pPr>
              <w:spacing w:line="360" w:lineRule="auto"/>
              <w:ind w:right="24"/>
              <w:jc w:val="left"/>
              <w:rPr>
                <w:rFonts w:ascii="宋体" w:hAnsi="宋体" w:cs="宋体"/>
                <w:color w:val="auto"/>
                <w:kern w:val="1"/>
                <w:szCs w:val="21"/>
                <w:highlight w:val="none"/>
              </w:rPr>
            </w:pPr>
            <w:r>
              <w:rPr>
                <w:rFonts w:hint="eastAsia" w:ascii="宋体" w:hAnsi="宋体" w:cs="宋体"/>
                <w:color w:val="auto"/>
                <w:kern w:val="1"/>
                <w:szCs w:val="21"/>
                <w:highlight w:val="none"/>
              </w:rPr>
              <w:t>4.网上答疑的相关事项详见本章第2.2款。</w:t>
            </w:r>
          </w:p>
        </w:tc>
      </w:tr>
      <w:tr>
        <w:tblPrEx>
          <w:tblCellMar>
            <w:top w:w="0" w:type="dxa"/>
            <w:left w:w="108" w:type="dxa"/>
            <w:bottom w:w="0" w:type="dxa"/>
            <w:right w:w="108" w:type="dxa"/>
          </w:tblCellMar>
        </w:tblPrEx>
        <w:trPr>
          <w:trHeight w:val="7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1.11.1</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招标人规定由分包人承担的工作</w:t>
            </w:r>
          </w:p>
        </w:tc>
        <w:tc>
          <w:tcPr>
            <w:tcW w:w="61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kern w:val="1"/>
                <w:szCs w:val="21"/>
                <w:highlight w:val="none"/>
              </w:rPr>
            </w:pPr>
            <w:r>
              <w:rPr>
                <w:rFonts w:hint="eastAsia" w:ascii="宋体" w:hAnsi="宋体" w:cs="宋体"/>
                <w:color w:val="auto"/>
                <w:szCs w:val="21"/>
                <w:highlight w:val="none"/>
              </w:rPr>
              <w:t>无</w:t>
            </w:r>
          </w:p>
        </w:tc>
      </w:tr>
      <w:tr>
        <w:tblPrEx>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1.11.2</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投标人拟分包的工作</w:t>
            </w:r>
          </w:p>
        </w:tc>
        <w:tc>
          <w:tcPr>
            <w:tcW w:w="6195"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rPr>
                <w:color w:val="auto"/>
                <w:kern w:val="1"/>
                <w:sz w:val="21"/>
                <w:szCs w:val="21"/>
                <w:highlight w:val="none"/>
              </w:rPr>
            </w:pPr>
            <w:r>
              <w:rPr>
                <w:rFonts w:hint="eastAsia"/>
                <w:color w:val="auto"/>
                <w:kern w:val="1"/>
                <w:szCs w:val="21"/>
                <w:highlight w:val="none"/>
              </w:rPr>
              <w:t>□</w:t>
            </w:r>
            <w:r>
              <w:rPr>
                <w:rFonts w:hint="eastAsia"/>
                <w:color w:val="auto"/>
                <w:kern w:val="1"/>
                <w:sz w:val="21"/>
                <w:szCs w:val="21"/>
                <w:highlight w:val="none"/>
              </w:rPr>
              <w:t>不允许</w:t>
            </w:r>
          </w:p>
          <w:p>
            <w:pPr>
              <w:spacing w:line="360" w:lineRule="auto"/>
              <w:rPr>
                <w:rFonts w:ascii="宋体" w:hAnsi="宋体" w:cs="宋体"/>
                <w:color w:val="auto"/>
                <w:kern w:val="1"/>
                <w:szCs w:val="21"/>
                <w:highlight w:val="none"/>
              </w:rPr>
            </w:pPr>
            <w:r>
              <w:rPr>
                <w:rFonts w:hint="eastAsia"/>
                <w:color w:val="auto"/>
                <w:kern w:val="1"/>
                <w:szCs w:val="21"/>
                <w:highlight w:val="none"/>
              </w:rPr>
              <w:t>■</w:t>
            </w:r>
            <w:r>
              <w:rPr>
                <w:rFonts w:hint="eastAsia" w:ascii="宋体" w:hAnsi="宋体" w:cs="宋体"/>
                <w:color w:val="auto"/>
                <w:kern w:val="1"/>
                <w:szCs w:val="21"/>
                <w:highlight w:val="none"/>
              </w:rPr>
              <w:t>允许，</w:t>
            </w:r>
            <w:r>
              <w:rPr>
                <w:rFonts w:hint="eastAsia" w:ascii="宋体" w:hAnsi="宋体" w:cs="宋体"/>
                <w:color w:val="auto"/>
                <w:szCs w:val="21"/>
                <w:highlight w:val="none"/>
              </w:rPr>
              <w:t>允许非主体、非关键性工程进行分包，分包需经招标人审核批准后分包给具有相应资质和能力的专业单位实施。</w:t>
            </w:r>
          </w:p>
        </w:tc>
      </w:tr>
      <w:tr>
        <w:tblPrEx>
          <w:tblCellMar>
            <w:top w:w="0" w:type="dxa"/>
            <w:left w:w="108" w:type="dxa"/>
            <w:bottom w:w="0" w:type="dxa"/>
            <w:right w:w="108" w:type="dxa"/>
          </w:tblCellMar>
        </w:tblPrEx>
        <w:trPr>
          <w:trHeight w:val="100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ascii="宋体" w:hAnsi="宋体" w:cs="宋体"/>
                <w:color w:val="auto"/>
                <w:kern w:val="1"/>
                <w:szCs w:val="21"/>
                <w:highlight w:val="none"/>
              </w:rPr>
              <w:t>1.12</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偏离</w:t>
            </w:r>
          </w:p>
        </w:tc>
        <w:tc>
          <w:tcPr>
            <w:tcW w:w="6195"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rPr>
                <w:color w:val="auto"/>
                <w:kern w:val="1"/>
                <w:sz w:val="21"/>
                <w:szCs w:val="21"/>
                <w:highlight w:val="none"/>
              </w:rPr>
            </w:pPr>
            <w:r>
              <w:rPr>
                <w:rFonts w:hint="eastAsia"/>
                <w:color w:val="auto"/>
                <w:sz w:val="21"/>
                <w:szCs w:val="21"/>
                <w:highlight w:val="none"/>
              </w:rPr>
              <w:t>■</w:t>
            </w:r>
            <w:r>
              <w:rPr>
                <w:rFonts w:hint="eastAsia"/>
                <w:color w:val="auto"/>
                <w:kern w:val="1"/>
                <w:sz w:val="21"/>
                <w:szCs w:val="21"/>
                <w:highlight w:val="none"/>
              </w:rPr>
              <w:t>不允许</w:t>
            </w:r>
          </w:p>
          <w:p>
            <w:pPr>
              <w:pStyle w:val="13"/>
              <w:spacing w:line="360" w:lineRule="auto"/>
              <w:rPr>
                <w:color w:val="auto"/>
                <w:kern w:val="1"/>
                <w:sz w:val="21"/>
                <w:szCs w:val="21"/>
                <w:highlight w:val="none"/>
              </w:rPr>
            </w:pPr>
            <w:r>
              <w:rPr>
                <w:rFonts w:hint="eastAsia"/>
                <w:color w:val="auto"/>
                <w:kern w:val="1"/>
                <w:sz w:val="21"/>
                <w:szCs w:val="21"/>
                <w:highlight w:val="none"/>
              </w:rPr>
              <w:t>□</w:t>
            </w:r>
            <w:r>
              <w:rPr>
                <w:rFonts w:hint="eastAsia"/>
                <w:color w:val="auto"/>
                <w:sz w:val="21"/>
                <w:szCs w:val="21"/>
                <w:highlight w:val="none"/>
              </w:rPr>
              <w:t>允许，允许偏离的内容、偏离范围和幅度：满足第三章《评标办法》规定的有效性审查标准。</w:t>
            </w:r>
          </w:p>
        </w:tc>
      </w:tr>
      <w:tr>
        <w:tblPrEx>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构成招标文件的其他资料</w:t>
            </w:r>
          </w:p>
        </w:tc>
        <w:tc>
          <w:tcPr>
            <w:tcW w:w="61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kern w:val="1"/>
                <w:szCs w:val="21"/>
                <w:highlight w:val="none"/>
              </w:rPr>
            </w:pPr>
            <w:r>
              <w:rPr>
                <w:rFonts w:hint="eastAsia" w:ascii="宋体" w:hAnsi="宋体" w:cs="宋体"/>
                <w:color w:val="auto"/>
                <w:szCs w:val="21"/>
                <w:highlight w:val="none"/>
                <w:u w:val="single"/>
              </w:rPr>
              <w:t>答疑纪要、澄清文件等（如有）</w:t>
            </w:r>
          </w:p>
        </w:tc>
      </w:tr>
      <w:tr>
        <w:tblPrEx>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投标人要求澄清招标文件的截止时间</w:t>
            </w:r>
          </w:p>
        </w:tc>
        <w:tc>
          <w:tcPr>
            <w:tcW w:w="6195"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auto"/>
              <w:rPr>
                <w:rFonts w:cs="宋体"/>
                <w:color w:val="auto"/>
                <w:kern w:val="1"/>
                <w:sz w:val="21"/>
                <w:szCs w:val="21"/>
                <w:highlight w:val="none"/>
                <w:lang w:val="en-US"/>
              </w:rPr>
            </w:pPr>
            <w:r>
              <w:rPr>
                <w:rFonts w:hint="eastAsia" w:cs="宋体"/>
                <w:color w:val="auto"/>
                <w:kern w:val="1"/>
                <w:sz w:val="21"/>
                <w:szCs w:val="21"/>
                <w:highlight w:val="none"/>
                <w:lang w:val="en-US"/>
              </w:rPr>
              <w:t>时间：在提交投标文件截止时间18天前提出。</w:t>
            </w:r>
          </w:p>
          <w:p>
            <w:pPr>
              <w:pStyle w:val="18"/>
              <w:spacing w:line="360" w:lineRule="auto"/>
              <w:rPr>
                <w:color w:val="auto"/>
                <w:highlight w:val="none"/>
                <w:lang w:val="en-US"/>
              </w:rPr>
            </w:pPr>
            <w:r>
              <w:rPr>
                <w:rFonts w:hint="eastAsia" w:cs="宋体"/>
                <w:color w:val="auto"/>
                <w:sz w:val="21"/>
                <w:szCs w:val="21"/>
                <w:highlight w:val="none"/>
                <w:lang w:val="en-US"/>
              </w:rPr>
              <w:t>形式：投标人疑问通过网上提交。网上答疑的操作指南为：登陆广州公共资源交易中心网站交易系统→进入“我的投标”专区→进入“招标答疑”选项→通过项目编号或名称找到所需的项目→在答疑时间内点击“答疑提问-新增提问”→提出问题(提问一律不得署名)。具体操作方法详见《房建市政全流程电子化项目操作专章》。</w:t>
            </w:r>
          </w:p>
        </w:tc>
      </w:tr>
      <w:tr>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2.2.3</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投标人确认收到答疑纪要或澄清的时间</w:t>
            </w:r>
          </w:p>
        </w:tc>
        <w:tc>
          <w:tcPr>
            <w:tcW w:w="61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在广州公共资源交易中心网上答疑专区发布时视为投标人收到。</w:t>
            </w:r>
          </w:p>
        </w:tc>
      </w:tr>
      <w:tr>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2.3.2</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投标人确认收到招标文件修改的时间</w:t>
            </w:r>
          </w:p>
        </w:tc>
        <w:tc>
          <w:tcPr>
            <w:tcW w:w="61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在广州公共资源交易中心网上答疑专区发布时视为投标人收到。</w:t>
            </w:r>
          </w:p>
        </w:tc>
      </w:tr>
      <w:tr>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3.1.1</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构成投标文件的其他资料</w:t>
            </w:r>
          </w:p>
        </w:tc>
        <w:tc>
          <w:tcPr>
            <w:tcW w:w="61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见第七章《投标文件格式》要求</w:t>
            </w:r>
            <w:r>
              <w:rPr>
                <w:rFonts w:hint="eastAsia" w:ascii="宋体" w:hAnsi="宋体" w:cs="宋体"/>
                <w:color w:val="auto"/>
                <w:szCs w:val="21"/>
                <w:highlight w:val="none"/>
                <w:lang w:eastAsia="zh-CN"/>
              </w:rPr>
              <w:t>。</w:t>
            </w:r>
          </w:p>
        </w:tc>
      </w:tr>
      <w:tr>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w:t>
            </w:r>
            <w:r>
              <w:rPr>
                <w:rFonts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报价方式</w:t>
            </w:r>
          </w:p>
        </w:tc>
        <w:tc>
          <w:tcPr>
            <w:tcW w:w="61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投标总报价由勘察费投标报价、设计费投标报价和施工费投标报价组成。本项目勘察、设计、施工投标报价同时采用下浮率报价和数值报价方式。报价下浮率以百分比计，精确到小数点后2位，投标人对每一分项（如勘察、设计、施工）只能报一个投标数值报价和下浮率报价，数值投标总报价以万元计，如下浮率报价和数值报价不一致时，以下浮率报价为准。</w:t>
            </w:r>
          </w:p>
        </w:tc>
      </w:tr>
      <w:tr>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4</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最高投标限价</w:t>
            </w:r>
          </w:p>
        </w:tc>
        <w:tc>
          <w:tcPr>
            <w:tcW w:w="6195" w:type="dxa"/>
            <w:tcBorders>
              <w:top w:val="single" w:color="000000" w:sz="4" w:space="0"/>
              <w:left w:val="single" w:color="000000" w:sz="4" w:space="0"/>
              <w:bottom w:val="single" w:color="000000" w:sz="4" w:space="0"/>
              <w:right w:val="single" w:color="000000" w:sz="4" w:space="0"/>
            </w:tcBorders>
            <w:vAlign w:val="center"/>
          </w:tcPr>
          <w:p>
            <w:pPr>
              <w:widowControl/>
              <w:tabs>
                <w:tab w:val="left" w:pos="105"/>
              </w:tabs>
              <w:adjustRightInd w:val="0"/>
              <w:snapToGrid w:val="0"/>
              <w:spacing w:line="360" w:lineRule="auto"/>
              <w:jc w:val="left"/>
              <w:rPr>
                <w:color w:val="auto"/>
                <w:highlight w:val="none"/>
              </w:rPr>
            </w:pPr>
            <w:r>
              <w:rPr>
                <w:rFonts w:hint="eastAsia"/>
                <w:color w:val="auto"/>
                <w:highlight w:val="none"/>
              </w:rPr>
              <w:t>1.本次招标最高投标总限价为人民币</w:t>
            </w:r>
            <w:r>
              <w:rPr>
                <w:rFonts w:hint="eastAsia"/>
                <w:color w:val="auto"/>
                <w:highlight w:val="none"/>
                <w:lang w:eastAsia="zh-CN"/>
              </w:rPr>
              <w:t>5523.96</w:t>
            </w:r>
            <w:r>
              <w:rPr>
                <w:rFonts w:hint="eastAsia"/>
                <w:color w:val="auto"/>
                <w:highlight w:val="none"/>
              </w:rPr>
              <w:t xml:space="preserve"> 万元，其中：</w:t>
            </w:r>
          </w:p>
          <w:p>
            <w:pPr>
              <w:widowControl/>
              <w:tabs>
                <w:tab w:val="left" w:pos="105"/>
              </w:tabs>
              <w:adjustRightInd w:val="0"/>
              <w:snapToGrid w:val="0"/>
              <w:spacing w:line="360" w:lineRule="auto"/>
              <w:jc w:val="left"/>
              <w:rPr>
                <w:color w:val="auto"/>
                <w:highlight w:val="none"/>
              </w:rPr>
            </w:pPr>
            <w:r>
              <w:rPr>
                <w:rFonts w:hint="eastAsia"/>
                <w:color w:val="auto"/>
                <w:highlight w:val="none"/>
              </w:rPr>
              <w:t>（1）勘察费最高投标限价为人民币</w:t>
            </w:r>
            <w:r>
              <w:rPr>
                <w:rFonts w:hint="eastAsia"/>
                <w:color w:val="auto"/>
                <w:highlight w:val="none"/>
                <w:lang w:eastAsia="zh-CN"/>
              </w:rPr>
              <w:t>20.00</w:t>
            </w:r>
            <w:r>
              <w:rPr>
                <w:rFonts w:hint="eastAsia"/>
                <w:color w:val="auto"/>
                <w:highlight w:val="none"/>
              </w:rPr>
              <w:t>万元；</w:t>
            </w:r>
          </w:p>
          <w:p>
            <w:pPr>
              <w:widowControl/>
              <w:tabs>
                <w:tab w:val="left" w:pos="105"/>
              </w:tabs>
              <w:adjustRightInd w:val="0"/>
              <w:snapToGrid w:val="0"/>
              <w:spacing w:line="360" w:lineRule="auto"/>
              <w:jc w:val="left"/>
              <w:rPr>
                <w:color w:val="auto"/>
                <w:highlight w:val="none"/>
              </w:rPr>
            </w:pPr>
            <w:r>
              <w:rPr>
                <w:rFonts w:hint="eastAsia"/>
                <w:color w:val="auto"/>
                <w:highlight w:val="none"/>
              </w:rPr>
              <w:t>（2）设计费最高投标限价为人民币</w:t>
            </w:r>
            <w:r>
              <w:rPr>
                <w:rFonts w:hint="eastAsia"/>
                <w:color w:val="auto"/>
                <w:highlight w:val="none"/>
                <w:lang w:eastAsia="zh-CN"/>
              </w:rPr>
              <w:t>147.96</w:t>
            </w:r>
            <w:r>
              <w:rPr>
                <w:rFonts w:hint="eastAsia"/>
                <w:color w:val="auto"/>
                <w:highlight w:val="none"/>
              </w:rPr>
              <w:t>万元；</w:t>
            </w:r>
          </w:p>
          <w:p>
            <w:pPr>
              <w:widowControl/>
              <w:tabs>
                <w:tab w:val="left" w:pos="105"/>
              </w:tabs>
              <w:adjustRightInd w:val="0"/>
              <w:snapToGrid w:val="0"/>
              <w:spacing w:line="360" w:lineRule="auto"/>
              <w:jc w:val="left"/>
              <w:rPr>
                <w:color w:val="auto"/>
                <w:highlight w:val="none"/>
              </w:rPr>
            </w:pPr>
            <w:r>
              <w:rPr>
                <w:rFonts w:hint="eastAsia"/>
                <w:color w:val="auto"/>
                <w:highlight w:val="none"/>
              </w:rPr>
              <w:t>（3）施工费最高投标限价为人民币</w:t>
            </w:r>
            <w:r>
              <w:rPr>
                <w:rFonts w:hint="eastAsia"/>
                <w:color w:val="auto"/>
                <w:highlight w:val="none"/>
                <w:lang w:eastAsia="zh-CN"/>
              </w:rPr>
              <w:t>5356</w:t>
            </w:r>
            <w:r>
              <w:rPr>
                <w:rFonts w:hint="eastAsia"/>
                <w:color w:val="auto"/>
                <w:highlight w:val="none"/>
              </w:rPr>
              <w:t>万元。</w:t>
            </w:r>
          </w:p>
          <w:p>
            <w:pPr>
              <w:widowControl/>
              <w:tabs>
                <w:tab w:val="left" w:pos="105"/>
              </w:tabs>
              <w:adjustRightInd w:val="0"/>
              <w:snapToGrid w:val="0"/>
              <w:spacing w:line="360" w:lineRule="auto"/>
              <w:jc w:val="left"/>
              <w:rPr>
                <w:rFonts w:hint="eastAsia"/>
                <w:color w:val="auto"/>
                <w:highlight w:val="none"/>
              </w:rPr>
            </w:pPr>
            <w:r>
              <w:rPr>
                <w:rFonts w:hint="eastAsia"/>
                <w:color w:val="auto"/>
                <w:highlight w:val="none"/>
              </w:rPr>
              <w:t>2.投标时投标人除填报投标报价外，需同时填报投标下浮率，投标人未按要求报价或投标报价（含投标总报价、勘察费报价、设计费报价、施工费报价）超过上述相应最高投标限价的为无效标。</w:t>
            </w:r>
          </w:p>
          <w:p>
            <w:pPr>
              <w:widowControl/>
              <w:tabs>
                <w:tab w:val="left" w:pos="105"/>
              </w:tabs>
              <w:adjustRightInd w:val="0"/>
              <w:snapToGrid w:val="0"/>
              <w:spacing w:line="360" w:lineRule="auto"/>
              <w:jc w:val="left"/>
              <w:rPr>
                <w:color w:val="auto"/>
                <w:highlight w:val="none"/>
              </w:rPr>
            </w:pPr>
            <w:r>
              <w:rPr>
                <w:rFonts w:hint="eastAsia"/>
                <w:color w:val="auto"/>
                <w:highlight w:val="none"/>
                <w:lang w:val="en-US" w:eastAsia="zh-CN"/>
              </w:rPr>
              <w:t>3.</w:t>
            </w:r>
            <w:r>
              <w:rPr>
                <w:rFonts w:hint="eastAsia"/>
                <w:color w:val="auto"/>
                <w:highlight w:val="none"/>
              </w:rPr>
              <w:t>本项目总投标报价的成本警戒价为</w:t>
            </w:r>
            <w:r>
              <w:rPr>
                <w:rFonts w:hint="eastAsia"/>
                <w:color w:val="auto"/>
                <w:highlight w:val="none"/>
                <w:lang w:eastAsia="zh-CN"/>
              </w:rPr>
              <w:t>5247.76</w:t>
            </w:r>
            <w:r>
              <w:rPr>
                <w:rFonts w:hint="eastAsia"/>
                <w:color w:val="auto"/>
                <w:highlight w:val="none"/>
              </w:rPr>
              <w:t>万元（最高投标限价×95%）。对低于该警戒价的投标报价，投标人必须提供详细的投标人成本分析供评标委员会评审，由评标委员会判定其是否低于企业自身成本。在评标过程中，评标委员会发现投标人的报价明显低于其他投标人的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CellMar>
            <w:top w:w="0" w:type="dxa"/>
            <w:left w:w="108" w:type="dxa"/>
            <w:bottom w:w="0" w:type="dxa"/>
            <w:right w:w="108" w:type="dxa"/>
          </w:tblCellMar>
        </w:tblPrEx>
        <w:trPr>
          <w:trHeight w:val="85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5</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投标报价的其他要求</w:t>
            </w:r>
          </w:p>
        </w:tc>
        <w:tc>
          <w:tcPr>
            <w:tcW w:w="61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投标总报价由勘察费报价、设计费报价和施工费报价组成。本项目勘察、设计、施工投标报价同时采用下浮率报价和数值报价方式。报价下浮率以百分比计，精确到小数点后2位，投标人对每一分项（如勘察、设计、施工）只能报一个投标数值报价和下浮率报价，数值报价以万元计，如下浮率报价和数值报价不一致时，以下浮率报价为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）勘察费：勘察费投标报价不得高于勘察费最高投标限价，由投标人根据招标文件要求以及企业自身情况填报投标报价和投标下浮率；结算按照合同约定的方法计算。</w:t>
            </w:r>
          </w:p>
          <w:p>
            <w:pPr>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）设计费：设计费投标报价不得高于设计费最高投标限价，由投标人根据招标文件要求以及企业自身情况填报投标报价和投标下浮率；结算按照合同约定的方法计算。</w:t>
            </w:r>
          </w:p>
          <w:p>
            <w:pPr>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）施工费：施工费投标报价不得高于施工费最高投标限价，由投标人根据招标文件要求以及企业自身情况填报投标报价和投标下浮率。</w:t>
            </w:r>
          </w:p>
          <w:p>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中标的总价仅为暂定合同价，中标总价不作为竣工结算的依据，在概预算编制完成前可作为拨付工程进度款的依据。</w:t>
            </w:r>
            <w:bookmarkStart w:id="40" w:name="_Hlk61356144"/>
            <w:r>
              <w:rPr>
                <w:rFonts w:hint="eastAsia" w:ascii="宋体" w:hAnsi="宋体" w:cs="宋体"/>
                <w:color w:val="auto"/>
                <w:szCs w:val="21"/>
                <w:highlight w:val="none"/>
              </w:rPr>
              <w:t>本项目施工图审查通过后，根据最终确认的施工图纸，由中标人采用清单模式编制施工图预算作为概算建安工程费，经第三方咨询机构审定概算并经行业主管部门审批</w:t>
            </w:r>
            <w:bookmarkStart w:id="41" w:name="_Hlk61427758"/>
            <w:r>
              <w:rPr>
                <w:rFonts w:hint="eastAsia" w:ascii="宋体" w:hAnsi="宋体" w:cs="宋体"/>
                <w:color w:val="auto"/>
                <w:szCs w:val="21"/>
                <w:highlight w:val="none"/>
              </w:rPr>
              <w:t>通过</w:t>
            </w:r>
            <w:bookmarkEnd w:id="41"/>
            <w:r>
              <w:rPr>
                <w:rFonts w:hint="eastAsia" w:ascii="宋体" w:hAnsi="宋体" w:cs="宋体"/>
                <w:color w:val="auto"/>
                <w:szCs w:val="21"/>
                <w:highlight w:val="none"/>
              </w:rPr>
              <w:t>后，按投标下浮率及合同约定的方法，得出合同价格清单，以此合同价格清单作为进度款支付和结算计价的依据。勘察费、设计费、施工费结算原则以合同约定为准。</w:t>
            </w:r>
            <w:bookmarkEnd w:id="40"/>
          </w:p>
          <w:p>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施工图审查备案完成后，原则上不允许中标人提出设计变更，确需变更的按相关基本程序办理。因中标人原因（包括错、漏、碰等设计失误）产生的设计变更,所增加的费用，由中标人承担。</w:t>
            </w:r>
          </w:p>
          <w:p>
            <w:pPr>
              <w:pStyle w:val="18"/>
              <w:spacing w:line="360" w:lineRule="auto"/>
              <w:ind w:firstLine="420" w:firstLineChars="200"/>
              <w:rPr>
                <w:rFonts w:hint="eastAsia" w:cs="宋体"/>
                <w:color w:val="auto"/>
                <w:sz w:val="21"/>
                <w:szCs w:val="21"/>
                <w:highlight w:val="none"/>
                <w:lang w:val="en-US"/>
              </w:rPr>
            </w:pPr>
            <w:r>
              <w:rPr>
                <w:rFonts w:hint="eastAsia" w:cs="宋体"/>
                <w:color w:val="auto"/>
                <w:sz w:val="21"/>
                <w:szCs w:val="21"/>
                <w:highlight w:val="none"/>
                <w:lang w:val="en-US"/>
              </w:rPr>
              <w:t>招标人有权根据实际情况对建设内容进行调整。招标人减少的项目无论有无替代，招标人都不予补偿。</w:t>
            </w:r>
          </w:p>
          <w:p>
            <w:pPr>
              <w:pStyle w:val="18"/>
              <w:spacing w:line="360" w:lineRule="auto"/>
              <w:ind w:firstLine="422" w:firstLineChars="200"/>
              <w:rPr>
                <w:rFonts w:hint="eastAsia" w:cs="宋体"/>
                <w:color w:val="auto"/>
                <w:sz w:val="21"/>
                <w:szCs w:val="21"/>
                <w:highlight w:val="none"/>
                <w:lang w:val="en-US"/>
              </w:rPr>
            </w:pPr>
            <w:r>
              <w:rPr>
                <w:rFonts w:hint="eastAsia" w:cs="宋体"/>
                <w:b/>
                <w:bCs/>
                <w:color w:val="auto"/>
                <w:sz w:val="21"/>
                <w:szCs w:val="21"/>
                <w:highlight w:val="none"/>
                <w:lang w:val="en-US"/>
              </w:rPr>
              <w:t>本项目拟建装配式建筑标准为基本装配式建筑</w:t>
            </w:r>
            <w:r>
              <w:rPr>
                <w:rFonts w:hint="eastAsia" w:cs="宋体"/>
                <w:b/>
                <w:bCs/>
                <w:color w:val="auto"/>
                <w:sz w:val="21"/>
                <w:szCs w:val="21"/>
                <w:highlight w:val="none"/>
                <w:lang w:val="en-US" w:eastAsia="zh-CN"/>
              </w:rPr>
              <w:t>，</w:t>
            </w:r>
            <w:r>
              <w:rPr>
                <w:rFonts w:hint="eastAsia" w:cs="宋体"/>
                <w:b/>
                <w:bCs/>
                <w:color w:val="auto"/>
                <w:sz w:val="21"/>
                <w:szCs w:val="21"/>
                <w:highlight w:val="none"/>
                <w:lang w:val="en-US"/>
              </w:rPr>
              <w:t>装配率为52%</w:t>
            </w:r>
            <w:r>
              <w:rPr>
                <w:rFonts w:hint="eastAsia" w:cs="宋体"/>
                <w:b/>
                <w:bCs/>
                <w:color w:val="auto"/>
                <w:sz w:val="21"/>
                <w:szCs w:val="21"/>
                <w:highlight w:val="none"/>
                <w:lang w:val="en-US" w:eastAsia="zh-CN"/>
              </w:rPr>
              <w:t>（详见设计任务书）</w:t>
            </w:r>
            <w:r>
              <w:rPr>
                <w:rFonts w:hint="eastAsia" w:cs="宋体"/>
                <w:b/>
                <w:bCs/>
                <w:color w:val="auto"/>
                <w:sz w:val="21"/>
                <w:szCs w:val="21"/>
                <w:highlight w:val="none"/>
                <w:lang w:val="en-US"/>
              </w:rPr>
              <w:t>。</w:t>
            </w:r>
            <w:r>
              <w:rPr>
                <w:rFonts w:hint="eastAsia" w:cs="宋体"/>
                <w:color w:val="auto"/>
                <w:sz w:val="21"/>
                <w:szCs w:val="21"/>
                <w:highlight w:val="none"/>
                <w:lang w:val="en-US"/>
              </w:rPr>
              <w:t>投标人必须详细审阅全部招标文件及招标相关资料,充分考虑职责和义务,全面地理解招标文件对投标报价的要求,并按招标人提出的条件及内容进行报价。</w:t>
            </w:r>
          </w:p>
        </w:tc>
      </w:tr>
      <w:tr>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3.3.1</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投标有效期</w:t>
            </w:r>
          </w:p>
        </w:tc>
        <w:tc>
          <w:tcPr>
            <w:tcW w:w="61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宋体" w:hAnsi="宋体" w:cs="宋体"/>
                <w:color w:val="auto"/>
                <w:szCs w:val="21"/>
                <w:highlight w:val="none"/>
              </w:rPr>
            </w:pPr>
            <w:r>
              <w:rPr>
                <w:rFonts w:hint="eastAsia" w:ascii="宋体" w:hAnsi="宋体" w:cs="宋体"/>
                <w:color w:val="auto"/>
                <w:szCs w:val="21"/>
                <w:highlight w:val="none"/>
                <w:u w:val="single"/>
              </w:rPr>
              <w:t>120</w:t>
            </w:r>
            <w:r>
              <w:rPr>
                <w:rFonts w:hint="eastAsia" w:ascii="宋体" w:hAnsi="宋体" w:cs="宋体"/>
                <w:color w:val="auto"/>
                <w:szCs w:val="21"/>
                <w:highlight w:val="none"/>
              </w:rPr>
              <w:t>日历天（从投标截止之日计起）</w:t>
            </w:r>
          </w:p>
        </w:tc>
      </w:tr>
      <w:tr>
        <w:tblPrEx>
          <w:tblCellMar>
            <w:top w:w="0" w:type="dxa"/>
            <w:left w:w="108" w:type="dxa"/>
            <w:bottom w:w="0" w:type="dxa"/>
            <w:right w:w="108" w:type="dxa"/>
          </w:tblCellMar>
        </w:tblPrEx>
        <w:trPr>
          <w:trHeight w:val="151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3.4</w:t>
            </w:r>
            <w:r>
              <w:rPr>
                <w:rFonts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投标保证金</w:t>
            </w:r>
          </w:p>
        </w:tc>
        <w:tc>
          <w:tcPr>
            <w:tcW w:w="61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万元人民币，缴纳时间在投标截止时间之前。</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其他说明：</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投标保证金的形式：投标保证金可采用现金、支票、银行保函、保证保险、专业工程担保公司担保等形式。</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收取方式：</w:t>
            </w:r>
          </w:p>
          <w:p>
            <w:pPr>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1）如采用现金、支票或者汇票形式提交的，由广州公共资源交易中心代收，投标保证金须从投标人基本账户递交</w:t>
            </w:r>
            <w:r>
              <w:rPr>
                <w:rFonts w:hint="eastAsia" w:ascii="宋体" w:hAnsi="宋体" w:cs="宋体"/>
                <w:color w:val="auto"/>
                <w:szCs w:val="21"/>
                <w:highlight w:val="none"/>
              </w:rPr>
              <w:t>:</w:t>
            </w:r>
          </w:p>
          <w:p>
            <w:pPr>
              <w:spacing w:line="360" w:lineRule="auto"/>
              <w:ind w:firstLine="455" w:firstLineChars="217"/>
              <w:rPr>
                <w:rFonts w:ascii="宋体" w:hAnsi="宋体" w:cs="宋体"/>
                <w:color w:val="auto"/>
                <w:szCs w:val="21"/>
                <w:highlight w:val="none"/>
              </w:rPr>
            </w:pPr>
            <w:r>
              <w:rPr>
                <w:rFonts w:hint="eastAsia" w:ascii="宋体" w:hAnsi="宋体" w:cs="宋体"/>
                <w:color w:val="auto"/>
                <w:szCs w:val="21"/>
                <w:highlight w:val="none"/>
              </w:rPr>
              <w:t>收款单位：广州交易集团有限公司</w:t>
            </w:r>
          </w:p>
          <w:p>
            <w:pPr>
              <w:spacing w:line="360" w:lineRule="auto"/>
              <w:ind w:firstLine="455" w:firstLineChars="217"/>
              <w:rPr>
                <w:rFonts w:ascii="宋体" w:hAnsi="宋体" w:cs="宋体"/>
                <w:color w:val="auto"/>
                <w:szCs w:val="21"/>
                <w:highlight w:val="none"/>
              </w:rPr>
            </w:pPr>
            <w:r>
              <w:rPr>
                <w:rFonts w:hint="eastAsia" w:ascii="宋体" w:hAnsi="宋体" w:cs="宋体"/>
                <w:color w:val="auto"/>
                <w:szCs w:val="21"/>
                <w:highlight w:val="none"/>
              </w:rPr>
              <w:t>银行账号：</w:t>
            </w:r>
            <w:r>
              <w:rPr>
                <w:rFonts w:ascii="宋体" w:hAnsi="宋体" w:cs="宋体"/>
                <w:color w:val="auto"/>
                <w:szCs w:val="21"/>
                <w:highlight w:val="none"/>
              </w:rPr>
              <w:t>44001583404059333333</w:t>
            </w:r>
          </w:p>
          <w:p>
            <w:pPr>
              <w:spacing w:line="360" w:lineRule="auto"/>
              <w:ind w:firstLine="455" w:firstLineChars="217"/>
              <w:rPr>
                <w:rFonts w:ascii="宋体" w:hAnsi="宋体" w:cs="宋体"/>
                <w:color w:val="auto"/>
                <w:szCs w:val="21"/>
                <w:highlight w:val="none"/>
              </w:rPr>
            </w:pPr>
            <w:r>
              <w:rPr>
                <w:rFonts w:hint="eastAsia" w:ascii="宋体" w:hAnsi="宋体" w:cs="宋体"/>
                <w:color w:val="auto"/>
                <w:szCs w:val="21"/>
                <w:highlight w:val="none"/>
              </w:rPr>
              <w:t>开户银行：中国建设银行天润路支行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具体操作要求详见广州公共资源交易中心有关指引，递交事宜请自行咨询交易中心；请各投标人在投标文件递交截止时间前按上述金额递交至广州公共资源交易中心，款项到账后，投标人在完成投标登记后至投标截止时间前，可登陆交易中心网站，在基本户投标保证金栏目内将上述到账资金转到对应的投标项目，完成保证金缴纳。保证金到账情况以开标时广州公共资源交易中心数据库查询的信息为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或联合体</w:t>
            </w:r>
            <w:r>
              <w:rPr>
                <w:rFonts w:hint="eastAsia" w:ascii="宋体" w:hAnsi="宋体" w:cs="宋体"/>
                <w:color w:val="auto"/>
                <w:szCs w:val="21"/>
                <w:highlight w:val="none"/>
                <w:lang w:eastAsia="zh-CN"/>
              </w:rPr>
              <w:t>主办方</w:t>
            </w:r>
            <w:r>
              <w:rPr>
                <w:rFonts w:hint="eastAsia" w:ascii="宋体" w:hAnsi="宋体" w:cs="宋体"/>
                <w:color w:val="auto"/>
                <w:szCs w:val="21"/>
                <w:highlight w:val="none"/>
              </w:rPr>
              <w:t>）电子印章。如投标人选择在开标前提交纸质原件的，可在投标截止时间前单独密封递交至开标室（时间及地点同递交备用投标文件电子光盘的时间及地点）。</w:t>
            </w:r>
          </w:p>
          <w:p>
            <w:pPr>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3）采用电子形式的保函、担保或保证保险提交投标保证金的，开具及递交以广州公共资源交易中心的相关操作指引为准。</w:t>
            </w:r>
          </w:p>
          <w:p>
            <w:pPr>
              <w:spacing w:line="360" w:lineRule="auto"/>
              <w:rPr>
                <w:color w:val="auto"/>
                <w:highlight w:val="none"/>
                <w:lang w:bidi="ar"/>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）如联合体投标，投标保证金由联合体</w:t>
            </w:r>
            <w:r>
              <w:rPr>
                <w:rFonts w:hint="eastAsia" w:ascii="宋体" w:hAnsi="宋体" w:cs="宋体"/>
                <w:color w:val="auto"/>
                <w:szCs w:val="21"/>
                <w:highlight w:val="none"/>
                <w:lang w:eastAsia="zh-CN"/>
              </w:rPr>
              <w:t>主办方</w:t>
            </w:r>
            <w:r>
              <w:rPr>
                <w:rFonts w:hint="eastAsia" w:ascii="宋体" w:hAnsi="宋体" w:cs="宋体"/>
                <w:color w:val="auto"/>
                <w:szCs w:val="21"/>
                <w:highlight w:val="none"/>
              </w:rPr>
              <w:t>缴纳。</w:t>
            </w:r>
          </w:p>
        </w:tc>
      </w:tr>
      <w:tr>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3.6</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是否允许递交备选投标方案</w:t>
            </w:r>
          </w:p>
        </w:tc>
        <w:tc>
          <w:tcPr>
            <w:tcW w:w="6195"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rPr>
                <w:color w:val="auto"/>
                <w:kern w:val="1"/>
                <w:sz w:val="21"/>
                <w:szCs w:val="21"/>
                <w:highlight w:val="none"/>
              </w:rPr>
            </w:pPr>
            <w:r>
              <w:rPr>
                <w:rFonts w:hint="eastAsia"/>
                <w:color w:val="auto"/>
                <w:kern w:val="1"/>
                <w:sz w:val="21"/>
                <w:szCs w:val="21"/>
                <w:highlight w:val="none"/>
              </w:rPr>
              <w:t>■不允许</w:t>
            </w:r>
          </w:p>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□允许</w:t>
            </w:r>
          </w:p>
        </w:tc>
      </w:tr>
      <w:tr>
        <w:tblPrEx>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b w:val="0"/>
                <w:bCs w:val="0"/>
                <w:color w:val="auto"/>
                <w:kern w:val="1"/>
                <w:szCs w:val="21"/>
                <w:highlight w:val="none"/>
              </w:rPr>
              <w:t>3.7.</w:t>
            </w:r>
            <w:r>
              <w:rPr>
                <w:rFonts w:ascii="宋体" w:hAnsi="宋体" w:cs="宋体"/>
                <w:b w:val="0"/>
                <w:bCs w:val="0"/>
                <w:color w:val="auto"/>
                <w:kern w:val="1"/>
                <w:szCs w:val="21"/>
                <w:highlight w:val="none"/>
              </w:rPr>
              <w:t>3</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文件盖章签署</w:t>
            </w:r>
          </w:p>
        </w:tc>
        <w:tc>
          <w:tcPr>
            <w:tcW w:w="61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kern w:val="1"/>
                <w:szCs w:val="21"/>
                <w:highlight w:val="none"/>
                <w:u w:val="single"/>
              </w:rPr>
            </w:pPr>
            <w:r>
              <w:rPr>
                <w:rFonts w:hint="eastAsia" w:ascii="宋体" w:hAnsi="宋体" w:cs="宋体"/>
                <w:b/>
                <w:color w:val="auto"/>
                <w:kern w:val="1"/>
                <w:szCs w:val="21"/>
                <w:highlight w:val="none"/>
              </w:rPr>
              <w:t>投标人采用单位数字证书，按招标文件要求在相应位置加盖电子印章。投标文件中需个人签字或盖章的，应加盖个人电子印章或在线下完成后扫描上传。按照交易平台关于全流程电子化项目的相关指南进行操作，联合体投标的，除投标文件中的联合体协议书需联合体各方盖章、签字外，投标文件其他内容中的“投标人”、“声明企业”应填写联合体各方的单位全称，但由主办方盖章、签字即可。</w:t>
            </w:r>
          </w:p>
        </w:tc>
      </w:tr>
      <w:tr>
        <w:tblPrEx>
          <w:tblCellMar>
            <w:top w:w="0" w:type="dxa"/>
            <w:left w:w="108" w:type="dxa"/>
            <w:bottom w:w="0" w:type="dxa"/>
            <w:right w:w="108" w:type="dxa"/>
          </w:tblCellMar>
        </w:tblPrEx>
        <w:trPr>
          <w:trHeight w:val="145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4</w:t>
            </w:r>
            <w:r>
              <w:rPr>
                <w:rFonts w:ascii="宋体" w:hAnsi="宋体" w:cs="宋体"/>
                <w:color w:val="auto"/>
                <w:kern w:val="1"/>
                <w:szCs w:val="21"/>
                <w:highlight w:val="none"/>
              </w:rPr>
              <w:t>.1.1</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投标文件加密要求</w:t>
            </w:r>
          </w:p>
        </w:tc>
        <w:tc>
          <w:tcPr>
            <w:tcW w:w="61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1.网上递交的电子投标文件须进行加密。具体操作详见广州公共资源交易中心交易平台相关操作指南。</w:t>
            </w:r>
          </w:p>
          <w:p>
            <w:pPr>
              <w:spacing w:line="360" w:lineRule="auto"/>
              <w:rPr>
                <w:color w:val="auto"/>
                <w:highlight w:val="none"/>
              </w:rPr>
            </w:pPr>
            <w:r>
              <w:rPr>
                <w:rFonts w:hint="eastAsia" w:ascii="宋体" w:hAnsi="宋体" w:cs="宋体"/>
                <w:color w:val="auto"/>
                <w:kern w:val="1"/>
                <w:szCs w:val="21"/>
                <w:highlight w:val="none"/>
              </w:rPr>
              <w:t>2.未按要求加密的投标文件，招标人将予以拒收。</w:t>
            </w:r>
          </w:p>
        </w:tc>
      </w:tr>
      <w:tr>
        <w:tblPrEx>
          <w:tblCellMar>
            <w:top w:w="0" w:type="dxa"/>
            <w:left w:w="108" w:type="dxa"/>
            <w:bottom w:w="0" w:type="dxa"/>
            <w:right w:w="108" w:type="dxa"/>
          </w:tblCellMar>
        </w:tblPrEx>
        <w:trPr>
          <w:trHeight w:val="152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4</w:t>
            </w:r>
            <w:r>
              <w:rPr>
                <w:rFonts w:ascii="宋体" w:hAnsi="宋体" w:cs="宋体"/>
                <w:color w:val="auto"/>
                <w:kern w:val="1"/>
                <w:szCs w:val="21"/>
                <w:highlight w:val="none"/>
              </w:rPr>
              <w:t>.1.2</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封套上应载明的信息</w:t>
            </w:r>
          </w:p>
        </w:tc>
        <w:tc>
          <w:tcPr>
            <w:tcW w:w="6195" w:type="dxa"/>
            <w:tcBorders>
              <w:top w:val="single" w:color="000000" w:sz="4" w:space="0"/>
              <w:left w:val="single" w:color="000000" w:sz="4" w:space="0"/>
              <w:bottom w:val="single" w:color="000000" w:sz="4" w:space="0"/>
              <w:right w:val="single" w:color="000000" w:sz="4" w:space="0"/>
            </w:tcBorders>
            <w:vAlign w:val="center"/>
          </w:tcPr>
          <w:p>
            <w:pPr>
              <w:pStyle w:val="5"/>
              <w:rPr>
                <w:rFonts w:ascii="宋体" w:hAnsi="宋体" w:eastAsia="宋体" w:cs="宋体"/>
                <w:color w:val="auto"/>
                <w:sz w:val="21"/>
                <w:szCs w:val="21"/>
                <w:highlight w:val="none"/>
              </w:rPr>
            </w:pPr>
            <w:r>
              <w:rPr>
                <w:rFonts w:hint="eastAsia" w:ascii="宋体" w:hAnsi="宋体" w:cs="宋体"/>
                <w:color w:val="auto"/>
                <w:szCs w:val="21"/>
                <w:highlight w:val="none"/>
              </w:rPr>
              <w:t>/</w:t>
            </w:r>
          </w:p>
        </w:tc>
      </w:tr>
      <w:tr>
        <w:tblPrEx>
          <w:tblCellMar>
            <w:top w:w="0" w:type="dxa"/>
            <w:left w:w="108" w:type="dxa"/>
            <w:bottom w:w="0" w:type="dxa"/>
            <w:right w:w="108" w:type="dxa"/>
          </w:tblCellMar>
        </w:tblPrEx>
        <w:trPr>
          <w:trHeight w:val="140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4.2.</w:t>
            </w:r>
            <w:r>
              <w:rPr>
                <w:rFonts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bCs/>
                <w:color w:val="auto"/>
                <w:kern w:val="1"/>
                <w:szCs w:val="21"/>
                <w:highlight w:val="none"/>
              </w:rPr>
              <w:t>投标截止时间</w:t>
            </w:r>
          </w:p>
        </w:tc>
        <w:tc>
          <w:tcPr>
            <w:tcW w:w="61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投标截止时间：</w:t>
            </w:r>
            <w:r>
              <w:rPr>
                <w:rFonts w:hint="eastAsia" w:ascii="宋体" w:hAnsi="宋体" w:cs="宋体"/>
                <w:color w:val="auto"/>
                <w:szCs w:val="21"/>
                <w:highlight w:val="none"/>
                <w:u w:val="single"/>
              </w:rPr>
              <w:t>20</w:t>
            </w:r>
            <w:r>
              <w:rPr>
                <w:rFonts w:ascii="宋体" w:hAnsi="宋体" w:cs="宋体"/>
                <w:color w:val="auto"/>
                <w:szCs w:val="21"/>
                <w:highlight w:val="none"/>
                <w:u w:val="single"/>
              </w:rPr>
              <w:t>23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具体时间可以到广州公共资源交易中心网站的项目查询(日程安排、答疑纪要)中输入本项目编号或项目名称进行查询。</w:t>
            </w:r>
          </w:p>
        </w:tc>
      </w:tr>
      <w:tr>
        <w:tblPrEx>
          <w:tblCellMar>
            <w:top w:w="0" w:type="dxa"/>
            <w:left w:w="108" w:type="dxa"/>
            <w:bottom w:w="0" w:type="dxa"/>
            <w:right w:w="108" w:type="dxa"/>
          </w:tblCellMar>
        </w:tblPrEx>
        <w:trPr>
          <w:trHeight w:val="447" w:hRule="atLeast"/>
          <w:jc w:val="center"/>
        </w:trPr>
        <w:tc>
          <w:tcPr>
            <w:tcW w:w="884" w:type="dxa"/>
            <w:tcBorders>
              <w:top w:val="single" w:color="auto" w:sz="4" w:space="0"/>
              <w:left w:val="single" w:color="auto" w:sz="4" w:space="0"/>
              <w:bottom w:val="single" w:color="auto" w:sz="4" w:space="0"/>
              <w:right w:val="single" w:color="000000" w:sz="4" w:space="0"/>
            </w:tcBorders>
            <w:vAlign w:val="center"/>
          </w:tcPr>
          <w:p>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513" w:type="dxa"/>
            <w:tcBorders>
              <w:top w:val="single" w:color="auto" w:sz="4" w:space="0"/>
              <w:left w:val="single" w:color="000000" w:sz="4" w:space="0"/>
              <w:bottom w:val="single" w:color="auto" w:sz="4" w:space="0"/>
              <w:right w:val="single" w:color="000000" w:sz="4" w:space="0"/>
            </w:tcBorders>
            <w:vAlign w:val="center"/>
          </w:tcPr>
          <w:p>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开标时间和地点</w:t>
            </w:r>
          </w:p>
        </w:tc>
        <w:tc>
          <w:tcPr>
            <w:tcW w:w="6195" w:type="dxa"/>
            <w:tcBorders>
              <w:top w:val="single" w:color="auto" w:sz="4" w:space="0"/>
              <w:left w:val="single" w:color="000000" w:sz="4" w:space="0"/>
              <w:bottom w:val="single" w:color="auto" w:sz="4" w:space="0"/>
              <w:right w:val="single" w:color="auto"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招标人在本章第</w:t>
            </w:r>
            <w:r>
              <w:rPr>
                <w:rFonts w:ascii="宋体" w:hAnsi="宋体" w:cs="宋体"/>
                <w:color w:val="auto"/>
                <w:szCs w:val="21"/>
                <w:highlight w:val="none"/>
              </w:rPr>
              <w:t xml:space="preserve"> 4.2.1</w:t>
            </w:r>
            <w:r>
              <w:rPr>
                <w:rFonts w:hint="eastAsia" w:ascii="宋体" w:hAnsi="宋体" w:cs="宋体"/>
                <w:color w:val="auto"/>
                <w:szCs w:val="21"/>
                <w:highlight w:val="none"/>
              </w:rPr>
              <w:t>项规定的投标截止时间（开标时间）</w:t>
            </w:r>
            <w:r>
              <w:rPr>
                <w:rFonts w:ascii="宋体" w:hAnsi="宋体" w:cs="宋体"/>
                <w:color w:val="auto"/>
                <w:szCs w:val="21"/>
                <w:highlight w:val="none"/>
              </w:rPr>
              <w:t>,在广州公共资源交易中心（广州市天润路</w:t>
            </w:r>
            <w:r>
              <w:rPr>
                <w:rFonts w:hint="eastAsia" w:ascii="宋体" w:hAnsi="宋体" w:cs="宋体"/>
                <w:color w:val="auto"/>
                <w:szCs w:val="21"/>
                <w:highlight w:val="none"/>
              </w:rPr>
              <w:t>3</w:t>
            </w:r>
            <w:r>
              <w:rPr>
                <w:rFonts w:ascii="宋体" w:hAnsi="宋体" w:cs="宋体"/>
                <w:color w:val="auto"/>
                <w:szCs w:val="21"/>
                <w:highlight w:val="none"/>
              </w:rPr>
              <w:t>33号）</w:t>
            </w:r>
            <w:r>
              <w:rPr>
                <w:rFonts w:ascii="宋体" w:hAnsi="宋体" w:cs="宋体"/>
                <w:color w:val="auto"/>
                <w:szCs w:val="21"/>
                <w:highlight w:val="none"/>
                <w:u w:val="single"/>
              </w:rPr>
              <w:t xml:space="preserve">第   </w:t>
            </w:r>
            <w:r>
              <w:rPr>
                <w:rFonts w:hint="eastAsia" w:ascii="宋体" w:hAnsi="宋体" w:cs="宋体"/>
                <w:color w:val="auto"/>
                <w:szCs w:val="21"/>
                <w:highlight w:val="none"/>
                <w:u w:val="single"/>
              </w:rPr>
              <w:t>开标室</w:t>
            </w:r>
            <w:r>
              <w:rPr>
                <w:rFonts w:hint="eastAsia" w:ascii="宋体" w:hAnsi="宋体" w:cs="宋体"/>
                <w:color w:val="auto"/>
                <w:szCs w:val="21"/>
                <w:highlight w:val="none"/>
              </w:rPr>
              <w:t>通过广州公共资源交易中心交易平台公开开标。投标人代表有权出席开标会，也可以自主决定不参加开标会。</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递交备用电子投标文件时间：</w:t>
            </w:r>
            <w:r>
              <w:rPr>
                <w:rFonts w:ascii="宋体" w:hAnsi="宋体" w:cs="宋体"/>
                <w:color w:val="auto"/>
                <w:szCs w:val="21"/>
                <w:highlight w:val="none"/>
                <w:u w:val="single"/>
              </w:rPr>
              <w:t>2023</w:t>
            </w:r>
            <w:r>
              <w:rPr>
                <w:rFonts w:hint="eastAsia" w:ascii="宋体" w:hAnsi="宋体" w:cs="宋体"/>
                <w:color w:val="auto"/>
                <w:szCs w:val="21"/>
                <w:highlight w:val="none"/>
                <w:u w:val="singl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分至</w:t>
            </w:r>
            <w:r>
              <w:rPr>
                <w:rFonts w:ascii="宋体" w:hAnsi="宋体" w:cs="宋体"/>
                <w:color w:val="auto"/>
                <w:szCs w:val="21"/>
                <w:highlight w:val="none"/>
                <w:u w:val="single"/>
              </w:rPr>
              <w:t>2023</w:t>
            </w:r>
            <w:r>
              <w:rPr>
                <w:rFonts w:hint="eastAsia" w:ascii="宋体" w:hAnsi="宋体" w:cs="宋体"/>
                <w:color w:val="auto"/>
                <w:szCs w:val="21"/>
                <w:highlight w:val="none"/>
                <w:u w:val="singl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分</w:t>
            </w:r>
            <w:r>
              <w:rPr>
                <w:rFonts w:hint="eastAsia" w:ascii="宋体" w:hAnsi="宋体" w:cs="宋体"/>
                <w:color w:val="auto"/>
                <w:szCs w:val="21"/>
                <w:highlight w:val="none"/>
              </w:rPr>
              <w:t>；递交地点：同开标地点。</w:t>
            </w:r>
          </w:p>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具体时间、地点可以到广州公共资源交易中心网站的项目查询</w:t>
            </w:r>
            <w:r>
              <w:rPr>
                <w:rFonts w:ascii="宋体" w:hAnsi="宋体" w:cs="宋体"/>
                <w:color w:val="auto"/>
                <w:szCs w:val="21"/>
                <w:highlight w:val="none"/>
              </w:rPr>
              <w:t>(日程安排、答疑纪要)中输入本项目编号或项目名称进行查询。</w:t>
            </w:r>
          </w:p>
        </w:tc>
      </w:tr>
      <w:tr>
        <w:tblPrEx>
          <w:tblCellMar>
            <w:top w:w="0" w:type="dxa"/>
            <w:left w:w="108" w:type="dxa"/>
            <w:bottom w:w="0" w:type="dxa"/>
            <w:right w:w="108" w:type="dxa"/>
          </w:tblCellMar>
        </w:tblPrEx>
        <w:trPr>
          <w:trHeight w:val="552" w:hRule="atLeast"/>
          <w:jc w:val="center"/>
        </w:trPr>
        <w:tc>
          <w:tcPr>
            <w:tcW w:w="884" w:type="dxa"/>
            <w:tcBorders>
              <w:top w:val="single" w:color="auto"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6.1.1</w:t>
            </w:r>
          </w:p>
        </w:tc>
        <w:tc>
          <w:tcPr>
            <w:tcW w:w="2513" w:type="dxa"/>
            <w:tcBorders>
              <w:top w:val="single" w:color="auto"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评标委员会的组建</w:t>
            </w:r>
          </w:p>
        </w:tc>
        <w:tc>
          <w:tcPr>
            <w:tcW w:w="6195" w:type="dxa"/>
            <w:tcBorders>
              <w:top w:val="single" w:color="auto"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评标委员会由招标人依法组建。</w:t>
            </w:r>
          </w:p>
        </w:tc>
      </w:tr>
      <w:tr>
        <w:tblPrEx>
          <w:tblCellMar>
            <w:top w:w="0" w:type="dxa"/>
            <w:left w:w="108" w:type="dxa"/>
            <w:bottom w:w="0" w:type="dxa"/>
            <w:right w:w="108" w:type="dxa"/>
          </w:tblCellMar>
        </w:tblPrEx>
        <w:trPr>
          <w:trHeight w:val="5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7.1</w:t>
            </w:r>
            <w:r>
              <w:rPr>
                <w:rFonts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是否授权评标委员会确定中标人</w:t>
            </w:r>
          </w:p>
        </w:tc>
        <w:tc>
          <w:tcPr>
            <w:tcW w:w="61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□是</w:t>
            </w:r>
          </w:p>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■否，推荐的中标候选人数：</w:t>
            </w:r>
            <w:r>
              <w:rPr>
                <w:rFonts w:hint="eastAsia" w:ascii="宋体" w:hAnsi="宋体" w:cs="宋体"/>
                <w:color w:val="auto"/>
                <w:szCs w:val="21"/>
                <w:highlight w:val="none"/>
                <w:u w:val="single"/>
              </w:rPr>
              <w:t>3人</w:t>
            </w:r>
          </w:p>
        </w:tc>
      </w:tr>
      <w:tr>
        <w:tblPrEx>
          <w:tblCellMar>
            <w:top w:w="0" w:type="dxa"/>
            <w:left w:w="108" w:type="dxa"/>
            <w:bottom w:w="0" w:type="dxa"/>
            <w:right w:w="108" w:type="dxa"/>
          </w:tblCellMar>
        </w:tblPrEx>
        <w:trPr>
          <w:trHeight w:val="692" w:hRule="atLeast"/>
          <w:jc w:val="center"/>
        </w:trPr>
        <w:tc>
          <w:tcPr>
            <w:tcW w:w="884" w:type="dxa"/>
            <w:tcBorders>
              <w:top w:val="single" w:color="000000" w:sz="4" w:space="0"/>
              <w:left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7.2</w:t>
            </w:r>
            <w:r>
              <w:rPr>
                <w:rFonts w:ascii="宋体" w:hAnsi="宋体" w:cs="宋体"/>
                <w:color w:val="auto"/>
                <w:kern w:val="1"/>
                <w:szCs w:val="21"/>
                <w:highlight w:val="none"/>
              </w:rPr>
              <w:t>.1</w:t>
            </w:r>
          </w:p>
        </w:tc>
        <w:tc>
          <w:tcPr>
            <w:tcW w:w="2513" w:type="dxa"/>
            <w:tcBorders>
              <w:top w:val="single" w:color="000000" w:sz="4" w:space="0"/>
              <w:left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中标候选人公示媒介</w:t>
            </w:r>
          </w:p>
        </w:tc>
        <w:tc>
          <w:tcPr>
            <w:tcW w:w="6195" w:type="dxa"/>
            <w:tcBorders>
              <w:top w:val="single" w:color="000000" w:sz="4" w:space="0"/>
              <w:left w:val="single" w:color="000000" w:sz="4" w:space="0"/>
              <w:right w:val="single" w:color="000000" w:sz="4" w:space="0"/>
            </w:tcBorders>
            <w:vAlign w:val="center"/>
          </w:tcPr>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广州公共资源交易中心网站、中国招标投标公共服务平台、广东省招标投标监管网</w:t>
            </w:r>
          </w:p>
        </w:tc>
      </w:tr>
      <w:tr>
        <w:tblPrEx>
          <w:tblCellMar>
            <w:top w:w="0" w:type="dxa"/>
            <w:left w:w="108" w:type="dxa"/>
            <w:bottom w:w="0" w:type="dxa"/>
            <w:right w:w="108" w:type="dxa"/>
          </w:tblCellMar>
        </w:tblPrEx>
        <w:trPr>
          <w:trHeight w:val="180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7.4.1</w:t>
            </w:r>
          </w:p>
        </w:tc>
        <w:tc>
          <w:tcPr>
            <w:tcW w:w="25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履约担保</w:t>
            </w:r>
          </w:p>
        </w:tc>
        <w:tc>
          <w:tcPr>
            <w:tcW w:w="61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履约担保的形式：以合同约定为准。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履约担保的金额：合同暂定总价的</w:t>
            </w:r>
            <w:r>
              <w:rPr>
                <w:rFonts w:hint="eastAsia" w:ascii="宋体" w:hAnsi="宋体" w:cs="宋体"/>
                <w:color w:val="auto"/>
                <w:szCs w:val="21"/>
                <w:highlight w:val="none"/>
                <w:u w:val="single"/>
              </w:rPr>
              <w:t>10</w:t>
            </w:r>
            <w:r>
              <w:rPr>
                <w:rFonts w:hint="eastAsia" w:ascii="宋体" w:hAnsi="宋体" w:cs="宋体"/>
                <w:color w:val="auto"/>
                <w:szCs w:val="21"/>
                <w:highlight w:val="none"/>
              </w:rPr>
              <w:t>%，联合体投标的由联合体</w:t>
            </w:r>
            <w:r>
              <w:rPr>
                <w:rFonts w:hint="eastAsia" w:ascii="宋体" w:hAnsi="宋体" w:cs="宋体"/>
                <w:color w:val="auto"/>
                <w:szCs w:val="21"/>
                <w:highlight w:val="none"/>
                <w:lang w:eastAsia="zh-CN"/>
              </w:rPr>
              <w:t>主办方</w:t>
            </w:r>
            <w:r>
              <w:rPr>
                <w:rFonts w:hint="eastAsia" w:ascii="宋体" w:hAnsi="宋体" w:cs="宋体"/>
                <w:color w:val="auto"/>
                <w:szCs w:val="21"/>
                <w:highlight w:val="none"/>
              </w:rPr>
              <w:t>牵头办理。</w:t>
            </w:r>
          </w:p>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担保期限从提供履约担保之日起至合同工程结算审定完成并移交工程档案后止。（履约担保到期但本项目未工程结算的，无论何种原因，投标人承诺无条件续保，如履约担保到期不提供续保则承担一般违约责任）</w:t>
            </w:r>
          </w:p>
        </w:tc>
      </w:tr>
      <w:tr>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9</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需要补充的其他内容</w:t>
            </w:r>
          </w:p>
        </w:tc>
      </w:tr>
      <w:tr>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9.1</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建设工程质量检测管理办法：</w:t>
            </w:r>
          </w:p>
          <w:p>
            <w:pPr>
              <w:spacing w:line="360" w:lineRule="auto"/>
              <w:rPr>
                <w:rFonts w:ascii="Times New Roman" w:hAnsi="Times New Roman" w:cs="Times New Roman"/>
                <w:color w:val="auto"/>
                <w:szCs w:val="21"/>
                <w:highlight w:val="none"/>
              </w:rPr>
            </w:pPr>
            <w:r>
              <w:rPr>
                <w:rFonts w:hint="eastAsia" w:ascii="宋体" w:hAnsi="宋体" w:cs="宋体"/>
                <w:color w:val="auto"/>
                <w:szCs w:val="21"/>
                <w:highlight w:val="none"/>
              </w:rPr>
              <w:t>根据《建设工程质量检测管理办法》（2022年12月29日中华人民共和国住房和城乡建设部令第57号）第十八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9.2</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施工保修期限：按照《建设工程质量管理条例》规定。</w:t>
            </w:r>
          </w:p>
        </w:tc>
      </w:tr>
      <w:tr>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9.3</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在招标和合同实施期间，招标人要求投标人和承包人遵守最高的道德标准。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1、对本条款的规定，特定义如下词汇：</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1）“腐败行为”是指在招标或合同执行期间，通过提供、给予、接受或索要任何有价值的东西，从而影响招标人有关人员工作的行为；</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2、如果投标人被认定在本招标的竞争中有腐败或欺诈行为，则会被取消投标资格。</w:t>
            </w:r>
          </w:p>
        </w:tc>
      </w:tr>
      <w:tr>
        <w:tblPrEx>
          <w:tblCellMar>
            <w:top w:w="0" w:type="dxa"/>
            <w:left w:w="108" w:type="dxa"/>
            <w:bottom w:w="0" w:type="dxa"/>
            <w:right w:w="108" w:type="dxa"/>
          </w:tblCellMar>
        </w:tblPrEx>
        <w:trPr>
          <w:trHeight w:val="90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9.4</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承包方式：包勘察、</w:t>
            </w:r>
            <w:r>
              <w:rPr>
                <w:rFonts w:hint="eastAsia" w:ascii="宋体" w:hAnsi="宋体" w:cs="宋体"/>
                <w:color w:val="auto"/>
                <w:kern w:val="1"/>
                <w:szCs w:val="21"/>
                <w:highlight w:val="none"/>
                <w:lang w:eastAsia="zh-CN"/>
              </w:rPr>
              <w:t>包</w:t>
            </w:r>
            <w:r>
              <w:rPr>
                <w:rFonts w:hint="eastAsia" w:ascii="宋体" w:hAnsi="宋体" w:cs="宋体"/>
                <w:color w:val="auto"/>
                <w:kern w:val="1"/>
                <w:szCs w:val="21"/>
                <w:highlight w:val="none"/>
              </w:rPr>
              <w:t>设计、包工、包料、包设备、包工期、包质量、包造价控制、包安全、包文明施工、包项目协调管理、包验收移交、包竣工资料收集整理、包保修。</w:t>
            </w:r>
          </w:p>
          <w:p>
            <w:pPr>
              <w:widowControl/>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结算方式具体按合同条款规定。</w:t>
            </w:r>
          </w:p>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项目在施工阶段，因工程实施环境变化等任何因素引起的设计和施工调整、设计和施工最终造价不得超过最高投标限价。</w:t>
            </w:r>
          </w:p>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本工程实行全过程限额设计施工，限额投资。工程变更需经过建设单位审定后方可实施。</w:t>
            </w:r>
          </w:p>
        </w:tc>
      </w:tr>
      <w:tr>
        <w:tblPrEx>
          <w:tblCellMar>
            <w:top w:w="0" w:type="dxa"/>
            <w:left w:w="108" w:type="dxa"/>
            <w:bottom w:w="0" w:type="dxa"/>
            <w:right w:w="108" w:type="dxa"/>
          </w:tblCellMar>
        </w:tblPrEx>
        <w:trPr>
          <w:trHeight w:val="104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9.5</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施工图即使通过审查备案，但如未达到国家、地方的行业标准、规范等及招标人需求任务书规定标准和深度，招标人要求完善的，属于设计失误（由招标人牵头认定是否设计失误），招标人不承担任何费用。</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9.6</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pStyle w:val="62"/>
              <w:tabs>
                <w:tab w:val="left" w:pos="0"/>
              </w:tabs>
              <w:spacing w:line="36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1、中标人需按照粤建管〔20</w:t>
            </w:r>
            <w:r>
              <w:rPr>
                <w:rFonts w:hint="eastAsia" w:ascii="宋体" w:hAnsi="宋体" w:cs="宋体"/>
                <w:color w:val="auto"/>
                <w:szCs w:val="21"/>
                <w:highlight w:val="none"/>
                <w:lang w:val="en-US" w:eastAsia="zh-CN"/>
              </w:rPr>
              <w:t>07</w:t>
            </w:r>
            <w:r>
              <w:rPr>
                <w:rFonts w:hint="eastAsia" w:ascii="宋体" w:hAnsi="宋体" w:cs="宋体"/>
                <w:color w:val="auto"/>
                <w:szCs w:val="21"/>
                <w:highlight w:val="none"/>
              </w:rPr>
              <w:t>〕</w:t>
            </w:r>
            <w:r>
              <w:rPr>
                <w:rFonts w:ascii="宋体" w:hAnsi="宋体" w:cs="宋体"/>
                <w:color w:val="auto"/>
                <w:szCs w:val="21"/>
                <w:highlight w:val="none"/>
              </w:rPr>
              <w:t>39</w:t>
            </w:r>
            <w:r>
              <w:rPr>
                <w:rFonts w:hint="eastAsia" w:ascii="宋体" w:hAnsi="宋体" w:cs="宋体"/>
                <w:color w:val="auto"/>
                <w:szCs w:val="21"/>
                <w:highlight w:val="none"/>
              </w:rPr>
              <w:t>号文</w:t>
            </w:r>
            <w:r>
              <w:rPr>
                <w:rFonts w:hint="eastAsia" w:ascii="宋体" w:hAnsi="宋体" w:cs="宋体"/>
                <w:color w:val="auto"/>
                <w:szCs w:val="21"/>
                <w:highlight w:val="none"/>
                <w:lang w:eastAsia="zh-CN"/>
              </w:rPr>
              <w:t>等</w:t>
            </w:r>
            <w:r>
              <w:rPr>
                <w:rFonts w:hint="eastAsia" w:ascii="宋体" w:hAnsi="宋体" w:cs="宋体"/>
                <w:color w:val="auto"/>
                <w:szCs w:val="21"/>
                <w:highlight w:val="none"/>
              </w:rPr>
              <w:t>有关规定做好安全文明施工各项工作，否则由招标人另行委托队伍施工，其费用由中标人自行负责。（注：前述文件有更新的，按最新的发文规定执行。）</w:t>
            </w:r>
          </w:p>
          <w:p>
            <w:pPr>
              <w:pStyle w:val="62"/>
              <w:tabs>
                <w:tab w:val="left" w:pos="0"/>
              </w:tabs>
              <w:spacing w:line="36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2、中标人（联合体投标的由联合体</w:t>
            </w:r>
            <w:r>
              <w:rPr>
                <w:rFonts w:hint="eastAsia" w:ascii="宋体" w:hAnsi="宋体" w:cs="宋体"/>
                <w:color w:val="auto"/>
                <w:szCs w:val="21"/>
                <w:highlight w:val="none"/>
                <w:lang w:eastAsia="zh-CN"/>
              </w:rPr>
              <w:t>主办方</w:t>
            </w:r>
            <w:r>
              <w:rPr>
                <w:rFonts w:hint="eastAsia" w:ascii="宋体" w:hAnsi="宋体" w:cs="宋体"/>
                <w:color w:val="auto"/>
                <w:szCs w:val="21"/>
                <w:highlight w:val="none"/>
              </w:rPr>
              <w:t>提供）必须根据招标文件规定的时间要求及时出具履约担保，如中标人无法及时提供履约担保的，视为自动放弃中标资格并停止参加招标人的招标投标活动十二个月。招标人可以按照评标委员会提出的中标候选人名单排序依次确定其他中标候选人为中标人</w:t>
            </w:r>
            <w:r>
              <w:rPr>
                <w:rFonts w:ascii="宋体" w:hAnsi="宋体" w:cs="宋体"/>
                <w:color w:val="auto"/>
                <w:szCs w:val="21"/>
                <w:highlight w:val="none"/>
              </w:rPr>
              <w:t>,</w:t>
            </w:r>
            <w:r>
              <w:rPr>
                <w:rFonts w:hint="eastAsia" w:ascii="宋体" w:hAnsi="宋体" w:cs="宋体"/>
                <w:color w:val="auto"/>
                <w:szCs w:val="21"/>
                <w:highlight w:val="none"/>
              </w:rPr>
              <w:t>也可以重新招标。</w:t>
            </w:r>
          </w:p>
          <w:p>
            <w:pPr>
              <w:spacing w:line="360" w:lineRule="auto"/>
              <w:rPr>
                <w:rFonts w:ascii="宋体" w:hAnsi="宋体" w:cs="宋体"/>
                <w:b/>
                <w:color w:val="auto"/>
                <w:szCs w:val="21"/>
                <w:highlight w:val="none"/>
              </w:rPr>
            </w:pPr>
            <w:r>
              <w:rPr>
                <w:rFonts w:hint="eastAsia" w:ascii="宋体" w:hAnsi="宋体" w:cs="宋体"/>
                <w:color w:val="auto"/>
                <w:szCs w:val="21"/>
                <w:highlight w:val="none"/>
              </w:rPr>
              <w:t>3、投标人如在本项目中存在串通投标、弄虚作假、行贿情形的，中标无效，该投标人将被招标人列入黑名单并限制其投标。行政监督部门将对其违法行为进行行政处罚并通报。</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.7</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pStyle w:val="62"/>
              <w:tabs>
                <w:tab w:val="left" w:pos="0"/>
              </w:tabs>
              <w:spacing w:line="36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本项目中标人中标后需接受招标人（甲方）或招标人（甲方）指定建设管理单位的管理。</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9.8</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pStyle w:val="62"/>
              <w:tabs>
                <w:tab w:val="left" w:pos="0"/>
              </w:tabs>
              <w:spacing w:line="36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中标候选人公示结束后3天内中标人需将在广州公共资源交易中心网站下载的投标文件打印，投标文件需与中标人在广州公共资源交易中心网站提交的投标文件一致，中标人加盖公章，一正3副（加盖公章），合共4套投标文件提供给招标人，相关费用由中标人支付。</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szCs w:val="21"/>
                <w:highlight w:val="none"/>
              </w:rPr>
            </w:pPr>
            <w:r>
              <w:rPr>
                <w:rFonts w:hint="eastAsia" w:ascii="宋体" w:hAnsi="宋体" w:cs="宋体"/>
                <w:color w:val="auto"/>
                <w:kern w:val="1"/>
                <w:szCs w:val="21"/>
                <w:highlight w:val="none"/>
              </w:rPr>
              <w:t>10</w:t>
            </w:r>
          </w:p>
        </w:tc>
        <w:tc>
          <w:tcPr>
            <w:tcW w:w="2513" w:type="dxa"/>
            <w:tcBorders>
              <w:top w:val="single" w:color="000000" w:sz="4" w:space="0"/>
              <w:left w:val="single" w:color="000000" w:sz="4" w:space="0"/>
              <w:bottom w:val="single" w:color="000000" w:sz="4" w:space="0"/>
              <w:right w:val="single" w:color="auto" w:sz="4" w:space="0"/>
            </w:tcBorders>
            <w:vAlign w:val="center"/>
          </w:tcPr>
          <w:p>
            <w:pPr>
              <w:pStyle w:val="62"/>
              <w:tabs>
                <w:tab w:val="left" w:pos="0"/>
              </w:tabs>
              <w:spacing w:line="360" w:lineRule="auto"/>
              <w:ind w:firstLine="0" w:firstLineChars="0"/>
              <w:jc w:val="left"/>
              <w:rPr>
                <w:rFonts w:ascii="宋体" w:hAnsi="宋体" w:cs="宋体"/>
                <w:color w:val="auto"/>
                <w:szCs w:val="21"/>
                <w:highlight w:val="none"/>
              </w:rPr>
            </w:pPr>
            <w:r>
              <w:rPr>
                <w:rFonts w:hint="eastAsia" w:ascii="宋体" w:hAnsi="宋体" w:cs="宋体"/>
                <w:color w:val="auto"/>
                <w:kern w:val="1"/>
                <w:szCs w:val="21"/>
                <w:highlight w:val="none"/>
              </w:rPr>
              <w:t>电子招标投标</w:t>
            </w:r>
          </w:p>
        </w:tc>
        <w:tc>
          <w:tcPr>
            <w:tcW w:w="6195" w:type="dxa"/>
            <w:tcBorders>
              <w:top w:val="single" w:color="000000" w:sz="4" w:space="0"/>
              <w:left w:val="single" w:color="auto" w:sz="4" w:space="0"/>
              <w:bottom w:val="single" w:color="000000" w:sz="4" w:space="0"/>
              <w:right w:val="single" w:color="000000" w:sz="4" w:space="0"/>
            </w:tcBorders>
            <w:vAlign w:val="center"/>
          </w:tcPr>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□否</w:t>
            </w:r>
          </w:p>
          <w:p>
            <w:pPr>
              <w:spacing w:line="360" w:lineRule="auto"/>
              <w:rPr>
                <w:rFonts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是，具体要求：</w:t>
            </w:r>
          </w:p>
          <w:p>
            <w:pPr>
              <w:pStyle w:val="18"/>
              <w:spacing w:line="360" w:lineRule="auto"/>
              <w:rPr>
                <w:rFonts w:cs="宋体"/>
                <w:color w:val="auto"/>
                <w:kern w:val="1"/>
                <w:sz w:val="21"/>
                <w:szCs w:val="21"/>
                <w:highlight w:val="none"/>
                <w:lang w:val="en-US"/>
              </w:rPr>
            </w:pPr>
            <w:r>
              <w:rPr>
                <w:rFonts w:cs="宋体"/>
                <w:color w:val="auto"/>
                <w:kern w:val="1"/>
                <w:sz w:val="21"/>
                <w:szCs w:val="21"/>
                <w:highlight w:val="none"/>
                <w:lang w:val="en-US"/>
              </w:rPr>
              <w:t>1</w:t>
            </w:r>
            <w:r>
              <w:rPr>
                <w:rFonts w:hint="eastAsia" w:cs="宋体"/>
                <w:color w:val="auto"/>
                <w:kern w:val="1"/>
                <w:sz w:val="21"/>
                <w:szCs w:val="21"/>
                <w:highlight w:val="none"/>
                <w:lang w:val="en-US"/>
              </w:rPr>
              <w:t>.</w:t>
            </w:r>
            <w:r>
              <w:rPr>
                <w:rFonts w:cs="宋体"/>
                <w:color w:val="auto"/>
                <w:kern w:val="1"/>
                <w:sz w:val="21"/>
                <w:szCs w:val="21"/>
                <w:highlight w:val="none"/>
                <w:lang w:val="en-US"/>
              </w:rPr>
              <w:t>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w:t>
            </w:r>
            <w:r>
              <w:rPr>
                <w:rFonts w:hint="eastAsia" w:cs="宋体"/>
                <w:color w:val="auto"/>
                <w:kern w:val="1"/>
                <w:sz w:val="21"/>
                <w:szCs w:val="21"/>
                <w:highlight w:val="none"/>
                <w:lang w:val="en-US"/>
              </w:rPr>
              <w:t>件中需个人签字或盖章的，应在线下完成后扫描上传。具体操作详见广州公共资源交易中心网站最新发布的《房建市政全流程电子化项目操作专章》。</w:t>
            </w:r>
          </w:p>
          <w:p>
            <w:pPr>
              <w:pStyle w:val="18"/>
              <w:spacing w:line="360" w:lineRule="auto"/>
              <w:rPr>
                <w:rFonts w:cs="宋体"/>
                <w:color w:val="auto"/>
                <w:kern w:val="1"/>
                <w:sz w:val="21"/>
                <w:szCs w:val="21"/>
                <w:highlight w:val="none"/>
                <w:lang w:val="en-US"/>
              </w:rPr>
            </w:pPr>
            <w:r>
              <w:rPr>
                <w:rFonts w:cs="宋体"/>
                <w:color w:val="auto"/>
                <w:kern w:val="1"/>
                <w:sz w:val="21"/>
                <w:szCs w:val="21"/>
                <w:highlight w:val="none"/>
                <w:lang w:val="en-US"/>
              </w:rPr>
              <w:t>2</w:t>
            </w:r>
            <w:r>
              <w:rPr>
                <w:rFonts w:hint="eastAsia" w:cs="宋体"/>
                <w:color w:val="auto"/>
                <w:kern w:val="1"/>
                <w:sz w:val="21"/>
                <w:szCs w:val="21"/>
                <w:highlight w:val="none"/>
                <w:lang w:val="en-US"/>
              </w:rPr>
              <w:t>.</w:t>
            </w:r>
            <w:r>
              <w:rPr>
                <w:rFonts w:cs="宋体"/>
                <w:color w:val="auto"/>
                <w:kern w:val="1"/>
                <w:sz w:val="21"/>
                <w:szCs w:val="21"/>
                <w:highlight w:val="none"/>
                <w:lang w:val="en-US"/>
              </w:rPr>
              <w:t>现场提交备用资料</w:t>
            </w:r>
          </w:p>
          <w:p>
            <w:pPr>
              <w:pStyle w:val="18"/>
              <w:spacing w:line="360" w:lineRule="auto"/>
              <w:rPr>
                <w:rFonts w:hint="eastAsia" w:cs="宋体"/>
                <w:color w:val="auto"/>
                <w:kern w:val="1"/>
                <w:sz w:val="21"/>
                <w:szCs w:val="21"/>
                <w:highlight w:val="none"/>
                <w:lang w:val="en-US" w:eastAsia="zh-CN"/>
              </w:rPr>
            </w:pPr>
            <w:r>
              <w:rPr>
                <w:rFonts w:hint="eastAsia" w:cs="宋体"/>
                <w:color w:val="auto"/>
                <w:kern w:val="1"/>
                <w:sz w:val="21"/>
                <w:szCs w:val="21"/>
                <w:highlight w:val="none"/>
                <w:lang w:val="en-US"/>
              </w:rPr>
              <w:t>（</w:t>
            </w:r>
            <w:r>
              <w:rPr>
                <w:rFonts w:cs="宋体"/>
                <w:color w:val="auto"/>
                <w:kern w:val="1"/>
                <w:sz w:val="21"/>
                <w:szCs w:val="21"/>
                <w:highlight w:val="none"/>
                <w:lang w:val="en-US"/>
              </w:rPr>
              <w:t>1）投标人可</w:t>
            </w:r>
            <w:r>
              <w:rPr>
                <w:rFonts w:hint="eastAsia" w:cs="宋体"/>
                <w:color w:val="auto"/>
                <w:kern w:val="1"/>
                <w:sz w:val="21"/>
                <w:szCs w:val="21"/>
                <w:highlight w:val="none"/>
                <w:lang w:val="en-US"/>
              </w:rPr>
              <w:t>制作非加密的电子投标文件，以光盘或</w:t>
            </w:r>
            <w:r>
              <w:rPr>
                <w:rFonts w:cs="宋体"/>
                <w:color w:val="auto"/>
                <w:kern w:val="1"/>
                <w:sz w:val="21"/>
                <w:szCs w:val="21"/>
                <w:highlight w:val="none"/>
                <w:lang w:val="en-US"/>
              </w:rPr>
              <w:t>U盘为储存介质在投标须知前附表第5.1项规定的时间、地点提交备用。</w:t>
            </w:r>
            <w:r>
              <w:rPr>
                <w:rFonts w:cs="宋体"/>
                <w:b/>
                <w:color w:val="auto"/>
                <w:kern w:val="1"/>
                <w:sz w:val="21"/>
                <w:szCs w:val="21"/>
                <w:highlight w:val="none"/>
                <w:lang w:val="en-US"/>
              </w:rPr>
              <w:t>备用电子投标文件应密封在密封袋中，并在封口处加盖投标人单位公章</w:t>
            </w:r>
            <w:r>
              <w:rPr>
                <w:rFonts w:hint="eastAsia" w:cs="宋体"/>
                <w:b/>
                <w:color w:val="auto"/>
                <w:kern w:val="1"/>
                <w:sz w:val="21"/>
                <w:szCs w:val="21"/>
                <w:highlight w:val="none"/>
                <w:lang w:val="en-US"/>
              </w:rPr>
              <w:t>。</w:t>
            </w:r>
            <w:r>
              <w:rPr>
                <w:rFonts w:hint="eastAsia" w:cs="宋体"/>
                <w:color w:val="auto"/>
                <w:kern w:val="1"/>
                <w:sz w:val="21"/>
                <w:szCs w:val="21"/>
                <w:highlight w:val="none"/>
                <w:lang w:val="en-US"/>
              </w:rPr>
              <w:t>密封袋上应写明项目名称和招标人名称</w:t>
            </w:r>
            <w:r>
              <w:rPr>
                <w:rFonts w:hint="eastAsia" w:cs="宋体"/>
                <w:color w:val="auto"/>
                <w:kern w:val="1"/>
                <w:sz w:val="21"/>
                <w:szCs w:val="21"/>
                <w:highlight w:val="none"/>
                <w:lang w:val="en-US" w:eastAsia="zh-CN"/>
              </w:rPr>
              <w:t>。</w:t>
            </w:r>
          </w:p>
          <w:p>
            <w:pPr>
              <w:pStyle w:val="18"/>
              <w:spacing w:line="360" w:lineRule="auto"/>
              <w:rPr>
                <w:rFonts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2）现场递交的备用电子投标文件不得加密。电子投标文件无法读取或导入的，则视为未提交备用电子投标文件。如果投标人没有按规定通过交易平台网上递交电子投标文件的，不再接受现场提交的备用电子投标文件。</w:t>
            </w:r>
            <w:r>
              <w:rPr>
                <w:rFonts w:hint="eastAsia" w:cs="宋体"/>
                <w:color w:val="auto"/>
                <w:kern w:val="1"/>
                <w:sz w:val="21"/>
                <w:szCs w:val="21"/>
                <w:highlight w:val="none"/>
                <w:lang w:val="en-US"/>
              </w:rPr>
              <w:t>投标人也可不提交备用光盘。</w:t>
            </w:r>
          </w:p>
          <w:p>
            <w:pPr>
              <w:pStyle w:val="18"/>
              <w:spacing w:line="360" w:lineRule="auto"/>
              <w:rPr>
                <w:rFonts w:cs="宋体"/>
                <w:color w:val="auto"/>
                <w:kern w:val="1"/>
                <w:sz w:val="21"/>
                <w:szCs w:val="21"/>
                <w:highlight w:val="none"/>
                <w:lang w:val="en-US"/>
              </w:rPr>
            </w:pPr>
            <w:r>
              <w:rPr>
                <w:rFonts w:cs="宋体"/>
                <w:color w:val="auto"/>
                <w:kern w:val="1"/>
                <w:sz w:val="21"/>
                <w:szCs w:val="21"/>
                <w:highlight w:val="none"/>
                <w:lang w:val="en-US"/>
              </w:rPr>
              <w:t>3</w:t>
            </w:r>
            <w:r>
              <w:rPr>
                <w:rFonts w:hint="eastAsia" w:cs="宋体"/>
                <w:color w:val="auto"/>
                <w:kern w:val="1"/>
                <w:sz w:val="21"/>
                <w:szCs w:val="21"/>
                <w:highlight w:val="none"/>
                <w:lang w:val="en-US"/>
              </w:rPr>
              <w:t>.</w:t>
            </w:r>
            <w:r>
              <w:rPr>
                <w:rFonts w:cs="宋体"/>
                <w:color w:val="auto"/>
                <w:kern w:val="1"/>
                <w:sz w:val="21"/>
                <w:szCs w:val="21"/>
                <w:highlight w:val="none"/>
                <w:lang w:val="en-US"/>
              </w:rPr>
              <w:t>补救方案</w:t>
            </w:r>
          </w:p>
          <w:p>
            <w:pPr>
              <w:pStyle w:val="18"/>
              <w:spacing w:line="360" w:lineRule="auto"/>
              <w:rPr>
                <w:rFonts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1）投标文件解密失败的补救方案：</w:t>
            </w:r>
          </w:p>
          <w:p>
            <w:pPr>
              <w:pStyle w:val="18"/>
              <w:spacing w:line="360" w:lineRule="auto"/>
              <w:rPr>
                <w:rFonts w:cs="宋体"/>
                <w:color w:val="auto"/>
                <w:kern w:val="1"/>
                <w:sz w:val="21"/>
                <w:szCs w:val="21"/>
                <w:highlight w:val="none"/>
                <w:lang w:val="en-US"/>
              </w:rPr>
            </w:pPr>
            <w:r>
              <w:rPr>
                <w:rFonts w:hint="eastAsia" w:cs="宋体"/>
                <w:color w:val="auto"/>
                <w:kern w:val="1"/>
                <w:sz w:val="21"/>
                <w:szCs w:val="21"/>
                <w:highlight w:val="none"/>
                <w:lang w:val="en-US"/>
              </w:rPr>
              <w:t>在规定时间内，因投标人之外原因导致的电子投标文件解密失败，在开标现场读取备用电子投标文件内容，继续开标程序。评标委员会对其投标文件的评审以递交的备用电子投标文件内容为准。</w:t>
            </w:r>
          </w:p>
          <w:p>
            <w:pPr>
              <w:pStyle w:val="18"/>
              <w:spacing w:line="360" w:lineRule="auto"/>
              <w:rPr>
                <w:rFonts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2）评标时突发情况的补救方案</w:t>
            </w:r>
          </w:p>
          <w:p>
            <w:pPr>
              <w:pStyle w:val="18"/>
              <w:spacing w:line="360" w:lineRule="auto"/>
              <w:rPr>
                <w:rFonts w:cs="宋体"/>
                <w:color w:val="auto"/>
                <w:kern w:val="1"/>
                <w:sz w:val="21"/>
                <w:szCs w:val="21"/>
                <w:highlight w:val="none"/>
                <w:lang w:val="en-US"/>
              </w:rPr>
            </w:pPr>
            <w:r>
              <w:rPr>
                <w:rFonts w:hint="eastAsia" w:cs="宋体"/>
                <w:color w:val="auto"/>
                <w:kern w:val="1"/>
                <w:sz w:val="21"/>
                <w:szCs w:val="21"/>
                <w:highlight w:val="none"/>
                <w:lang w:val="en-US"/>
              </w:rPr>
              <w:t>若遇不可抗力发生（如：网络瘫痪、服务器损坏、交易系统故障短期无法恢复等因素），由评标委员会开启现场递交的全部电子投标文件，并按递交的电子投标文件内容进行评审。</w:t>
            </w:r>
          </w:p>
          <w:p>
            <w:pPr>
              <w:pStyle w:val="62"/>
              <w:tabs>
                <w:tab w:val="left" w:pos="0"/>
              </w:tabs>
              <w:spacing w:line="360" w:lineRule="auto"/>
              <w:ind w:firstLine="0" w:firstLineChars="0"/>
              <w:jc w:val="left"/>
              <w:rPr>
                <w:rFonts w:ascii="宋体" w:hAnsi="宋体" w:cs="宋体"/>
                <w:color w:val="auto"/>
                <w:szCs w:val="21"/>
                <w:highlight w:val="none"/>
              </w:rPr>
            </w:pPr>
            <w:r>
              <w:rPr>
                <w:rFonts w:hint="eastAsia" w:ascii="宋体" w:hAnsi="宋体" w:cs="宋体"/>
                <w:color w:val="auto"/>
                <w:kern w:val="1"/>
                <w:szCs w:val="21"/>
                <w:highlight w:val="none"/>
              </w:rPr>
              <w:t>（3）</w:t>
            </w:r>
            <w:r>
              <w:rPr>
                <w:rFonts w:cs="宋体"/>
                <w:color w:val="auto"/>
                <w:kern w:val="1"/>
                <w:szCs w:val="21"/>
                <w:highlight w:val="none"/>
              </w:rPr>
              <w:t>除发生上述情况外，开标评标均以投标人通过交易平台网上递交的电子投标文件为准。</w:t>
            </w:r>
          </w:p>
        </w:tc>
      </w:tr>
    </w:tbl>
    <w:p>
      <w:pPr>
        <w:pStyle w:val="5"/>
        <w:spacing w:line="360" w:lineRule="auto"/>
        <w:rPr>
          <w:rFonts w:ascii="宋体" w:hAnsi="宋体" w:eastAsia="宋体" w:cs="宋体"/>
          <w:color w:val="auto"/>
          <w:highlight w:val="none"/>
          <w:lang w:val="zh-CN"/>
        </w:rPr>
      </w:pPr>
      <w:bookmarkStart w:id="42" w:name="_Toc152045529"/>
      <w:bookmarkEnd w:id="42"/>
      <w:bookmarkStart w:id="43" w:name="_Toc357089511"/>
      <w:bookmarkEnd w:id="43"/>
      <w:bookmarkStart w:id="44" w:name="_Toc144974497"/>
      <w:bookmarkEnd w:id="44"/>
      <w:bookmarkStart w:id="45" w:name="_Toc152042305"/>
      <w:bookmarkEnd w:id="45"/>
      <w:bookmarkStart w:id="46" w:name="_Toc247513952"/>
      <w:bookmarkEnd w:id="46"/>
      <w:bookmarkStart w:id="47" w:name="_Toc247527553"/>
      <w:bookmarkEnd w:id="47"/>
      <w:bookmarkStart w:id="48" w:name="_Toc443505822"/>
      <w:bookmarkEnd w:id="48"/>
      <w:bookmarkStart w:id="49" w:name="_Toc362816480"/>
      <w:bookmarkEnd w:id="49"/>
      <w:bookmarkStart w:id="50" w:name="_Toc300834949"/>
      <w:bookmarkEnd w:id="50"/>
      <w:r>
        <w:rPr>
          <w:rFonts w:hint="eastAsia" w:ascii="宋体" w:hAnsi="宋体" w:eastAsia="宋体" w:cs="宋体"/>
          <w:color w:val="auto"/>
          <w:highlight w:val="none"/>
          <w:lang w:val="zh-CN"/>
        </w:rPr>
        <w:br w:type="page"/>
      </w:r>
      <w:bookmarkStart w:id="51" w:name="_Toc224"/>
      <w:bookmarkEnd w:id="51"/>
      <w:bookmarkStart w:id="52" w:name="_Toc13193"/>
      <w:bookmarkEnd w:id="52"/>
      <w:bookmarkStart w:id="53" w:name="_Toc5620296"/>
      <w:bookmarkStart w:id="54" w:name="_Toc15796"/>
      <w:r>
        <w:rPr>
          <w:rFonts w:hint="eastAsia" w:ascii="宋体" w:hAnsi="宋体" w:eastAsia="宋体" w:cs="宋体"/>
          <w:color w:val="auto"/>
          <w:highlight w:val="none"/>
          <w:lang w:val="zh-CN"/>
        </w:rPr>
        <w:t>1. 总则</w:t>
      </w:r>
      <w:bookmarkEnd w:id="53"/>
      <w:bookmarkEnd w:id="54"/>
    </w:p>
    <w:p>
      <w:pPr>
        <w:pStyle w:val="6"/>
        <w:spacing w:line="360" w:lineRule="auto"/>
        <w:ind w:firstLine="118"/>
        <w:rPr>
          <w:rFonts w:ascii="宋体" w:hAnsi="宋体" w:eastAsia="宋体"/>
          <w:b/>
          <w:color w:val="auto"/>
          <w:sz w:val="24"/>
          <w:szCs w:val="24"/>
          <w:highlight w:val="none"/>
        </w:rPr>
      </w:pPr>
      <w:bookmarkStart w:id="55" w:name="_Toc247513953"/>
      <w:bookmarkEnd w:id="55"/>
      <w:bookmarkStart w:id="56" w:name="_Toc300834950"/>
      <w:bookmarkEnd w:id="56"/>
      <w:bookmarkStart w:id="57" w:name="_Toc357089512"/>
      <w:bookmarkEnd w:id="57"/>
      <w:bookmarkStart w:id="58" w:name="_Toc362816481"/>
      <w:bookmarkEnd w:id="58"/>
      <w:bookmarkStart w:id="59" w:name="_Toc152042306"/>
      <w:bookmarkEnd w:id="59"/>
      <w:bookmarkStart w:id="60" w:name="_Toc247527554"/>
      <w:bookmarkEnd w:id="60"/>
      <w:bookmarkStart w:id="61" w:name="_Toc152045530"/>
      <w:bookmarkEnd w:id="61"/>
      <w:bookmarkStart w:id="62" w:name="_Toc356469178"/>
      <w:bookmarkEnd w:id="62"/>
      <w:bookmarkStart w:id="63" w:name="_Toc144974498"/>
      <w:bookmarkEnd w:id="63"/>
      <w:bookmarkStart w:id="64" w:name="_Toc5620297"/>
      <w:bookmarkStart w:id="65" w:name="_Toc14593"/>
      <w:r>
        <w:rPr>
          <w:rFonts w:hint="eastAsia" w:ascii="宋体" w:hAnsi="宋体" w:eastAsia="宋体"/>
          <w:b/>
          <w:color w:val="auto"/>
          <w:sz w:val="24"/>
          <w:szCs w:val="24"/>
          <w:highlight w:val="none"/>
        </w:rPr>
        <w:t>1.1 项目概况</w:t>
      </w:r>
      <w:bookmarkEnd w:id="64"/>
      <w:bookmarkEnd w:id="65"/>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1.1.1 根据《中华人民共和国招标投标法》等有关法律、法规和规章的规定，本招标项目已具备招标条件，现对该项目勘察设计施工进行总承包招标。</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1.1.2 招标人：见投标人须知前附表。</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1.1.3 招标代理机构：见投标人须知前附表。</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1.1.4 招标项目名称：见投标人须知前附表。</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1.1.5 项目建设地点：见投标人须知前附表。</w:t>
      </w:r>
    </w:p>
    <w:p>
      <w:pPr>
        <w:pStyle w:val="6"/>
        <w:spacing w:line="360" w:lineRule="auto"/>
        <w:ind w:firstLine="118"/>
        <w:rPr>
          <w:rFonts w:ascii="宋体" w:hAnsi="宋体" w:eastAsia="宋体"/>
          <w:b/>
          <w:color w:val="auto"/>
          <w:sz w:val="24"/>
          <w:szCs w:val="24"/>
          <w:highlight w:val="none"/>
        </w:rPr>
      </w:pPr>
      <w:bookmarkStart w:id="66" w:name="_Toc247527555"/>
      <w:bookmarkEnd w:id="66"/>
      <w:bookmarkStart w:id="67" w:name="_Toc300834951"/>
      <w:bookmarkEnd w:id="67"/>
      <w:bookmarkStart w:id="68" w:name="_Toc357089513"/>
      <w:bookmarkEnd w:id="68"/>
      <w:bookmarkStart w:id="69" w:name="_Toc144974499"/>
      <w:bookmarkEnd w:id="69"/>
      <w:bookmarkStart w:id="70" w:name="_Toc152045531"/>
      <w:bookmarkEnd w:id="70"/>
      <w:bookmarkStart w:id="71" w:name="_Toc247513954"/>
      <w:bookmarkEnd w:id="71"/>
      <w:bookmarkStart w:id="72" w:name="_Toc356469179"/>
      <w:bookmarkEnd w:id="72"/>
      <w:bookmarkStart w:id="73" w:name="_Toc152042307"/>
      <w:bookmarkEnd w:id="73"/>
      <w:bookmarkStart w:id="74" w:name="_Toc362816482"/>
      <w:bookmarkEnd w:id="74"/>
      <w:bookmarkStart w:id="75" w:name="_Toc5620298"/>
      <w:bookmarkStart w:id="76" w:name="_Toc28844"/>
      <w:r>
        <w:rPr>
          <w:rFonts w:hint="eastAsia" w:ascii="宋体" w:hAnsi="宋体" w:eastAsia="宋体"/>
          <w:b/>
          <w:color w:val="auto"/>
          <w:sz w:val="24"/>
          <w:szCs w:val="24"/>
          <w:highlight w:val="none"/>
        </w:rPr>
        <w:t>1.2 项目的资金来源和落实情况</w:t>
      </w:r>
      <w:bookmarkEnd w:id="75"/>
      <w:bookmarkEnd w:id="76"/>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1.2.1 资金来源及比例：见投标人须知前附表。</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1.2.2 资金落实情况：见投标人须知前附表。</w:t>
      </w:r>
    </w:p>
    <w:p>
      <w:pPr>
        <w:pStyle w:val="6"/>
        <w:spacing w:line="360" w:lineRule="auto"/>
        <w:ind w:firstLine="118"/>
        <w:rPr>
          <w:rFonts w:ascii="宋体" w:hAnsi="宋体" w:eastAsia="宋体"/>
          <w:b/>
          <w:color w:val="auto"/>
          <w:sz w:val="24"/>
          <w:szCs w:val="24"/>
          <w:highlight w:val="none"/>
        </w:rPr>
      </w:pPr>
      <w:bookmarkStart w:id="77" w:name="_Toc144974500"/>
      <w:bookmarkEnd w:id="77"/>
      <w:bookmarkStart w:id="78" w:name="_Toc357089514"/>
      <w:bookmarkEnd w:id="78"/>
      <w:bookmarkStart w:id="79" w:name="_Toc356469180"/>
      <w:bookmarkEnd w:id="79"/>
      <w:bookmarkStart w:id="80" w:name="_Toc152042308"/>
      <w:bookmarkEnd w:id="80"/>
      <w:bookmarkStart w:id="81" w:name="_Toc362816483"/>
      <w:bookmarkEnd w:id="81"/>
      <w:bookmarkStart w:id="82" w:name="_Toc152045532"/>
      <w:bookmarkEnd w:id="82"/>
      <w:bookmarkStart w:id="83" w:name="_Toc247513955"/>
      <w:bookmarkEnd w:id="83"/>
      <w:bookmarkStart w:id="84" w:name="_Toc300834952"/>
      <w:bookmarkEnd w:id="84"/>
      <w:bookmarkStart w:id="85" w:name="_Toc247527556"/>
      <w:bookmarkEnd w:id="85"/>
      <w:bookmarkStart w:id="86" w:name="_Toc27428"/>
      <w:bookmarkStart w:id="87" w:name="_Toc5620299"/>
      <w:r>
        <w:rPr>
          <w:rFonts w:hint="eastAsia" w:ascii="宋体" w:hAnsi="宋体" w:eastAsia="宋体"/>
          <w:b/>
          <w:color w:val="auto"/>
          <w:sz w:val="24"/>
          <w:szCs w:val="24"/>
          <w:highlight w:val="none"/>
        </w:rPr>
        <w:t>1.3 招标范围、计划工期和质量标准</w:t>
      </w:r>
      <w:bookmarkEnd w:id="86"/>
      <w:bookmarkEnd w:id="87"/>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1.3.1 招标范围：见投标人须知前附表。</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1.3.2 计划工期：见投标人须知前附表。</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1.3.3 质量标准：见投标人须知前附表。</w:t>
      </w:r>
    </w:p>
    <w:p>
      <w:pPr>
        <w:pStyle w:val="6"/>
        <w:spacing w:line="360" w:lineRule="auto"/>
        <w:ind w:firstLine="118"/>
        <w:rPr>
          <w:rFonts w:ascii="宋体" w:hAnsi="宋体" w:eastAsia="宋体"/>
          <w:b/>
          <w:color w:val="auto"/>
          <w:sz w:val="24"/>
          <w:szCs w:val="24"/>
          <w:highlight w:val="none"/>
        </w:rPr>
      </w:pPr>
      <w:bookmarkStart w:id="88" w:name="_Toc144974502"/>
      <w:bookmarkEnd w:id="88"/>
      <w:bookmarkStart w:id="89" w:name="_Toc247527558"/>
      <w:bookmarkEnd w:id="89"/>
      <w:bookmarkStart w:id="90" w:name="_Toc300834954"/>
      <w:bookmarkEnd w:id="90"/>
      <w:bookmarkStart w:id="91" w:name="_Toc247513957"/>
      <w:bookmarkEnd w:id="91"/>
      <w:bookmarkStart w:id="92" w:name="_Toc152042310"/>
      <w:bookmarkEnd w:id="92"/>
      <w:bookmarkStart w:id="93" w:name="_Toc152045534"/>
      <w:bookmarkEnd w:id="93"/>
      <w:bookmarkStart w:id="94" w:name="_Toc31933"/>
      <w:bookmarkStart w:id="95" w:name="_Toc5620300"/>
      <w:r>
        <w:rPr>
          <w:rFonts w:hint="eastAsia" w:ascii="宋体" w:hAnsi="宋体" w:eastAsia="宋体"/>
          <w:b/>
          <w:color w:val="auto"/>
          <w:sz w:val="24"/>
          <w:szCs w:val="24"/>
          <w:highlight w:val="none"/>
        </w:rPr>
        <w:t>1.4投标人资格要求</w:t>
      </w:r>
      <w:bookmarkEnd w:id="94"/>
      <w:bookmarkEnd w:id="95"/>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1.4.1</w:t>
      </w:r>
      <w:r>
        <w:rPr>
          <w:rFonts w:hint="eastAsia" w:ascii="宋体" w:hAnsi="宋体" w:cs="宋体"/>
          <w:color w:val="auto"/>
          <w:kern w:val="1"/>
          <w:highlight w:val="none"/>
          <w:u w:val="single"/>
        </w:rPr>
        <w:t>投标人资格要求详见招标公告。</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 xml:space="preserve">1.4.2 投标人须知前附表规定接受联合体投标的，除应符合本章第1.4.1项和投标人须知前附表的要求外，还应遵守以下规定： </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（1）联合体各方应按招标文件提供的格式签订联合体协议书，明确联合体</w:t>
      </w:r>
      <w:r>
        <w:rPr>
          <w:rFonts w:hint="eastAsia" w:ascii="宋体" w:hAnsi="宋体" w:cs="宋体"/>
          <w:color w:val="auto"/>
          <w:kern w:val="1"/>
          <w:highlight w:val="none"/>
          <w:lang w:eastAsia="zh-CN"/>
        </w:rPr>
        <w:t>主办方</w:t>
      </w:r>
      <w:r>
        <w:rPr>
          <w:rFonts w:hint="eastAsia" w:ascii="宋体" w:hAnsi="宋体" w:cs="宋体"/>
          <w:color w:val="auto"/>
          <w:kern w:val="1"/>
          <w:highlight w:val="none"/>
        </w:rPr>
        <w:t>和各方权利义务；</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（2）由同一专业的单位组成的联合体，按照资质等级较低的单位确定资质等级；</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（3）联合体各方不得再以自己名义单独或参加其他联合体在本招标项目中投标。</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1.4.3 投标人不得存在下列情形之一：</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 xml:space="preserve">（1）为招标人不具有独立法人资格的附属机构（单位）； </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（2）为招标项目前期工作提供咨询服务的；</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（3）为本招标项目的监理人；</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 xml:space="preserve">（4）为本招标项目的代建人； </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 xml:space="preserve">（5）为本招标项目提供招标代理服务的； </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 xml:space="preserve">（6）被责令停业的； </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 xml:space="preserve">（7）被暂停或取消投标资格的； </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（8）财产被接管或冻结的；</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（9）在最近三年内有骗取中标或严重违约或重大工程质量问题的；</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（10）与本招标项目的监理人或代建人或招标代理机构同为一个法定代表人的；</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（11）与本招标项目的监理人或代建人或招标代理机构相互控股或参股的；</w:t>
      </w:r>
    </w:p>
    <w:p>
      <w:pPr>
        <w:spacing w:line="480" w:lineRule="auto"/>
        <w:ind w:firstLine="420"/>
        <w:rPr>
          <w:rFonts w:hint="eastAsia" w:ascii="宋体" w:hAnsi="宋体" w:eastAsia="宋体" w:cs="宋体"/>
          <w:color w:val="auto"/>
          <w:kern w:val="1"/>
          <w:highlight w:val="none"/>
          <w:lang w:eastAsia="zh-CN"/>
        </w:rPr>
      </w:pPr>
      <w:r>
        <w:rPr>
          <w:rFonts w:hint="eastAsia" w:ascii="宋体" w:hAnsi="宋体" w:cs="宋体"/>
          <w:color w:val="auto"/>
          <w:kern w:val="1"/>
          <w:highlight w:val="none"/>
        </w:rPr>
        <w:t>（12）与本招标项目的监理人或代建人或招标代理机构相互任职或工作的</w:t>
      </w:r>
      <w:r>
        <w:rPr>
          <w:rFonts w:hint="eastAsia" w:ascii="宋体" w:hAnsi="宋体" w:cs="宋体"/>
          <w:color w:val="auto"/>
          <w:kern w:val="1"/>
          <w:highlight w:val="none"/>
          <w:lang w:eastAsia="zh-CN"/>
        </w:rPr>
        <w:t>；</w:t>
      </w:r>
    </w:p>
    <w:p>
      <w:pPr>
        <w:spacing w:line="480" w:lineRule="auto"/>
        <w:ind w:firstLine="420"/>
        <w:rPr>
          <w:rFonts w:hint="eastAsia" w:ascii="宋体" w:hAnsi="宋体" w:eastAsia="宋体" w:cs="宋体"/>
          <w:color w:val="auto"/>
          <w:kern w:val="1"/>
          <w:highlight w:val="none"/>
          <w:u w:val="single"/>
          <w:lang w:eastAsia="zh-CN"/>
        </w:rPr>
      </w:pPr>
      <w:r>
        <w:rPr>
          <w:rFonts w:hint="eastAsia" w:ascii="宋体" w:hAnsi="宋体" w:cs="宋体"/>
          <w:color w:val="auto"/>
          <w:kern w:val="1"/>
          <w:highlight w:val="none"/>
          <w:u w:val="single"/>
        </w:rPr>
        <w:t>（1</w:t>
      </w:r>
      <w:r>
        <w:rPr>
          <w:rFonts w:ascii="宋体" w:hAnsi="宋体" w:cs="宋体"/>
          <w:color w:val="auto"/>
          <w:kern w:val="1"/>
          <w:highlight w:val="none"/>
          <w:u w:val="single"/>
        </w:rPr>
        <w:t>3</w:t>
      </w:r>
      <w:r>
        <w:rPr>
          <w:rFonts w:hint="eastAsia" w:ascii="宋体" w:hAnsi="宋体" w:cs="宋体"/>
          <w:color w:val="auto"/>
          <w:kern w:val="1"/>
          <w:highlight w:val="none"/>
          <w:u w:val="single"/>
        </w:rPr>
        <w:t>）被暂扣安全生产许可证的</w:t>
      </w:r>
      <w:r>
        <w:rPr>
          <w:rFonts w:hint="eastAsia" w:ascii="宋体" w:hAnsi="宋体" w:cs="宋体"/>
          <w:color w:val="auto"/>
          <w:kern w:val="1"/>
          <w:highlight w:val="none"/>
          <w:u w:val="single"/>
          <w:lang w:eastAsia="zh-CN"/>
        </w:rPr>
        <w:t>。</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1.4.4 单位负责人为同一人或者存在控股、管理关系的不同单位，不得同时参加本招标项目投标。</w:t>
      </w:r>
    </w:p>
    <w:p>
      <w:pPr>
        <w:pStyle w:val="6"/>
        <w:spacing w:line="360" w:lineRule="auto"/>
        <w:ind w:firstLine="118"/>
        <w:rPr>
          <w:rFonts w:ascii="宋体" w:hAnsi="宋体" w:eastAsia="宋体"/>
          <w:b/>
          <w:color w:val="auto"/>
          <w:sz w:val="24"/>
          <w:szCs w:val="24"/>
          <w:highlight w:val="none"/>
        </w:rPr>
      </w:pPr>
      <w:bookmarkStart w:id="96" w:name="_Toc247527559"/>
      <w:bookmarkEnd w:id="96"/>
      <w:bookmarkStart w:id="97" w:name="_Toc362816485"/>
      <w:bookmarkEnd w:id="97"/>
      <w:bookmarkStart w:id="98" w:name="_Toc357089516"/>
      <w:bookmarkEnd w:id="98"/>
      <w:bookmarkStart w:id="99" w:name="_Toc152042311"/>
      <w:bookmarkEnd w:id="99"/>
      <w:bookmarkStart w:id="100" w:name="_Toc144974503"/>
      <w:bookmarkEnd w:id="100"/>
      <w:bookmarkStart w:id="101" w:name="_Toc356469182"/>
      <w:bookmarkEnd w:id="101"/>
      <w:bookmarkStart w:id="102" w:name="_Toc247513958"/>
      <w:bookmarkEnd w:id="102"/>
      <w:bookmarkStart w:id="103" w:name="_Toc152045535"/>
      <w:bookmarkEnd w:id="103"/>
      <w:bookmarkStart w:id="104" w:name="_Toc300834955"/>
      <w:bookmarkEnd w:id="104"/>
      <w:bookmarkStart w:id="105" w:name="_Toc5620301"/>
      <w:bookmarkStart w:id="106" w:name="_Toc21668"/>
      <w:r>
        <w:rPr>
          <w:rFonts w:hint="eastAsia" w:ascii="宋体" w:hAnsi="宋体" w:eastAsia="宋体"/>
          <w:b/>
          <w:color w:val="auto"/>
          <w:sz w:val="24"/>
          <w:szCs w:val="24"/>
          <w:highlight w:val="none"/>
        </w:rPr>
        <w:t>1.5 费用承担和设计成果补偿</w:t>
      </w:r>
      <w:bookmarkEnd w:id="105"/>
      <w:bookmarkEnd w:id="106"/>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1.5.1 投标人准备和参加投标活动发生的费用自理。</w:t>
      </w:r>
    </w:p>
    <w:p>
      <w:pPr>
        <w:spacing w:line="480" w:lineRule="auto"/>
        <w:ind w:firstLine="420"/>
        <w:rPr>
          <w:rFonts w:ascii="宋体" w:hAnsi="宋体" w:cs="宋体"/>
          <w:color w:val="auto"/>
          <w:kern w:val="1"/>
          <w:highlight w:val="none"/>
          <w:u w:val="single"/>
        </w:rPr>
      </w:pPr>
      <w:r>
        <w:rPr>
          <w:rFonts w:hint="eastAsia" w:ascii="宋体" w:hAnsi="宋体" w:cs="宋体"/>
          <w:color w:val="auto"/>
          <w:kern w:val="1"/>
          <w:highlight w:val="none"/>
        </w:rPr>
        <w:t xml:space="preserve">1.5.2 </w:t>
      </w:r>
      <w:r>
        <w:rPr>
          <w:rFonts w:hint="eastAsia" w:ascii="宋体" w:hAnsi="宋体" w:cs="宋体"/>
          <w:color w:val="auto"/>
          <w:kern w:val="1"/>
          <w:highlight w:val="none"/>
          <w:u w:val="single"/>
        </w:rPr>
        <w:t>招标人在征得未中标人的同意后有权免费使用未中标人设计成果。</w:t>
      </w:r>
    </w:p>
    <w:p>
      <w:pPr>
        <w:spacing w:line="480" w:lineRule="auto"/>
        <w:rPr>
          <w:color w:val="auto"/>
          <w:highlight w:val="none"/>
          <w:u w:val="single"/>
        </w:rPr>
      </w:pPr>
      <w:r>
        <w:rPr>
          <w:color w:val="auto"/>
          <w:highlight w:val="none"/>
        </w:rPr>
        <w:t xml:space="preserve"> </w:t>
      </w:r>
      <w:r>
        <w:rPr>
          <w:rFonts w:hint="default"/>
          <w:color w:val="auto"/>
          <w:highlight w:val="none"/>
        </w:rPr>
        <w:t xml:space="preserve"> </w:t>
      </w:r>
      <w:r>
        <w:rPr>
          <w:rFonts w:hint="default" w:ascii="宋体" w:hAnsi="宋体" w:cs="宋体"/>
          <w:color w:val="auto"/>
          <w:spacing w:val="0"/>
          <w:kern w:val="1"/>
          <w:sz w:val="21"/>
          <w:szCs w:val="22"/>
          <w:highlight w:val="none"/>
          <w:u w:val="none"/>
        </w:rPr>
        <w:t xml:space="preserve"> </w:t>
      </w:r>
      <w:r>
        <w:rPr>
          <w:rFonts w:hint="eastAsia" w:ascii="宋体" w:hAnsi="宋体" w:cs="宋体"/>
          <w:color w:val="auto"/>
          <w:spacing w:val="0"/>
          <w:kern w:val="1"/>
          <w:sz w:val="21"/>
          <w:szCs w:val="22"/>
          <w:highlight w:val="none"/>
          <w:u w:val="none"/>
          <w:lang w:val="en-US" w:eastAsia="zh-CN"/>
        </w:rPr>
        <w:t xml:space="preserve"> </w:t>
      </w:r>
      <w:r>
        <w:rPr>
          <w:rFonts w:hint="default" w:ascii="宋体" w:hAnsi="宋体" w:cs="宋体"/>
          <w:color w:val="auto"/>
          <w:kern w:val="1"/>
          <w:highlight w:val="none"/>
        </w:rPr>
        <w:t>1.5.3</w:t>
      </w:r>
      <w:r>
        <w:rPr>
          <w:rFonts w:hint="default" w:ascii="宋体" w:hAnsi="宋体" w:cs="宋体"/>
          <w:color w:val="auto"/>
          <w:spacing w:val="0"/>
          <w:kern w:val="1"/>
          <w:sz w:val="21"/>
          <w:szCs w:val="22"/>
          <w:highlight w:val="none"/>
          <w:u w:val="single"/>
        </w:rPr>
        <w:t xml:space="preserve"> </w:t>
      </w:r>
      <w:r>
        <w:rPr>
          <w:rFonts w:hint="eastAsia"/>
          <w:color w:val="auto"/>
          <w:highlight w:val="none"/>
          <w:u w:val="single"/>
        </w:rPr>
        <w:t>交易服务费：中标人根据相关文件规定向广州公共资源交易中心代缴交易服务费,其费用包含在中标人投标报价中，费用不在投标报价中单列，招标人不另行支付，由中标人向广州公共资源交易中心支付。</w:t>
      </w:r>
    </w:p>
    <w:p>
      <w:pPr>
        <w:pStyle w:val="6"/>
        <w:spacing w:line="360" w:lineRule="auto"/>
        <w:ind w:firstLine="118"/>
        <w:rPr>
          <w:rFonts w:ascii="宋体" w:hAnsi="宋体" w:eastAsia="宋体"/>
          <w:b/>
          <w:color w:val="auto"/>
          <w:sz w:val="24"/>
          <w:szCs w:val="24"/>
          <w:highlight w:val="none"/>
        </w:rPr>
      </w:pPr>
      <w:bookmarkStart w:id="107" w:name="_Toc152042312"/>
      <w:bookmarkEnd w:id="107"/>
      <w:bookmarkStart w:id="108" w:name="_Toc144974504"/>
      <w:bookmarkEnd w:id="108"/>
      <w:bookmarkStart w:id="109" w:name="_Toc247527560"/>
      <w:bookmarkEnd w:id="109"/>
      <w:bookmarkStart w:id="110" w:name="_Toc300834956"/>
      <w:bookmarkEnd w:id="110"/>
      <w:bookmarkStart w:id="111" w:name="_Toc362816486"/>
      <w:bookmarkEnd w:id="111"/>
      <w:bookmarkStart w:id="112" w:name="_Toc152045536"/>
      <w:bookmarkEnd w:id="112"/>
      <w:bookmarkStart w:id="113" w:name="_Toc357089517"/>
      <w:bookmarkEnd w:id="113"/>
      <w:bookmarkStart w:id="114" w:name="_Toc247513959"/>
      <w:bookmarkEnd w:id="114"/>
      <w:bookmarkStart w:id="115" w:name="_Toc356469183"/>
      <w:bookmarkEnd w:id="115"/>
      <w:bookmarkStart w:id="116" w:name="_Toc14287"/>
      <w:bookmarkStart w:id="117" w:name="_Toc5620302"/>
      <w:r>
        <w:rPr>
          <w:rFonts w:hint="eastAsia" w:ascii="宋体" w:hAnsi="宋体" w:eastAsia="宋体"/>
          <w:b/>
          <w:color w:val="auto"/>
          <w:sz w:val="24"/>
          <w:szCs w:val="24"/>
          <w:highlight w:val="none"/>
        </w:rPr>
        <w:t>1.6 保密</w:t>
      </w:r>
      <w:bookmarkEnd w:id="116"/>
      <w:bookmarkEnd w:id="117"/>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参与招标投标活动的各方应对招标文件和投标文件中的商业和技术等秘密保密，否则应承担相应的法律责任。</w:t>
      </w:r>
    </w:p>
    <w:p>
      <w:pPr>
        <w:pStyle w:val="6"/>
        <w:spacing w:line="360" w:lineRule="auto"/>
        <w:ind w:firstLine="118"/>
        <w:rPr>
          <w:rFonts w:ascii="宋体" w:hAnsi="宋体" w:eastAsia="宋体"/>
          <w:b/>
          <w:color w:val="auto"/>
          <w:sz w:val="24"/>
          <w:szCs w:val="24"/>
          <w:highlight w:val="none"/>
        </w:rPr>
      </w:pPr>
      <w:bookmarkStart w:id="118" w:name="_Toc362816487"/>
      <w:bookmarkEnd w:id="118"/>
      <w:bookmarkStart w:id="119" w:name="_Toc247513960"/>
      <w:bookmarkEnd w:id="119"/>
      <w:bookmarkStart w:id="120" w:name="_Toc300834957"/>
      <w:bookmarkEnd w:id="120"/>
      <w:bookmarkStart w:id="121" w:name="_Toc152042313"/>
      <w:bookmarkEnd w:id="121"/>
      <w:bookmarkStart w:id="122" w:name="_Toc144974505"/>
      <w:bookmarkEnd w:id="122"/>
      <w:bookmarkStart w:id="123" w:name="_Toc356469184"/>
      <w:bookmarkEnd w:id="123"/>
      <w:bookmarkStart w:id="124" w:name="_Toc247527561"/>
      <w:bookmarkEnd w:id="124"/>
      <w:bookmarkStart w:id="125" w:name="_Toc152045537"/>
      <w:bookmarkEnd w:id="125"/>
      <w:bookmarkStart w:id="126" w:name="_Toc357089518"/>
      <w:bookmarkEnd w:id="126"/>
      <w:bookmarkStart w:id="127" w:name="_Toc23256"/>
      <w:bookmarkStart w:id="128" w:name="_Toc5620303"/>
      <w:r>
        <w:rPr>
          <w:rFonts w:hint="eastAsia" w:ascii="宋体" w:hAnsi="宋体" w:eastAsia="宋体"/>
          <w:b/>
          <w:color w:val="auto"/>
          <w:sz w:val="24"/>
          <w:szCs w:val="24"/>
          <w:highlight w:val="none"/>
        </w:rPr>
        <w:t>1.7 语言文字</w:t>
      </w:r>
      <w:bookmarkEnd w:id="127"/>
      <w:bookmarkEnd w:id="128"/>
    </w:p>
    <w:p>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招标投标文件使用的语言文字为中文。专用术语使用外文的，应附有中文注释。</w:t>
      </w:r>
    </w:p>
    <w:p>
      <w:pPr>
        <w:pStyle w:val="6"/>
        <w:spacing w:line="360" w:lineRule="auto"/>
        <w:ind w:firstLine="118"/>
        <w:rPr>
          <w:rFonts w:ascii="宋体" w:hAnsi="宋体" w:eastAsia="宋体"/>
          <w:b/>
          <w:color w:val="auto"/>
          <w:sz w:val="24"/>
          <w:szCs w:val="24"/>
          <w:highlight w:val="none"/>
        </w:rPr>
      </w:pPr>
      <w:bookmarkStart w:id="129" w:name="_Toc362816488"/>
      <w:bookmarkEnd w:id="129"/>
      <w:bookmarkStart w:id="130" w:name="_Toc300834958"/>
      <w:bookmarkEnd w:id="130"/>
      <w:bookmarkStart w:id="131" w:name="_Toc152042314"/>
      <w:bookmarkEnd w:id="131"/>
      <w:bookmarkStart w:id="132" w:name="_Toc357089519"/>
      <w:bookmarkEnd w:id="132"/>
      <w:bookmarkStart w:id="133" w:name="_Toc144974506"/>
      <w:bookmarkEnd w:id="133"/>
      <w:bookmarkStart w:id="134" w:name="_Toc356469185"/>
      <w:bookmarkEnd w:id="134"/>
      <w:bookmarkStart w:id="135" w:name="_Toc152045538"/>
      <w:bookmarkEnd w:id="135"/>
      <w:bookmarkStart w:id="136" w:name="_Toc247527562"/>
      <w:bookmarkEnd w:id="136"/>
      <w:bookmarkStart w:id="137" w:name="_Toc247513961"/>
      <w:bookmarkEnd w:id="137"/>
      <w:bookmarkStart w:id="138" w:name="_Toc9356"/>
      <w:bookmarkStart w:id="139" w:name="_Toc5620304"/>
      <w:r>
        <w:rPr>
          <w:rFonts w:hint="eastAsia" w:ascii="宋体" w:hAnsi="宋体" w:eastAsia="宋体"/>
          <w:b/>
          <w:color w:val="auto"/>
          <w:sz w:val="24"/>
          <w:szCs w:val="24"/>
          <w:highlight w:val="none"/>
        </w:rPr>
        <w:t>1.8 计量单位</w:t>
      </w:r>
      <w:bookmarkEnd w:id="138"/>
      <w:bookmarkEnd w:id="139"/>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1.8.1 所有计量均采用中华人民共和国法定计量单位。</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u w:val="single"/>
        </w:rPr>
        <w:t>1.8.2 本工程投标报价采用的币种为人民币及下浮率。</w:t>
      </w:r>
    </w:p>
    <w:p>
      <w:pPr>
        <w:pStyle w:val="6"/>
        <w:spacing w:line="360" w:lineRule="auto"/>
        <w:ind w:firstLine="118"/>
        <w:rPr>
          <w:rFonts w:ascii="宋体" w:hAnsi="宋体" w:eastAsia="宋体"/>
          <w:b/>
          <w:color w:val="auto"/>
          <w:sz w:val="24"/>
          <w:szCs w:val="24"/>
          <w:highlight w:val="none"/>
        </w:rPr>
      </w:pPr>
      <w:bookmarkStart w:id="140" w:name="_Toc357089520"/>
      <w:bookmarkEnd w:id="140"/>
      <w:bookmarkStart w:id="141" w:name="_Toc300834959"/>
      <w:bookmarkEnd w:id="141"/>
      <w:bookmarkStart w:id="142" w:name="_Toc362816489"/>
      <w:bookmarkEnd w:id="142"/>
      <w:bookmarkStart w:id="143" w:name="_Toc247513962"/>
      <w:bookmarkEnd w:id="143"/>
      <w:bookmarkStart w:id="144" w:name="_Toc152045539"/>
      <w:bookmarkEnd w:id="144"/>
      <w:bookmarkStart w:id="145" w:name="_Toc144974507"/>
      <w:bookmarkEnd w:id="145"/>
      <w:bookmarkStart w:id="146" w:name="_Toc152042315"/>
      <w:bookmarkEnd w:id="146"/>
      <w:bookmarkStart w:id="147" w:name="_Toc356469186"/>
      <w:bookmarkEnd w:id="147"/>
      <w:bookmarkStart w:id="148" w:name="_Toc247527563"/>
      <w:bookmarkEnd w:id="148"/>
      <w:bookmarkStart w:id="149" w:name="_Toc5620305"/>
      <w:bookmarkStart w:id="150" w:name="_Toc9654"/>
      <w:r>
        <w:rPr>
          <w:rFonts w:hint="eastAsia" w:ascii="宋体" w:hAnsi="宋体" w:eastAsia="宋体"/>
          <w:b/>
          <w:color w:val="auto"/>
          <w:sz w:val="24"/>
          <w:szCs w:val="24"/>
          <w:highlight w:val="none"/>
        </w:rPr>
        <w:t>1.9 踏勘现场</w:t>
      </w:r>
      <w:bookmarkEnd w:id="149"/>
      <w:bookmarkEnd w:id="150"/>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 xml:space="preserve">1.9.1 投标人须知前附表规定组织踏勘现场的，招标人按投标人须知前附表规定的时间、地点组织投标人踏勘项目现场。 </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1.9.2 投标人踏勘现场发生的费用自理。</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1.9.3 除招标人的原因外，投标人自行负责在踏勘现场中所发生的人员伤亡和财产损失。</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1.9.4</w:t>
      </w:r>
      <w:r>
        <w:rPr>
          <w:rFonts w:hint="eastAsia" w:ascii="宋体" w:hAnsi="宋体" w:cs="宋体"/>
          <w:color w:val="auto"/>
          <w:kern w:val="1"/>
          <w:highlight w:val="none"/>
          <w:u w:val="single"/>
        </w:rPr>
        <w:t>现场由投标人自行踏勘，投标人不进行踏勘的，视为已熟知现场条件，自行承担相关风险。招标人不对投标人自行踏勘现场作出的判断和决策负责。</w:t>
      </w:r>
    </w:p>
    <w:p>
      <w:pPr>
        <w:pStyle w:val="6"/>
        <w:spacing w:line="360" w:lineRule="auto"/>
        <w:ind w:firstLine="118"/>
        <w:rPr>
          <w:rFonts w:ascii="宋体" w:hAnsi="宋体" w:eastAsia="宋体"/>
          <w:b/>
          <w:color w:val="auto"/>
          <w:sz w:val="24"/>
          <w:szCs w:val="24"/>
          <w:highlight w:val="none"/>
        </w:rPr>
      </w:pPr>
      <w:bookmarkStart w:id="151" w:name="_Toc357089521"/>
      <w:bookmarkEnd w:id="151"/>
      <w:bookmarkStart w:id="152" w:name="_Toc247513963"/>
      <w:bookmarkEnd w:id="152"/>
      <w:bookmarkStart w:id="153" w:name="_Toc362816490"/>
      <w:bookmarkEnd w:id="153"/>
      <w:bookmarkStart w:id="154" w:name="_Toc247527564"/>
      <w:bookmarkEnd w:id="154"/>
      <w:bookmarkStart w:id="155" w:name="_Toc356469187"/>
      <w:bookmarkEnd w:id="155"/>
      <w:bookmarkStart w:id="156" w:name="_Toc152045540"/>
      <w:bookmarkEnd w:id="156"/>
      <w:bookmarkStart w:id="157" w:name="_Toc300834960"/>
      <w:bookmarkEnd w:id="157"/>
      <w:bookmarkStart w:id="158" w:name="_Toc144974508"/>
      <w:bookmarkEnd w:id="158"/>
      <w:bookmarkStart w:id="159" w:name="_Toc152042316"/>
      <w:bookmarkEnd w:id="159"/>
      <w:bookmarkStart w:id="160" w:name="_Toc5620306"/>
      <w:bookmarkStart w:id="161" w:name="_Toc25429"/>
      <w:r>
        <w:rPr>
          <w:rFonts w:hint="eastAsia" w:ascii="宋体" w:hAnsi="宋体" w:eastAsia="宋体"/>
          <w:b/>
          <w:color w:val="auto"/>
          <w:sz w:val="24"/>
          <w:szCs w:val="24"/>
          <w:highlight w:val="none"/>
        </w:rPr>
        <w:t>1.10 投标预备会</w:t>
      </w:r>
      <w:bookmarkEnd w:id="160"/>
      <w:bookmarkEnd w:id="161"/>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1.10.1</w:t>
      </w:r>
      <w:r>
        <w:rPr>
          <w:rFonts w:hint="eastAsia" w:ascii="宋体" w:hAnsi="宋体" w:cs="宋体"/>
          <w:color w:val="auto"/>
          <w:kern w:val="1"/>
          <w:highlight w:val="none"/>
          <w:u w:val="single"/>
        </w:rPr>
        <w:t>本项目不召开投标预备会。</w:t>
      </w:r>
      <w:r>
        <w:rPr>
          <w:rFonts w:hint="eastAsia" w:ascii="宋体" w:hAnsi="宋体" w:cs="宋体"/>
          <w:color w:val="auto"/>
          <w:szCs w:val="21"/>
          <w:highlight w:val="none"/>
          <w:u w:val="single"/>
        </w:rPr>
        <w:t>投标人对本项目有疑问，应在投标人须知前附表1</w:t>
      </w:r>
      <w:r>
        <w:rPr>
          <w:rFonts w:ascii="宋体" w:hAnsi="宋体" w:cs="宋体"/>
          <w:color w:val="auto"/>
          <w:szCs w:val="21"/>
          <w:highlight w:val="none"/>
          <w:u w:val="single"/>
        </w:rPr>
        <w:t>.10.2</w:t>
      </w:r>
      <w:r>
        <w:rPr>
          <w:rFonts w:hint="eastAsia" w:ascii="宋体" w:hAnsi="宋体" w:cs="宋体"/>
          <w:color w:val="auto"/>
          <w:szCs w:val="21"/>
          <w:highlight w:val="none"/>
          <w:u w:val="single"/>
        </w:rPr>
        <w:t>规定的时间内，通过登录广州公共资源交易中心网站交易系统将问题提交给招标人或招标代理人。</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1</w:t>
      </w:r>
      <w:r>
        <w:rPr>
          <w:rFonts w:ascii="宋体" w:hAnsi="宋体" w:cs="宋体"/>
          <w:color w:val="auto"/>
          <w:kern w:val="1"/>
          <w:highlight w:val="none"/>
        </w:rPr>
        <w:t xml:space="preserve">.10.2 </w:t>
      </w:r>
      <w:r>
        <w:rPr>
          <w:rFonts w:hint="eastAsia" w:ascii="宋体" w:hAnsi="宋体" w:cs="宋体"/>
          <w:color w:val="auto"/>
          <w:kern w:val="1"/>
          <w:highlight w:val="none"/>
          <w:u w:val="single"/>
        </w:rPr>
        <w:t>招标答疑方式按投标人须知前附表规定。</w:t>
      </w:r>
    </w:p>
    <w:p>
      <w:pPr>
        <w:pStyle w:val="6"/>
        <w:spacing w:line="360" w:lineRule="auto"/>
        <w:ind w:firstLine="118"/>
        <w:rPr>
          <w:rFonts w:ascii="宋体" w:hAnsi="宋体" w:eastAsia="宋体"/>
          <w:b/>
          <w:color w:val="auto"/>
          <w:sz w:val="24"/>
          <w:szCs w:val="24"/>
          <w:highlight w:val="none"/>
        </w:rPr>
      </w:pPr>
      <w:bookmarkStart w:id="162" w:name="_Toc300834961"/>
      <w:bookmarkEnd w:id="162"/>
      <w:bookmarkStart w:id="163" w:name="_Toc247527565"/>
      <w:bookmarkEnd w:id="163"/>
      <w:bookmarkStart w:id="164" w:name="_Toc357089522"/>
      <w:bookmarkEnd w:id="164"/>
      <w:bookmarkStart w:id="165" w:name="_Toc362816491"/>
      <w:bookmarkEnd w:id="165"/>
      <w:bookmarkStart w:id="166" w:name="_Toc356469188"/>
      <w:bookmarkEnd w:id="166"/>
      <w:bookmarkStart w:id="167" w:name="_Toc152042317"/>
      <w:bookmarkEnd w:id="167"/>
      <w:bookmarkStart w:id="168" w:name="_Toc144974509"/>
      <w:bookmarkEnd w:id="168"/>
      <w:bookmarkStart w:id="169" w:name="_Toc152045541"/>
      <w:bookmarkEnd w:id="169"/>
      <w:bookmarkStart w:id="170" w:name="_Toc247513964"/>
      <w:bookmarkEnd w:id="170"/>
      <w:bookmarkStart w:id="171" w:name="_Toc4945"/>
      <w:bookmarkStart w:id="172" w:name="_Toc5620307"/>
      <w:r>
        <w:rPr>
          <w:rFonts w:hint="eastAsia" w:ascii="宋体" w:hAnsi="宋体" w:eastAsia="宋体"/>
          <w:b/>
          <w:color w:val="auto"/>
          <w:sz w:val="24"/>
          <w:szCs w:val="24"/>
          <w:highlight w:val="none"/>
        </w:rPr>
        <w:t>1.11 分包</w:t>
      </w:r>
      <w:bookmarkEnd w:id="171"/>
      <w:bookmarkEnd w:id="172"/>
    </w:p>
    <w:p>
      <w:pPr>
        <w:spacing w:line="480" w:lineRule="auto"/>
        <w:ind w:firstLine="420" w:firstLineChars="200"/>
        <w:rPr>
          <w:rFonts w:ascii="宋体" w:hAnsi="宋体" w:cs="宋体"/>
          <w:color w:val="auto"/>
          <w:kern w:val="1"/>
          <w:highlight w:val="none"/>
        </w:rPr>
      </w:pPr>
      <w:r>
        <w:rPr>
          <w:rFonts w:hint="eastAsia" w:ascii="宋体" w:hAnsi="宋体" w:cs="宋体"/>
          <w:color w:val="auto"/>
          <w:kern w:val="1"/>
          <w:highlight w:val="none"/>
        </w:rPr>
        <w:t>1.11.1 投标人须知前附表规定应当由分包人实施的非主体、非关键性工作，投标人应当按照</w:t>
      </w:r>
      <w:r>
        <w:rPr>
          <w:rFonts w:hint="eastAsia" w:ascii="宋体" w:hAnsi="宋体" w:cs="宋体"/>
          <w:color w:val="auto"/>
          <w:kern w:val="1"/>
          <w:highlight w:val="none"/>
          <w:u w:val="single"/>
        </w:rPr>
        <w:t>第五章“招标人要求”</w:t>
      </w:r>
      <w:r>
        <w:rPr>
          <w:rFonts w:hint="eastAsia" w:ascii="宋体" w:hAnsi="宋体" w:cs="宋体"/>
          <w:color w:val="auto"/>
          <w:kern w:val="1"/>
          <w:highlight w:val="none"/>
        </w:rPr>
        <w:t>的规定提供分包人侯选名单及其相应资料。</w:t>
      </w:r>
    </w:p>
    <w:p>
      <w:pPr>
        <w:spacing w:line="480" w:lineRule="auto"/>
        <w:ind w:firstLine="420" w:firstLineChars="200"/>
        <w:rPr>
          <w:rFonts w:ascii="宋体" w:hAnsi="宋体" w:cs="宋体"/>
          <w:color w:val="auto"/>
          <w:kern w:val="1"/>
          <w:highlight w:val="none"/>
        </w:rPr>
      </w:pPr>
      <w:r>
        <w:rPr>
          <w:rFonts w:hint="eastAsia" w:ascii="宋体" w:hAnsi="宋体" w:cs="宋体"/>
          <w:color w:val="auto"/>
          <w:kern w:val="1"/>
          <w:highlight w:val="none"/>
        </w:rPr>
        <w:t>1.11.2 招标人允许投标人在中标后将中标项目的部分非主体、非关键性工作进行分包的，应符合投标人须知前附表规定的分包内容、资质要求等限制性条件。</w:t>
      </w:r>
    </w:p>
    <w:p>
      <w:pPr>
        <w:pStyle w:val="6"/>
        <w:spacing w:line="360" w:lineRule="auto"/>
        <w:ind w:firstLine="118"/>
        <w:rPr>
          <w:rFonts w:ascii="宋体" w:hAnsi="宋体" w:eastAsia="宋体"/>
          <w:b/>
          <w:color w:val="auto"/>
          <w:sz w:val="24"/>
          <w:szCs w:val="24"/>
          <w:highlight w:val="none"/>
        </w:rPr>
      </w:pPr>
      <w:bookmarkStart w:id="173" w:name="_Toc247527566"/>
      <w:bookmarkEnd w:id="173"/>
      <w:bookmarkStart w:id="174" w:name="_Toc247513965"/>
      <w:bookmarkEnd w:id="174"/>
      <w:bookmarkStart w:id="175" w:name="_Toc362816492"/>
      <w:bookmarkEnd w:id="175"/>
      <w:bookmarkStart w:id="176" w:name="_Toc300834962"/>
      <w:bookmarkEnd w:id="176"/>
      <w:bookmarkStart w:id="177" w:name="_Toc357089523"/>
      <w:bookmarkEnd w:id="177"/>
      <w:bookmarkStart w:id="178" w:name="_Toc356469189"/>
      <w:bookmarkEnd w:id="178"/>
      <w:bookmarkStart w:id="179" w:name="_Toc5620308"/>
      <w:bookmarkStart w:id="180" w:name="_Toc1093"/>
      <w:r>
        <w:rPr>
          <w:rFonts w:hint="eastAsia" w:ascii="宋体" w:hAnsi="宋体" w:eastAsia="宋体"/>
          <w:b/>
          <w:color w:val="auto"/>
          <w:sz w:val="24"/>
          <w:szCs w:val="24"/>
          <w:highlight w:val="none"/>
        </w:rPr>
        <w:t>1.12 偏离</w:t>
      </w:r>
      <w:bookmarkEnd w:id="179"/>
      <w:bookmarkEnd w:id="180"/>
    </w:p>
    <w:p>
      <w:pPr>
        <w:spacing w:line="480" w:lineRule="auto"/>
        <w:ind w:firstLine="420" w:firstLineChars="200"/>
        <w:rPr>
          <w:rFonts w:ascii="宋体" w:hAnsi="宋体" w:cs="宋体"/>
          <w:color w:val="auto"/>
          <w:kern w:val="1"/>
          <w:highlight w:val="none"/>
        </w:rPr>
      </w:pPr>
      <w:r>
        <w:rPr>
          <w:rFonts w:hint="eastAsia" w:ascii="宋体" w:hAnsi="宋体" w:cs="宋体"/>
          <w:color w:val="auto"/>
          <w:kern w:val="1"/>
          <w:highlight w:val="none"/>
        </w:rPr>
        <w:t>投标人须知前附表允许投标文件偏离招标文件某些要求的，偏离应当符合招标文件规定的偏离范围和幅度。</w:t>
      </w:r>
    </w:p>
    <w:p>
      <w:pPr>
        <w:pStyle w:val="5"/>
        <w:spacing w:line="360" w:lineRule="auto"/>
        <w:rPr>
          <w:rFonts w:ascii="宋体" w:hAnsi="宋体" w:eastAsia="宋体" w:cs="宋体"/>
          <w:color w:val="auto"/>
          <w:highlight w:val="none"/>
          <w:lang w:val="zh-CN"/>
        </w:rPr>
      </w:pPr>
      <w:bookmarkStart w:id="181" w:name="_Toc144974510"/>
      <w:bookmarkEnd w:id="181"/>
      <w:bookmarkStart w:id="182" w:name="_Toc362816493"/>
      <w:bookmarkEnd w:id="182"/>
      <w:bookmarkStart w:id="183" w:name="_Toc23951"/>
      <w:bookmarkEnd w:id="183"/>
      <w:bookmarkStart w:id="184" w:name="_Toc443505823"/>
      <w:bookmarkEnd w:id="184"/>
      <w:bookmarkStart w:id="185" w:name="_Toc357089524"/>
      <w:bookmarkEnd w:id="185"/>
      <w:bookmarkStart w:id="186" w:name="_Toc152042318"/>
      <w:bookmarkEnd w:id="186"/>
      <w:bookmarkStart w:id="187" w:name="_Toc152045542"/>
      <w:bookmarkEnd w:id="187"/>
      <w:bookmarkStart w:id="188" w:name="_Toc25799"/>
      <w:bookmarkEnd w:id="188"/>
      <w:bookmarkStart w:id="189" w:name="_Toc300834963"/>
      <w:bookmarkEnd w:id="189"/>
      <w:bookmarkStart w:id="190" w:name="_Toc247527567"/>
      <w:bookmarkEnd w:id="190"/>
      <w:bookmarkStart w:id="191" w:name="_Toc247513966"/>
      <w:bookmarkEnd w:id="191"/>
      <w:bookmarkStart w:id="192" w:name="_Toc15458"/>
      <w:bookmarkStart w:id="193" w:name="_Toc5620309"/>
      <w:r>
        <w:rPr>
          <w:rFonts w:hint="eastAsia" w:ascii="宋体" w:hAnsi="宋体" w:eastAsia="宋体" w:cs="宋体"/>
          <w:color w:val="auto"/>
          <w:highlight w:val="none"/>
          <w:lang w:val="zh-CN"/>
        </w:rPr>
        <w:t>2. 招标文件</w:t>
      </w:r>
      <w:bookmarkEnd w:id="192"/>
      <w:bookmarkEnd w:id="193"/>
    </w:p>
    <w:p>
      <w:pPr>
        <w:pStyle w:val="6"/>
        <w:spacing w:line="360" w:lineRule="auto"/>
        <w:ind w:firstLine="118"/>
        <w:rPr>
          <w:rFonts w:ascii="宋体" w:hAnsi="宋体" w:eastAsia="宋体"/>
          <w:b/>
          <w:color w:val="auto"/>
          <w:sz w:val="24"/>
          <w:szCs w:val="24"/>
          <w:highlight w:val="none"/>
        </w:rPr>
      </w:pPr>
      <w:bookmarkStart w:id="194" w:name="_Toc300834964"/>
      <w:bookmarkEnd w:id="194"/>
      <w:bookmarkStart w:id="195" w:name="_Toc362816494"/>
      <w:bookmarkEnd w:id="195"/>
      <w:bookmarkStart w:id="196" w:name="_Toc152045543"/>
      <w:bookmarkEnd w:id="196"/>
      <w:bookmarkStart w:id="197" w:name="_Toc357089525"/>
      <w:bookmarkEnd w:id="197"/>
      <w:bookmarkStart w:id="198" w:name="_Toc356469191"/>
      <w:bookmarkEnd w:id="198"/>
      <w:bookmarkStart w:id="199" w:name="_Toc247513967"/>
      <w:bookmarkEnd w:id="199"/>
      <w:bookmarkStart w:id="200" w:name="_Toc247527568"/>
      <w:bookmarkEnd w:id="200"/>
      <w:bookmarkStart w:id="201" w:name="_Toc144974511"/>
      <w:bookmarkEnd w:id="201"/>
      <w:bookmarkStart w:id="202" w:name="_Toc152042319"/>
      <w:bookmarkEnd w:id="202"/>
      <w:bookmarkStart w:id="203" w:name="_Toc5620310"/>
      <w:bookmarkStart w:id="204" w:name="_Toc2576"/>
      <w:r>
        <w:rPr>
          <w:rFonts w:hint="eastAsia" w:ascii="宋体" w:hAnsi="宋体" w:eastAsia="宋体"/>
          <w:b/>
          <w:color w:val="auto"/>
          <w:sz w:val="24"/>
          <w:szCs w:val="24"/>
          <w:highlight w:val="none"/>
        </w:rPr>
        <w:t>2.1 招标文件的组成</w:t>
      </w:r>
      <w:bookmarkEnd w:id="203"/>
      <w:bookmarkEnd w:id="204"/>
    </w:p>
    <w:p>
      <w:pPr>
        <w:spacing w:line="480" w:lineRule="auto"/>
        <w:ind w:firstLine="359"/>
        <w:rPr>
          <w:rFonts w:ascii="宋体" w:hAnsi="宋体" w:cs="宋体"/>
          <w:color w:val="auto"/>
          <w:kern w:val="1"/>
          <w:highlight w:val="none"/>
        </w:rPr>
      </w:pPr>
      <w:r>
        <w:rPr>
          <w:rFonts w:hint="eastAsia" w:ascii="宋体" w:hAnsi="宋体" w:cs="宋体"/>
          <w:color w:val="auto"/>
          <w:kern w:val="1"/>
          <w:highlight w:val="none"/>
        </w:rPr>
        <w:t>2.1.1本招标文件包括：</w:t>
      </w:r>
    </w:p>
    <w:p>
      <w:pPr>
        <w:spacing w:line="480" w:lineRule="auto"/>
        <w:ind w:firstLine="359"/>
        <w:rPr>
          <w:rFonts w:ascii="宋体" w:hAnsi="宋体" w:cs="宋体"/>
          <w:color w:val="auto"/>
          <w:kern w:val="1"/>
          <w:highlight w:val="none"/>
        </w:rPr>
      </w:pPr>
      <w:r>
        <w:rPr>
          <w:rFonts w:hint="eastAsia" w:ascii="宋体" w:hAnsi="宋体" w:cs="宋体"/>
          <w:color w:val="auto"/>
          <w:kern w:val="1"/>
          <w:highlight w:val="none"/>
        </w:rPr>
        <w:t>（1）招标公告；</w:t>
      </w:r>
    </w:p>
    <w:p>
      <w:pPr>
        <w:spacing w:line="480" w:lineRule="auto"/>
        <w:ind w:firstLine="359"/>
        <w:rPr>
          <w:rFonts w:ascii="宋体" w:hAnsi="宋体" w:cs="宋体"/>
          <w:color w:val="auto"/>
          <w:kern w:val="1"/>
          <w:highlight w:val="none"/>
        </w:rPr>
      </w:pPr>
      <w:r>
        <w:rPr>
          <w:rFonts w:hint="eastAsia" w:ascii="宋体" w:hAnsi="宋体" w:cs="宋体"/>
          <w:color w:val="auto"/>
          <w:kern w:val="1"/>
          <w:highlight w:val="none"/>
        </w:rPr>
        <w:t>（2）投标人须知；</w:t>
      </w:r>
    </w:p>
    <w:p>
      <w:pPr>
        <w:spacing w:line="480" w:lineRule="auto"/>
        <w:ind w:firstLine="359"/>
        <w:rPr>
          <w:rFonts w:ascii="宋体" w:hAnsi="宋体" w:cs="宋体"/>
          <w:color w:val="auto"/>
          <w:kern w:val="1"/>
          <w:highlight w:val="none"/>
        </w:rPr>
      </w:pPr>
      <w:r>
        <w:rPr>
          <w:rFonts w:hint="eastAsia" w:ascii="宋体" w:hAnsi="宋体" w:cs="宋体"/>
          <w:color w:val="auto"/>
          <w:kern w:val="1"/>
          <w:highlight w:val="none"/>
        </w:rPr>
        <w:t>（3）评标办法；</w:t>
      </w:r>
    </w:p>
    <w:p>
      <w:pPr>
        <w:spacing w:line="480" w:lineRule="auto"/>
        <w:ind w:firstLine="359"/>
        <w:rPr>
          <w:rFonts w:ascii="宋体" w:hAnsi="宋体" w:cs="宋体"/>
          <w:color w:val="auto"/>
          <w:kern w:val="1"/>
          <w:highlight w:val="none"/>
        </w:rPr>
      </w:pPr>
      <w:r>
        <w:rPr>
          <w:rFonts w:hint="eastAsia" w:ascii="宋体" w:hAnsi="宋体" w:cs="宋体"/>
          <w:color w:val="auto"/>
          <w:kern w:val="1"/>
          <w:highlight w:val="none"/>
        </w:rPr>
        <w:t>（4）合同条款及格式；</w:t>
      </w:r>
    </w:p>
    <w:p>
      <w:pPr>
        <w:spacing w:line="480" w:lineRule="auto"/>
        <w:ind w:firstLine="359"/>
        <w:rPr>
          <w:rFonts w:ascii="宋体" w:hAnsi="宋体" w:cs="宋体"/>
          <w:color w:val="auto"/>
          <w:kern w:val="1"/>
          <w:highlight w:val="none"/>
        </w:rPr>
      </w:pPr>
      <w:r>
        <w:rPr>
          <w:rFonts w:hint="eastAsia" w:ascii="宋体" w:hAnsi="宋体" w:cs="宋体"/>
          <w:color w:val="auto"/>
          <w:kern w:val="1"/>
          <w:highlight w:val="none"/>
        </w:rPr>
        <w:t>（5）</w:t>
      </w:r>
      <w:r>
        <w:rPr>
          <w:rFonts w:hint="eastAsia" w:ascii="宋体" w:hAnsi="宋体" w:cs="宋体"/>
          <w:color w:val="auto"/>
          <w:kern w:val="1"/>
          <w:highlight w:val="none"/>
          <w:u w:val="single"/>
        </w:rPr>
        <w:t>招标人要求</w:t>
      </w:r>
      <w:r>
        <w:rPr>
          <w:rFonts w:hint="eastAsia" w:ascii="宋体" w:hAnsi="宋体" w:cs="宋体"/>
          <w:color w:val="auto"/>
          <w:kern w:val="1"/>
          <w:highlight w:val="none"/>
        </w:rPr>
        <w:t>；</w:t>
      </w:r>
    </w:p>
    <w:p>
      <w:pPr>
        <w:spacing w:line="480" w:lineRule="auto"/>
        <w:ind w:firstLine="359"/>
        <w:rPr>
          <w:rFonts w:ascii="宋体" w:hAnsi="宋体" w:cs="宋体"/>
          <w:color w:val="auto"/>
          <w:kern w:val="1"/>
          <w:highlight w:val="none"/>
        </w:rPr>
      </w:pPr>
      <w:r>
        <w:rPr>
          <w:rFonts w:hint="eastAsia" w:ascii="宋体" w:hAnsi="宋体" w:cs="宋体"/>
          <w:color w:val="auto"/>
          <w:kern w:val="1"/>
          <w:highlight w:val="none"/>
        </w:rPr>
        <w:t>（6）</w:t>
      </w:r>
      <w:r>
        <w:rPr>
          <w:rFonts w:hint="eastAsia" w:ascii="宋体" w:hAnsi="宋体" w:cs="宋体"/>
          <w:color w:val="auto"/>
          <w:kern w:val="1"/>
          <w:highlight w:val="none"/>
          <w:u w:val="single"/>
        </w:rPr>
        <w:t>招标人提供的资料</w:t>
      </w:r>
      <w:r>
        <w:rPr>
          <w:rFonts w:hint="eastAsia" w:ascii="宋体" w:hAnsi="宋体" w:cs="宋体"/>
          <w:color w:val="auto"/>
          <w:kern w:val="1"/>
          <w:highlight w:val="none"/>
        </w:rPr>
        <w:t>；</w:t>
      </w:r>
    </w:p>
    <w:p>
      <w:pPr>
        <w:spacing w:line="480" w:lineRule="auto"/>
        <w:ind w:firstLine="359"/>
        <w:rPr>
          <w:rFonts w:ascii="宋体" w:hAnsi="宋体" w:cs="宋体"/>
          <w:color w:val="auto"/>
          <w:kern w:val="1"/>
          <w:highlight w:val="none"/>
        </w:rPr>
      </w:pPr>
      <w:r>
        <w:rPr>
          <w:rFonts w:hint="eastAsia" w:ascii="宋体" w:hAnsi="宋体" w:cs="宋体"/>
          <w:color w:val="auto"/>
          <w:kern w:val="1"/>
          <w:highlight w:val="none"/>
        </w:rPr>
        <w:t>（7）投标文件格式；</w:t>
      </w:r>
    </w:p>
    <w:p>
      <w:pPr>
        <w:spacing w:line="480" w:lineRule="auto"/>
        <w:ind w:firstLine="359"/>
        <w:rPr>
          <w:rFonts w:ascii="宋体" w:hAnsi="宋体" w:cs="宋体"/>
          <w:color w:val="auto"/>
          <w:kern w:val="1"/>
          <w:highlight w:val="none"/>
        </w:rPr>
      </w:pPr>
      <w:r>
        <w:rPr>
          <w:rFonts w:hint="eastAsia" w:ascii="宋体" w:hAnsi="宋体" w:cs="宋体"/>
          <w:color w:val="auto"/>
          <w:kern w:val="1"/>
          <w:highlight w:val="none"/>
        </w:rPr>
        <w:t>（8）</w:t>
      </w:r>
      <w:r>
        <w:rPr>
          <w:rFonts w:hint="eastAsia" w:ascii="宋体" w:hAnsi="宋体" w:cs="宋体"/>
          <w:color w:val="auto"/>
          <w:kern w:val="1"/>
          <w:highlight w:val="none"/>
          <w:u w:val="single"/>
        </w:rPr>
        <w:t>最高投标限价细项汇总表</w:t>
      </w:r>
      <w:r>
        <w:rPr>
          <w:rFonts w:hint="eastAsia" w:ascii="宋体" w:hAnsi="宋体" w:cs="宋体"/>
          <w:color w:val="auto"/>
          <w:kern w:val="1"/>
          <w:highlight w:val="none"/>
        </w:rPr>
        <w:t>。</w:t>
      </w:r>
    </w:p>
    <w:p>
      <w:pPr>
        <w:spacing w:line="480" w:lineRule="auto"/>
        <w:ind w:firstLine="359"/>
        <w:rPr>
          <w:rFonts w:ascii="宋体" w:hAnsi="宋体" w:cs="宋体"/>
          <w:color w:val="auto"/>
          <w:kern w:val="1"/>
          <w:highlight w:val="none"/>
        </w:rPr>
      </w:pPr>
      <w:r>
        <w:rPr>
          <w:rFonts w:hint="eastAsia" w:ascii="宋体" w:hAnsi="宋体" w:cs="宋体"/>
          <w:color w:val="auto"/>
          <w:kern w:val="1"/>
          <w:highlight w:val="none"/>
        </w:rPr>
        <w:t>2.1.2根据本章第1.10款、第2.2款和第2.3款对招标文件所作的澄清、修改，构成招标文件的组成部分。</w:t>
      </w:r>
    </w:p>
    <w:p>
      <w:pPr>
        <w:pStyle w:val="6"/>
        <w:spacing w:line="360" w:lineRule="auto"/>
        <w:ind w:firstLine="118"/>
        <w:rPr>
          <w:rFonts w:ascii="宋体" w:hAnsi="宋体" w:eastAsia="宋体"/>
          <w:b/>
          <w:color w:val="auto"/>
          <w:sz w:val="24"/>
          <w:szCs w:val="24"/>
          <w:highlight w:val="none"/>
        </w:rPr>
      </w:pPr>
      <w:bookmarkStart w:id="205" w:name="_Toc356469192"/>
      <w:bookmarkEnd w:id="205"/>
      <w:bookmarkStart w:id="206" w:name="_Toc152045544"/>
      <w:bookmarkEnd w:id="206"/>
      <w:bookmarkStart w:id="207" w:name="_Toc152042320"/>
      <w:bookmarkEnd w:id="207"/>
      <w:bookmarkStart w:id="208" w:name="_Toc300834965"/>
      <w:bookmarkEnd w:id="208"/>
      <w:bookmarkStart w:id="209" w:name="_Toc144974512"/>
      <w:bookmarkEnd w:id="209"/>
      <w:bookmarkStart w:id="210" w:name="_Toc357089526"/>
      <w:bookmarkEnd w:id="210"/>
      <w:bookmarkStart w:id="211" w:name="_Toc362816495"/>
      <w:bookmarkEnd w:id="211"/>
      <w:bookmarkStart w:id="212" w:name="_Toc247527569"/>
      <w:bookmarkEnd w:id="212"/>
      <w:bookmarkStart w:id="213" w:name="_Toc247513968"/>
      <w:bookmarkEnd w:id="213"/>
      <w:bookmarkStart w:id="214" w:name="_Toc5620311"/>
      <w:bookmarkStart w:id="215" w:name="_Toc14885"/>
      <w:r>
        <w:rPr>
          <w:rFonts w:hint="eastAsia" w:ascii="宋体" w:hAnsi="宋体" w:eastAsia="宋体"/>
          <w:b/>
          <w:color w:val="auto"/>
          <w:sz w:val="24"/>
          <w:szCs w:val="24"/>
          <w:highlight w:val="none"/>
        </w:rPr>
        <w:t>2.2 招标文件的澄清</w:t>
      </w:r>
      <w:bookmarkEnd w:id="214"/>
      <w:bookmarkEnd w:id="215"/>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2.2.1 投标人应仔细阅读和检查招标文件的全部内容。如发现缺页或附件不全，应及时向招标人提出，以便补齐。</w:t>
      </w:r>
      <w:r>
        <w:rPr>
          <w:rFonts w:hint="eastAsia" w:ascii="宋体" w:hAnsi="宋体" w:cs="宋体"/>
          <w:color w:val="auto"/>
          <w:kern w:val="1"/>
          <w:szCs w:val="21"/>
          <w:highlight w:val="none"/>
          <w:u w:val="single"/>
        </w:rPr>
        <w:t>如有疑问，可在投标人须知前附表规定的时间内通过广州公共资源交易中心网站交易系统将问题提交给招标人或招标代理人。</w:t>
      </w:r>
    </w:p>
    <w:p>
      <w:pPr>
        <w:spacing w:line="48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网上答疑的操作指南为：登陆广州公共资源交易中心网站交易系统→进入“我的投标”专区→进入“招标答疑”选项→通过项目编号或名称找到所需的项目→在答疑时间内点击“答疑提问-新增提问”→提出问题(提问一律不得署名)。</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2.2.2</w:t>
      </w:r>
      <w:r>
        <w:rPr>
          <w:rFonts w:hint="eastAsia" w:ascii="宋体" w:hAnsi="宋体" w:cs="宋体"/>
          <w:color w:val="auto"/>
          <w:kern w:val="1"/>
          <w:szCs w:val="21"/>
          <w:highlight w:val="none"/>
          <w:u w:val="single"/>
        </w:rPr>
        <w:t>招标人应在投标截止时间15日前解答投标人对招标文件提出的疑问，形成答疑纪要，并在广州公共资源交易中心网站“项目查询（日程安排、答疑纪要）”专区发布，</w:t>
      </w:r>
      <w:r>
        <w:rPr>
          <w:rFonts w:hint="eastAsia" w:ascii="宋体" w:hAnsi="宋体" w:cs="宋体"/>
          <w:color w:val="auto"/>
          <w:kern w:val="1"/>
          <w:szCs w:val="21"/>
          <w:highlight w:val="none"/>
        </w:rPr>
        <w:t>但不指明问题的来源。澄清发出的时间距本章第 4.2.1 项规定的投标截止时间不足 15 日的，并且澄清内容可能影响投标文件编制的，将相应延长投标截止时间。</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2.2.3</w:t>
      </w:r>
      <w:r>
        <w:rPr>
          <w:rFonts w:hint="eastAsia" w:ascii="宋体" w:hAnsi="宋体" w:cs="宋体"/>
          <w:color w:val="auto"/>
          <w:kern w:val="1"/>
          <w:szCs w:val="21"/>
          <w:highlight w:val="none"/>
          <w:u w:val="single"/>
        </w:rPr>
        <w:t>招标答疑纪要一经在广州公共资源交易中心网站发布，视作已发放给所有投标人。</w:t>
      </w:r>
    </w:p>
    <w:p>
      <w:pPr>
        <w:spacing w:line="48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2.2.4招标答疑纪要为招标文件的一部分。投标人可在广州公共资源交易中心网站浏览、下载招标答疑纪要。</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2.2.5若招标答疑纪要与招标文件有矛盾时，以广州公共资源交易中心网站最后发布的答疑纪要为准。</w:t>
      </w:r>
    </w:p>
    <w:p>
      <w:pPr>
        <w:pStyle w:val="6"/>
        <w:spacing w:line="360" w:lineRule="auto"/>
        <w:ind w:firstLine="118"/>
        <w:rPr>
          <w:rFonts w:ascii="宋体" w:hAnsi="宋体" w:eastAsia="宋体"/>
          <w:b/>
          <w:color w:val="auto"/>
          <w:sz w:val="24"/>
          <w:szCs w:val="24"/>
          <w:highlight w:val="none"/>
        </w:rPr>
      </w:pPr>
      <w:bookmarkStart w:id="216" w:name="_Toc144974513"/>
      <w:bookmarkEnd w:id="216"/>
      <w:bookmarkStart w:id="217" w:name="_Toc357089527"/>
      <w:bookmarkEnd w:id="217"/>
      <w:bookmarkStart w:id="218" w:name="_Toc247527570"/>
      <w:bookmarkEnd w:id="218"/>
      <w:bookmarkStart w:id="219" w:name="_Toc300834966"/>
      <w:bookmarkEnd w:id="219"/>
      <w:bookmarkStart w:id="220" w:name="_Toc356469193"/>
      <w:bookmarkEnd w:id="220"/>
      <w:bookmarkStart w:id="221" w:name="_Toc152045545"/>
      <w:bookmarkEnd w:id="221"/>
      <w:bookmarkStart w:id="222" w:name="_Toc247513969"/>
      <w:bookmarkEnd w:id="222"/>
      <w:bookmarkStart w:id="223" w:name="_Toc152042321"/>
      <w:bookmarkEnd w:id="223"/>
      <w:bookmarkStart w:id="224" w:name="_Toc362816496"/>
      <w:bookmarkEnd w:id="224"/>
      <w:bookmarkStart w:id="225" w:name="_Toc11509"/>
      <w:bookmarkStart w:id="226" w:name="_Toc5620312"/>
      <w:r>
        <w:rPr>
          <w:rFonts w:hint="eastAsia" w:ascii="宋体" w:hAnsi="宋体" w:eastAsia="宋体"/>
          <w:b/>
          <w:color w:val="auto"/>
          <w:sz w:val="24"/>
          <w:szCs w:val="24"/>
          <w:highlight w:val="none"/>
        </w:rPr>
        <w:t>2.3 招标文件的修改</w:t>
      </w:r>
      <w:bookmarkEnd w:id="225"/>
      <w:bookmarkEnd w:id="226"/>
    </w:p>
    <w:p>
      <w:pPr>
        <w:pStyle w:val="34"/>
        <w:spacing w:line="480" w:lineRule="auto"/>
        <w:rPr>
          <w:rFonts w:ascii="宋体" w:hAnsi="宋体" w:cs="宋体"/>
          <w:color w:val="auto"/>
          <w:szCs w:val="21"/>
          <w:highlight w:val="none"/>
        </w:rPr>
      </w:pPr>
      <w:r>
        <w:rPr>
          <w:rFonts w:hint="eastAsia" w:ascii="宋体" w:hAnsi="宋体" w:cs="宋体"/>
          <w:color w:val="auto"/>
          <w:szCs w:val="21"/>
          <w:highlight w:val="none"/>
        </w:rPr>
        <w:t>2.3.1</w:t>
      </w:r>
      <w:r>
        <w:rPr>
          <w:rFonts w:hint="eastAsia" w:ascii="宋体" w:hAnsi="宋体" w:cs="宋体"/>
          <w:color w:val="auto"/>
          <w:szCs w:val="21"/>
          <w:highlight w:val="none"/>
          <w:u w:val="single"/>
        </w:rPr>
        <w:t>招标文件发出后,在提交投标文件截止时间15日前，招标人可对招标文件进行必要的澄清或修改。</w:t>
      </w:r>
    </w:p>
    <w:p>
      <w:pPr>
        <w:pStyle w:val="34"/>
        <w:spacing w:line="480" w:lineRule="auto"/>
        <w:ind w:left="-1"/>
        <w:rPr>
          <w:rFonts w:ascii="宋体" w:hAnsi="宋体" w:cs="宋体"/>
          <w:color w:val="auto"/>
          <w:szCs w:val="21"/>
          <w:highlight w:val="none"/>
        </w:rPr>
      </w:pPr>
      <w:r>
        <w:rPr>
          <w:rFonts w:hint="eastAsia" w:ascii="宋体" w:hAnsi="宋体" w:cs="宋体"/>
          <w:color w:val="auto"/>
          <w:szCs w:val="21"/>
          <w:highlight w:val="none"/>
        </w:rPr>
        <w:t>2.3.2</w:t>
      </w:r>
      <w:r>
        <w:rPr>
          <w:rFonts w:hint="eastAsia" w:ascii="宋体" w:hAnsi="宋体" w:cs="宋体"/>
          <w:color w:val="auto"/>
          <w:szCs w:val="21"/>
          <w:highlight w:val="none"/>
          <w:u w:val="single"/>
        </w:rPr>
        <w:t>招标文件的澄清或修改在广州公共资源交易中心网站发布。招标文件的澄清或修改一经在广州公共资源交易中心网站发布，视作已发放给所有投标人，招标文件的修改内容作为招标文件的组成部分，具有约束作用。</w:t>
      </w:r>
    </w:p>
    <w:p>
      <w:pPr>
        <w:pStyle w:val="34"/>
        <w:spacing w:line="480" w:lineRule="auto"/>
        <w:rPr>
          <w:rFonts w:ascii="宋体" w:hAnsi="宋体" w:cs="宋体"/>
          <w:color w:val="auto"/>
          <w:szCs w:val="21"/>
          <w:highlight w:val="none"/>
          <w:u w:val="single"/>
        </w:rPr>
      </w:pPr>
      <w:r>
        <w:rPr>
          <w:rFonts w:hint="eastAsia" w:ascii="宋体" w:hAnsi="宋体" w:cs="宋体"/>
          <w:color w:val="auto"/>
          <w:szCs w:val="21"/>
          <w:highlight w:val="none"/>
          <w:u w:val="single"/>
        </w:rPr>
        <w:t>2.3.3招标文件的澄清、修改均以广州公共资源交易中心网站发布的内容为准。当招标文件的澄清、修改在同一内容的表述不一致时，以广州公共资源交易中心网站最后发布的内容为准。</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pPr>
        <w:pStyle w:val="5"/>
        <w:spacing w:line="360" w:lineRule="auto"/>
        <w:rPr>
          <w:rFonts w:ascii="宋体" w:hAnsi="宋体" w:eastAsia="宋体" w:cs="宋体"/>
          <w:color w:val="auto"/>
          <w:highlight w:val="none"/>
          <w:lang w:val="zh-CN"/>
        </w:rPr>
      </w:pPr>
      <w:bookmarkStart w:id="227" w:name="_Toc152045546"/>
      <w:bookmarkEnd w:id="227"/>
      <w:bookmarkStart w:id="228" w:name="_Toc144974514"/>
      <w:bookmarkEnd w:id="228"/>
      <w:bookmarkStart w:id="229" w:name="_Toc300834967"/>
      <w:bookmarkEnd w:id="229"/>
      <w:bookmarkStart w:id="230" w:name="_Toc247513970"/>
      <w:bookmarkEnd w:id="230"/>
      <w:bookmarkStart w:id="231" w:name="_Toc27122"/>
      <w:bookmarkEnd w:id="231"/>
      <w:bookmarkStart w:id="232" w:name="_Toc357089528"/>
      <w:bookmarkEnd w:id="232"/>
      <w:bookmarkStart w:id="233" w:name="_Toc443505825"/>
      <w:bookmarkEnd w:id="233"/>
      <w:bookmarkStart w:id="234" w:name="_Toc152042322"/>
      <w:bookmarkEnd w:id="234"/>
      <w:bookmarkStart w:id="235" w:name="_Toc375931087"/>
      <w:bookmarkEnd w:id="235"/>
      <w:bookmarkStart w:id="236" w:name="_Toc247527571"/>
      <w:bookmarkEnd w:id="236"/>
      <w:bookmarkStart w:id="237" w:name="_Toc362816497"/>
      <w:bookmarkEnd w:id="237"/>
      <w:bookmarkStart w:id="238" w:name="_Toc6320"/>
      <w:bookmarkEnd w:id="238"/>
      <w:bookmarkStart w:id="239" w:name="_Toc410240234"/>
      <w:bookmarkEnd w:id="239"/>
      <w:bookmarkStart w:id="240" w:name="_Toc5620313"/>
      <w:bookmarkStart w:id="241" w:name="_Toc8206"/>
      <w:r>
        <w:rPr>
          <w:rFonts w:hint="eastAsia" w:ascii="宋体" w:hAnsi="宋体" w:eastAsia="宋体" w:cs="宋体"/>
          <w:color w:val="auto"/>
          <w:highlight w:val="none"/>
          <w:lang w:val="zh-CN"/>
        </w:rPr>
        <w:t>3.投标文件</w:t>
      </w:r>
      <w:bookmarkEnd w:id="240"/>
      <w:bookmarkEnd w:id="241"/>
    </w:p>
    <w:p>
      <w:pPr>
        <w:pStyle w:val="6"/>
        <w:spacing w:line="360" w:lineRule="auto"/>
        <w:rPr>
          <w:rFonts w:ascii="宋体" w:hAnsi="宋体" w:eastAsia="宋体"/>
          <w:b/>
          <w:bCs/>
          <w:color w:val="auto"/>
          <w:sz w:val="24"/>
          <w:szCs w:val="24"/>
          <w:highlight w:val="none"/>
        </w:rPr>
      </w:pPr>
      <w:bookmarkStart w:id="242" w:name="_Toc152042323"/>
      <w:bookmarkEnd w:id="242"/>
      <w:bookmarkStart w:id="243" w:name="_Toc300834968"/>
      <w:bookmarkEnd w:id="243"/>
      <w:bookmarkStart w:id="244" w:name="_Toc357089529"/>
      <w:bookmarkEnd w:id="244"/>
      <w:bookmarkStart w:id="245" w:name="_Toc144974515"/>
      <w:bookmarkEnd w:id="245"/>
      <w:bookmarkStart w:id="246" w:name="_Toc152045547"/>
      <w:bookmarkEnd w:id="246"/>
      <w:bookmarkStart w:id="247" w:name="_Toc356469195"/>
      <w:bookmarkEnd w:id="247"/>
      <w:bookmarkStart w:id="248" w:name="_Toc247513971"/>
      <w:bookmarkEnd w:id="248"/>
      <w:bookmarkStart w:id="249" w:name="_Toc362816498"/>
      <w:bookmarkEnd w:id="249"/>
      <w:bookmarkStart w:id="250" w:name="_Toc247527572"/>
      <w:bookmarkEnd w:id="250"/>
      <w:bookmarkStart w:id="251" w:name="_Toc5620314"/>
      <w:bookmarkStart w:id="252" w:name="_Toc9754"/>
      <w:r>
        <w:rPr>
          <w:rFonts w:hint="eastAsia" w:ascii="宋体" w:hAnsi="宋体" w:eastAsia="宋体"/>
          <w:b/>
          <w:bCs/>
          <w:color w:val="auto"/>
          <w:sz w:val="24"/>
          <w:szCs w:val="24"/>
          <w:highlight w:val="none"/>
        </w:rPr>
        <w:t>3.1 投标文件的组成</w:t>
      </w:r>
      <w:bookmarkEnd w:id="251"/>
      <w:bookmarkEnd w:id="252"/>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3.1.1投标文件由资格审查文件、</w:t>
      </w:r>
      <w:r>
        <w:rPr>
          <w:rFonts w:hint="eastAsia" w:ascii="宋体" w:hAnsi="宋体" w:cs="宋体"/>
          <w:color w:val="auto"/>
          <w:kern w:val="1"/>
          <w:szCs w:val="21"/>
          <w:highlight w:val="none"/>
          <w:lang w:eastAsia="zh-CN"/>
        </w:rPr>
        <w:t>勘察、设计、工程商务及实施方案</w:t>
      </w:r>
      <w:r>
        <w:rPr>
          <w:rFonts w:hint="eastAsia" w:ascii="宋体" w:hAnsi="宋体" w:cs="宋体"/>
          <w:color w:val="auto"/>
          <w:kern w:val="1"/>
          <w:szCs w:val="21"/>
          <w:highlight w:val="none"/>
        </w:rPr>
        <w:t>技术投标文件、</w:t>
      </w:r>
      <w:r>
        <w:rPr>
          <w:rFonts w:hint="eastAsia" w:ascii="宋体" w:hAnsi="宋体" w:cs="宋体"/>
          <w:color w:val="auto"/>
          <w:kern w:val="1"/>
          <w:szCs w:val="21"/>
          <w:highlight w:val="none"/>
          <w:lang w:eastAsia="zh-CN"/>
        </w:rPr>
        <w:t>勘察、设计、工程商务及实施方案</w:t>
      </w:r>
      <w:r>
        <w:rPr>
          <w:rFonts w:hint="eastAsia" w:ascii="宋体" w:hAnsi="宋体" w:cs="宋体"/>
          <w:color w:val="auto"/>
          <w:kern w:val="1"/>
          <w:szCs w:val="21"/>
          <w:highlight w:val="none"/>
        </w:rPr>
        <w:t>经济投标文件</w:t>
      </w:r>
      <w:r>
        <w:rPr>
          <w:rFonts w:hint="eastAsia" w:ascii="宋体" w:hAnsi="宋体" w:cs="宋体"/>
          <w:color w:val="auto"/>
          <w:kern w:val="1"/>
          <w:szCs w:val="21"/>
          <w:highlight w:val="none"/>
          <w:lang w:eastAsia="zh-CN"/>
        </w:rPr>
        <w:t>三</w:t>
      </w:r>
      <w:r>
        <w:rPr>
          <w:rFonts w:hint="eastAsia" w:ascii="宋体" w:hAnsi="宋体" w:cs="宋体"/>
          <w:color w:val="auto"/>
          <w:kern w:val="1"/>
          <w:szCs w:val="21"/>
          <w:highlight w:val="none"/>
        </w:rPr>
        <w:t>部分组成。</w:t>
      </w:r>
    </w:p>
    <w:p>
      <w:pPr>
        <w:spacing w:before="120" w:line="360" w:lineRule="auto"/>
        <w:ind w:firstLine="420"/>
        <w:rPr>
          <w:rFonts w:ascii="宋体" w:hAnsi="宋体" w:cs="宋体"/>
          <w:b/>
          <w:bCs/>
          <w:color w:val="auto"/>
          <w:kern w:val="1"/>
          <w:szCs w:val="21"/>
          <w:highlight w:val="none"/>
        </w:rPr>
      </w:pPr>
      <w:r>
        <w:rPr>
          <w:rFonts w:hint="eastAsia" w:ascii="宋体" w:hAnsi="宋体" w:cs="宋体"/>
          <w:b/>
          <w:bCs/>
          <w:color w:val="auto"/>
          <w:kern w:val="1"/>
          <w:szCs w:val="21"/>
          <w:highlight w:val="none"/>
        </w:rPr>
        <w:t>3.1.2资格审查文件</w:t>
      </w:r>
    </w:p>
    <w:p>
      <w:pPr>
        <w:pStyle w:val="34"/>
        <w:spacing w:line="480" w:lineRule="auto"/>
        <w:ind w:left="-1"/>
        <w:rPr>
          <w:rFonts w:ascii="宋体" w:hAnsi="宋体" w:cs="宋体"/>
          <w:color w:val="auto"/>
          <w:szCs w:val="21"/>
          <w:highlight w:val="none"/>
        </w:rPr>
      </w:pPr>
      <w:r>
        <w:rPr>
          <w:rFonts w:hint="eastAsia" w:ascii="宋体" w:hAnsi="宋体" w:cs="宋体"/>
          <w:color w:val="auto"/>
          <w:szCs w:val="21"/>
          <w:highlight w:val="none"/>
        </w:rPr>
        <w:t>主要包括下列内容：</w:t>
      </w:r>
    </w:p>
    <w:p>
      <w:pPr>
        <w:pStyle w:val="34"/>
        <w:spacing w:line="480" w:lineRule="auto"/>
        <w:ind w:left="-1"/>
        <w:rPr>
          <w:rFonts w:ascii="宋体" w:hAnsi="宋体" w:cs="宋体"/>
          <w:color w:val="auto"/>
          <w:szCs w:val="21"/>
          <w:highlight w:val="none"/>
        </w:rPr>
      </w:pPr>
      <w:r>
        <w:rPr>
          <w:rFonts w:hint="eastAsia" w:ascii="宋体" w:hAnsi="宋体" w:cs="宋体"/>
          <w:color w:val="auto"/>
          <w:szCs w:val="21"/>
          <w:highlight w:val="none"/>
        </w:rPr>
        <w:t>（1）封面：写明项目名称、资格审查文件、投标人单位及年月日；加盖投标人电子印章（联合体投标的，“投标人”一栏需书写所有联合体成员的单位全称，由</w:t>
      </w:r>
      <w:r>
        <w:rPr>
          <w:rFonts w:hint="eastAsia" w:ascii="宋体" w:hAnsi="宋体" w:cs="宋体"/>
          <w:color w:val="auto"/>
          <w:szCs w:val="21"/>
          <w:highlight w:val="none"/>
          <w:lang w:eastAsia="zh-CN"/>
        </w:rPr>
        <w:t>主办方</w:t>
      </w:r>
      <w:r>
        <w:rPr>
          <w:rFonts w:hint="eastAsia" w:ascii="宋体" w:hAnsi="宋体" w:cs="宋体"/>
          <w:color w:val="auto"/>
          <w:szCs w:val="21"/>
          <w:highlight w:val="none"/>
        </w:rPr>
        <w:t>签署、盖章）；</w:t>
      </w:r>
    </w:p>
    <w:p>
      <w:pPr>
        <w:pStyle w:val="34"/>
        <w:spacing w:line="480" w:lineRule="auto"/>
        <w:ind w:left="-1"/>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）按照招标公告附件一</w:t>
      </w:r>
      <w:bookmarkStart w:id="253" w:name="_Toc245024004"/>
      <w:bookmarkStart w:id="254" w:name="_Toc439245992"/>
      <w:bookmarkStart w:id="255" w:name="_Toc266093552"/>
      <w:bookmarkStart w:id="256" w:name="_Toc266881404"/>
      <w:bookmarkStart w:id="257" w:name="_Toc249846231"/>
      <w:bookmarkStart w:id="258" w:name="_Toc249845976"/>
      <w:bookmarkStart w:id="259" w:name="_Toc253143223"/>
      <w:r>
        <w:rPr>
          <w:rFonts w:hint="eastAsia" w:ascii="宋体" w:hAnsi="宋体" w:cs="宋体"/>
          <w:color w:val="auto"/>
          <w:szCs w:val="21"/>
          <w:highlight w:val="none"/>
        </w:rPr>
        <w:t>：《资格审查资料及其他取自广州市住建行业信用管理平台登记的信息一览表</w:t>
      </w:r>
      <w:bookmarkEnd w:id="253"/>
      <w:bookmarkEnd w:id="254"/>
      <w:bookmarkEnd w:id="255"/>
      <w:bookmarkEnd w:id="256"/>
      <w:bookmarkEnd w:id="257"/>
      <w:bookmarkEnd w:id="258"/>
      <w:bookmarkEnd w:id="259"/>
      <w:r>
        <w:rPr>
          <w:rFonts w:hint="eastAsia" w:ascii="宋体" w:hAnsi="宋体" w:cs="宋体"/>
          <w:color w:val="auto"/>
          <w:szCs w:val="21"/>
          <w:highlight w:val="none"/>
        </w:rPr>
        <w:t>》进行编制的所有资料</w:t>
      </w:r>
      <w:r>
        <w:rPr>
          <w:rFonts w:hint="eastAsia" w:ascii="宋体" w:hAnsi="宋体" w:cs="宋体"/>
          <w:color w:val="auto"/>
          <w:szCs w:val="21"/>
          <w:highlight w:val="none"/>
          <w:lang w:eastAsia="zh-CN"/>
        </w:rPr>
        <w:t>；</w:t>
      </w:r>
    </w:p>
    <w:p>
      <w:pPr>
        <w:pStyle w:val="34"/>
        <w:spacing w:line="480" w:lineRule="auto"/>
        <w:ind w:left="-1"/>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）满足招标公告中投标人合格条件的其他资料。</w:t>
      </w:r>
    </w:p>
    <w:p>
      <w:pPr>
        <w:spacing w:before="120" w:line="480" w:lineRule="auto"/>
        <w:ind w:firstLine="420"/>
        <w:rPr>
          <w:rFonts w:ascii="宋体" w:hAnsi="宋体" w:cs="宋体"/>
          <w:b/>
          <w:color w:val="auto"/>
          <w:kern w:val="1"/>
          <w:szCs w:val="21"/>
          <w:highlight w:val="none"/>
        </w:rPr>
      </w:pPr>
      <w:bookmarkStart w:id="260" w:name="_Toc5620315"/>
      <w:r>
        <w:rPr>
          <w:rFonts w:hint="eastAsia" w:ascii="宋体" w:hAnsi="宋体" w:cs="宋体"/>
          <w:b/>
          <w:bCs/>
          <w:color w:val="auto"/>
          <w:kern w:val="1"/>
          <w:szCs w:val="21"/>
          <w:highlight w:val="none"/>
        </w:rPr>
        <w:t>3.1.</w:t>
      </w:r>
      <w:bookmarkStart w:id="261" w:name="_Hlk55920752"/>
      <w:bookmarkStart w:id="262" w:name="_Hlk56585161"/>
      <w:r>
        <w:rPr>
          <w:rFonts w:hint="eastAsia" w:ascii="宋体" w:hAnsi="宋体" w:cs="宋体"/>
          <w:b/>
          <w:bCs/>
          <w:color w:val="auto"/>
          <w:kern w:val="1"/>
          <w:szCs w:val="21"/>
          <w:highlight w:val="none"/>
          <w:lang w:val="en-US" w:eastAsia="zh-CN"/>
        </w:rPr>
        <w:t>3</w:t>
      </w:r>
      <w:bookmarkEnd w:id="261"/>
      <w:r>
        <w:rPr>
          <w:rFonts w:hint="eastAsia" w:ascii="宋体" w:hAnsi="宋体" w:cs="宋体"/>
          <w:b/>
          <w:color w:val="auto"/>
          <w:kern w:val="1"/>
          <w:szCs w:val="21"/>
          <w:highlight w:val="none"/>
          <w:lang w:eastAsia="zh-CN"/>
        </w:rPr>
        <w:t>勘察、设计、工程商务及实施方案</w:t>
      </w:r>
      <w:r>
        <w:rPr>
          <w:rFonts w:hint="eastAsia" w:ascii="宋体" w:hAnsi="宋体" w:cs="宋体"/>
          <w:b/>
          <w:color w:val="auto"/>
          <w:kern w:val="1"/>
          <w:szCs w:val="21"/>
          <w:highlight w:val="none"/>
        </w:rPr>
        <w:t>技术投标文件</w:t>
      </w:r>
      <w:bookmarkEnd w:id="262"/>
    </w:p>
    <w:p>
      <w:pPr>
        <w:spacing w:line="480" w:lineRule="auto"/>
        <w:ind w:left="426"/>
        <w:rPr>
          <w:rFonts w:ascii="宋体" w:hAnsi="宋体" w:cs="宋体"/>
          <w:color w:val="auto"/>
          <w:kern w:val="1"/>
          <w:szCs w:val="21"/>
          <w:highlight w:val="none"/>
        </w:rPr>
      </w:pPr>
      <w:r>
        <w:rPr>
          <w:rFonts w:hint="eastAsia" w:ascii="宋体" w:hAnsi="宋体" w:cs="宋体"/>
          <w:color w:val="auto"/>
          <w:kern w:val="1"/>
          <w:szCs w:val="21"/>
          <w:highlight w:val="none"/>
        </w:rPr>
        <w:t>应包含但不限于以下内容：</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（1）封面：</w:t>
      </w:r>
      <w:bookmarkStart w:id="263" w:name="_Hlk56347369"/>
      <w:r>
        <w:rPr>
          <w:rFonts w:hint="eastAsia" w:ascii="宋体" w:hAnsi="宋体" w:cs="宋体"/>
          <w:color w:val="auto"/>
          <w:kern w:val="1"/>
          <w:szCs w:val="21"/>
          <w:highlight w:val="none"/>
        </w:rPr>
        <w:t>写明项目名称、</w:t>
      </w:r>
      <w:r>
        <w:rPr>
          <w:rFonts w:hint="eastAsia" w:ascii="宋体" w:hAnsi="宋体" w:cs="宋体"/>
          <w:color w:val="auto"/>
          <w:kern w:val="1"/>
          <w:szCs w:val="21"/>
          <w:highlight w:val="none"/>
          <w:lang w:eastAsia="zh-CN"/>
        </w:rPr>
        <w:t>勘察、设计、工程商务及实施方案</w:t>
      </w:r>
      <w:r>
        <w:rPr>
          <w:rFonts w:hint="eastAsia" w:ascii="宋体" w:hAnsi="宋体" w:cs="宋体"/>
          <w:color w:val="auto"/>
          <w:kern w:val="1"/>
          <w:szCs w:val="21"/>
          <w:highlight w:val="none"/>
        </w:rPr>
        <w:t>技术投标文件、投标人单位及年月日；加盖投标人电子印章（联合体投标的，“投标人”一栏需书写所有联合体成员的单位全称，由</w:t>
      </w:r>
      <w:r>
        <w:rPr>
          <w:rFonts w:hint="eastAsia" w:ascii="宋体" w:hAnsi="宋体" w:cs="宋体"/>
          <w:color w:val="auto"/>
          <w:kern w:val="1"/>
          <w:szCs w:val="21"/>
          <w:highlight w:val="none"/>
          <w:lang w:eastAsia="zh-CN"/>
        </w:rPr>
        <w:t>主办方</w:t>
      </w:r>
      <w:r>
        <w:rPr>
          <w:rFonts w:hint="eastAsia" w:ascii="宋体" w:hAnsi="宋体" w:cs="宋体"/>
          <w:color w:val="auto"/>
          <w:kern w:val="1"/>
          <w:szCs w:val="21"/>
          <w:highlight w:val="none"/>
        </w:rPr>
        <w:t>签署、盖章）；</w:t>
      </w:r>
      <w:bookmarkEnd w:id="263"/>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2</w:t>
      </w:r>
      <w:r>
        <w:rPr>
          <w:rFonts w:hint="eastAsia" w:ascii="宋体" w:hAnsi="宋体" w:cs="宋体"/>
          <w:color w:val="auto"/>
          <w:kern w:val="1"/>
          <w:szCs w:val="21"/>
          <w:highlight w:val="none"/>
        </w:rPr>
        <w:t>）目录；</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3</w:t>
      </w:r>
      <w:r>
        <w:rPr>
          <w:rFonts w:hint="eastAsia" w:ascii="宋体" w:hAnsi="宋体" w:cs="宋体"/>
          <w:color w:val="auto"/>
          <w:kern w:val="1"/>
          <w:szCs w:val="21"/>
          <w:highlight w:val="none"/>
        </w:rPr>
        <w:t>）《</w:t>
      </w:r>
      <w:r>
        <w:rPr>
          <w:rFonts w:hint="eastAsia" w:ascii="宋体" w:hAnsi="宋体" w:cs="宋体"/>
          <w:color w:val="auto"/>
          <w:szCs w:val="21"/>
          <w:highlight w:val="none"/>
        </w:rPr>
        <w:t>投标函》</w:t>
      </w:r>
      <w:r>
        <w:rPr>
          <w:rFonts w:hint="eastAsia" w:ascii="宋体" w:hAnsi="宋体" w:cs="宋体"/>
          <w:color w:val="auto"/>
          <w:kern w:val="1"/>
          <w:szCs w:val="21"/>
          <w:highlight w:val="none"/>
        </w:rPr>
        <w:t>(按招标文件的要求填写)；</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4</w:t>
      </w:r>
      <w:r>
        <w:rPr>
          <w:rFonts w:hint="eastAsia" w:ascii="宋体" w:hAnsi="宋体" w:cs="宋体"/>
          <w:color w:val="auto"/>
          <w:kern w:val="1"/>
          <w:szCs w:val="21"/>
          <w:highlight w:val="none"/>
        </w:rPr>
        <w:t>）《勘察设计投标书》(按招标文件的要求填写)</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（5）《技术投标书》（按招标文件的要求填写）；</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6</w:t>
      </w:r>
      <w:r>
        <w:rPr>
          <w:rFonts w:hint="eastAsia" w:ascii="宋体" w:hAnsi="宋体" w:cs="宋体"/>
          <w:color w:val="auto"/>
          <w:kern w:val="1"/>
          <w:szCs w:val="21"/>
          <w:highlight w:val="none"/>
        </w:rPr>
        <w:t>）《投标承诺书》(按招标文件的要求填写)；</w:t>
      </w:r>
    </w:p>
    <w:p>
      <w:pPr>
        <w:spacing w:line="480" w:lineRule="auto"/>
        <w:ind w:firstLine="420"/>
        <w:rPr>
          <w:rFonts w:ascii="宋体" w:hAnsi="宋体" w:cs="宋体"/>
          <w:color w:val="auto"/>
          <w:kern w:val="1"/>
          <w:szCs w:val="21"/>
          <w:highlight w:val="none"/>
        </w:rPr>
      </w:pPr>
      <w:bookmarkStart w:id="264" w:name="_Hlk55921098"/>
      <w:r>
        <w:rPr>
          <w:rFonts w:hint="eastAsia" w:ascii="宋体" w:hAnsi="宋体" w:cs="宋体"/>
          <w:color w:val="auto"/>
          <w:kern w:val="1"/>
          <w:szCs w:val="21"/>
          <w:highlight w:val="none"/>
        </w:rPr>
        <w:t>（</w:t>
      </w:r>
      <w:r>
        <w:rPr>
          <w:rFonts w:ascii="宋体" w:hAnsi="宋体" w:cs="宋体"/>
          <w:color w:val="auto"/>
          <w:kern w:val="1"/>
          <w:szCs w:val="21"/>
          <w:highlight w:val="none"/>
        </w:rPr>
        <w:t>7</w:t>
      </w:r>
      <w:r>
        <w:rPr>
          <w:rFonts w:hint="eastAsia" w:ascii="宋体" w:hAnsi="宋体" w:cs="宋体"/>
          <w:color w:val="auto"/>
          <w:kern w:val="1"/>
          <w:szCs w:val="21"/>
          <w:highlight w:val="none"/>
        </w:rPr>
        <w:t>）《法定代表人证明书》、《授权委托书》；</w:t>
      </w:r>
      <w:bookmarkEnd w:id="264"/>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8</w:t>
      </w:r>
      <w:r>
        <w:rPr>
          <w:rFonts w:hint="eastAsia" w:ascii="宋体" w:hAnsi="宋体" w:cs="宋体"/>
          <w:color w:val="auto"/>
          <w:kern w:val="1"/>
          <w:szCs w:val="21"/>
          <w:highlight w:val="none"/>
        </w:rPr>
        <w:t>）《设计主要负责人配备表》；</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9</w:t>
      </w:r>
      <w:r>
        <w:rPr>
          <w:rFonts w:hint="eastAsia" w:ascii="宋体" w:hAnsi="宋体" w:cs="宋体"/>
          <w:color w:val="auto"/>
          <w:kern w:val="1"/>
          <w:szCs w:val="21"/>
          <w:highlight w:val="none"/>
        </w:rPr>
        <w:t>）《拟投入本项目施工主要负责人员简历表》；</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10</w:t>
      </w:r>
      <w:r>
        <w:rPr>
          <w:rFonts w:hint="eastAsia" w:ascii="宋体" w:hAnsi="宋体" w:cs="宋体"/>
          <w:color w:val="auto"/>
          <w:kern w:val="1"/>
          <w:szCs w:val="21"/>
          <w:highlight w:val="none"/>
        </w:rPr>
        <w:t>）《拟投入本项目施工人员一览表》；</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11</w:t>
      </w:r>
      <w:r>
        <w:rPr>
          <w:rFonts w:hint="eastAsia" w:ascii="宋体" w:hAnsi="宋体" w:cs="宋体"/>
          <w:color w:val="auto"/>
          <w:kern w:val="1"/>
          <w:szCs w:val="21"/>
          <w:highlight w:val="none"/>
        </w:rPr>
        <w:t>）</w:t>
      </w:r>
      <w:r>
        <w:rPr>
          <w:rFonts w:hint="eastAsia" w:cs="宋体"/>
          <w:color w:val="auto"/>
          <w:kern w:val="1"/>
          <w:szCs w:val="21"/>
          <w:highlight w:val="none"/>
        </w:rPr>
        <w:t>《</w:t>
      </w:r>
      <w:bookmarkStart w:id="265" w:name="_Hlk55921535"/>
      <w:r>
        <w:rPr>
          <w:rFonts w:hint="eastAsia" w:cs="宋体"/>
          <w:color w:val="auto"/>
          <w:kern w:val="1"/>
          <w:szCs w:val="21"/>
          <w:highlight w:val="none"/>
        </w:rPr>
        <w:t>设计工程业绩</w:t>
      </w:r>
      <w:bookmarkEnd w:id="265"/>
      <w:r>
        <w:rPr>
          <w:rFonts w:hint="eastAsia" w:cs="宋体"/>
          <w:color w:val="auto"/>
          <w:kern w:val="1"/>
          <w:szCs w:val="21"/>
          <w:highlight w:val="none"/>
        </w:rPr>
        <w:t>表》、《投标人设计工程业绩获奖情况表》；</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2</w:t>
      </w:r>
      <w:r>
        <w:rPr>
          <w:rFonts w:hint="eastAsia" w:ascii="宋体" w:hAnsi="宋体" w:cs="宋体"/>
          <w:color w:val="auto"/>
          <w:kern w:val="1"/>
          <w:szCs w:val="21"/>
          <w:highlight w:val="none"/>
        </w:rPr>
        <w:t>）《</w:t>
      </w:r>
      <w:bookmarkStart w:id="266" w:name="_Hlk55921436"/>
      <w:r>
        <w:rPr>
          <w:rFonts w:hint="eastAsia" w:ascii="宋体" w:hAnsi="宋体" w:cs="宋体"/>
          <w:color w:val="auto"/>
          <w:kern w:val="1"/>
          <w:szCs w:val="21"/>
          <w:highlight w:val="none"/>
        </w:rPr>
        <w:t>施工工程业绩表</w:t>
      </w:r>
      <w:bookmarkEnd w:id="266"/>
      <w:r>
        <w:rPr>
          <w:rFonts w:hint="eastAsia" w:ascii="宋体" w:hAnsi="宋体" w:cs="宋体"/>
          <w:color w:val="auto"/>
          <w:kern w:val="1"/>
          <w:szCs w:val="21"/>
          <w:highlight w:val="none"/>
        </w:rPr>
        <w:t>》、《投标人施工工程业绩获奖情况表》；</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3</w:t>
      </w:r>
      <w:r>
        <w:rPr>
          <w:rFonts w:hint="eastAsia" w:ascii="宋体" w:hAnsi="宋体" w:cs="宋体"/>
          <w:color w:val="auto"/>
          <w:kern w:val="1"/>
          <w:szCs w:val="21"/>
          <w:highlight w:val="none"/>
        </w:rPr>
        <w:t>）施工组织设计方案；</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4</w:t>
      </w:r>
      <w:r>
        <w:rPr>
          <w:rFonts w:hint="eastAsia" w:ascii="宋体" w:hAnsi="宋体" w:cs="宋体"/>
          <w:color w:val="auto"/>
          <w:kern w:val="1"/>
          <w:szCs w:val="21"/>
          <w:highlight w:val="none"/>
        </w:rPr>
        <w:t>）《参与编制</w:t>
      </w:r>
      <w:r>
        <w:rPr>
          <w:rFonts w:hint="eastAsia" w:ascii="宋体" w:hAnsi="宋体" w:cs="宋体"/>
          <w:color w:val="auto"/>
          <w:kern w:val="1"/>
          <w:szCs w:val="21"/>
          <w:highlight w:val="none"/>
          <w:lang w:eastAsia="zh-CN"/>
        </w:rPr>
        <w:t>勘察、设计、工程商务及实施方案</w:t>
      </w:r>
      <w:r>
        <w:rPr>
          <w:rFonts w:hint="eastAsia" w:ascii="宋体" w:hAnsi="宋体" w:cs="宋体"/>
          <w:color w:val="auto"/>
          <w:kern w:val="1"/>
          <w:szCs w:val="21"/>
          <w:highlight w:val="none"/>
        </w:rPr>
        <w:t>技术投标文件人员名单》（按照招标文件要求填写）；</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5</w:t>
      </w:r>
      <w:r>
        <w:rPr>
          <w:rFonts w:hint="eastAsia" w:ascii="宋体" w:hAnsi="宋体" w:cs="宋体"/>
          <w:color w:val="auto"/>
          <w:kern w:val="1"/>
          <w:szCs w:val="21"/>
          <w:highlight w:val="none"/>
        </w:rPr>
        <w:t>）投标保证金；</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16</w:t>
      </w:r>
      <w:r>
        <w:rPr>
          <w:rFonts w:hint="eastAsia" w:ascii="宋体" w:hAnsi="宋体" w:cs="宋体"/>
          <w:color w:val="auto"/>
          <w:kern w:val="1"/>
          <w:szCs w:val="21"/>
          <w:highlight w:val="none"/>
        </w:rPr>
        <w:t>）投标人认为应该提供的其他资料</w:t>
      </w:r>
      <w:r>
        <w:rPr>
          <w:rFonts w:hint="eastAsia" w:ascii="宋体" w:hAnsi="宋体" w:cs="宋体"/>
          <w:color w:val="auto"/>
          <w:kern w:val="1"/>
          <w:szCs w:val="21"/>
          <w:highlight w:val="none"/>
          <w:lang w:eastAsia="zh-CN"/>
        </w:rPr>
        <w:t>。</w:t>
      </w:r>
    </w:p>
    <w:p>
      <w:pPr>
        <w:spacing w:before="120" w:line="480" w:lineRule="auto"/>
        <w:ind w:firstLine="422"/>
        <w:rPr>
          <w:rFonts w:ascii="宋体" w:hAnsi="宋体" w:cs="宋体"/>
          <w:b/>
          <w:color w:val="auto"/>
          <w:kern w:val="1"/>
          <w:szCs w:val="21"/>
          <w:highlight w:val="none"/>
        </w:rPr>
      </w:pPr>
      <w:r>
        <w:rPr>
          <w:rFonts w:hint="eastAsia" w:ascii="宋体" w:hAnsi="宋体" w:cs="宋体"/>
          <w:b/>
          <w:color w:val="auto"/>
          <w:kern w:val="1"/>
          <w:szCs w:val="21"/>
          <w:highlight w:val="none"/>
        </w:rPr>
        <w:t>3.1.</w:t>
      </w:r>
      <w:r>
        <w:rPr>
          <w:rFonts w:hint="eastAsia" w:ascii="宋体" w:hAnsi="宋体" w:cs="宋体"/>
          <w:b/>
          <w:color w:val="auto"/>
          <w:kern w:val="1"/>
          <w:szCs w:val="21"/>
          <w:highlight w:val="none"/>
          <w:lang w:val="en-US" w:eastAsia="zh-CN"/>
        </w:rPr>
        <w:t>4</w:t>
      </w:r>
      <w:r>
        <w:rPr>
          <w:rFonts w:hint="eastAsia" w:ascii="宋体" w:hAnsi="宋体" w:cs="宋体"/>
          <w:b/>
          <w:color w:val="auto"/>
          <w:kern w:val="1"/>
          <w:szCs w:val="21"/>
          <w:highlight w:val="none"/>
        </w:rPr>
        <w:t xml:space="preserve"> </w:t>
      </w:r>
      <w:r>
        <w:rPr>
          <w:rFonts w:hint="eastAsia" w:ascii="宋体" w:hAnsi="宋体" w:cs="宋体"/>
          <w:b/>
          <w:color w:val="auto"/>
          <w:kern w:val="1"/>
          <w:szCs w:val="21"/>
          <w:highlight w:val="none"/>
          <w:lang w:eastAsia="zh-CN"/>
        </w:rPr>
        <w:t>勘察、设计、工程商务及实施方案</w:t>
      </w:r>
      <w:r>
        <w:rPr>
          <w:rFonts w:hint="eastAsia" w:ascii="宋体" w:hAnsi="宋体" w:cs="宋体"/>
          <w:b/>
          <w:color w:val="auto"/>
          <w:kern w:val="1"/>
          <w:szCs w:val="21"/>
          <w:highlight w:val="none"/>
        </w:rPr>
        <w:t>经济投标文件</w:t>
      </w:r>
    </w:p>
    <w:p>
      <w:pPr>
        <w:tabs>
          <w:tab w:val="left" w:pos="1125"/>
        </w:tabs>
        <w:spacing w:line="480" w:lineRule="auto"/>
        <w:ind w:firstLine="420"/>
        <w:rPr>
          <w:rFonts w:ascii="宋体" w:hAnsi="宋体" w:cs="宋体"/>
          <w:color w:val="auto"/>
          <w:kern w:val="1"/>
          <w:szCs w:val="21"/>
          <w:highlight w:val="none"/>
        </w:rPr>
      </w:pPr>
      <w:bookmarkStart w:id="267" w:name="_Hlk56585096"/>
      <w:r>
        <w:rPr>
          <w:rFonts w:hint="eastAsia" w:ascii="宋体" w:hAnsi="宋体" w:cs="宋体"/>
          <w:color w:val="auto"/>
          <w:kern w:val="1"/>
          <w:szCs w:val="21"/>
          <w:highlight w:val="none"/>
        </w:rPr>
        <w:t>主要包括下列内容：</w:t>
      </w:r>
      <w:bookmarkEnd w:id="267"/>
    </w:p>
    <w:p>
      <w:pPr>
        <w:numPr>
          <w:ilvl w:val="0"/>
          <w:numId w:val="2"/>
        </w:numPr>
        <w:spacing w:line="480" w:lineRule="auto"/>
        <w:ind w:left="0" w:firstLine="420"/>
        <w:rPr>
          <w:rFonts w:ascii="宋体" w:hAnsi="宋体" w:cs="宋体"/>
          <w:color w:val="auto"/>
          <w:kern w:val="1"/>
          <w:szCs w:val="21"/>
          <w:highlight w:val="none"/>
        </w:rPr>
      </w:pPr>
      <w:r>
        <w:rPr>
          <w:rFonts w:hint="eastAsia" w:ascii="宋体" w:hAnsi="宋体" w:cs="宋体"/>
          <w:color w:val="auto"/>
          <w:kern w:val="1"/>
          <w:szCs w:val="21"/>
          <w:highlight w:val="none"/>
        </w:rPr>
        <w:t>封面：写明项目名称、</w:t>
      </w:r>
      <w:r>
        <w:rPr>
          <w:rFonts w:hint="eastAsia" w:ascii="宋体" w:hAnsi="宋体" w:cs="宋体"/>
          <w:color w:val="auto"/>
          <w:kern w:val="1"/>
          <w:szCs w:val="21"/>
          <w:highlight w:val="none"/>
          <w:lang w:eastAsia="zh-CN"/>
        </w:rPr>
        <w:t>勘察、设计、工程商务及实施方案</w:t>
      </w:r>
      <w:r>
        <w:rPr>
          <w:rFonts w:hint="eastAsia" w:ascii="宋体" w:hAnsi="宋体" w:cs="宋体"/>
          <w:color w:val="auto"/>
          <w:kern w:val="1"/>
          <w:szCs w:val="21"/>
          <w:highlight w:val="none"/>
        </w:rPr>
        <w:t>经济投标文件、投标人单位及年月日；加盖投标人电子印章（联合体投标的，“投标人”一栏需书写所有联合体成员的单位全称，由</w:t>
      </w:r>
      <w:r>
        <w:rPr>
          <w:rFonts w:hint="eastAsia" w:ascii="宋体" w:hAnsi="宋体" w:cs="宋体"/>
          <w:color w:val="auto"/>
          <w:kern w:val="1"/>
          <w:szCs w:val="21"/>
          <w:highlight w:val="none"/>
          <w:lang w:eastAsia="zh-CN"/>
        </w:rPr>
        <w:t>主办方</w:t>
      </w:r>
      <w:r>
        <w:rPr>
          <w:rFonts w:hint="eastAsia" w:ascii="宋体" w:hAnsi="宋体" w:cs="宋体"/>
          <w:color w:val="auto"/>
          <w:kern w:val="1"/>
          <w:szCs w:val="21"/>
          <w:highlight w:val="none"/>
        </w:rPr>
        <w:t>签署、盖章）；</w:t>
      </w:r>
    </w:p>
    <w:p>
      <w:pPr>
        <w:numPr>
          <w:ilvl w:val="0"/>
          <w:numId w:val="2"/>
        </w:numPr>
        <w:tabs>
          <w:tab w:val="left" w:pos="1125"/>
        </w:tabs>
        <w:spacing w:line="480" w:lineRule="auto"/>
        <w:rPr>
          <w:rFonts w:ascii="宋体" w:hAnsi="宋体" w:cs="宋体"/>
          <w:color w:val="auto"/>
          <w:kern w:val="1"/>
          <w:szCs w:val="21"/>
          <w:highlight w:val="none"/>
        </w:rPr>
      </w:pPr>
      <w:r>
        <w:rPr>
          <w:rFonts w:hint="eastAsia" w:ascii="宋体" w:hAnsi="宋体" w:cs="宋体"/>
          <w:color w:val="auto"/>
          <w:kern w:val="1"/>
          <w:szCs w:val="21"/>
          <w:highlight w:val="none"/>
        </w:rPr>
        <w:t>《经济标投标书》（按招标文件的要求填写）；</w:t>
      </w:r>
    </w:p>
    <w:p>
      <w:pPr>
        <w:numPr>
          <w:ilvl w:val="0"/>
          <w:numId w:val="2"/>
        </w:numPr>
        <w:tabs>
          <w:tab w:val="left" w:pos="1125"/>
        </w:tabs>
        <w:spacing w:line="480" w:lineRule="auto"/>
        <w:rPr>
          <w:rFonts w:ascii="宋体" w:hAnsi="宋体" w:cs="宋体"/>
          <w:color w:val="auto"/>
          <w:kern w:val="1"/>
          <w:szCs w:val="21"/>
          <w:highlight w:val="none"/>
        </w:rPr>
      </w:pPr>
      <w:r>
        <w:rPr>
          <w:rFonts w:hint="eastAsia" w:ascii="宋体" w:hAnsi="宋体" w:cs="宋体"/>
          <w:color w:val="auto"/>
          <w:kern w:val="1"/>
          <w:szCs w:val="21"/>
          <w:highlight w:val="none"/>
        </w:rPr>
        <w:t>勘察费用明细表（按招标文件的要求填写）；</w:t>
      </w:r>
    </w:p>
    <w:p>
      <w:pPr>
        <w:numPr>
          <w:ilvl w:val="0"/>
          <w:numId w:val="2"/>
        </w:numPr>
        <w:tabs>
          <w:tab w:val="left" w:pos="1125"/>
        </w:tabs>
        <w:spacing w:line="480" w:lineRule="auto"/>
        <w:rPr>
          <w:rFonts w:ascii="宋体" w:hAnsi="宋体" w:cs="宋体"/>
          <w:color w:val="auto"/>
          <w:kern w:val="1"/>
          <w:szCs w:val="21"/>
          <w:highlight w:val="none"/>
        </w:rPr>
      </w:pPr>
      <w:r>
        <w:rPr>
          <w:rFonts w:hint="eastAsia" w:ascii="宋体" w:hAnsi="宋体" w:cs="宋体"/>
          <w:color w:val="auto"/>
          <w:kern w:val="1"/>
          <w:szCs w:val="21"/>
          <w:highlight w:val="none"/>
        </w:rPr>
        <w:t>设计费用明细表（按招标文件的要求填写）；</w:t>
      </w:r>
    </w:p>
    <w:p>
      <w:pPr>
        <w:numPr>
          <w:ilvl w:val="0"/>
          <w:numId w:val="2"/>
        </w:numPr>
        <w:tabs>
          <w:tab w:val="left" w:pos="1125"/>
        </w:tabs>
        <w:spacing w:line="480" w:lineRule="auto"/>
        <w:rPr>
          <w:rFonts w:ascii="宋体" w:hAnsi="宋体" w:cs="宋体"/>
          <w:color w:val="auto"/>
          <w:kern w:val="1"/>
          <w:szCs w:val="21"/>
          <w:highlight w:val="none"/>
        </w:rPr>
      </w:pPr>
      <w:r>
        <w:rPr>
          <w:rFonts w:hint="eastAsia" w:ascii="宋体" w:hAnsi="宋体" w:cs="宋体"/>
          <w:color w:val="auto"/>
          <w:kern w:val="1"/>
          <w:szCs w:val="21"/>
          <w:highlight w:val="none"/>
        </w:rPr>
        <w:t>《参与编制</w:t>
      </w:r>
      <w:r>
        <w:rPr>
          <w:rFonts w:hint="eastAsia" w:ascii="宋体" w:hAnsi="宋体" w:cs="宋体"/>
          <w:color w:val="auto"/>
          <w:kern w:val="1"/>
          <w:szCs w:val="21"/>
          <w:highlight w:val="none"/>
          <w:lang w:eastAsia="zh-CN"/>
        </w:rPr>
        <w:t>勘察、设计、工程商务及实施方案</w:t>
      </w:r>
      <w:r>
        <w:rPr>
          <w:rFonts w:hint="eastAsia" w:ascii="宋体" w:hAnsi="宋体" w:cs="宋体"/>
          <w:color w:val="auto"/>
          <w:kern w:val="1"/>
          <w:szCs w:val="21"/>
          <w:highlight w:val="none"/>
        </w:rPr>
        <w:t>经济投标文件人员名单》（按招标文件的要求填写）；</w:t>
      </w:r>
    </w:p>
    <w:p>
      <w:pPr>
        <w:numPr>
          <w:ilvl w:val="0"/>
          <w:numId w:val="2"/>
        </w:numPr>
        <w:tabs>
          <w:tab w:val="left" w:pos="1125"/>
        </w:tabs>
        <w:spacing w:line="480" w:lineRule="auto"/>
        <w:rPr>
          <w:rFonts w:ascii="宋体" w:hAnsi="宋体" w:cs="宋体"/>
          <w:color w:val="auto"/>
          <w:kern w:val="1"/>
          <w:szCs w:val="21"/>
          <w:highlight w:val="none"/>
        </w:rPr>
      </w:pPr>
      <w:r>
        <w:rPr>
          <w:rFonts w:hint="eastAsia" w:ascii="宋体" w:hAnsi="宋体" w:cs="宋体"/>
          <w:color w:val="auto"/>
          <w:kern w:val="1"/>
          <w:szCs w:val="21"/>
          <w:highlight w:val="none"/>
        </w:rPr>
        <w:t>投标人认为应该提供的其他资料</w:t>
      </w:r>
      <w:r>
        <w:rPr>
          <w:rFonts w:hint="eastAsia" w:ascii="宋体" w:hAnsi="宋体" w:cs="宋体"/>
          <w:color w:val="auto"/>
          <w:kern w:val="1"/>
          <w:szCs w:val="21"/>
          <w:highlight w:val="none"/>
          <w:lang w:eastAsia="zh-CN"/>
        </w:rPr>
        <w:t>。</w:t>
      </w:r>
    </w:p>
    <w:p>
      <w:pPr>
        <w:pStyle w:val="6"/>
        <w:spacing w:line="360" w:lineRule="auto"/>
        <w:rPr>
          <w:rFonts w:ascii="宋体" w:hAnsi="宋体" w:eastAsia="宋体"/>
          <w:b/>
          <w:bCs/>
          <w:color w:val="auto"/>
          <w:sz w:val="24"/>
          <w:szCs w:val="24"/>
          <w:highlight w:val="none"/>
        </w:rPr>
      </w:pPr>
      <w:bookmarkStart w:id="268" w:name="_Toc28699"/>
      <w:r>
        <w:rPr>
          <w:rFonts w:hint="eastAsia" w:ascii="宋体" w:hAnsi="宋体" w:eastAsia="宋体"/>
          <w:b/>
          <w:bCs/>
          <w:color w:val="auto"/>
          <w:sz w:val="24"/>
          <w:szCs w:val="24"/>
          <w:highlight w:val="none"/>
        </w:rPr>
        <w:t>3.2 投标报价</w:t>
      </w:r>
      <w:bookmarkEnd w:id="260"/>
      <w:bookmarkEnd w:id="268"/>
    </w:p>
    <w:p>
      <w:pPr>
        <w:spacing w:line="480" w:lineRule="auto"/>
        <w:ind w:firstLine="420"/>
        <w:rPr>
          <w:rFonts w:ascii="宋体" w:hAnsi="宋体" w:cs="宋体"/>
          <w:color w:val="auto"/>
          <w:kern w:val="1"/>
          <w:highlight w:val="none"/>
        </w:rPr>
      </w:pPr>
      <w:r>
        <w:rPr>
          <w:rFonts w:hint="eastAsia" w:ascii="宋体" w:hAnsi="宋体" w:cs="宋体"/>
          <w:color w:val="auto"/>
          <w:kern w:val="1"/>
          <w:szCs w:val="21"/>
          <w:highlight w:val="none"/>
        </w:rPr>
        <w:t xml:space="preserve">3.2.1 </w:t>
      </w:r>
      <w:r>
        <w:rPr>
          <w:rFonts w:hint="eastAsia" w:ascii="宋体" w:hAnsi="宋体" w:cs="宋体"/>
          <w:color w:val="auto"/>
          <w:kern w:val="1"/>
          <w:highlight w:val="none"/>
          <w:u w:val="single"/>
        </w:rPr>
        <w:t>本工程的投标报价方式见投标须知前附表。</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3.2.2 投标人应</w:t>
      </w:r>
      <w:r>
        <w:rPr>
          <w:rFonts w:hint="eastAsia" w:ascii="宋体" w:hAnsi="宋体" w:cs="宋体"/>
          <w:color w:val="auto"/>
          <w:kern w:val="1"/>
          <w:highlight w:val="none"/>
        </w:rPr>
        <w:t>充分了解</w:t>
      </w:r>
      <w:r>
        <w:rPr>
          <w:rFonts w:hint="eastAsia" w:ascii="宋体" w:hAnsi="宋体" w:cs="宋体"/>
          <w:color w:val="auto"/>
          <w:kern w:val="1"/>
          <w:szCs w:val="21"/>
          <w:highlight w:val="none"/>
        </w:rPr>
        <w:t>施工场地的位置、周边环境、道路、装卸、保管、安装限制以及影响投标报价的其他要素。投标人根据投标设计，结合市场情况进行投标报价。</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3.2.3 投标人在投标截止时间前修改投标函中的投标报价总额，应同时修改投标文件中的相应报价，投标报价总额为各分项金额之和。此修改须符合本章第4.3款的有关要求。</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3.2.</w:t>
      </w:r>
      <w:r>
        <w:rPr>
          <w:rFonts w:ascii="宋体" w:hAnsi="宋体" w:cs="宋体"/>
          <w:color w:val="auto"/>
          <w:kern w:val="1"/>
          <w:highlight w:val="none"/>
        </w:rPr>
        <w:t>4</w:t>
      </w:r>
      <w:r>
        <w:rPr>
          <w:rFonts w:hint="eastAsia" w:ascii="宋体" w:hAnsi="宋体" w:cs="宋体"/>
          <w:color w:val="auto"/>
          <w:kern w:val="1"/>
          <w:highlight w:val="none"/>
        </w:rPr>
        <w:t xml:space="preserve"> 招标人设有最高投标限价的，投标人的投标报价不得超过最高投标限价，最高投标限价在投标人须知前附表中载明。</w:t>
      </w:r>
    </w:p>
    <w:p>
      <w:pPr>
        <w:spacing w:line="48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招标人按照招标需求制定最高投标限价（招标控制价），有两个含义，①最高投标限价总价，②勘察费最高投标限价、设计费最高投标限价、施工费最高投标限价等三个分项价。投标人按照招标人提供的招标清单中列出的费用项目予以报价</w:t>
      </w:r>
      <w:r>
        <w:rPr>
          <w:rFonts w:hint="eastAsia" w:ascii="宋体" w:hAnsi="宋体" w:cs="宋体"/>
          <w:color w:val="auto"/>
          <w:kern w:val="1"/>
          <w:szCs w:val="21"/>
          <w:highlight w:val="none"/>
          <w:u w:val="single"/>
          <w:lang w:eastAsia="zh-CN"/>
        </w:rPr>
        <w:t>。</w:t>
      </w:r>
      <w:r>
        <w:rPr>
          <w:rFonts w:hint="eastAsia" w:ascii="宋体" w:hAnsi="宋体" w:cs="宋体"/>
          <w:color w:val="auto"/>
          <w:kern w:val="1"/>
          <w:szCs w:val="21"/>
          <w:highlight w:val="none"/>
          <w:u w:val="single"/>
        </w:rPr>
        <w:t>其中</w:t>
      </w:r>
      <w:r>
        <w:rPr>
          <w:rFonts w:hint="eastAsia" w:ascii="宋体" w:hAnsi="宋体" w:cs="宋体"/>
          <w:color w:val="auto"/>
          <w:kern w:val="1"/>
          <w:szCs w:val="21"/>
          <w:highlight w:val="none"/>
          <w:u w:val="single"/>
          <w:lang w:val="en-US" w:eastAsia="zh-CN"/>
        </w:rPr>
        <w:t>，</w:t>
      </w:r>
      <w:r>
        <w:rPr>
          <w:rFonts w:hint="eastAsia" w:ascii="宋体" w:hAnsi="宋体" w:cs="宋体"/>
          <w:color w:val="auto"/>
          <w:kern w:val="1"/>
          <w:szCs w:val="21"/>
          <w:highlight w:val="none"/>
          <w:u w:val="single"/>
        </w:rPr>
        <w:t>勘察费、设计费、施工费所报金额不得超出招标人规定的相应的最高投标限价。</w:t>
      </w:r>
    </w:p>
    <w:p>
      <w:pPr>
        <w:spacing w:line="48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.1.1投标报价每一项费用只允许有一个报价，任何有选择的报价或未填报单价的投标文件将不予接受。</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.1.2投标人的投标总报价，包括勘察费投标报价、设计费投标报价和施工费投标报价。投标人应按照投标须知前附表第1.3.2 项的工期要求，在投标须知前附表第 1.1.5 项的建设地点，完成投标须知前附表第1.3.1项的招标范围内列明工作的全部费用，包括但不限于完成全部勘察、设计、建安工程工作的成本、利润、税金、技术措施费、大型机械进出场费、风险费以及政策性文件规定费用等，不得以任何理由予以重复计算。</w:t>
      </w:r>
    </w:p>
    <w:p>
      <w:pPr>
        <w:spacing w:line="480" w:lineRule="auto"/>
        <w:ind w:firstLine="420"/>
        <w:rPr>
          <w:rFonts w:ascii="宋体" w:hAnsi="宋体" w:cs="宋体"/>
          <w:color w:val="auto"/>
          <w:kern w:val="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5</w:t>
      </w:r>
      <w:r>
        <w:rPr>
          <w:rFonts w:hint="eastAsia" w:ascii="宋体" w:hAnsi="宋体" w:cs="宋体"/>
          <w:color w:val="auto"/>
          <w:kern w:val="1"/>
          <w:highlight w:val="none"/>
        </w:rPr>
        <w:t>投标报价的其他要求见投标人须知前附表。</w:t>
      </w:r>
    </w:p>
    <w:p>
      <w:pPr>
        <w:spacing w:line="48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3.2.</w:t>
      </w:r>
      <w:r>
        <w:rPr>
          <w:rFonts w:ascii="宋体" w:hAnsi="宋体" w:cs="宋体"/>
          <w:color w:val="auto"/>
          <w:kern w:val="1"/>
          <w:highlight w:val="none"/>
          <w:u w:val="single"/>
        </w:rPr>
        <w:t>6</w:t>
      </w:r>
      <w:r>
        <w:rPr>
          <w:rFonts w:hint="eastAsia" w:ascii="宋体" w:hAnsi="宋体" w:cs="宋体"/>
          <w:color w:val="auto"/>
          <w:kern w:val="1"/>
          <w:highlight w:val="none"/>
          <w:u w:val="single"/>
        </w:rPr>
        <w:t>本项目投标报价采用的币种为人民币及下浮率。</w:t>
      </w:r>
    </w:p>
    <w:p>
      <w:pPr>
        <w:pStyle w:val="6"/>
        <w:spacing w:before="240" w:beforeLines="100" w:after="240" w:afterLines="100" w:line="360" w:lineRule="auto"/>
        <w:ind w:firstLine="351"/>
        <w:rPr>
          <w:rFonts w:ascii="宋体" w:hAnsi="宋体" w:eastAsia="宋体"/>
          <w:b/>
          <w:color w:val="auto"/>
          <w:sz w:val="24"/>
          <w:szCs w:val="24"/>
          <w:highlight w:val="none"/>
        </w:rPr>
      </w:pPr>
      <w:bookmarkStart w:id="269" w:name="_Toc5620316"/>
      <w:bookmarkStart w:id="270" w:name="_Toc20247"/>
      <w:r>
        <w:rPr>
          <w:rFonts w:hint="eastAsia" w:ascii="宋体" w:hAnsi="宋体" w:eastAsia="宋体"/>
          <w:b/>
          <w:color w:val="auto"/>
          <w:sz w:val="24"/>
          <w:szCs w:val="24"/>
          <w:highlight w:val="none"/>
        </w:rPr>
        <w:t>3.3 投标有效期</w:t>
      </w:r>
      <w:bookmarkEnd w:id="269"/>
      <w:bookmarkEnd w:id="270"/>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3.3.1</w:t>
      </w:r>
      <w:r>
        <w:rPr>
          <w:rFonts w:ascii="宋体" w:hAnsi="宋体" w:cs="宋体"/>
          <w:color w:val="auto"/>
          <w:kern w:val="1"/>
          <w:szCs w:val="21"/>
          <w:highlight w:val="none"/>
        </w:rPr>
        <w:t xml:space="preserve"> </w:t>
      </w:r>
      <w:r>
        <w:rPr>
          <w:rFonts w:hint="eastAsia" w:ascii="宋体" w:hAnsi="宋体" w:cs="宋体"/>
          <w:color w:val="auto"/>
          <w:kern w:val="1"/>
          <w:highlight w:val="none"/>
        </w:rPr>
        <w:t>投标有效期按须知前附表的规定。</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3.3.2 在投标有效期内，投标人撤销或修改其投标文件的，应承担招标文件和法律规定的责任。</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6"/>
        <w:spacing w:before="240" w:beforeLines="100" w:after="240" w:afterLines="100" w:line="360" w:lineRule="auto"/>
        <w:ind w:firstLine="363"/>
        <w:rPr>
          <w:rFonts w:ascii="宋体" w:hAnsi="宋体" w:eastAsia="宋体"/>
          <w:b/>
          <w:color w:val="auto"/>
          <w:sz w:val="24"/>
          <w:szCs w:val="24"/>
          <w:highlight w:val="none"/>
        </w:rPr>
      </w:pPr>
      <w:bookmarkStart w:id="271" w:name="_Toc18133"/>
      <w:bookmarkStart w:id="272" w:name="_Toc5620317"/>
      <w:r>
        <w:rPr>
          <w:rFonts w:hint="eastAsia" w:ascii="宋体" w:hAnsi="宋体" w:eastAsia="宋体"/>
          <w:b/>
          <w:color w:val="auto"/>
          <w:sz w:val="24"/>
          <w:szCs w:val="24"/>
          <w:highlight w:val="none"/>
        </w:rPr>
        <w:t>3.4 投标保证金</w:t>
      </w:r>
      <w:bookmarkEnd w:id="271"/>
      <w:bookmarkEnd w:id="272"/>
    </w:p>
    <w:p>
      <w:pPr>
        <w:spacing w:line="480" w:lineRule="auto"/>
        <w:ind w:firstLine="420" w:firstLineChars="200"/>
        <w:rPr>
          <w:rFonts w:ascii="宋体" w:hAnsi="宋体"/>
          <w:color w:val="auto"/>
          <w:highlight w:val="none"/>
        </w:rPr>
      </w:pPr>
      <w:r>
        <w:rPr>
          <w:rFonts w:ascii="宋体" w:hAnsi="宋体"/>
          <w:color w:val="auto"/>
          <w:highlight w:val="none"/>
        </w:rPr>
        <w:t>3.4.1</w:t>
      </w:r>
      <w:r>
        <w:rPr>
          <w:rFonts w:hint="eastAsia" w:ascii="宋体" w:hAnsi="宋体"/>
          <w:color w:val="auto"/>
          <w:highlight w:val="none"/>
          <w:u w:val="single"/>
        </w:rPr>
        <w:t>投标人在开标开始时间前（含开标开始时间），应按投标人须知前附表规定的金额、担保形式递交投标保证金</w:t>
      </w:r>
      <w:r>
        <w:rPr>
          <w:rFonts w:hint="eastAsia" w:ascii="宋体" w:hAnsi="宋体"/>
          <w:color w:val="auto"/>
          <w:highlight w:val="none"/>
        </w:rPr>
        <w:t>，并作为其投标文件的组成部分。</w:t>
      </w:r>
    </w:p>
    <w:p>
      <w:pPr>
        <w:spacing w:line="480" w:lineRule="auto"/>
        <w:ind w:firstLine="420" w:firstLineChars="200"/>
        <w:rPr>
          <w:rFonts w:ascii="宋体" w:hAnsi="宋体"/>
          <w:color w:val="auto"/>
          <w:highlight w:val="none"/>
        </w:rPr>
      </w:pPr>
      <w:r>
        <w:rPr>
          <w:rFonts w:ascii="宋体" w:hAnsi="宋体"/>
          <w:color w:val="auto"/>
          <w:highlight w:val="none"/>
        </w:rPr>
        <w:t xml:space="preserve">3.4.2 </w:t>
      </w:r>
      <w:r>
        <w:rPr>
          <w:rFonts w:hint="eastAsia" w:ascii="宋体" w:hAnsi="宋体"/>
          <w:color w:val="auto"/>
          <w:highlight w:val="none"/>
        </w:rPr>
        <w:t>投标人不按本章第</w:t>
      </w:r>
      <w:r>
        <w:rPr>
          <w:rFonts w:ascii="宋体" w:hAnsi="宋体"/>
          <w:color w:val="auto"/>
          <w:highlight w:val="none"/>
        </w:rPr>
        <w:t>3.4.1</w:t>
      </w:r>
      <w:r>
        <w:rPr>
          <w:rFonts w:hint="eastAsia" w:ascii="宋体" w:hAnsi="宋体"/>
          <w:color w:val="auto"/>
          <w:highlight w:val="none"/>
        </w:rPr>
        <w:t>项要求提交投标保证金的，评标委员会将否决其投标。</w:t>
      </w:r>
    </w:p>
    <w:p>
      <w:pPr>
        <w:spacing w:line="480" w:lineRule="auto"/>
        <w:ind w:firstLine="420" w:firstLineChars="200"/>
        <w:rPr>
          <w:rFonts w:ascii="宋体" w:hAnsi="宋体"/>
          <w:color w:val="auto"/>
          <w:highlight w:val="none"/>
        </w:rPr>
      </w:pPr>
      <w:r>
        <w:rPr>
          <w:rFonts w:ascii="宋体" w:hAnsi="宋体"/>
          <w:color w:val="auto"/>
          <w:highlight w:val="none"/>
        </w:rPr>
        <w:t>3.4.3</w:t>
      </w:r>
      <w:r>
        <w:rPr>
          <w:rFonts w:hint="eastAsia"/>
          <w:color w:val="auto"/>
          <w:highlight w:val="none"/>
          <w:u w:val="single"/>
        </w:rPr>
        <w:t>未中标的投标保证金将尽快退还，最迟不超过招标人与中标人签订合同后的5个工作日。中标人的投标保证金，在签署合同并按要求提供了履约担保后予以退还。</w:t>
      </w:r>
    </w:p>
    <w:p>
      <w:pPr>
        <w:spacing w:line="480" w:lineRule="auto"/>
        <w:ind w:firstLine="420" w:firstLineChars="200"/>
        <w:rPr>
          <w:rFonts w:ascii="宋体" w:hAnsi="宋体"/>
          <w:color w:val="auto"/>
          <w:highlight w:val="none"/>
        </w:rPr>
      </w:pPr>
      <w:r>
        <w:rPr>
          <w:rFonts w:hint="eastAsia" w:ascii="宋体" w:hAnsi="宋体"/>
          <w:color w:val="auto"/>
          <w:highlight w:val="none"/>
        </w:rPr>
        <w:t>3.4.4投标人有下列情形的</w:t>
      </w:r>
      <w:r>
        <w:rPr>
          <w:rFonts w:ascii="宋体" w:hAnsi="宋体"/>
          <w:color w:val="auto"/>
          <w:highlight w:val="none"/>
        </w:rPr>
        <w:t>，</w:t>
      </w:r>
      <w:r>
        <w:rPr>
          <w:rFonts w:hint="eastAsia" w:ascii="宋体" w:hAnsi="宋体"/>
          <w:color w:val="auto"/>
          <w:highlight w:val="none"/>
        </w:rPr>
        <w:t>将自愿接受：通报批评，记录不良行为，列入黑名单，并暂停企业参加建设单位项目招投标活动一年，不予退还投标保证金。</w:t>
      </w:r>
    </w:p>
    <w:p>
      <w:pPr>
        <w:spacing w:line="480" w:lineRule="auto"/>
        <w:ind w:firstLine="315" w:firstLineChars="150"/>
        <w:rPr>
          <w:rFonts w:ascii="宋体" w:hAnsi="宋体"/>
          <w:color w:val="auto"/>
          <w:highlight w:val="none"/>
        </w:rPr>
      </w:pPr>
      <w:r>
        <w:rPr>
          <w:rFonts w:ascii="宋体" w:hAnsi="宋体"/>
          <w:color w:val="auto"/>
          <w:highlight w:val="none"/>
        </w:rPr>
        <w:t>（1）</w:t>
      </w:r>
      <w:r>
        <w:rPr>
          <w:rFonts w:hint="eastAsia" w:ascii="宋体" w:hAnsi="宋体"/>
          <w:color w:val="auto"/>
          <w:highlight w:val="none"/>
        </w:rPr>
        <w:t>投标人在规定的投标有效期内撤销或修改其投标文件；</w:t>
      </w:r>
    </w:p>
    <w:p>
      <w:pPr>
        <w:tabs>
          <w:tab w:val="left" w:pos="7711"/>
        </w:tabs>
        <w:spacing w:line="480" w:lineRule="auto"/>
        <w:ind w:firstLine="315" w:firstLineChars="150"/>
        <w:rPr>
          <w:rFonts w:ascii="宋体" w:hAnsi="宋体"/>
          <w:color w:val="auto"/>
          <w:highlight w:val="none"/>
          <w:u w:val="single"/>
        </w:rPr>
      </w:pPr>
      <w:r>
        <w:rPr>
          <w:rFonts w:ascii="宋体" w:hAnsi="宋体"/>
          <w:color w:val="auto"/>
          <w:highlight w:val="none"/>
          <w:u w:val="single"/>
        </w:rPr>
        <w:t>（</w:t>
      </w:r>
      <w:r>
        <w:rPr>
          <w:rFonts w:hint="eastAsia" w:ascii="宋体" w:hAnsi="宋体"/>
          <w:color w:val="auto"/>
          <w:highlight w:val="none"/>
          <w:u w:val="single"/>
        </w:rPr>
        <w:t>2</w:t>
      </w:r>
      <w:r>
        <w:rPr>
          <w:rFonts w:ascii="宋体" w:hAnsi="宋体"/>
          <w:color w:val="auto"/>
          <w:highlight w:val="none"/>
          <w:u w:val="single"/>
        </w:rPr>
        <w:t>）</w:t>
      </w:r>
      <w:r>
        <w:rPr>
          <w:rFonts w:hint="eastAsia" w:ascii="宋体" w:hAnsi="宋体"/>
          <w:color w:val="auto"/>
          <w:highlight w:val="none"/>
          <w:u w:val="single"/>
        </w:rPr>
        <w:t>投标人提供了虚假的证明材料；</w:t>
      </w:r>
    </w:p>
    <w:p>
      <w:pPr>
        <w:spacing w:line="480" w:lineRule="auto"/>
        <w:ind w:firstLine="315" w:firstLineChars="150"/>
        <w:rPr>
          <w:rFonts w:ascii="宋体" w:hAnsi="宋体"/>
          <w:color w:val="auto"/>
          <w:highlight w:val="none"/>
          <w:u w:val="single"/>
        </w:rPr>
      </w:pPr>
      <w:r>
        <w:rPr>
          <w:rFonts w:ascii="宋体" w:hAnsi="宋体"/>
          <w:color w:val="auto"/>
          <w:highlight w:val="none"/>
          <w:u w:val="single"/>
        </w:rPr>
        <w:t>（</w:t>
      </w:r>
      <w:r>
        <w:rPr>
          <w:rFonts w:hint="eastAsia" w:ascii="宋体" w:hAnsi="宋体"/>
          <w:color w:val="auto"/>
          <w:highlight w:val="none"/>
          <w:u w:val="single"/>
        </w:rPr>
        <w:t>3</w:t>
      </w:r>
      <w:r>
        <w:rPr>
          <w:rFonts w:ascii="宋体" w:hAnsi="宋体"/>
          <w:color w:val="auto"/>
          <w:highlight w:val="none"/>
          <w:u w:val="single"/>
        </w:rPr>
        <w:t>）</w:t>
      </w:r>
      <w:r>
        <w:rPr>
          <w:rFonts w:hint="eastAsia" w:ascii="宋体" w:hAnsi="宋体"/>
          <w:color w:val="auto"/>
          <w:highlight w:val="none"/>
          <w:u w:val="single"/>
        </w:rPr>
        <w:t>中标候选人放弃中标；</w:t>
      </w:r>
    </w:p>
    <w:p>
      <w:pPr>
        <w:spacing w:line="480" w:lineRule="auto"/>
        <w:ind w:firstLine="315"/>
        <w:rPr>
          <w:rFonts w:ascii="宋体" w:hAnsi="宋体" w:cs="宋体"/>
          <w:color w:val="auto"/>
          <w:kern w:val="1"/>
          <w:szCs w:val="21"/>
          <w:highlight w:val="none"/>
        </w:rPr>
      </w:pPr>
      <w:r>
        <w:rPr>
          <w:rFonts w:ascii="宋体" w:hAnsi="宋体"/>
          <w:color w:val="auto"/>
          <w:highlight w:val="none"/>
          <w:u w:val="single"/>
        </w:rPr>
        <w:t>（</w:t>
      </w:r>
      <w:r>
        <w:rPr>
          <w:rFonts w:hint="eastAsia" w:ascii="宋体" w:hAnsi="宋体"/>
          <w:color w:val="auto"/>
          <w:highlight w:val="none"/>
          <w:u w:val="single"/>
        </w:rPr>
        <w:t>4</w:t>
      </w:r>
      <w:r>
        <w:rPr>
          <w:rFonts w:ascii="宋体" w:hAnsi="宋体"/>
          <w:color w:val="auto"/>
          <w:highlight w:val="none"/>
          <w:u w:val="single"/>
        </w:rPr>
        <w:t>）</w:t>
      </w:r>
      <w:r>
        <w:rPr>
          <w:rFonts w:hint="eastAsia" w:ascii="宋体" w:hAnsi="宋体"/>
          <w:color w:val="auto"/>
          <w:highlight w:val="none"/>
          <w:u w:val="single"/>
        </w:rPr>
        <w:t>中标人在收到中标通知书后，无正当理由拒签合同或未按招标文件规定提交履约担保。</w:t>
      </w:r>
    </w:p>
    <w:p>
      <w:pPr>
        <w:pStyle w:val="6"/>
        <w:spacing w:before="240" w:beforeLines="100" w:after="240" w:afterLines="100" w:line="360" w:lineRule="auto"/>
        <w:ind w:firstLine="0"/>
        <w:rPr>
          <w:rFonts w:ascii="宋体" w:hAnsi="宋体" w:eastAsia="宋体"/>
          <w:b/>
          <w:color w:val="auto"/>
          <w:sz w:val="24"/>
          <w:szCs w:val="24"/>
          <w:highlight w:val="none"/>
        </w:rPr>
      </w:pPr>
      <w:bookmarkStart w:id="273" w:name="_Toc32372"/>
      <w:bookmarkStart w:id="274" w:name="_Toc5620318"/>
      <w:r>
        <w:rPr>
          <w:rFonts w:hint="eastAsia" w:ascii="宋体" w:hAnsi="宋体" w:eastAsia="宋体"/>
          <w:b/>
          <w:color w:val="auto"/>
          <w:sz w:val="24"/>
          <w:szCs w:val="24"/>
          <w:highlight w:val="none"/>
        </w:rPr>
        <w:t>3.5 资格审查</w:t>
      </w:r>
      <w:bookmarkEnd w:id="273"/>
      <w:bookmarkEnd w:id="274"/>
    </w:p>
    <w:p>
      <w:pPr>
        <w:spacing w:line="48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本项目采用电子化资格后审，由评标委员会负责对投标人的资格进行审查，评标时只对通过资格评审的投标人进行下一阶段的评审。</w:t>
      </w:r>
    </w:p>
    <w:p>
      <w:pPr>
        <w:spacing w:line="480" w:lineRule="auto"/>
        <w:ind w:firstLine="420"/>
        <w:rPr>
          <w:rFonts w:ascii="宋体" w:hAnsi="宋体" w:cs="宋体"/>
          <w:color w:val="auto"/>
          <w:kern w:val="1"/>
          <w:szCs w:val="21"/>
          <w:highlight w:val="none"/>
        </w:rPr>
      </w:pPr>
      <w:r>
        <w:rPr>
          <w:rFonts w:hint="eastAsia" w:ascii="宋体" w:hAnsi="宋体"/>
          <w:b/>
          <w:color w:val="auto"/>
          <w:highlight w:val="none"/>
          <w:u w:val="single"/>
        </w:rPr>
        <w:t>资审合格后，投标人的资格发生变化而不满足投标人合格条件，在发出中标通知书前，资格问题仍未解决的，招标人将取消其中标资格</w:t>
      </w:r>
      <w:r>
        <w:rPr>
          <w:rFonts w:hint="eastAsia" w:ascii="宋体" w:hAnsi="宋体"/>
          <w:b/>
          <w:color w:val="auto"/>
          <w:highlight w:val="none"/>
        </w:rPr>
        <w:t>。</w:t>
      </w:r>
    </w:p>
    <w:p>
      <w:pPr>
        <w:pStyle w:val="18"/>
        <w:spacing w:line="360" w:lineRule="auto"/>
        <w:rPr>
          <w:color w:val="auto"/>
          <w:highlight w:val="none"/>
          <w:lang w:val="en-US"/>
        </w:rPr>
      </w:pPr>
    </w:p>
    <w:p>
      <w:pPr>
        <w:pStyle w:val="6"/>
        <w:spacing w:before="240" w:beforeLines="100" w:after="240" w:afterLines="100" w:line="360" w:lineRule="auto"/>
        <w:ind w:firstLine="0"/>
        <w:rPr>
          <w:rFonts w:ascii="宋体" w:hAnsi="宋体" w:eastAsia="宋体"/>
          <w:b/>
          <w:color w:val="auto"/>
          <w:sz w:val="24"/>
          <w:szCs w:val="24"/>
          <w:highlight w:val="none"/>
        </w:rPr>
      </w:pPr>
      <w:bookmarkStart w:id="275" w:name="_Toc5620319"/>
      <w:bookmarkStart w:id="276" w:name="_Toc9278"/>
      <w:r>
        <w:rPr>
          <w:rFonts w:hint="eastAsia" w:ascii="宋体" w:hAnsi="宋体" w:eastAsia="宋体"/>
          <w:b/>
          <w:color w:val="auto"/>
          <w:sz w:val="24"/>
          <w:szCs w:val="24"/>
          <w:highlight w:val="none"/>
        </w:rPr>
        <w:t>3.6 备选投标方案</w:t>
      </w:r>
      <w:bookmarkEnd w:id="275"/>
      <w:bookmarkEnd w:id="276"/>
    </w:p>
    <w:p>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除投标人须知前附表另有规定外，投标人不得递交备选投标方案。</w:t>
      </w:r>
    </w:p>
    <w:p>
      <w:pPr>
        <w:pStyle w:val="6"/>
        <w:spacing w:before="240" w:beforeLines="100" w:after="240" w:afterLines="100" w:line="360" w:lineRule="auto"/>
        <w:ind w:firstLine="0"/>
        <w:rPr>
          <w:rFonts w:ascii="宋体" w:hAnsi="宋体" w:eastAsia="宋体"/>
          <w:b/>
          <w:color w:val="auto"/>
          <w:sz w:val="24"/>
          <w:szCs w:val="24"/>
          <w:highlight w:val="none"/>
        </w:rPr>
      </w:pPr>
      <w:bookmarkStart w:id="277" w:name="_Toc4446"/>
      <w:bookmarkStart w:id="278" w:name="_Toc5620320"/>
      <w:r>
        <w:rPr>
          <w:rFonts w:hint="eastAsia" w:ascii="宋体" w:hAnsi="宋体" w:eastAsia="宋体"/>
          <w:b/>
          <w:color w:val="auto"/>
          <w:sz w:val="24"/>
          <w:szCs w:val="24"/>
          <w:highlight w:val="none"/>
        </w:rPr>
        <w:t>3.7 投标文件的编制</w:t>
      </w:r>
      <w:bookmarkEnd w:id="277"/>
      <w:bookmarkEnd w:id="278"/>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3.7.1 投标文件应按第七章“投标文件格式”进行编写，如有必要，可以增加附页，作为投标文件的组成部分。</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3.7.2 投标文件应当对招标文件有关招标范围、投标有效期、工期、质量标准、招标人要求等实质性内容作出响应。</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3.7.3</w:t>
      </w:r>
      <w:r>
        <w:rPr>
          <w:rFonts w:hint="eastAsia" w:ascii="宋体" w:hAnsi="宋体" w:cs="宋体"/>
          <w:color w:val="auto"/>
          <w:kern w:val="1"/>
          <w:highlight w:val="none"/>
          <w:u w:val="single"/>
        </w:rPr>
        <w:t>投标文件全部采用电子文档，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件中需个人签字或盖章的，应在线下完成后扫描上传。其余可不加盖电子印章或签名。详细操作按照交易平台关于全流程电子化项目的相关指南进行操作。详见：【全流程电子化项目】电子招投标操作手册（无纸化）</w:t>
      </w:r>
      <w:r>
        <w:rPr>
          <w:rFonts w:hint="eastAsia" w:ascii="宋体" w:hAnsi="宋体" w:cs="宋体"/>
          <w:bCs/>
          <w:color w:val="auto"/>
          <w:szCs w:val="21"/>
          <w:highlight w:val="none"/>
          <w:u w:val="single"/>
        </w:rPr>
        <w:t>。</w:t>
      </w:r>
      <w:r>
        <w:rPr>
          <w:rFonts w:hint="eastAsia" w:ascii="宋体" w:hAnsi="宋体" w:cs="宋体"/>
          <w:b/>
          <w:bCs/>
          <w:color w:val="auto"/>
          <w:szCs w:val="21"/>
          <w:highlight w:val="none"/>
          <w:u w:val="single"/>
        </w:rPr>
        <w:t>联合体投标的，除《联合体共同投标协议书》必须联合体各方分别按要求进行签字、盖章外，投标文件封面及其他内容落款中的“投标人”应填写联合体各方的单位全称【格式为：(主)XXXX公司，(成)XXXX公司(成)……】，由联合体</w:t>
      </w:r>
      <w:r>
        <w:rPr>
          <w:rFonts w:hint="eastAsia" w:ascii="宋体" w:hAnsi="宋体" w:cs="宋体"/>
          <w:b/>
          <w:bCs/>
          <w:color w:val="auto"/>
          <w:szCs w:val="21"/>
          <w:highlight w:val="none"/>
          <w:u w:val="single"/>
          <w:lang w:eastAsia="zh-CN"/>
        </w:rPr>
        <w:t>主办方</w:t>
      </w:r>
      <w:r>
        <w:rPr>
          <w:rFonts w:hint="eastAsia" w:ascii="宋体" w:hAnsi="宋体" w:cs="宋体"/>
          <w:b/>
          <w:bCs/>
          <w:color w:val="auto"/>
          <w:szCs w:val="21"/>
          <w:highlight w:val="none"/>
          <w:u w:val="single"/>
        </w:rPr>
        <w:t>签字、盖章即可。</w:t>
      </w:r>
    </w:p>
    <w:p>
      <w:pPr>
        <w:pStyle w:val="5"/>
        <w:spacing w:before="240" w:beforeLines="100" w:after="240" w:afterLines="100" w:line="360" w:lineRule="auto"/>
        <w:rPr>
          <w:rFonts w:ascii="宋体" w:hAnsi="宋体" w:eastAsia="宋体" w:cs="宋体"/>
          <w:color w:val="auto"/>
          <w:highlight w:val="none"/>
          <w:lang w:val="zh-CN"/>
        </w:rPr>
      </w:pPr>
      <w:bookmarkStart w:id="279" w:name="_Toc443505826"/>
      <w:bookmarkEnd w:id="279"/>
      <w:bookmarkStart w:id="280" w:name="_Toc8024"/>
      <w:bookmarkEnd w:id="280"/>
      <w:bookmarkStart w:id="281" w:name="_Toc3979"/>
      <w:bookmarkEnd w:id="281"/>
      <w:bookmarkStart w:id="282" w:name="_Toc5620321"/>
      <w:bookmarkStart w:id="283" w:name="_Toc8504"/>
      <w:r>
        <w:rPr>
          <w:rFonts w:hint="eastAsia" w:ascii="宋体" w:hAnsi="宋体" w:eastAsia="宋体" w:cs="宋体"/>
          <w:color w:val="auto"/>
          <w:highlight w:val="none"/>
          <w:lang w:val="zh-CN"/>
        </w:rPr>
        <w:t>4. 投标</w:t>
      </w:r>
      <w:bookmarkEnd w:id="282"/>
      <w:bookmarkEnd w:id="283"/>
    </w:p>
    <w:p>
      <w:pPr>
        <w:pStyle w:val="6"/>
        <w:spacing w:line="360" w:lineRule="auto"/>
        <w:ind w:firstLine="118"/>
        <w:rPr>
          <w:rFonts w:ascii="宋体" w:hAnsi="宋体" w:eastAsia="宋体"/>
          <w:b/>
          <w:bCs/>
          <w:color w:val="auto"/>
          <w:sz w:val="24"/>
          <w:szCs w:val="24"/>
          <w:highlight w:val="none"/>
        </w:rPr>
      </w:pPr>
      <w:bookmarkStart w:id="284" w:name="_Toc362816506"/>
      <w:bookmarkEnd w:id="284"/>
      <w:bookmarkStart w:id="285" w:name="_Toc357089537"/>
      <w:bookmarkEnd w:id="285"/>
      <w:bookmarkStart w:id="286" w:name="_Toc5620322"/>
      <w:bookmarkStart w:id="287" w:name="_Toc21485"/>
      <w:r>
        <w:rPr>
          <w:rFonts w:hint="eastAsia" w:ascii="宋体" w:hAnsi="宋体" w:eastAsia="宋体"/>
          <w:b/>
          <w:bCs/>
          <w:color w:val="auto"/>
          <w:sz w:val="24"/>
          <w:szCs w:val="24"/>
          <w:highlight w:val="none"/>
        </w:rPr>
        <w:t>4.1 投标文件的密封和标记</w:t>
      </w:r>
      <w:bookmarkEnd w:id="286"/>
      <w:bookmarkEnd w:id="287"/>
    </w:p>
    <w:p>
      <w:pPr>
        <w:spacing w:line="480" w:lineRule="auto"/>
        <w:ind w:firstLine="420"/>
        <w:rPr>
          <w:rFonts w:ascii="宋体" w:hAnsi="宋体" w:cs="宋体"/>
          <w:color w:val="auto"/>
          <w:kern w:val="1"/>
          <w:highlight w:val="none"/>
          <w:u w:val="single"/>
        </w:rPr>
      </w:pPr>
      <w:r>
        <w:rPr>
          <w:rFonts w:ascii="宋体" w:hAnsi="宋体" w:cs="宋体"/>
          <w:color w:val="auto"/>
          <w:kern w:val="1"/>
          <w:highlight w:val="none"/>
          <w:u w:val="single"/>
        </w:rPr>
        <w:t xml:space="preserve">4.1.1 </w:t>
      </w:r>
      <w:r>
        <w:rPr>
          <w:rFonts w:hint="eastAsia" w:ascii="宋体" w:hAnsi="宋体" w:cs="宋体"/>
          <w:color w:val="auto"/>
          <w:kern w:val="1"/>
          <w:highlight w:val="none"/>
          <w:u w:val="single"/>
        </w:rPr>
        <w:t>投标人应当按照招标文件和电子招标投标交易平台的要求加密投标文件，具体要求见投标人须知前附表。</w:t>
      </w:r>
    </w:p>
    <w:p>
      <w:pPr>
        <w:spacing w:line="480" w:lineRule="auto"/>
        <w:ind w:firstLine="420"/>
        <w:rPr>
          <w:rFonts w:ascii="宋体" w:hAnsi="宋体" w:cs="宋体"/>
          <w:color w:val="auto"/>
          <w:kern w:val="1"/>
          <w:highlight w:val="none"/>
          <w:u w:val="single"/>
        </w:rPr>
      </w:pPr>
      <w:r>
        <w:rPr>
          <w:rFonts w:ascii="宋体" w:hAnsi="宋体" w:cs="宋体"/>
          <w:color w:val="auto"/>
          <w:kern w:val="1"/>
          <w:highlight w:val="none"/>
          <w:u w:val="single"/>
        </w:rPr>
        <w:t xml:space="preserve">4.1.2 </w:t>
      </w:r>
      <w:r>
        <w:rPr>
          <w:rFonts w:hint="eastAsia" w:ascii="宋体" w:hAnsi="宋体" w:cs="宋体"/>
          <w:color w:val="auto"/>
          <w:kern w:val="1"/>
          <w:highlight w:val="none"/>
          <w:u w:val="single"/>
        </w:rPr>
        <w:t>如有提交备用电子投标文件，封套上应写明的内容见投标人须知前附表。</w:t>
      </w:r>
    </w:p>
    <w:p>
      <w:pPr>
        <w:spacing w:line="480" w:lineRule="auto"/>
        <w:ind w:firstLine="420"/>
        <w:rPr>
          <w:rFonts w:ascii="宋体" w:hAnsi="宋体" w:cs="宋体"/>
          <w:color w:val="auto"/>
          <w:kern w:val="1"/>
          <w:highlight w:val="none"/>
          <w:u w:val="single"/>
        </w:rPr>
      </w:pPr>
      <w:r>
        <w:rPr>
          <w:rFonts w:ascii="宋体" w:hAnsi="宋体" w:cs="宋体"/>
          <w:color w:val="auto"/>
          <w:kern w:val="1"/>
          <w:highlight w:val="none"/>
          <w:u w:val="single"/>
        </w:rPr>
        <w:t>4.1.3投标人在投标截止期后逾期或未在指定地点递交备用电子投标文件的，或投标人递交的备用电子投标文件未按招标文件要求密封或未在密封处盖章的，或投标人</w:t>
      </w:r>
      <w:r>
        <w:rPr>
          <w:rFonts w:hint="eastAsia" w:ascii="宋体" w:hAnsi="宋体" w:cs="宋体"/>
          <w:color w:val="auto"/>
          <w:kern w:val="1"/>
          <w:highlight w:val="none"/>
          <w:u w:val="single"/>
        </w:rPr>
        <w:t>代表未凭法定代表人证明书原件、授权委托书原件（仅限于非法定代表人）、本人身份证原件按要求递交备用电子投标文件的，招标人将予以拒收。</w:t>
      </w:r>
    </w:p>
    <w:p>
      <w:pPr>
        <w:pStyle w:val="6"/>
        <w:spacing w:line="360" w:lineRule="auto"/>
        <w:ind w:firstLine="118"/>
        <w:rPr>
          <w:rFonts w:ascii="宋体" w:hAnsi="宋体" w:eastAsia="宋体"/>
          <w:b/>
          <w:bCs/>
          <w:color w:val="auto"/>
          <w:sz w:val="24"/>
          <w:szCs w:val="24"/>
          <w:highlight w:val="none"/>
        </w:rPr>
      </w:pPr>
      <w:bookmarkStart w:id="288" w:name="_Toc5620323"/>
      <w:bookmarkStart w:id="289" w:name="_Toc7472"/>
      <w:r>
        <w:rPr>
          <w:rFonts w:hint="eastAsia" w:ascii="宋体" w:hAnsi="宋体" w:eastAsia="宋体"/>
          <w:b/>
          <w:bCs/>
          <w:color w:val="auto"/>
          <w:sz w:val="24"/>
          <w:szCs w:val="24"/>
          <w:highlight w:val="none"/>
        </w:rPr>
        <w:t xml:space="preserve">4.2 </w:t>
      </w:r>
      <w:r>
        <w:rPr>
          <w:rFonts w:hint="eastAsia" w:ascii="宋体" w:hAnsi="宋体" w:eastAsia="宋体"/>
          <w:b/>
          <w:bCs/>
          <w:color w:val="auto"/>
          <w:sz w:val="24"/>
          <w:szCs w:val="24"/>
          <w:highlight w:val="none"/>
          <w:u w:val="single"/>
        </w:rPr>
        <w:t>投标文件的递交、接收、封存</w:t>
      </w:r>
      <w:bookmarkEnd w:id="288"/>
      <w:bookmarkEnd w:id="289"/>
    </w:p>
    <w:p>
      <w:pPr>
        <w:spacing w:line="480" w:lineRule="auto"/>
        <w:ind w:firstLine="420"/>
        <w:rPr>
          <w:rFonts w:ascii="宋体" w:hAnsi="宋体" w:cs="宋体"/>
          <w:color w:val="auto"/>
          <w:kern w:val="1"/>
          <w:highlight w:val="none"/>
          <w:u w:val="single"/>
        </w:rPr>
      </w:pPr>
      <w:r>
        <w:rPr>
          <w:rFonts w:ascii="宋体" w:hAnsi="宋体" w:cs="宋体"/>
          <w:color w:val="auto"/>
          <w:kern w:val="1"/>
          <w:highlight w:val="none"/>
          <w:u w:val="single"/>
        </w:rPr>
        <w:t xml:space="preserve">4.2.1 </w:t>
      </w:r>
      <w:r>
        <w:rPr>
          <w:rFonts w:hint="eastAsia" w:ascii="宋体" w:hAnsi="宋体" w:cs="宋体"/>
          <w:color w:val="auto"/>
          <w:kern w:val="1"/>
          <w:highlight w:val="none"/>
          <w:u w:val="single"/>
        </w:rPr>
        <w:t>投标人应在投标人须知前附表规定的投标截止时间前递交投标文件。</w:t>
      </w:r>
    </w:p>
    <w:p>
      <w:pPr>
        <w:spacing w:line="480" w:lineRule="auto"/>
        <w:ind w:firstLine="420"/>
        <w:rPr>
          <w:rFonts w:ascii="宋体" w:hAnsi="宋体" w:cs="宋体"/>
          <w:color w:val="auto"/>
          <w:kern w:val="1"/>
          <w:highlight w:val="none"/>
          <w:u w:val="single"/>
        </w:rPr>
      </w:pPr>
      <w:r>
        <w:rPr>
          <w:rFonts w:ascii="宋体" w:hAnsi="宋体" w:cs="宋体"/>
          <w:color w:val="auto"/>
          <w:kern w:val="1"/>
          <w:highlight w:val="none"/>
          <w:u w:val="single"/>
        </w:rPr>
        <w:t>4.2.2投标人通过下载招标文件的</w:t>
      </w:r>
      <w:r>
        <w:rPr>
          <w:rFonts w:hint="eastAsia" w:ascii="宋体" w:hAnsi="宋体" w:cs="宋体"/>
          <w:b/>
          <w:color w:val="auto"/>
          <w:kern w:val="1"/>
          <w:highlight w:val="none"/>
          <w:u w:val="single"/>
        </w:rPr>
        <w:t>广州公共资源交易中心</w:t>
      </w:r>
      <w:r>
        <w:rPr>
          <w:rFonts w:hint="eastAsia" w:ascii="宋体" w:hAnsi="宋体" w:cs="宋体"/>
          <w:color w:val="auto"/>
          <w:kern w:val="1"/>
          <w:highlight w:val="none"/>
          <w:u w:val="single"/>
        </w:rPr>
        <w:t>电子招标投标交易平台递交电子投标文件。</w:t>
      </w:r>
    </w:p>
    <w:p>
      <w:pPr>
        <w:spacing w:line="480" w:lineRule="auto"/>
        <w:ind w:firstLine="420"/>
        <w:rPr>
          <w:rFonts w:ascii="宋体" w:hAnsi="宋体" w:cs="宋体"/>
          <w:color w:val="auto"/>
          <w:kern w:val="1"/>
          <w:highlight w:val="none"/>
          <w:u w:val="single"/>
        </w:rPr>
      </w:pPr>
      <w:r>
        <w:rPr>
          <w:rFonts w:ascii="宋体" w:hAnsi="宋体" w:cs="宋体"/>
          <w:color w:val="auto"/>
          <w:kern w:val="1"/>
          <w:highlight w:val="none"/>
          <w:u w:val="single"/>
        </w:rPr>
        <w:t>4.2.3投标人完成电子投标文件上传后，电子招标投标交易平台即时向投标人发出递交回执通知。递交时间以递交回执通知载明的传输完成时间为准。</w:t>
      </w:r>
    </w:p>
    <w:p>
      <w:pPr>
        <w:spacing w:line="480" w:lineRule="auto"/>
        <w:ind w:firstLine="420"/>
        <w:rPr>
          <w:rFonts w:ascii="宋体" w:hAnsi="宋体" w:cs="宋体"/>
          <w:color w:val="auto"/>
          <w:kern w:val="1"/>
          <w:highlight w:val="none"/>
          <w:u w:val="single"/>
        </w:rPr>
      </w:pPr>
      <w:r>
        <w:rPr>
          <w:rFonts w:ascii="宋体" w:hAnsi="宋体" w:cs="宋体"/>
          <w:color w:val="auto"/>
          <w:kern w:val="1"/>
          <w:highlight w:val="none"/>
          <w:u w:val="single"/>
        </w:rPr>
        <w:t>4.2.4</w:t>
      </w:r>
      <w:r>
        <w:rPr>
          <w:rFonts w:hint="eastAsia" w:ascii="宋体" w:hAnsi="宋体" w:cs="宋体"/>
          <w:color w:val="auto"/>
          <w:kern w:val="1"/>
          <w:highlight w:val="none"/>
          <w:u w:val="single"/>
        </w:rPr>
        <w:t>到投标截止时间止，若电子招标投标交易平台收到的投标文件少于</w:t>
      </w:r>
      <w:r>
        <w:rPr>
          <w:rFonts w:ascii="宋体" w:hAnsi="宋体" w:cs="宋体"/>
          <w:color w:val="auto"/>
          <w:kern w:val="1"/>
          <w:highlight w:val="none"/>
          <w:u w:val="single"/>
        </w:rPr>
        <w:t>3家的，本项目招标失败，将依法重新招标。</w:t>
      </w:r>
    </w:p>
    <w:p>
      <w:pPr>
        <w:spacing w:line="480" w:lineRule="auto"/>
        <w:ind w:firstLine="420"/>
        <w:rPr>
          <w:rFonts w:ascii="宋体" w:hAnsi="宋体" w:cs="宋体"/>
          <w:color w:val="auto"/>
          <w:kern w:val="1"/>
          <w:highlight w:val="none"/>
          <w:u w:val="single"/>
        </w:rPr>
      </w:pPr>
      <w:r>
        <w:rPr>
          <w:rFonts w:ascii="宋体" w:hAnsi="宋体" w:cs="宋体"/>
          <w:color w:val="auto"/>
          <w:kern w:val="1"/>
          <w:highlight w:val="none"/>
          <w:u w:val="single"/>
        </w:rPr>
        <w:t xml:space="preserve">4.2.5 </w:t>
      </w:r>
      <w:r>
        <w:rPr>
          <w:rFonts w:hint="eastAsia" w:ascii="宋体" w:hAnsi="宋体" w:cs="宋体"/>
          <w:color w:val="auto"/>
          <w:kern w:val="1"/>
          <w:highlight w:val="none"/>
          <w:u w:val="single"/>
        </w:rPr>
        <w:t>逾期送达的投标文件，电子招标投标交易平台将予以拒收。</w:t>
      </w:r>
    </w:p>
    <w:p>
      <w:pPr>
        <w:pStyle w:val="6"/>
        <w:spacing w:line="360" w:lineRule="auto"/>
        <w:ind w:firstLine="118"/>
        <w:rPr>
          <w:rFonts w:ascii="宋体" w:hAnsi="宋体" w:eastAsia="宋体"/>
          <w:b/>
          <w:bCs/>
          <w:color w:val="auto"/>
          <w:sz w:val="24"/>
          <w:szCs w:val="24"/>
          <w:highlight w:val="none"/>
        </w:rPr>
      </w:pPr>
      <w:bookmarkStart w:id="290" w:name="_Toc357089539"/>
      <w:bookmarkEnd w:id="290"/>
      <w:bookmarkStart w:id="291" w:name="_Toc362816508"/>
      <w:bookmarkEnd w:id="291"/>
      <w:bookmarkStart w:id="292" w:name="_Toc17582"/>
      <w:bookmarkStart w:id="293" w:name="_Toc5620324"/>
      <w:r>
        <w:rPr>
          <w:rFonts w:hint="eastAsia" w:ascii="宋体" w:hAnsi="宋体" w:eastAsia="宋体"/>
          <w:b/>
          <w:bCs/>
          <w:color w:val="auto"/>
          <w:sz w:val="24"/>
          <w:szCs w:val="24"/>
          <w:highlight w:val="none"/>
        </w:rPr>
        <w:t>4.3 投标文件的修改与撤回</w:t>
      </w:r>
      <w:bookmarkEnd w:id="292"/>
      <w:bookmarkEnd w:id="293"/>
    </w:p>
    <w:p>
      <w:pPr>
        <w:spacing w:line="48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4.3.1 在投标人须知前附表第</w:t>
      </w:r>
      <w:r>
        <w:rPr>
          <w:rFonts w:ascii="宋体" w:hAnsi="宋体" w:cs="宋体"/>
          <w:color w:val="auto"/>
          <w:kern w:val="1"/>
          <w:highlight w:val="none"/>
          <w:u w:val="single"/>
        </w:rPr>
        <w:t>4.2.1</w:t>
      </w:r>
      <w:r>
        <w:rPr>
          <w:rFonts w:hint="eastAsia" w:ascii="宋体" w:hAnsi="宋体" w:cs="宋体"/>
          <w:color w:val="auto"/>
          <w:kern w:val="1"/>
          <w:highlight w:val="none"/>
          <w:u w:val="single"/>
        </w:rPr>
        <w:t>项规定的投标截止时间前，投标人可以修改或撤回已递交的投标文件，但需在交易平台发出撤回通知。</w:t>
      </w:r>
    </w:p>
    <w:p>
      <w:pPr>
        <w:spacing w:line="48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4.3.2 投标人修改或撤回已递交投标文件的通知，应按照本章第 3.7.3项的要求加盖电子印章。电子招标投标交易平台收到通知后，即时向投标人发出确认回执通知。</w:t>
      </w:r>
    </w:p>
    <w:p>
      <w:pPr>
        <w:spacing w:line="48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 xml:space="preserve">4.3.3 </w:t>
      </w:r>
      <w:r>
        <w:rPr>
          <w:rFonts w:hint="eastAsia" w:ascii="宋体" w:hAnsi="宋体"/>
          <w:color w:val="auto"/>
          <w:szCs w:val="21"/>
          <w:highlight w:val="none"/>
          <w:u w:val="single"/>
        </w:rPr>
        <w:t>投标人撤回投标文件的，招标人自收到投标人撤回通知之日起5日内退还已收取的投标保证金。</w:t>
      </w:r>
    </w:p>
    <w:p>
      <w:pPr>
        <w:spacing w:line="48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4</w:t>
      </w:r>
      <w:r>
        <w:rPr>
          <w:rFonts w:ascii="宋体" w:hAnsi="宋体" w:cs="宋体"/>
          <w:color w:val="auto"/>
          <w:kern w:val="1"/>
          <w:highlight w:val="none"/>
          <w:u w:val="single"/>
        </w:rPr>
        <w:t xml:space="preserve">.3.4 </w:t>
      </w:r>
      <w:r>
        <w:rPr>
          <w:rFonts w:hint="eastAsia" w:ascii="宋体" w:hAnsi="宋体"/>
          <w:color w:val="auto"/>
          <w:szCs w:val="21"/>
          <w:highlight w:val="none"/>
          <w:u w:val="single"/>
        </w:rPr>
        <w:t>修改的内容为投标文件的组成部分修改的投标文件应按照本章第 3 条、第 4 条的规定进行编制和递交。</w:t>
      </w:r>
    </w:p>
    <w:p>
      <w:pPr>
        <w:spacing w:line="48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4.3.</w:t>
      </w:r>
      <w:r>
        <w:rPr>
          <w:rFonts w:ascii="宋体" w:hAnsi="宋体" w:cs="宋体"/>
          <w:color w:val="auto"/>
          <w:kern w:val="1"/>
          <w:highlight w:val="none"/>
          <w:u w:val="single"/>
        </w:rPr>
        <w:t>5</w:t>
      </w:r>
      <w:r>
        <w:rPr>
          <w:rFonts w:hint="eastAsia" w:ascii="宋体" w:hAnsi="宋体" w:cs="宋体"/>
          <w:color w:val="auto"/>
          <w:kern w:val="1"/>
          <w:highlight w:val="none"/>
          <w:u w:val="single"/>
        </w:rPr>
        <w:t xml:space="preserve"> 在投标截止时间之后，投标人不得补充、修改和更换投标文件。</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u w:val="single"/>
        </w:rPr>
        <w:t>4.3.</w:t>
      </w:r>
      <w:r>
        <w:rPr>
          <w:rFonts w:ascii="宋体" w:hAnsi="宋体" w:cs="宋体"/>
          <w:color w:val="auto"/>
          <w:kern w:val="1"/>
          <w:highlight w:val="none"/>
          <w:u w:val="single"/>
        </w:rPr>
        <w:t>6</w:t>
      </w:r>
      <w:r>
        <w:rPr>
          <w:rFonts w:hint="eastAsia" w:ascii="宋体" w:hAnsi="宋体" w:cs="宋体"/>
          <w:color w:val="auto"/>
          <w:kern w:val="1"/>
          <w:highlight w:val="none"/>
          <w:u w:val="single"/>
        </w:rPr>
        <w:t xml:space="preserve"> 在投标截止后，投标人在投标文件格式中规定的有效期终止日前，投标人不能撤回投标文件，否则招标人有权就其撤回行为报告政府主管部门载入不良信用记录。</w:t>
      </w:r>
    </w:p>
    <w:p>
      <w:pPr>
        <w:pStyle w:val="5"/>
        <w:spacing w:before="240" w:beforeLines="100" w:after="240" w:afterLines="100" w:line="360" w:lineRule="auto"/>
        <w:rPr>
          <w:rFonts w:ascii="宋体" w:hAnsi="宋体" w:eastAsia="宋体" w:cs="宋体"/>
          <w:color w:val="auto"/>
          <w:highlight w:val="none"/>
          <w:lang w:val="zh-CN"/>
        </w:rPr>
      </w:pPr>
      <w:bookmarkStart w:id="294" w:name="_Toc7909"/>
      <w:bookmarkEnd w:id="294"/>
      <w:bookmarkStart w:id="295" w:name="_Toc443505828"/>
      <w:bookmarkEnd w:id="295"/>
      <w:bookmarkStart w:id="296" w:name="_Toc16809"/>
      <w:bookmarkEnd w:id="296"/>
      <w:bookmarkStart w:id="297" w:name="_Toc3600"/>
      <w:r>
        <w:rPr>
          <w:rFonts w:hint="eastAsia" w:ascii="宋体" w:hAnsi="宋体" w:eastAsia="宋体" w:cs="宋体"/>
          <w:color w:val="auto"/>
          <w:highlight w:val="none"/>
          <w:lang w:val="zh-CN"/>
        </w:rPr>
        <w:t>5.开标</w:t>
      </w:r>
      <w:bookmarkEnd w:id="297"/>
    </w:p>
    <w:p>
      <w:pPr>
        <w:pStyle w:val="6"/>
        <w:spacing w:line="360" w:lineRule="auto"/>
        <w:ind w:firstLine="118"/>
        <w:rPr>
          <w:rFonts w:ascii="宋体" w:hAnsi="宋体" w:eastAsia="宋体"/>
          <w:b/>
          <w:bCs/>
          <w:color w:val="auto"/>
          <w:sz w:val="24"/>
          <w:szCs w:val="24"/>
          <w:highlight w:val="none"/>
        </w:rPr>
      </w:pPr>
      <w:bookmarkStart w:id="298" w:name="_Toc21830"/>
      <w:r>
        <w:rPr>
          <w:rFonts w:hint="eastAsia" w:ascii="宋体" w:hAnsi="宋体" w:eastAsia="宋体"/>
          <w:b/>
          <w:bCs/>
          <w:color w:val="auto"/>
          <w:sz w:val="24"/>
          <w:szCs w:val="24"/>
          <w:highlight w:val="none"/>
        </w:rPr>
        <w:t>5.1 开标时间和地点</w:t>
      </w:r>
      <w:bookmarkEnd w:id="298"/>
    </w:p>
    <w:p>
      <w:pPr>
        <w:spacing w:line="480" w:lineRule="auto"/>
        <w:ind w:firstLine="420"/>
        <w:rPr>
          <w:rFonts w:ascii="宋体" w:hAnsi="宋体" w:cs="宋体"/>
          <w:color w:val="auto"/>
          <w:kern w:val="1"/>
          <w:highlight w:val="none"/>
          <w:u w:val="single"/>
        </w:rPr>
      </w:pPr>
      <w:r>
        <w:rPr>
          <w:rFonts w:hint="eastAsia" w:ascii="宋体" w:hAnsi="宋体"/>
          <w:color w:val="auto"/>
          <w:szCs w:val="21"/>
          <w:highlight w:val="none"/>
          <w:u w:val="single"/>
        </w:rPr>
        <w:t>招标人在本章第 4.2.1 项规定的投标截止时间（开标时间）,通过电子招标投标交易平台公 开开标。</w:t>
      </w:r>
    </w:p>
    <w:p>
      <w:pPr>
        <w:pStyle w:val="6"/>
        <w:spacing w:line="360" w:lineRule="auto"/>
        <w:ind w:firstLine="118"/>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5.2 开标程序</w:t>
      </w:r>
    </w:p>
    <w:p>
      <w:pPr>
        <w:spacing w:line="480" w:lineRule="auto"/>
        <w:ind w:firstLine="420"/>
        <w:rPr>
          <w:rFonts w:ascii="宋体" w:hAnsi="宋体" w:cs="宋体"/>
          <w:color w:val="auto"/>
          <w:kern w:val="1"/>
          <w:szCs w:val="21"/>
          <w:highlight w:val="none"/>
          <w:u w:val="single"/>
        </w:rPr>
      </w:pPr>
      <w:r>
        <w:rPr>
          <w:rFonts w:ascii="宋体" w:hAnsi="宋体" w:cs="宋体"/>
          <w:color w:val="auto"/>
          <w:kern w:val="1"/>
          <w:szCs w:val="21"/>
          <w:highlight w:val="none"/>
          <w:u w:val="single"/>
        </w:rPr>
        <w:t xml:space="preserve">5.2.1 </w:t>
      </w:r>
      <w:r>
        <w:rPr>
          <w:rFonts w:hint="eastAsia" w:ascii="宋体" w:hAnsi="宋体" w:cs="宋体"/>
          <w:color w:val="auto"/>
          <w:kern w:val="1"/>
          <w:szCs w:val="21"/>
          <w:highlight w:val="none"/>
          <w:u w:val="single"/>
        </w:rPr>
        <w:t>招标人按投标须知前附表所规定的时间和地点公开开标。截标后，</w:t>
      </w:r>
      <w:r>
        <w:rPr>
          <w:rFonts w:hint="eastAsia" w:ascii="宋体" w:hAnsi="宋体" w:cs="宋体"/>
          <w:color w:val="auto"/>
          <w:kern w:val="1"/>
          <w:highlight w:val="none"/>
          <w:u w:val="single"/>
        </w:rPr>
        <w:t>开标开始时间因故推迟的</w:t>
      </w:r>
      <w:r>
        <w:rPr>
          <w:rFonts w:hint="eastAsia" w:ascii="宋体" w:hAnsi="宋体" w:cs="宋体"/>
          <w:color w:val="auto"/>
          <w:kern w:val="1"/>
          <w:szCs w:val="21"/>
          <w:highlight w:val="none"/>
          <w:u w:val="single"/>
        </w:rPr>
        <w:t>，相关评标信息仍以原递交投标文件截止时间的信息为准。</w:t>
      </w:r>
    </w:p>
    <w:p>
      <w:pPr>
        <w:spacing w:line="480" w:lineRule="auto"/>
        <w:ind w:firstLine="458"/>
        <w:rPr>
          <w:rFonts w:ascii="宋体" w:hAnsi="宋体" w:cs="宋体"/>
          <w:color w:val="auto"/>
          <w:kern w:val="1"/>
          <w:szCs w:val="21"/>
          <w:highlight w:val="none"/>
          <w:u w:val="single"/>
        </w:rPr>
      </w:pPr>
      <w:r>
        <w:rPr>
          <w:rFonts w:ascii="宋体" w:hAnsi="宋体" w:cs="宋体"/>
          <w:color w:val="auto"/>
          <w:kern w:val="1"/>
          <w:szCs w:val="21"/>
          <w:highlight w:val="none"/>
          <w:u w:val="single"/>
        </w:rPr>
        <w:t>5.2.2开标由招标人或委托招标代理单位主持。</w:t>
      </w:r>
    </w:p>
    <w:p>
      <w:pPr>
        <w:spacing w:line="480" w:lineRule="auto"/>
        <w:ind w:firstLine="458"/>
        <w:rPr>
          <w:rFonts w:ascii="宋体" w:hAnsi="宋体" w:cs="宋体"/>
          <w:color w:val="auto"/>
          <w:kern w:val="1"/>
          <w:szCs w:val="21"/>
          <w:highlight w:val="none"/>
          <w:u w:val="single"/>
        </w:rPr>
      </w:pPr>
      <w:r>
        <w:rPr>
          <w:rFonts w:ascii="宋体" w:hAnsi="宋体" w:cs="宋体"/>
          <w:color w:val="auto"/>
          <w:kern w:val="1"/>
          <w:szCs w:val="21"/>
          <w:highlight w:val="none"/>
          <w:u w:val="single"/>
        </w:rPr>
        <w:t>5.2.3</w:t>
      </w:r>
      <w:r>
        <w:rPr>
          <w:rFonts w:hint="eastAsia" w:ascii="宋体" w:hAnsi="宋体" w:cs="宋体"/>
          <w:color w:val="auto"/>
          <w:kern w:val="1"/>
          <w:szCs w:val="21"/>
          <w:highlight w:val="none"/>
          <w:u w:val="single"/>
        </w:rPr>
        <w:t>开标细则</w:t>
      </w:r>
    </w:p>
    <w:p>
      <w:pPr>
        <w:spacing w:line="480" w:lineRule="auto"/>
        <w:ind w:firstLine="420" w:firstLineChars="20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1）资格审查文件、</w:t>
      </w:r>
      <w:r>
        <w:rPr>
          <w:rFonts w:hint="eastAsia" w:ascii="宋体" w:hAnsi="宋体" w:cs="宋体"/>
          <w:color w:val="auto"/>
          <w:kern w:val="1"/>
          <w:szCs w:val="21"/>
          <w:highlight w:val="none"/>
          <w:u w:val="single"/>
          <w:lang w:eastAsia="zh-CN"/>
        </w:rPr>
        <w:t>勘察、设计、工程商务及实施方案</w:t>
      </w:r>
      <w:r>
        <w:rPr>
          <w:rFonts w:ascii="宋体" w:hAnsi="宋体" w:cs="宋体"/>
          <w:color w:val="auto"/>
          <w:kern w:val="1"/>
          <w:szCs w:val="21"/>
          <w:highlight w:val="none"/>
          <w:u w:val="single"/>
        </w:rPr>
        <w:t>技术投标文件、</w:t>
      </w:r>
      <w:r>
        <w:rPr>
          <w:rFonts w:hint="eastAsia" w:ascii="宋体" w:hAnsi="宋体" w:cs="宋体"/>
          <w:color w:val="auto"/>
          <w:kern w:val="1"/>
          <w:szCs w:val="21"/>
          <w:highlight w:val="none"/>
          <w:u w:val="single"/>
          <w:lang w:eastAsia="zh-CN"/>
        </w:rPr>
        <w:t>勘察、设计、工程商务及实施方案</w:t>
      </w:r>
      <w:r>
        <w:rPr>
          <w:rFonts w:ascii="宋体" w:hAnsi="宋体" w:cs="宋体"/>
          <w:color w:val="auto"/>
          <w:kern w:val="1"/>
          <w:szCs w:val="21"/>
          <w:highlight w:val="none"/>
          <w:u w:val="single"/>
        </w:rPr>
        <w:t>经济投标文件</w:t>
      </w:r>
      <w:r>
        <w:rPr>
          <w:rFonts w:hint="eastAsia" w:ascii="宋体" w:hAnsi="宋体" w:cs="宋体"/>
          <w:color w:val="auto"/>
          <w:kern w:val="1"/>
          <w:szCs w:val="21"/>
          <w:highlight w:val="none"/>
          <w:u w:val="single"/>
        </w:rPr>
        <w:t>进行</w:t>
      </w:r>
      <w:r>
        <w:rPr>
          <w:rFonts w:ascii="宋体" w:hAnsi="宋体" w:cs="宋体"/>
          <w:color w:val="auto"/>
          <w:kern w:val="1"/>
          <w:szCs w:val="21"/>
          <w:highlight w:val="none"/>
          <w:u w:val="single"/>
        </w:rPr>
        <w:t>开标；</w:t>
      </w:r>
    </w:p>
    <w:p>
      <w:pPr>
        <w:spacing w:line="480" w:lineRule="auto"/>
        <w:ind w:firstLine="420" w:firstLineChars="20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2</w:t>
      </w:r>
      <w:r>
        <w:rPr>
          <w:rFonts w:hint="eastAsia" w:ascii="宋体" w:hAnsi="宋体" w:cs="宋体"/>
          <w:color w:val="auto"/>
          <w:kern w:val="1"/>
          <w:szCs w:val="21"/>
          <w:highlight w:val="none"/>
          <w:u w:val="single"/>
        </w:rPr>
        <w:t>）开标时宣读下列内容，并予以记录，记录提交评标委员会评审：</w:t>
      </w:r>
    </w:p>
    <w:p>
      <w:pPr>
        <w:spacing w:line="480" w:lineRule="auto"/>
        <w:ind w:firstLine="420" w:firstLineChars="20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开标时，宣读</w:t>
      </w:r>
      <w:r>
        <w:rPr>
          <w:rFonts w:ascii="宋体" w:hAnsi="宋体" w:cs="宋体"/>
          <w:color w:val="auto"/>
          <w:kern w:val="1"/>
          <w:szCs w:val="21"/>
          <w:highlight w:val="none"/>
          <w:u w:val="single"/>
        </w:rPr>
        <w:t>a、投标人名称；b、有无法定代表人证明书及授权委托证明书；c、总工期；d、质量标准；e、项目负责人姓名；f、设计负责人姓名；g、投标总报价；h、投标</w:t>
      </w:r>
      <w:r>
        <w:rPr>
          <w:rFonts w:hint="eastAsia" w:ascii="宋体" w:hAnsi="宋体" w:cs="宋体"/>
          <w:color w:val="auto"/>
          <w:kern w:val="1"/>
          <w:szCs w:val="21"/>
          <w:highlight w:val="none"/>
          <w:u w:val="single"/>
        </w:rPr>
        <w:t>保证金等主要内容以及开标记录表中的其他必要内容。招标人或招标代理对开标过程进行记录，并存档备查，投标人代表、招标人代表、监标人、记录人等有关人员在开标记录上签字确认；若有关人员不签字的，不影响开标程序</w:t>
      </w:r>
      <w:r>
        <w:rPr>
          <w:rFonts w:hint="eastAsia" w:ascii="宋体" w:hAnsi="宋体" w:cs="宋体"/>
          <w:color w:val="auto"/>
          <w:kern w:val="1"/>
          <w:szCs w:val="21"/>
          <w:highlight w:val="none"/>
          <w:u w:val="single"/>
          <w:lang w:eastAsia="zh-CN"/>
        </w:rPr>
        <w:t>。</w:t>
      </w:r>
    </w:p>
    <w:p>
      <w:pPr>
        <w:spacing w:line="480" w:lineRule="auto"/>
        <w:ind w:firstLine="458"/>
        <w:rPr>
          <w:rFonts w:ascii="宋体" w:hAnsi="宋体" w:cs="宋体"/>
          <w:color w:val="auto"/>
          <w:kern w:val="1"/>
          <w:szCs w:val="21"/>
          <w:highlight w:val="none"/>
          <w:u w:val="single"/>
        </w:rPr>
      </w:pPr>
      <w:r>
        <w:rPr>
          <w:rFonts w:ascii="宋体" w:hAnsi="宋体" w:cs="宋体"/>
          <w:color w:val="auto"/>
          <w:kern w:val="1"/>
          <w:szCs w:val="21"/>
          <w:highlight w:val="none"/>
          <w:u w:val="single"/>
        </w:rPr>
        <w:t xml:space="preserve">5.2.4 </w:t>
      </w:r>
      <w:r>
        <w:rPr>
          <w:rFonts w:hint="eastAsia" w:ascii="宋体" w:hAnsi="宋体"/>
          <w:color w:val="auto"/>
          <w:szCs w:val="21"/>
          <w:highlight w:val="none"/>
          <w:u w:val="single"/>
        </w:rPr>
        <w:t>投标截止时间前未完成投标文件传输的或因投标人之外的原因造成投标文件未解密且投标人未递交备用电子投标文件的，视为投标人其撤回投标文件。因投标人原因造成投标文件未解密的或未在投标截止时间后</w:t>
      </w:r>
      <w:r>
        <w:rPr>
          <w:rFonts w:hint="eastAsia" w:ascii="宋体" w:hAnsi="宋体"/>
          <w:b/>
          <w:color w:val="auto"/>
          <w:szCs w:val="21"/>
          <w:highlight w:val="none"/>
          <w:u w:val="single"/>
        </w:rPr>
        <w:t>半小时解密</w:t>
      </w:r>
      <w:r>
        <w:rPr>
          <w:rFonts w:hint="eastAsia" w:ascii="宋体" w:hAnsi="宋体"/>
          <w:color w:val="auto"/>
          <w:szCs w:val="21"/>
          <w:highlight w:val="none"/>
          <w:u w:val="single"/>
        </w:rPr>
        <w:t>的，视为撤销其投标文件。</w:t>
      </w:r>
    </w:p>
    <w:p>
      <w:pPr>
        <w:spacing w:line="480" w:lineRule="auto"/>
        <w:ind w:firstLine="458"/>
        <w:rPr>
          <w:rFonts w:ascii="宋体" w:hAnsi="宋体" w:cs="宋体"/>
          <w:color w:val="auto"/>
          <w:kern w:val="1"/>
          <w:szCs w:val="21"/>
          <w:highlight w:val="none"/>
          <w:u w:val="single"/>
        </w:rPr>
      </w:pPr>
      <w:r>
        <w:rPr>
          <w:rFonts w:ascii="宋体" w:hAnsi="宋体" w:cs="宋体"/>
          <w:color w:val="auto"/>
          <w:kern w:val="1"/>
          <w:szCs w:val="21"/>
          <w:highlight w:val="none"/>
          <w:u w:val="single"/>
        </w:rPr>
        <w:t>5.2.5</w:t>
      </w:r>
      <w:r>
        <w:rPr>
          <w:rFonts w:hint="eastAsia" w:ascii="宋体" w:hAnsi="宋体"/>
          <w:color w:val="auto"/>
          <w:szCs w:val="21"/>
          <w:highlight w:val="none"/>
          <w:u w:val="single"/>
        </w:rPr>
        <w:t>开标时，两个（含两个）以上的投标人加密打包投标文件电脑机器特征码一致的，不参与下一程序，并由评标委员会否决其投标。</w:t>
      </w:r>
    </w:p>
    <w:p>
      <w:pPr>
        <w:pStyle w:val="6"/>
        <w:spacing w:line="360" w:lineRule="auto"/>
        <w:ind w:firstLine="118"/>
        <w:rPr>
          <w:rFonts w:ascii="宋体" w:hAnsi="宋体" w:eastAsia="宋体"/>
          <w:b/>
          <w:bCs/>
          <w:color w:val="auto"/>
          <w:sz w:val="24"/>
          <w:szCs w:val="24"/>
          <w:highlight w:val="none"/>
        </w:rPr>
      </w:pPr>
      <w:bookmarkStart w:id="299" w:name="_Toc11457"/>
      <w:r>
        <w:rPr>
          <w:rFonts w:ascii="宋体" w:hAnsi="宋体" w:eastAsia="宋体"/>
          <w:b/>
          <w:bCs/>
          <w:color w:val="auto"/>
          <w:sz w:val="24"/>
          <w:szCs w:val="24"/>
          <w:highlight w:val="none"/>
        </w:rPr>
        <w:t xml:space="preserve">5.3 </w:t>
      </w:r>
      <w:r>
        <w:rPr>
          <w:rFonts w:hint="eastAsia" w:ascii="宋体" w:hAnsi="宋体" w:eastAsia="宋体"/>
          <w:b/>
          <w:bCs/>
          <w:color w:val="auto"/>
          <w:sz w:val="24"/>
          <w:szCs w:val="24"/>
          <w:highlight w:val="none"/>
        </w:rPr>
        <w:t>开标异议</w:t>
      </w:r>
      <w:bookmarkEnd w:id="299"/>
    </w:p>
    <w:p>
      <w:pPr>
        <w:spacing w:line="480" w:lineRule="auto"/>
        <w:ind w:firstLine="359"/>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pStyle w:val="5"/>
        <w:spacing w:before="240" w:beforeLines="100" w:after="240" w:afterLines="100" w:line="360" w:lineRule="auto"/>
        <w:rPr>
          <w:rFonts w:ascii="宋体" w:hAnsi="宋体" w:eastAsia="宋体" w:cs="宋体"/>
          <w:color w:val="auto"/>
          <w:highlight w:val="none"/>
          <w:lang w:val="zh-CN"/>
        </w:rPr>
      </w:pPr>
      <w:bookmarkStart w:id="300" w:name="_Toc20998"/>
      <w:bookmarkEnd w:id="300"/>
      <w:bookmarkStart w:id="301" w:name="_Toc23707"/>
      <w:bookmarkEnd w:id="301"/>
      <w:bookmarkStart w:id="302" w:name="_Toc6507"/>
      <w:bookmarkStart w:id="303" w:name="_Toc5620328"/>
      <w:r>
        <w:rPr>
          <w:rFonts w:hint="eastAsia" w:ascii="宋体" w:hAnsi="宋体" w:eastAsia="宋体" w:cs="宋体"/>
          <w:color w:val="auto"/>
          <w:highlight w:val="none"/>
          <w:lang w:val="zh-CN"/>
        </w:rPr>
        <w:t>6.评标</w:t>
      </w:r>
      <w:bookmarkEnd w:id="302"/>
      <w:bookmarkEnd w:id="303"/>
    </w:p>
    <w:p>
      <w:pPr>
        <w:pStyle w:val="6"/>
        <w:spacing w:before="0" w:after="0" w:line="480" w:lineRule="auto"/>
        <w:ind w:firstLine="0"/>
        <w:rPr>
          <w:rFonts w:ascii="宋体" w:hAnsi="宋体" w:eastAsia="宋体"/>
          <w:color w:val="auto"/>
          <w:sz w:val="21"/>
          <w:szCs w:val="21"/>
          <w:highlight w:val="none"/>
        </w:rPr>
      </w:pPr>
      <w:bookmarkStart w:id="304" w:name="_Toc19143"/>
      <w:bookmarkStart w:id="305" w:name="_Toc5620329"/>
      <w:r>
        <w:rPr>
          <w:rFonts w:hint="eastAsia" w:ascii="宋体" w:hAnsi="宋体" w:eastAsia="宋体"/>
          <w:color w:val="auto"/>
          <w:sz w:val="21"/>
          <w:szCs w:val="21"/>
          <w:highlight w:val="none"/>
        </w:rPr>
        <w:t>6.1 评标委员会</w:t>
      </w:r>
      <w:bookmarkEnd w:id="304"/>
      <w:bookmarkEnd w:id="305"/>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6.1.1</w:t>
      </w:r>
      <w:r>
        <w:rPr>
          <w:rFonts w:hint="eastAsia" w:ascii="宋体" w:hAnsi="宋体" w:cs="宋体"/>
          <w:color w:val="auto"/>
          <w:kern w:val="1"/>
          <w:szCs w:val="21"/>
          <w:highlight w:val="none"/>
          <w:u w:val="singl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6.1.2 评标委员会成员有下列情形之一的，应当回避：</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（1）投标人或投标人主要负责人的近亲属；</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（2）项目主管部门或者行政监督部门的人员；</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（3）与投标人有经济利益关系，可能影响对投标公正评审的；</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（4）曾因在招标、评标以及其他与招标投标有关活动中从事违法行为而受过行政处罚或刑事处罚的；</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（5）与投标人有其他利害关系。</w:t>
      </w:r>
    </w:p>
    <w:p>
      <w:pPr>
        <w:pStyle w:val="6"/>
        <w:spacing w:before="0" w:after="0" w:line="480" w:lineRule="auto"/>
        <w:ind w:firstLine="0"/>
        <w:rPr>
          <w:rFonts w:ascii="宋体" w:hAnsi="宋体" w:eastAsia="宋体"/>
          <w:color w:val="auto"/>
          <w:sz w:val="21"/>
          <w:szCs w:val="21"/>
          <w:highlight w:val="none"/>
        </w:rPr>
      </w:pPr>
      <w:bookmarkStart w:id="306" w:name="_Toc443505829"/>
      <w:bookmarkEnd w:id="306"/>
      <w:bookmarkStart w:id="307" w:name="_Toc7827"/>
      <w:bookmarkStart w:id="308" w:name="_Toc5620330"/>
      <w:r>
        <w:rPr>
          <w:rFonts w:hint="eastAsia" w:ascii="宋体" w:hAnsi="宋体" w:eastAsia="宋体"/>
          <w:color w:val="auto"/>
          <w:sz w:val="21"/>
          <w:szCs w:val="21"/>
          <w:highlight w:val="none"/>
        </w:rPr>
        <w:t>6.2 评标原则</w:t>
      </w:r>
      <w:bookmarkEnd w:id="307"/>
      <w:bookmarkEnd w:id="308"/>
      <w:r>
        <w:rPr>
          <w:rFonts w:hint="eastAsia" w:ascii="宋体" w:hAnsi="宋体" w:eastAsia="宋体"/>
          <w:color w:val="auto"/>
          <w:sz w:val="21"/>
          <w:szCs w:val="21"/>
          <w:highlight w:val="none"/>
        </w:rPr>
        <w:tab/>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评标活动遵循公平、公正、科学和择优的原则。</w:t>
      </w:r>
    </w:p>
    <w:p>
      <w:pPr>
        <w:pStyle w:val="6"/>
        <w:spacing w:before="0" w:after="0" w:line="480" w:lineRule="auto"/>
        <w:ind w:firstLine="0"/>
        <w:rPr>
          <w:rFonts w:ascii="宋体" w:hAnsi="宋体" w:eastAsia="宋体"/>
          <w:color w:val="auto"/>
          <w:sz w:val="21"/>
          <w:szCs w:val="21"/>
          <w:highlight w:val="none"/>
        </w:rPr>
      </w:pPr>
      <w:bookmarkStart w:id="309" w:name="_Toc16832"/>
      <w:bookmarkStart w:id="310" w:name="_Toc5620331"/>
      <w:r>
        <w:rPr>
          <w:rFonts w:hint="eastAsia" w:ascii="宋体" w:hAnsi="宋体" w:eastAsia="宋体"/>
          <w:color w:val="auto"/>
          <w:sz w:val="21"/>
          <w:szCs w:val="21"/>
          <w:highlight w:val="none"/>
        </w:rPr>
        <w:t>6.3 评标</w:t>
      </w:r>
      <w:bookmarkEnd w:id="309"/>
      <w:bookmarkEnd w:id="310"/>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评标委员会按照第三章“评标办法”规定的方法、评审因素、标准和程序对投标文件进行评审。第三章“评标办法”没有规定的方法、评审因素和标准，不作为评标依据。</w:t>
      </w:r>
    </w:p>
    <w:p>
      <w:pPr>
        <w:spacing w:line="48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在评审过程中，评标委员会可以以书面形式要求投标人就资格审查文件和投标文件中含义不明确的内容进行书面说明并提供相关材料。</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评标委员会经评审，认为所有投标都不符合招标文件要求的，可以否决所有投标。所有投标被否决后，招标人应当依法重新招标。</w:t>
      </w:r>
    </w:p>
    <w:p>
      <w:pPr>
        <w:pStyle w:val="6"/>
        <w:spacing w:before="0" w:after="0" w:line="480" w:lineRule="auto"/>
        <w:ind w:firstLine="0"/>
        <w:rPr>
          <w:rFonts w:ascii="宋体" w:hAnsi="宋体" w:eastAsia="宋体"/>
          <w:color w:val="auto"/>
          <w:sz w:val="21"/>
          <w:szCs w:val="21"/>
          <w:highlight w:val="none"/>
          <w:u w:val="single"/>
        </w:rPr>
      </w:pPr>
      <w:bookmarkStart w:id="311" w:name="_Toc5620332"/>
      <w:bookmarkStart w:id="312" w:name="_Toc14839"/>
      <w:r>
        <w:rPr>
          <w:rFonts w:hint="eastAsia" w:ascii="宋体" w:hAnsi="宋体" w:eastAsia="宋体"/>
          <w:color w:val="auto"/>
          <w:sz w:val="21"/>
          <w:szCs w:val="21"/>
          <w:highlight w:val="none"/>
          <w:u w:val="single"/>
        </w:rPr>
        <w:t>6.4评标过程的保密</w:t>
      </w:r>
      <w:bookmarkEnd w:id="311"/>
      <w:bookmarkEnd w:id="312"/>
    </w:p>
    <w:p>
      <w:pPr>
        <w:spacing w:line="48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6.4.1 开标后，直至授予中标人合同为止，凡属于对资格审查文件和投标文件的审查、澄清、评价和比较有关的资料以及中标候选人的推荐情况，与评标有关的其他任何情况均严格保密。</w:t>
      </w:r>
    </w:p>
    <w:p>
      <w:pPr>
        <w:spacing w:line="48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6.4.2 在资格审查文件和投标文件的评审和比较、中标候选人推荐以及授予合同的过程中，投标人向招标人和评标委员会施加影响的任何行为，都将会导致其投标被拒绝。</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6.4.3 中标人确定后，招标人不对未中标人就评标过程以及未能中标原因作出任何解释。未中标人不得向评标委员会组成人员或其他有关人员索问评标过程的情况和材料。</w:t>
      </w:r>
    </w:p>
    <w:p>
      <w:pPr>
        <w:pStyle w:val="5"/>
        <w:spacing w:before="240" w:beforeLines="100" w:after="240" w:afterLines="100" w:line="360" w:lineRule="auto"/>
        <w:rPr>
          <w:rFonts w:ascii="宋体" w:hAnsi="宋体" w:eastAsia="宋体" w:cs="宋体"/>
          <w:color w:val="auto"/>
          <w:highlight w:val="none"/>
          <w:lang w:val="zh-CN"/>
        </w:rPr>
      </w:pPr>
      <w:bookmarkStart w:id="313" w:name="_Toc7746"/>
      <w:bookmarkEnd w:id="313"/>
      <w:bookmarkStart w:id="314" w:name="_Toc27077"/>
      <w:bookmarkEnd w:id="314"/>
      <w:bookmarkStart w:id="315" w:name="_Toc13256"/>
      <w:bookmarkStart w:id="316" w:name="_Toc5620333"/>
      <w:r>
        <w:rPr>
          <w:rFonts w:hint="eastAsia" w:ascii="宋体" w:hAnsi="宋体" w:eastAsia="宋体" w:cs="宋体"/>
          <w:color w:val="auto"/>
          <w:highlight w:val="none"/>
          <w:lang w:val="zh-CN"/>
        </w:rPr>
        <w:t>7.合同授予</w:t>
      </w:r>
      <w:bookmarkEnd w:id="315"/>
      <w:bookmarkEnd w:id="316"/>
    </w:p>
    <w:p>
      <w:pPr>
        <w:pStyle w:val="6"/>
        <w:spacing w:before="0" w:after="0" w:line="480" w:lineRule="auto"/>
        <w:ind w:firstLine="0"/>
        <w:rPr>
          <w:rFonts w:ascii="宋体" w:hAnsi="宋体" w:eastAsia="宋体"/>
          <w:color w:val="auto"/>
          <w:sz w:val="21"/>
          <w:szCs w:val="21"/>
          <w:highlight w:val="none"/>
        </w:rPr>
      </w:pPr>
      <w:bookmarkStart w:id="317" w:name="_Toc5620334"/>
      <w:bookmarkStart w:id="318" w:name="_Toc18404"/>
      <w:r>
        <w:rPr>
          <w:rFonts w:hint="eastAsia" w:ascii="宋体" w:hAnsi="宋体" w:eastAsia="宋体"/>
          <w:color w:val="auto"/>
          <w:sz w:val="21"/>
          <w:szCs w:val="21"/>
          <w:highlight w:val="none"/>
        </w:rPr>
        <w:t>7.1 定标方式</w:t>
      </w:r>
      <w:bookmarkEnd w:id="317"/>
      <w:bookmarkEnd w:id="318"/>
    </w:p>
    <w:p>
      <w:pPr>
        <w:spacing w:line="48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7.1.1除投标人须知前附表规定评标委员会直接确定中标人外，招标人依据评标委员会推荐的中标候选人确定中标人，评标委员会推荐中标候选人的人数见投标人须知前附表。</w:t>
      </w:r>
    </w:p>
    <w:p>
      <w:pPr>
        <w:spacing w:line="48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7.1.2 依法必须进行公开招标的项目，招标人应当确定排名第一的中标候选人为中标人。</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7.1.3排名第一的中标候选人放弃中标、因不可抗力不能履行合同、不按照招标文件要求提交履约保证金，或者被查实存在影响中标结果的违法行为或项目负责人已在其他在建项目中任职、不符合任职数量规定时等情形，不符合中标条件的，招标人可以按照评标委员会提出的中标候选人名单排序依次确定其他中标候选人为中标人，也可以重新招标。</w:t>
      </w:r>
    </w:p>
    <w:p>
      <w:pPr>
        <w:pStyle w:val="6"/>
        <w:spacing w:before="0" w:after="0" w:line="480" w:lineRule="auto"/>
        <w:ind w:firstLine="0"/>
        <w:rPr>
          <w:rFonts w:ascii="宋体" w:hAnsi="宋体" w:eastAsia="宋体"/>
          <w:color w:val="auto"/>
          <w:sz w:val="21"/>
          <w:szCs w:val="21"/>
          <w:highlight w:val="none"/>
        </w:rPr>
      </w:pPr>
      <w:bookmarkStart w:id="319" w:name="_Toc5620335"/>
      <w:bookmarkStart w:id="320" w:name="_Toc19474"/>
      <w:r>
        <w:rPr>
          <w:rFonts w:hint="eastAsia" w:ascii="宋体" w:hAnsi="宋体" w:eastAsia="宋体"/>
          <w:color w:val="auto"/>
          <w:sz w:val="21"/>
          <w:szCs w:val="21"/>
          <w:highlight w:val="none"/>
        </w:rPr>
        <w:t>7.2 中标候选人公示</w:t>
      </w:r>
      <w:bookmarkEnd w:id="319"/>
      <w:bookmarkEnd w:id="320"/>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7.2.1</w:t>
      </w:r>
      <w:r>
        <w:rPr>
          <w:rFonts w:hint="eastAsia" w:ascii="宋体" w:hAnsi="宋体" w:cs="宋体"/>
          <w:color w:val="auto"/>
          <w:kern w:val="1"/>
          <w:highlight w:val="none"/>
        </w:rPr>
        <w:t>招标人在投标人须知前附表规定的媒介公示中标候选人</w:t>
      </w:r>
      <w:r>
        <w:rPr>
          <w:rFonts w:hint="eastAsia" w:ascii="宋体" w:hAnsi="宋体" w:cs="宋体"/>
          <w:color w:val="auto"/>
          <w:kern w:val="1"/>
          <w:szCs w:val="21"/>
          <w:highlight w:val="none"/>
        </w:rPr>
        <w:t>。</w:t>
      </w:r>
    </w:p>
    <w:p>
      <w:pPr>
        <w:spacing w:line="48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7.2.2在产生中标候选人后，招标人将中标候选人的投标文件商务部分文件的电子文件（包括人员、业绩、奖项等资料）在广州公共资源交易中心和广东省招标投标监管网公开。</w:t>
      </w:r>
    </w:p>
    <w:p>
      <w:pPr>
        <w:pStyle w:val="6"/>
        <w:spacing w:before="0" w:after="0" w:line="480" w:lineRule="auto"/>
        <w:ind w:firstLine="0"/>
        <w:rPr>
          <w:rFonts w:ascii="宋体" w:hAnsi="宋体" w:eastAsia="宋体"/>
          <w:color w:val="auto"/>
          <w:sz w:val="21"/>
          <w:szCs w:val="21"/>
          <w:highlight w:val="none"/>
        </w:rPr>
      </w:pPr>
      <w:bookmarkStart w:id="321" w:name="_Toc5620336"/>
      <w:bookmarkStart w:id="322" w:name="_Toc28278"/>
      <w:r>
        <w:rPr>
          <w:rFonts w:hint="eastAsia" w:ascii="宋体" w:hAnsi="宋体" w:eastAsia="宋体"/>
          <w:color w:val="auto"/>
          <w:sz w:val="21"/>
          <w:szCs w:val="21"/>
          <w:highlight w:val="none"/>
        </w:rPr>
        <w:t>7.3 中标通知</w:t>
      </w:r>
      <w:bookmarkEnd w:id="321"/>
      <w:bookmarkEnd w:id="322"/>
    </w:p>
    <w:p>
      <w:pPr>
        <w:spacing w:line="48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rPr>
        <w:t>7.3.1在本章第3.3 款规定的投标有效期内，</w:t>
      </w:r>
      <w:r>
        <w:rPr>
          <w:rFonts w:hint="eastAsia" w:ascii="宋体" w:hAnsi="宋体" w:cs="宋体"/>
          <w:color w:val="auto"/>
          <w:kern w:val="1"/>
          <w:highlight w:val="none"/>
          <w:u w:val="single"/>
        </w:rPr>
        <w:t>中标人自行于广州公共资源交易中心交易平台下载中标通知书，同时招标人将中标结果通过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u w:val="single"/>
        </w:rPr>
        <w:t>7.3.2 招标人应当自确定中标人后，向招投标监管机构提交招标投标情况的书面报告；经招投标监管机构备案后，方可发出中标通知书。中标通知书由招标人（或招标代理机构）颁发，并经广州公共资源交易中心确认。</w:t>
      </w:r>
    </w:p>
    <w:p>
      <w:pPr>
        <w:pStyle w:val="6"/>
        <w:spacing w:before="0" w:after="0" w:line="480" w:lineRule="auto"/>
        <w:ind w:firstLine="0"/>
        <w:rPr>
          <w:rFonts w:ascii="宋体" w:hAnsi="宋体" w:eastAsia="宋体"/>
          <w:color w:val="auto"/>
          <w:sz w:val="21"/>
          <w:szCs w:val="21"/>
          <w:highlight w:val="none"/>
        </w:rPr>
      </w:pPr>
      <w:bookmarkStart w:id="323" w:name="_Toc26932"/>
      <w:bookmarkStart w:id="324" w:name="_Toc5620337"/>
      <w:r>
        <w:rPr>
          <w:rFonts w:hint="eastAsia" w:ascii="宋体" w:hAnsi="宋体" w:eastAsia="宋体"/>
          <w:color w:val="auto"/>
          <w:sz w:val="21"/>
          <w:szCs w:val="21"/>
          <w:highlight w:val="none"/>
        </w:rPr>
        <w:t>7.4 履约担保</w:t>
      </w:r>
      <w:bookmarkEnd w:id="323"/>
      <w:bookmarkEnd w:id="324"/>
    </w:p>
    <w:p>
      <w:pPr>
        <w:spacing w:line="480" w:lineRule="auto"/>
        <w:ind w:firstLine="420"/>
        <w:rPr>
          <w:rFonts w:ascii="宋体" w:hAnsi="宋体" w:cs="宋体"/>
          <w:color w:val="auto"/>
          <w:kern w:val="1"/>
          <w:highlight w:val="none"/>
        </w:rPr>
      </w:pPr>
      <w:r>
        <w:rPr>
          <w:rFonts w:hint="eastAsia" w:ascii="宋体" w:hAnsi="宋体" w:cs="宋体"/>
          <w:color w:val="auto"/>
          <w:kern w:val="1"/>
          <w:szCs w:val="21"/>
          <w:highlight w:val="none"/>
        </w:rPr>
        <w:t>7.4.1 在签订合同前，中标人应按投标人须知前附表规定的担保形式向招标人提交履约担保。除投标人须知前附表另有规定外，履约担保金额为合同总价的10%。联合体中标的，其履约担保由联合体各方或者联合体中</w:t>
      </w:r>
      <w:r>
        <w:rPr>
          <w:rFonts w:hint="eastAsia" w:ascii="宋体" w:hAnsi="宋体" w:cs="宋体"/>
          <w:color w:val="auto"/>
          <w:kern w:val="1"/>
          <w:szCs w:val="21"/>
          <w:highlight w:val="none"/>
          <w:lang w:eastAsia="zh-CN"/>
        </w:rPr>
        <w:t>主办方</w:t>
      </w:r>
      <w:r>
        <w:rPr>
          <w:rFonts w:hint="eastAsia" w:ascii="宋体" w:hAnsi="宋体" w:cs="宋体"/>
          <w:color w:val="auto"/>
          <w:kern w:val="1"/>
          <w:szCs w:val="21"/>
          <w:highlight w:val="none"/>
        </w:rPr>
        <w:t>的名义提交。</w:t>
      </w:r>
      <w:r>
        <w:rPr>
          <w:rFonts w:hint="eastAsia" w:ascii="宋体" w:hAnsi="宋体" w:cs="宋体"/>
          <w:color w:val="auto"/>
          <w:kern w:val="1"/>
          <w:szCs w:val="21"/>
          <w:highlight w:val="none"/>
          <w:u w:val="single"/>
        </w:rPr>
        <w:t>履约保函的担保期限为履约担保之日起至合同工程经结算审定部门结算审定完成并移交工程档案后止。</w:t>
      </w:r>
    </w:p>
    <w:p>
      <w:pPr>
        <w:spacing w:line="48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7.4.2 中标人不能按本章第7.4.1项要求提交履约担保的，视为放弃中标，</w:t>
      </w:r>
      <w:r>
        <w:rPr>
          <w:rFonts w:hint="eastAsia"/>
          <w:color w:val="auto"/>
          <w:highlight w:val="none"/>
        </w:rPr>
        <w:t>其投标保证金不予退还，</w:t>
      </w:r>
      <w:r>
        <w:rPr>
          <w:rFonts w:hint="eastAsia" w:ascii="宋体" w:hAnsi="宋体" w:cs="宋体"/>
          <w:color w:val="auto"/>
          <w:kern w:val="1"/>
          <w:szCs w:val="21"/>
          <w:highlight w:val="none"/>
          <w:u w:val="single"/>
        </w:rPr>
        <w:t>给招标人造成损失的，中标人还应当予以赔偿。</w:t>
      </w:r>
    </w:p>
    <w:p>
      <w:pPr>
        <w:pStyle w:val="6"/>
        <w:spacing w:before="0" w:after="0" w:line="480" w:lineRule="auto"/>
        <w:ind w:firstLine="0"/>
        <w:rPr>
          <w:rFonts w:ascii="宋体" w:hAnsi="宋体" w:eastAsia="宋体"/>
          <w:color w:val="auto"/>
          <w:sz w:val="21"/>
          <w:szCs w:val="21"/>
          <w:highlight w:val="none"/>
        </w:rPr>
      </w:pPr>
      <w:bookmarkStart w:id="325" w:name="_Toc5620338"/>
      <w:bookmarkStart w:id="326" w:name="_Toc18213"/>
      <w:r>
        <w:rPr>
          <w:rFonts w:hint="eastAsia" w:ascii="宋体" w:hAnsi="宋体" w:eastAsia="宋体"/>
          <w:color w:val="auto"/>
          <w:sz w:val="21"/>
          <w:szCs w:val="21"/>
          <w:highlight w:val="none"/>
        </w:rPr>
        <w:t>7.5 签订合同</w:t>
      </w:r>
      <w:bookmarkEnd w:id="325"/>
      <w:bookmarkEnd w:id="326"/>
    </w:p>
    <w:p>
      <w:pPr>
        <w:spacing w:line="480" w:lineRule="auto"/>
        <w:ind w:firstLine="420"/>
        <w:rPr>
          <w:rFonts w:ascii="宋体" w:hAnsi="宋体" w:cs="宋体"/>
          <w:b/>
          <w:color w:val="auto"/>
          <w:kern w:val="1"/>
          <w:szCs w:val="24"/>
          <w:highlight w:val="none"/>
        </w:rPr>
      </w:pPr>
      <w:r>
        <w:rPr>
          <w:rFonts w:hint="eastAsia" w:ascii="宋体" w:hAnsi="宋体" w:cs="宋体"/>
          <w:color w:val="auto"/>
          <w:kern w:val="1"/>
          <w:highlight w:val="none"/>
        </w:rPr>
        <w:t>7.5.1 招标人和中标人应当自中标通知书发出之日起30天内，根据招标文件和中标人的投标文件订立书面合同。中标人无正当理由拒签合同的，招标人取消其中标资格</w:t>
      </w:r>
      <w:r>
        <w:rPr>
          <w:rFonts w:hint="eastAsia" w:ascii="宋体" w:hAnsi="宋体" w:cs="宋体"/>
          <w:color w:val="auto"/>
          <w:kern w:val="1"/>
          <w:szCs w:val="21"/>
          <w:highlight w:val="none"/>
        </w:rPr>
        <w:t>，</w:t>
      </w:r>
      <w:r>
        <w:rPr>
          <w:rFonts w:hint="eastAsia"/>
          <w:color w:val="auto"/>
          <w:highlight w:val="none"/>
        </w:rPr>
        <w:t>其投标保证金不予退还，</w:t>
      </w:r>
      <w:r>
        <w:rPr>
          <w:rFonts w:hint="eastAsia" w:ascii="宋体" w:hAnsi="宋体" w:cs="宋体"/>
          <w:color w:val="auto"/>
          <w:kern w:val="1"/>
          <w:szCs w:val="21"/>
          <w:highlight w:val="none"/>
          <w:u w:val="single"/>
        </w:rPr>
        <w:t>给招标人造成损失的，中标人还应当予以赔偿。</w:t>
      </w:r>
      <w:r>
        <w:rPr>
          <w:rFonts w:hint="eastAsia" w:ascii="宋体" w:hAnsi="宋体" w:cs="宋体"/>
          <w:color w:val="auto"/>
          <w:kern w:val="1"/>
          <w:highlight w:val="none"/>
        </w:rPr>
        <w:t xml:space="preserve"> </w:t>
      </w:r>
      <w:bookmarkStart w:id="327" w:name="_Toc11555"/>
      <w:bookmarkEnd w:id="327"/>
      <w:bookmarkStart w:id="328" w:name="_Toc443505830"/>
      <w:bookmarkEnd w:id="328"/>
      <w:bookmarkStart w:id="329" w:name="_Toc15670"/>
      <w:bookmarkEnd w:id="329"/>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7.5.2 发出中标通知书后，招标人无正当理由拒签合同</w:t>
      </w:r>
      <w:r>
        <w:rPr>
          <w:rFonts w:hint="eastAsia"/>
          <w:color w:val="auto"/>
          <w:highlight w:val="none"/>
        </w:rPr>
        <w:t>的，招标人向中标人退还投标保证金；</w:t>
      </w:r>
      <w:r>
        <w:rPr>
          <w:rFonts w:hint="eastAsia" w:ascii="宋体" w:hAnsi="宋体" w:cs="宋体"/>
          <w:color w:val="auto"/>
          <w:kern w:val="1"/>
          <w:highlight w:val="none"/>
        </w:rPr>
        <w:t>给中标人造成损失的，还应当赔偿损失。</w:t>
      </w:r>
    </w:p>
    <w:p>
      <w:pPr>
        <w:pStyle w:val="5"/>
        <w:spacing w:before="240" w:beforeLines="100" w:after="240" w:afterLines="100" w:line="360" w:lineRule="auto"/>
        <w:rPr>
          <w:rFonts w:ascii="宋体" w:hAnsi="宋体" w:eastAsia="宋体" w:cs="宋体"/>
          <w:color w:val="auto"/>
          <w:highlight w:val="none"/>
          <w:lang w:val="zh-CN"/>
        </w:rPr>
      </w:pPr>
      <w:bookmarkStart w:id="330" w:name="_Toc30835"/>
      <w:bookmarkEnd w:id="330"/>
      <w:bookmarkStart w:id="331" w:name="_Toc21320"/>
      <w:bookmarkEnd w:id="331"/>
      <w:bookmarkStart w:id="332" w:name="_Toc443505831"/>
      <w:bookmarkEnd w:id="332"/>
      <w:bookmarkStart w:id="333" w:name="_Toc5620339"/>
      <w:bookmarkStart w:id="334" w:name="_Toc9984"/>
      <w:r>
        <w:rPr>
          <w:rFonts w:hint="eastAsia" w:ascii="宋体" w:hAnsi="宋体" w:eastAsia="宋体" w:cs="宋体"/>
          <w:color w:val="auto"/>
          <w:highlight w:val="none"/>
          <w:lang w:val="zh-CN"/>
        </w:rPr>
        <w:t>8.纪律和监督</w:t>
      </w:r>
      <w:bookmarkEnd w:id="333"/>
      <w:bookmarkEnd w:id="334"/>
    </w:p>
    <w:p>
      <w:pPr>
        <w:spacing w:line="480" w:lineRule="auto"/>
        <w:rPr>
          <w:rFonts w:ascii="宋体" w:hAnsi="宋体" w:cs="宋体"/>
          <w:color w:val="auto"/>
          <w:kern w:val="1"/>
          <w:szCs w:val="21"/>
          <w:highlight w:val="none"/>
          <w:lang w:val="zh-CN"/>
        </w:rPr>
      </w:pPr>
      <w:bookmarkStart w:id="335" w:name="_Toc443505832"/>
      <w:bookmarkEnd w:id="335"/>
      <w:bookmarkStart w:id="336" w:name="_Toc7252"/>
      <w:bookmarkEnd w:id="336"/>
      <w:bookmarkStart w:id="337" w:name="_Toc30367"/>
      <w:bookmarkEnd w:id="337"/>
      <w:bookmarkStart w:id="338" w:name="_Toc5620340"/>
      <w:r>
        <w:rPr>
          <w:rFonts w:hint="eastAsia" w:ascii="宋体" w:hAnsi="宋体" w:cs="宋体"/>
          <w:color w:val="auto"/>
          <w:kern w:val="1"/>
          <w:szCs w:val="21"/>
          <w:highlight w:val="none"/>
          <w:lang w:val="zh-CN"/>
        </w:rPr>
        <w:t>8.1 对招标人的纪律要求</w:t>
      </w:r>
      <w:bookmarkEnd w:id="338"/>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招标人不得泄漏招标投标活动中应当保密的情况和资料，不得与投标人串通损害国家利益、社会公共利益或者他人合法权益。</w:t>
      </w:r>
    </w:p>
    <w:p>
      <w:pPr>
        <w:spacing w:line="480" w:lineRule="auto"/>
        <w:rPr>
          <w:rFonts w:ascii="宋体" w:hAnsi="宋体" w:cs="宋体"/>
          <w:color w:val="auto"/>
          <w:kern w:val="1"/>
          <w:highlight w:val="none"/>
        </w:rPr>
      </w:pPr>
      <w:r>
        <w:rPr>
          <w:rFonts w:hint="eastAsia" w:ascii="宋体" w:hAnsi="宋体" w:cs="宋体"/>
          <w:color w:val="auto"/>
          <w:kern w:val="1"/>
          <w:szCs w:val="21"/>
          <w:highlight w:val="none"/>
        </w:rPr>
        <w:t>8.2 对投标人的纪律要求</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480" w:lineRule="auto"/>
        <w:rPr>
          <w:rFonts w:ascii="宋体" w:hAnsi="宋体" w:cs="宋体"/>
          <w:color w:val="auto"/>
          <w:kern w:val="1"/>
          <w:highlight w:val="none"/>
        </w:rPr>
      </w:pPr>
      <w:r>
        <w:rPr>
          <w:rFonts w:hint="eastAsia" w:ascii="宋体" w:hAnsi="宋体" w:cs="宋体"/>
          <w:bCs/>
          <w:color w:val="auto"/>
          <w:kern w:val="1"/>
          <w:szCs w:val="21"/>
          <w:highlight w:val="none"/>
        </w:rPr>
        <w:t xml:space="preserve">8.3 </w:t>
      </w:r>
      <w:r>
        <w:rPr>
          <w:rFonts w:hint="eastAsia" w:ascii="宋体" w:hAnsi="宋体" w:cs="宋体"/>
          <w:color w:val="auto"/>
          <w:kern w:val="1"/>
          <w:highlight w:val="none"/>
        </w:rPr>
        <w:t>对评标委员会成员的纪律要求</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480" w:lineRule="auto"/>
        <w:rPr>
          <w:rFonts w:ascii="宋体" w:hAnsi="宋体" w:cs="宋体"/>
          <w:color w:val="auto"/>
          <w:kern w:val="1"/>
          <w:highlight w:val="none"/>
        </w:rPr>
      </w:pPr>
      <w:r>
        <w:rPr>
          <w:rFonts w:hint="eastAsia" w:ascii="宋体" w:hAnsi="宋体" w:cs="宋体"/>
          <w:color w:val="auto"/>
          <w:kern w:val="1"/>
          <w:szCs w:val="21"/>
          <w:highlight w:val="none"/>
        </w:rPr>
        <w:t>8.4 对与评标活动有关的工作人员的纪律要求</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480" w:lineRule="auto"/>
        <w:rPr>
          <w:rFonts w:ascii="宋体" w:hAnsi="宋体" w:cs="宋体"/>
          <w:color w:val="auto"/>
          <w:kern w:val="1"/>
          <w:highlight w:val="none"/>
        </w:rPr>
      </w:pPr>
      <w:r>
        <w:rPr>
          <w:rFonts w:hint="eastAsia" w:ascii="宋体" w:hAnsi="宋体" w:cs="宋体"/>
          <w:bCs/>
          <w:color w:val="auto"/>
          <w:kern w:val="1"/>
          <w:szCs w:val="21"/>
          <w:highlight w:val="none"/>
        </w:rPr>
        <w:t>8.5 投诉</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rPr>
        <w:t>投标人和其他利害关系人认为本次招标活动违反法律、法规和规章规定的，有权向有关行政监督部门投诉。</w:t>
      </w:r>
    </w:p>
    <w:p>
      <w:pPr>
        <w:pStyle w:val="5"/>
        <w:spacing w:line="360" w:lineRule="auto"/>
        <w:rPr>
          <w:rFonts w:ascii="宋体" w:hAnsi="宋体" w:eastAsia="宋体" w:cs="宋体"/>
          <w:color w:val="auto"/>
          <w:highlight w:val="none"/>
          <w:lang w:val="zh-CN"/>
        </w:rPr>
      </w:pPr>
      <w:bookmarkStart w:id="339" w:name="_Toc443505833"/>
      <w:bookmarkEnd w:id="339"/>
      <w:bookmarkStart w:id="340" w:name="_Toc10775"/>
      <w:bookmarkEnd w:id="340"/>
      <w:bookmarkStart w:id="341" w:name="_Toc17396"/>
      <w:bookmarkEnd w:id="341"/>
      <w:bookmarkStart w:id="342" w:name="_Toc11223"/>
      <w:bookmarkStart w:id="343" w:name="_Toc5620341"/>
      <w:r>
        <w:rPr>
          <w:rFonts w:hint="eastAsia" w:ascii="宋体" w:hAnsi="宋体" w:eastAsia="宋体" w:cs="宋体"/>
          <w:color w:val="auto"/>
          <w:highlight w:val="none"/>
          <w:lang w:val="zh-CN"/>
        </w:rPr>
        <w:t>9.需要补充的其他内容</w:t>
      </w:r>
      <w:bookmarkEnd w:id="342"/>
      <w:bookmarkEnd w:id="343"/>
    </w:p>
    <w:p>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需要补充的其他内容：见投标人须知前附表。</w:t>
      </w:r>
    </w:p>
    <w:p>
      <w:pPr>
        <w:pStyle w:val="5"/>
        <w:spacing w:line="360" w:lineRule="auto"/>
        <w:rPr>
          <w:rFonts w:ascii="宋体" w:hAnsi="宋体" w:eastAsia="宋体" w:cs="宋体"/>
          <w:color w:val="auto"/>
          <w:highlight w:val="none"/>
          <w:lang w:val="zh-CN"/>
        </w:rPr>
      </w:pPr>
      <w:bookmarkStart w:id="344" w:name="_Toc443505834"/>
      <w:bookmarkEnd w:id="344"/>
      <w:bookmarkStart w:id="345" w:name="_Toc3028"/>
      <w:bookmarkEnd w:id="345"/>
      <w:bookmarkStart w:id="346" w:name="_Toc26121"/>
      <w:bookmarkEnd w:id="346"/>
      <w:bookmarkStart w:id="347" w:name="_Toc10563"/>
      <w:bookmarkStart w:id="348" w:name="_Toc5620342"/>
      <w:r>
        <w:rPr>
          <w:rFonts w:hint="eastAsia" w:ascii="宋体" w:hAnsi="宋体" w:eastAsia="宋体" w:cs="宋体"/>
          <w:color w:val="auto"/>
          <w:highlight w:val="none"/>
          <w:lang w:val="zh-CN"/>
        </w:rPr>
        <w:t>10.电子招标投标</w:t>
      </w:r>
      <w:bookmarkEnd w:id="347"/>
      <w:bookmarkEnd w:id="348"/>
    </w:p>
    <w:p>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本招标项目是否采用电子招标投标方式，见投标人须知前附表。</w:t>
      </w:r>
    </w:p>
    <w:p>
      <w:pPr>
        <w:pStyle w:val="5"/>
        <w:spacing w:line="360" w:lineRule="auto"/>
        <w:rPr>
          <w:rFonts w:ascii="宋体" w:hAnsi="宋体" w:eastAsia="宋体" w:cs="宋体"/>
          <w:color w:val="auto"/>
          <w:highlight w:val="none"/>
          <w:u w:val="single"/>
          <w:lang w:val="zh-CN"/>
        </w:rPr>
      </w:pPr>
      <w:bookmarkStart w:id="349" w:name="_Toc25267"/>
      <w:bookmarkEnd w:id="349"/>
      <w:bookmarkStart w:id="350" w:name="_Toc20042"/>
      <w:bookmarkEnd w:id="350"/>
      <w:bookmarkStart w:id="351" w:name="_Toc32213"/>
      <w:bookmarkStart w:id="352" w:name="_Toc5620343"/>
      <w:r>
        <w:rPr>
          <w:rFonts w:hint="eastAsia" w:ascii="宋体" w:hAnsi="宋体" w:eastAsia="宋体" w:cs="宋体"/>
          <w:color w:val="auto"/>
          <w:highlight w:val="none"/>
          <w:u w:val="single"/>
          <w:lang w:val="zh-CN"/>
        </w:rPr>
        <w:t>11.其他</w:t>
      </w:r>
      <w:bookmarkEnd w:id="351"/>
      <w:bookmarkEnd w:id="352"/>
    </w:p>
    <w:p>
      <w:pPr>
        <w:spacing w:line="480" w:lineRule="auto"/>
        <w:ind w:firstLine="420" w:firstLineChars="200"/>
        <w:rPr>
          <w:rFonts w:ascii="宋体" w:hAnsi="宋体" w:cs="宋体"/>
          <w:color w:val="auto"/>
          <w:kern w:val="1"/>
          <w:highlight w:val="none"/>
          <w:u w:val="single"/>
        </w:rPr>
      </w:pPr>
      <w:bookmarkStart w:id="353" w:name="_Toc5620344"/>
      <w:r>
        <w:rPr>
          <w:rFonts w:hint="eastAsia" w:ascii="宋体" w:hAnsi="宋体" w:cs="宋体"/>
          <w:color w:val="auto"/>
          <w:kern w:val="1"/>
          <w:highlight w:val="none"/>
          <w:u w:val="single"/>
        </w:rPr>
        <w:t>11.1 投标人按招标文件要求递交的所有资料,若存在虚假材料，一经发现或被投诉，经确认证实后，招标人将取消其投标资格，并上报给相关主管部门予以通报。</w:t>
      </w:r>
      <w:bookmarkEnd w:id="353"/>
    </w:p>
    <w:p>
      <w:pPr>
        <w:spacing w:line="480" w:lineRule="auto"/>
        <w:ind w:firstLine="420" w:firstLineChars="200"/>
        <w:rPr>
          <w:rFonts w:ascii="宋体" w:hAnsi="宋体" w:cs="宋体"/>
          <w:color w:val="auto"/>
          <w:kern w:val="1"/>
          <w:highlight w:val="none"/>
        </w:rPr>
      </w:pPr>
      <w:r>
        <w:rPr>
          <w:rFonts w:hint="eastAsia" w:ascii="宋体" w:hAnsi="宋体" w:cs="宋体"/>
          <w:color w:val="auto"/>
          <w:kern w:val="1"/>
          <w:highlight w:val="none"/>
          <w:u w:val="single"/>
        </w:rPr>
        <w:t>11.2投标人如在本项目中存在串通投标、弄虚作假、行贿情形的，中标无效，该投标人将被招标人列入黑名单并限制其投标。行政监督部门将对其违法行为进行政处罚并通报。</w:t>
      </w:r>
    </w:p>
    <w:p>
      <w:pPr>
        <w:spacing w:line="480" w:lineRule="auto"/>
        <w:rPr>
          <w:rFonts w:ascii="宋体" w:hAnsi="宋体" w:cs="宋体"/>
          <w:color w:val="auto"/>
          <w:kern w:val="1"/>
          <w:highlight w:val="none"/>
        </w:rPr>
        <w:sectPr>
          <w:footerReference r:id="rId6" w:type="default"/>
          <w:pgSz w:w="11906" w:h="16838"/>
          <w:pgMar w:top="1440" w:right="1269" w:bottom="1440" w:left="1597" w:header="851" w:footer="992" w:gutter="0"/>
          <w:pgNumType w:start="1"/>
          <w:cols w:space="720" w:num="1"/>
        </w:sectPr>
      </w:pPr>
    </w:p>
    <w:p>
      <w:pPr>
        <w:keepNext/>
        <w:keepLines/>
        <w:spacing w:before="120" w:after="120" w:line="360" w:lineRule="auto"/>
        <w:ind w:firstLine="136"/>
        <w:rPr>
          <w:rFonts w:ascii="宋体" w:hAnsi="宋体"/>
          <w:color w:val="auto"/>
          <w:highlight w:val="none"/>
        </w:rPr>
      </w:pPr>
      <w:bookmarkStart w:id="354" w:name="_Toc5620345"/>
      <w:r>
        <w:rPr>
          <w:rFonts w:hint="eastAsia" w:ascii="宋体" w:hAnsi="宋体"/>
          <w:color w:val="auto"/>
          <w:highlight w:val="none"/>
        </w:rPr>
        <w:t>附件一：开标记录表</w:t>
      </w:r>
      <w:bookmarkEnd w:id="354"/>
    </w:p>
    <w:p>
      <w:pPr>
        <w:spacing w:line="360" w:lineRule="auto"/>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rPr>
        <w:t>开标记录表</w:t>
      </w:r>
    </w:p>
    <w:p>
      <w:pPr>
        <w:spacing w:line="360" w:lineRule="auto"/>
        <w:ind w:right="420"/>
        <w:jc w:val="center"/>
        <w:rPr>
          <w:rFonts w:ascii="宋体" w:hAnsi="宋体" w:cs="宋体"/>
          <w:color w:val="auto"/>
          <w:kern w:val="1"/>
          <w:highlight w:val="none"/>
        </w:rPr>
      </w:pPr>
      <w:r>
        <w:rPr>
          <w:rFonts w:hint="eastAsia" w:ascii="宋体" w:hAnsi="宋体" w:cs="宋体"/>
          <w:color w:val="auto"/>
          <w:kern w:val="1"/>
          <w:highlight w:val="none"/>
        </w:rPr>
        <w:t xml:space="preserve">                                                                                                        开标时间： 年 月 日 时 分</w:t>
      </w:r>
    </w:p>
    <w:tbl>
      <w:tblPr>
        <w:tblStyle w:val="35"/>
        <w:tblW w:w="14311" w:type="dxa"/>
        <w:tblInd w:w="0" w:type="dxa"/>
        <w:tblLayout w:type="fixed"/>
        <w:tblCellMar>
          <w:top w:w="0" w:type="dxa"/>
          <w:left w:w="108" w:type="dxa"/>
          <w:bottom w:w="0" w:type="dxa"/>
          <w:right w:w="108" w:type="dxa"/>
        </w:tblCellMar>
      </w:tblPr>
      <w:tblGrid>
        <w:gridCol w:w="457"/>
        <w:gridCol w:w="1537"/>
        <w:gridCol w:w="639"/>
        <w:gridCol w:w="885"/>
        <w:gridCol w:w="665"/>
        <w:gridCol w:w="594"/>
        <w:gridCol w:w="824"/>
        <w:gridCol w:w="909"/>
        <w:gridCol w:w="727"/>
        <w:gridCol w:w="1093"/>
        <w:gridCol w:w="757"/>
        <w:gridCol w:w="758"/>
        <w:gridCol w:w="782"/>
        <w:gridCol w:w="478"/>
        <w:gridCol w:w="463"/>
        <w:gridCol w:w="512"/>
        <w:gridCol w:w="758"/>
        <w:gridCol w:w="819"/>
        <w:gridCol w:w="654"/>
      </w:tblGrid>
      <w:tr>
        <w:tblPrEx>
          <w:tblCellMar>
            <w:top w:w="0" w:type="dxa"/>
            <w:left w:w="108" w:type="dxa"/>
            <w:bottom w:w="0" w:type="dxa"/>
            <w:right w:w="108" w:type="dxa"/>
          </w:tblCellMar>
        </w:tblPrEx>
        <w:trPr>
          <w:trHeight w:val="707"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序号</w:t>
            </w:r>
          </w:p>
        </w:tc>
        <w:tc>
          <w:tcPr>
            <w:tcW w:w="1537"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投标人名称</w:t>
            </w:r>
          </w:p>
        </w:tc>
        <w:tc>
          <w:tcPr>
            <w:tcW w:w="639"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投标文件递交情况</w:t>
            </w:r>
          </w:p>
        </w:tc>
        <w:tc>
          <w:tcPr>
            <w:tcW w:w="885"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投标文件解密情况</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投标总工期</w:t>
            </w:r>
          </w:p>
        </w:tc>
        <w:tc>
          <w:tcPr>
            <w:tcW w:w="594"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质量标准</w:t>
            </w:r>
          </w:p>
        </w:tc>
        <w:tc>
          <w:tcPr>
            <w:tcW w:w="824" w:type="dxa"/>
            <w:vMerge w:val="restart"/>
            <w:tcBorders>
              <w:top w:val="single" w:color="000000" w:sz="4" w:space="0"/>
              <w:left w:val="single" w:color="000000" w:sz="4" w:space="0"/>
              <w:right w:val="single" w:color="auto" w:sz="4" w:space="0"/>
            </w:tcBorders>
            <w:vAlign w:val="center"/>
          </w:tcPr>
          <w:p>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项目负责人</w:t>
            </w:r>
          </w:p>
        </w:tc>
        <w:tc>
          <w:tcPr>
            <w:tcW w:w="909" w:type="dxa"/>
            <w:vMerge w:val="restart"/>
            <w:tcBorders>
              <w:top w:val="single" w:color="000000" w:sz="4" w:space="0"/>
              <w:left w:val="single" w:color="auto" w:sz="4" w:space="0"/>
              <w:right w:val="single" w:color="000000" w:sz="4" w:space="0"/>
            </w:tcBorders>
            <w:vAlign w:val="center"/>
          </w:tcPr>
          <w:p>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设计负责人</w:t>
            </w:r>
          </w:p>
        </w:tc>
        <w:tc>
          <w:tcPr>
            <w:tcW w:w="727" w:type="dxa"/>
            <w:vMerge w:val="restart"/>
            <w:tcBorders>
              <w:top w:val="single" w:color="000000" w:sz="4" w:space="0"/>
              <w:left w:val="single" w:color="000000" w:sz="4" w:space="0"/>
              <w:right w:val="single" w:color="000000" w:sz="4" w:space="0"/>
            </w:tcBorders>
            <w:vAlign w:val="center"/>
          </w:tcPr>
          <w:p>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专职安全员</w:t>
            </w:r>
          </w:p>
        </w:tc>
        <w:tc>
          <w:tcPr>
            <w:tcW w:w="1093"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投标总报价（人民币：万元）</w:t>
            </w:r>
          </w:p>
        </w:tc>
        <w:tc>
          <w:tcPr>
            <w:tcW w:w="2297"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投标报价</w:t>
            </w:r>
          </w:p>
          <w:p>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（人民币：万元）</w:t>
            </w:r>
          </w:p>
        </w:tc>
        <w:tc>
          <w:tcPr>
            <w:tcW w:w="145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投标下浮率（%）</w:t>
            </w:r>
          </w:p>
        </w:tc>
        <w:tc>
          <w:tcPr>
            <w:tcW w:w="758" w:type="dxa"/>
            <w:vMerge w:val="restart"/>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投标保证金(元)</w:t>
            </w:r>
          </w:p>
        </w:tc>
        <w:tc>
          <w:tcPr>
            <w:tcW w:w="819" w:type="dxa"/>
            <w:vMerge w:val="restart"/>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投标人代表签名</w:t>
            </w:r>
          </w:p>
        </w:tc>
        <w:tc>
          <w:tcPr>
            <w:tcW w:w="654"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备注</w:t>
            </w:r>
          </w:p>
        </w:tc>
      </w:tr>
      <w:tr>
        <w:tblPrEx>
          <w:tblCellMar>
            <w:top w:w="0" w:type="dxa"/>
            <w:left w:w="108" w:type="dxa"/>
            <w:bottom w:w="0" w:type="dxa"/>
            <w:right w:w="108" w:type="dxa"/>
          </w:tblCellMar>
        </w:tblPrEx>
        <w:trPr>
          <w:trHeight w:val="1171"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auto"/>
                <w:kern w:val="1"/>
                <w:sz w:val="18"/>
                <w:szCs w:val="18"/>
                <w:highlight w:val="none"/>
              </w:rPr>
            </w:pPr>
          </w:p>
        </w:tc>
        <w:tc>
          <w:tcPr>
            <w:tcW w:w="153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auto"/>
                <w:kern w:val="1"/>
                <w:sz w:val="18"/>
                <w:szCs w:val="18"/>
                <w:highlight w:val="none"/>
              </w:rPr>
            </w:pP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auto"/>
                <w:kern w:val="1"/>
                <w:sz w:val="18"/>
                <w:szCs w:val="18"/>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auto"/>
                <w:kern w:val="1"/>
                <w:sz w:val="18"/>
                <w:szCs w:val="18"/>
                <w:highlight w:val="none"/>
              </w:rPr>
            </w:pP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auto"/>
                <w:kern w:val="1"/>
                <w:sz w:val="18"/>
                <w:szCs w:val="18"/>
                <w:highlight w:val="none"/>
              </w:rPr>
            </w:pPr>
          </w:p>
        </w:tc>
        <w:tc>
          <w:tcPr>
            <w:tcW w:w="59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auto"/>
                <w:kern w:val="1"/>
                <w:sz w:val="18"/>
                <w:szCs w:val="18"/>
                <w:highlight w:val="none"/>
              </w:rPr>
            </w:pPr>
          </w:p>
        </w:tc>
        <w:tc>
          <w:tcPr>
            <w:tcW w:w="824" w:type="dxa"/>
            <w:vMerge w:val="continue"/>
            <w:tcBorders>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18"/>
                <w:szCs w:val="18"/>
                <w:highlight w:val="none"/>
              </w:rPr>
            </w:pPr>
          </w:p>
        </w:tc>
        <w:tc>
          <w:tcPr>
            <w:tcW w:w="909" w:type="dxa"/>
            <w:vMerge w:val="continue"/>
            <w:tcBorders>
              <w:left w:val="single" w:color="auto" w:sz="4" w:space="0"/>
              <w:bottom w:val="single" w:color="000000" w:sz="4" w:space="0"/>
              <w:right w:val="single" w:color="000000" w:sz="4" w:space="0"/>
            </w:tcBorders>
            <w:vAlign w:val="center"/>
          </w:tcPr>
          <w:p>
            <w:pPr>
              <w:spacing w:line="360" w:lineRule="auto"/>
              <w:jc w:val="center"/>
              <w:rPr>
                <w:rFonts w:ascii="宋体" w:hAnsi="宋体" w:cs="宋体"/>
                <w:color w:val="auto"/>
                <w:kern w:val="1"/>
                <w:sz w:val="18"/>
                <w:szCs w:val="18"/>
                <w:highlight w:val="none"/>
              </w:rPr>
            </w:pPr>
          </w:p>
        </w:tc>
        <w:tc>
          <w:tcPr>
            <w:tcW w:w="727" w:type="dxa"/>
            <w:vMerge w:val="continue"/>
            <w:tcBorders>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18"/>
                <w:szCs w:val="18"/>
                <w:highlight w:val="none"/>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auto"/>
                <w:kern w:val="1"/>
                <w:sz w:val="18"/>
                <w:szCs w:val="18"/>
                <w:highlight w:val="none"/>
              </w:rPr>
            </w:pPr>
          </w:p>
        </w:tc>
        <w:tc>
          <w:tcPr>
            <w:tcW w:w="757"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cs="宋体"/>
                <w:color w:val="auto"/>
                <w:kern w:val="1"/>
                <w:highlight w:val="none"/>
              </w:rPr>
            </w:pPr>
            <w:r>
              <w:rPr>
                <w:rFonts w:hint="eastAsia" w:ascii="宋体" w:hAnsi="宋体" w:cs="宋体"/>
                <w:color w:val="auto"/>
                <w:kern w:val="1"/>
                <w:sz w:val="18"/>
                <w:szCs w:val="18"/>
                <w:highlight w:val="none"/>
              </w:rPr>
              <w:t>勘察费</w:t>
            </w:r>
          </w:p>
        </w:tc>
        <w:tc>
          <w:tcPr>
            <w:tcW w:w="758"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ascii="宋体" w:hAnsi="宋体" w:cs="宋体"/>
                <w:color w:val="auto"/>
                <w:kern w:val="1"/>
                <w:highlight w:val="none"/>
              </w:rPr>
            </w:pPr>
            <w:r>
              <w:rPr>
                <w:rFonts w:hint="eastAsia" w:ascii="宋体" w:hAnsi="宋体" w:cs="宋体"/>
                <w:color w:val="auto"/>
                <w:kern w:val="1"/>
                <w:sz w:val="18"/>
                <w:szCs w:val="18"/>
                <w:highlight w:val="none"/>
              </w:rPr>
              <w:t>设计费</w:t>
            </w:r>
          </w:p>
        </w:tc>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施工费</w:t>
            </w:r>
          </w:p>
        </w:tc>
        <w:tc>
          <w:tcPr>
            <w:tcW w:w="478"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勘察费</w:t>
            </w:r>
          </w:p>
        </w:tc>
        <w:tc>
          <w:tcPr>
            <w:tcW w:w="463"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设计费</w:t>
            </w:r>
          </w:p>
        </w:tc>
        <w:tc>
          <w:tcPr>
            <w:tcW w:w="5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施工费</w:t>
            </w:r>
          </w:p>
        </w:tc>
        <w:tc>
          <w:tcPr>
            <w:tcW w:w="758" w:type="dxa"/>
            <w:vMerge w:val="continue"/>
            <w:tcBorders>
              <w:top w:val="single" w:color="000000" w:sz="4" w:space="0"/>
              <w:left w:val="single" w:color="000000" w:sz="4" w:space="0"/>
              <w:bottom w:val="single" w:color="000000" w:sz="4" w:space="0"/>
              <w:right w:val="single" w:color="auto" w:sz="4" w:space="0"/>
            </w:tcBorders>
          </w:tcPr>
          <w:p>
            <w:pPr>
              <w:spacing w:line="360" w:lineRule="auto"/>
              <w:jc w:val="left"/>
              <w:rPr>
                <w:rFonts w:ascii="宋体" w:hAnsi="宋体" w:cs="宋体"/>
                <w:color w:val="auto"/>
                <w:kern w:val="1"/>
                <w:sz w:val="18"/>
                <w:szCs w:val="18"/>
                <w:highlight w:val="none"/>
              </w:rPr>
            </w:pPr>
          </w:p>
        </w:tc>
        <w:tc>
          <w:tcPr>
            <w:tcW w:w="819" w:type="dxa"/>
            <w:vMerge w:val="continue"/>
            <w:tcBorders>
              <w:top w:val="single" w:color="000000" w:sz="4" w:space="0"/>
              <w:left w:val="single" w:color="auto" w:sz="4" w:space="0"/>
              <w:bottom w:val="single" w:color="000000" w:sz="4" w:space="0"/>
              <w:right w:val="single" w:color="000000" w:sz="4" w:space="0"/>
            </w:tcBorders>
          </w:tcPr>
          <w:p>
            <w:pPr>
              <w:spacing w:line="360" w:lineRule="auto"/>
              <w:jc w:val="left"/>
              <w:rPr>
                <w:rFonts w:ascii="宋体" w:hAnsi="宋体" w:cs="宋体"/>
                <w:color w:val="auto"/>
                <w:kern w:val="1"/>
                <w:sz w:val="18"/>
                <w:szCs w:val="18"/>
                <w:highlight w:val="none"/>
              </w:rPr>
            </w:pPr>
          </w:p>
        </w:tc>
        <w:tc>
          <w:tcPr>
            <w:tcW w:w="654" w:type="dxa"/>
            <w:vMerge w:val="continue"/>
            <w:tcBorders>
              <w:top w:val="single" w:color="000000" w:sz="4" w:space="0"/>
              <w:left w:val="single" w:color="000000" w:sz="4" w:space="0"/>
              <w:bottom w:val="single" w:color="000000" w:sz="4" w:space="0"/>
              <w:right w:val="single" w:color="000000" w:sz="4" w:space="0"/>
            </w:tcBorders>
          </w:tcPr>
          <w:p>
            <w:pPr>
              <w:spacing w:line="360" w:lineRule="auto"/>
              <w:jc w:val="left"/>
              <w:rPr>
                <w:rFonts w:ascii="宋体" w:hAnsi="宋体" w:cs="宋体"/>
                <w:color w:val="auto"/>
                <w:kern w:val="1"/>
                <w:sz w:val="18"/>
                <w:szCs w:val="18"/>
                <w:highlight w:val="none"/>
              </w:rPr>
            </w:pPr>
          </w:p>
        </w:tc>
      </w:tr>
      <w:tr>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757" w:type="dxa"/>
            <w:tcBorders>
              <w:top w:val="single" w:color="000000" w:sz="4" w:space="0"/>
              <w:left w:val="single" w:color="000000" w:sz="4" w:space="0"/>
              <w:bottom w:val="single" w:color="000000" w:sz="4" w:space="0"/>
              <w:right w:val="single" w:color="auto" w:sz="4" w:space="0"/>
            </w:tcBorders>
          </w:tcPr>
          <w:p>
            <w:pPr>
              <w:spacing w:line="360" w:lineRule="auto"/>
              <w:jc w:val="center"/>
              <w:rPr>
                <w:rFonts w:ascii="宋体" w:hAnsi="宋体" w:cs="宋体"/>
                <w:color w:val="auto"/>
                <w:kern w:val="1"/>
                <w:szCs w:val="21"/>
                <w:highlight w:val="none"/>
              </w:rPr>
            </w:pPr>
          </w:p>
        </w:tc>
        <w:tc>
          <w:tcPr>
            <w:tcW w:w="758" w:type="dxa"/>
            <w:tcBorders>
              <w:top w:val="single" w:color="000000" w:sz="4" w:space="0"/>
              <w:left w:val="single" w:color="auto"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c>
          <w:tcPr>
            <w:tcW w:w="78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c>
          <w:tcPr>
            <w:tcW w:w="478" w:type="dxa"/>
            <w:tcBorders>
              <w:top w:val="single" w:color="000000" w:sz="4" w:space="0"/>
              <w:left w:val="single" w:color="000000" w:sz="4" w:space="0"/>
              <w:bottom w:val="single" w:color="000000" w:sz="4" w:space="0"/>
              <w:right w:val="single" w:color="auto" w:sz="4" w:space="0"/>
            </w:tcBorders>
          </w:tcPr>
          <w:p>
            <w:pPr>
              <w:spacing w:line="360" w:lineRule="auto"/>
              <w:jc w:val="center"/>
              <w:rPr>
                <w:rFonts w:ascii="宋体" w:hAnsi="宋体" w:cs="宋体"/>
                <w:color w:val="auto"/>
                <w:kern w:val="1"/>
                <w:szCs w:val="21"/>
                <w:highlight w:val="none"/>
              </w:rPr>
            </w:pPr>
          </w:p>
        </w:tc>
        <w:tc>
          <w:tcPr>
            <w:tcW w:w="463" w:type="dxa"/>
            <w:tcBorders>
              <w:top w:val="single" w:color="000000" w:sz="4" w:space="0"/>
              <w:left w:val="single" w:color="auto"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c>
          <w:tcPr>
            <w:tcW w:w="51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c>
          <w:tcPr>
            <w:tcW w:w="758" w:type="dxa"/>
            <w:tcBorders>
              <w:top w:val="single" w:color="000000" w:sz="4" w:space="0"/>
              <w:left w:val="single" w:color="000000" w:sz="4" w:space="0"/>
              <w:bottom w:val="single" w:color="000000" w:sz="4" w:space="0"/>
              <w:right w:val="single" w:color="auto" w:sz="4" w:space="0"/>
            </w:tcBorders>
          </w:tcPr>
          <w:p>
            <w:pPr>
              <w:spacing w:line="360" w:lineRule="auto"/>
              <w:jc w:val="center"/>
              <w:rPr>
                <w:rFonts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757" w:type="dxa"/>
            <w:tcBorders>
              <w:top w:val="single" w:color="000000" w:sz="4" w:space="0"/>
              <w:left w:val="single" w:color="000000" w:sz="4" w:space="0"/>
              <w:bottom w:val="single" w:color="000000" w:sz="4" w:space="0"/>
              <w:right w:val="single" w:color="auto" w:sz="4" w:space="0"/>
            </w:tcBorders>
          </w:tcPr>
          <w:p>
            <w:pPr>
              <w:spacing w:line="360" w:lineRule="auto"/>
              <w:jc w:val="center"/>
              <w:rPr>
                <w:rFonts w:ascii="宋体" w:hAnsi="宋体" w:cs="宋体"/>
                <w:color w:val="auto"/>
                <w:kern w:val="1"/>
                <w:szCs w:val="21"/>
                <w:highlight w:val="none"/>
              </w:rPr>
            </w:pPr>
          </w:p>
        </w:tc>
        <w:tc>
          <w:tcPr>
            <w:tcW w:w="758" w:type="dxa"/>
            <w:tcBorders>
              <w:top w:val="single" w:color="000000" w:sz="4" w:space="0"/>
              <w:left w:val="single" w:color="auto"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c>
          <w:tcPr>
            <w:tcW w:w="78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c>
          <w:tcPr>
            <w:tcW w:w="478" w:type="dxa"/>
            <w:tcBorders>
              <w:top w:val="single" w:color="000000" w:sz="4" w:space="0"/>
              <w:left w:val="single" w:color="000000" w:sz="4" w:space="0"/>
              <w:bottom w:val="single" w:color="000000" w:sz="4" w:space="0"/>
              <w:right w:val="single" w:color="auto" w:sz="4" w:space="0"/>
            </w:tcBorders>
          </w:tcPr>
          <w:p>
            <w:pPr>
              <w:spacing w:line="360" w:lineRule="auto"/>
              <w:jc w:val="center"/>
              <w:rPr>
                <w:rFonts w:ascii="宋体" w:hAnsi="宋体" w:cs="宋体"/>
                <w:color w:val="auto"/>
                <w:kern w:val="1"/>
                <w:szCs w:val="21"/>
                <w:highlight w:val="none"/>
              </w:rPr>
            </w:pPr>
          </w:p>
        </w:tc>
        <w:tc>
          <w:tcPr>
            <w:tcW w:w="463" w:type="dxa"/>
            <w:tcBorders>
              <w:top w:val="single" w:color="000000" w:sz="4" w:space="0"/>
              <w:left w:val="single" w:color="auto"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c>
          <w:tcPr>
            <w:tcW w:w="51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c>
          <w:tcPr>
            <w:tcW w:w="758" w:type="dxa"/>
            <w:tcBorders>
              <w:top w:val="single" w:color="000000" w:sz="4" w:space="0"/>
              <w:left w:val="single" w:color="000000" w:sz="4" w:space="0"/>
              <w:bottom w:val="single" w:color="000000" w:sz="4" w:space="0"/>
              <w:right w:val="single" w:color="auto" w:sz="4" w:space="0"/>
            </w:tcBorders>
          </w:tcPr>
          <w:p>
            <w:pPr>
              <w:spacing w:line="360" w:lineRule="auto"/>
              <w:jc w:val="center"/>
              <w:rPr>
                <w:rFonts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757" w:type="dxa"/>
            <w:tcBorders>
              <w:top w:val="single" w:color="000000" w:sz="4" w:space="0"/>
              <w:left w:val="single" w:color="000000" w:sz="4" w:space="0"/>
              <w:bottom w:val="single" w:color="000000" w:sz="4" w:space="0"/>
              <w:right w:val="single" w:color="auto" w:sz="4" w:space="0"/>
            </w:tcBorders>
          </w:tcPr>
          <w:p>
            <w:pPr>
              <w:spacing w:line="360" w:lineRule="auto"/>
              <w:jc w:val="center"/>
              <w:rPr>
                <w:rFonts w:ascii="宋体" w:hAnsi="宋体" w:cs="宋体"/>
                <w:color w:val="auto"/>
                <w:kern w:val="1"/>
                <w:szCs w:val="21"/>
                <w:highlight w:val="none"/>
              </w:rPr>
            </w:pPr>
          </w:p>
        </w:tc>
        <w:tc>
          <w:tcPr>
            <w:tcW w:w="758" w:type="dxa"/>
            <w:tcBorders>
              <w:top w:val="single" w:color="000000" w:sz="4" w:space="0"/>
              <w:left w:val="single" w:color="auto"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c>
          <w:tcPr>
            <w:tcW w:w="78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c>
          <w:tcPr>
            <w:tcW w:w="478" w:type="dxa"/>
            <w:tcBorders>
              <w:top w:val="single" w:color="000000" w:sz="4" w:space="0"/>
              <w:left w:val="single" w:color="000000" w:sz="4" w:space="0"/>
              <w:bottom w:val="single" w:color="000000" w:sz="4" w:space="0"/>
              <w:right w:val="single" w:color="auto" w:sz="4" w:space="0"/>
            </w:tcBorders>
          </w:tcPr>
          <w:p>
            <w:pPr>
              <w:spacing w:line="360" w:lineRule="auto"/>
              <w:jc w:val="center"/>
              <w:rPr>
                <w:rFonts w:ascii="宋体" w:hAnsi="宋体" w:cs="宋体"/>
                <w:color w:val="auto"/>
                <w:kern w:val="1"/>
                <w:szCs w:val="21"/>
                <w:highlight w:val="none"/>
              </w:rPr>
            </w:pPr>
          </w:p>
        </w:tc>
        <w:tc>
          <w:tcPr>
            <w:tcW w:w="463" w:type="dxa"/>
            <w:tcBorders>
              <w:top w:val="single" w:color="000000" w:sz="4" w:space="0"/>
              <w:left w:val="single" w:color="auto"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c>
          <w:tcPr>
            <w:tcW w:w="51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c>
          <w:tcPr>
            <w:tcW w:w="758" w:type="dxa"/>
            <w:tcBorders>
              <w:top w:val="single" w:color="000000" w:sz="4" w:space="0"/>
              <w:left w:val="single" w:color="000000" w:sz="4" w:space="0"/>
              <w:bottom w:val="single" w:color="000000" w:sz="4" w:space="0"/>
              <w:right w:val="single" w:color="auto" w:sz="4" w:space="0"/>
            </w:tcBorders>
          </w:tcPr>
          <w:p>
            <w:pPr>
              <w:spacing w:line="360" w:lineRule="auto"/>
              <w:jc w:val="center"/>
              <w:rPr>
                <w:rFonts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757" w:type="dxa"/>
            <w:tcBorders>
              <w:top w:val="single" w:color="000000" w:sz="4" w:space="0"/>
              <w:left w:val="single" w:color="000000" w:sz="4" w:space="0"/>
              <w:bottom w:val="single" w:color="000000" w:sz="4" w:space="0"/>
              <w:right w:val="single" w:color="auto" w:sz="4" w:space="0"/>
            </w:tcBorders>
          </w:tcPr>
          <w:p>
            <w:pPr>
              <w:spacing w:line="360" w:lineRule="auto"/>
              <w:jc w:val="center"/>
              <w:rPr>
                <w:rFonts w:ascii="宋体" w:hAnsi="宋体" w:cs="宋体"/>
                <w:color w:val="auto"/>
                <w:kern w:val="1"/>
                <w:szCs w:val="21"/>
                <w:highlight w:val="none"/>
              </w:rPr>
            </w:pPr>
          </w:p>
        </w:tc>
        <w:tc>
          <w:tcPr>
            <w:tcW w:w="758" w:type="dxa"/>
            <w:tcBorders>
              <w:top w:val="single" w:color="000000" w:sz="4" w:space="0"/>
              <w:left w:val="single" w:color="auto"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c>
          <w:tcPr>
            <w:tcW w:w="78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c>
          <w:tcPr>
            <w:tcW w:w="478" w:type="dxa"/>
            <w:tcBorders>
              <w:top w:val="single" w:color="000000" w:sz="4" w:space="0"/>
              <w:left w:val="single" w:color="000000" w:sz="4" w:space="0"/>
              <w:bottom w:val="single" w:color="000000" w:sz="4" w:space="0"/>
              <w:right w:val="single" w:color="auto" w:sz="4" w:space="0"/>
            </w:tcBorders>
          </w:tcPr>
          <w:p>
            <w:pPr>
              <w:spacing w:line="360" w:lineRule="auto"/>
              <w:jc w:val="center"/>
              <w:rPr>
                <w:rFonts w:ascii="宋体" w:hAnsi="宋体" w:cs="宋体"/>
                <w:color w:val="auto"/>
                <w:kern w:val="1"/>
                <w:szCs w:val="21"/>
                <w:highlight w:val="none"/>
              </w:rPr>
            </w:pPr>
          </w:p>
        </w:tc>
        <w:tc>
          <w:tcPr>
            <w:tcW w:w="463" w:type="dxa"/>
            <w:tcBorders>
              <w:top w:val="single" w:color="000000" w:sz="4" w:space="0"/>
              <w:left w:val="single" w:color="auto"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c>
          <w:tcPr>
            <w:tcW w:w="51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c>
          <w:tcPr>
            <w:tcW w:w="758" w:type="dxa"/>
            <w:tcBorders>
              <w:top w:val="single" w:color="000000" w:sz="4" w:space="0"/>
              <w:left w:val="single" w:color="000000" w:sz="4" w:space="0"/>
              <w:bottom w:val="single" w:color="000000" w:sz="4" w:space="0"/>
              <w:right w:val="single" w:color="auto" w:sz="4" w:space="0"/>
            </w:tcBorders>
          </w:tcPr>
          <w:p>
            <w:pPr>
              <w:spacing w:line="360" w:lineRule="auto"/>
              <w:jc w:val="center"/>
              <w:rPr>
                <w:rFonts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r>
    </w:tbl>
    <w:p>
      <w:pPr>
        <w:spacing w:line="360" w:lineRule="auto"/>
        <w:ind w:firstLine="840" w:firstLineChars="400"/>
        <w:rPr>
          <w:rFonts w:ascii="宋体" w:hAnsi="宋体" w:cs="宋体"/>
          <w:color w:val="auto"/>
          <w:kern w:val="1"/>
          <w:szCs w:val="21"/>
          <w:highlight w:val="none"/>
          <w:u w:val="single"/>
        </w:rPr>
      </w:pPr>
      <w:r>
        <w:rPr>
          <w:rFonts w:hint="eastAsia" w:ascii="宋体" w:hAnsi="宋体" w:cs="宋体"/>
          <w:color w:val="auto"/>
          <w:kern w:val="1"/>
          <w:szCs w:val="21"/>
          <w:highlight w:val="none"/>
        </w:rPr>
        <w:t>招标代理：                               招标人代表：                               交易中心见证人：</w:t>
      </w:r>
    </w:p>
    <w:p>
      <w:pPr>
        <w:spacing w:line="360" w:lineRule="auto"/>
        <w:rPr>
          <w:rFonts w:ascii="宋体" w:hAnsi="宋体" w:cs="宋体"/>
          <w:color w:val="auto"/>
          <w:kern w:val="1"/>
          <w:szCs w:val="21"/>
          <w:highlight w:val="none"/>
          <w:u w:val="single"/>
        </w:rPr>
        <w:sectPr>
          <w:headerReference r:id="rId7" w:type="default"/>
          <w:footerReference r:id="rId8" w:type="default"/>
          <w:pgSz w:w="16838" w:h="11906" w:orient="landscape"/>
          <w:pgMar w:top="1361" w:right="1304" w:bottom="1304" w:left="1304" w:header="851" w:footer="992" w:gutter="0"/>
          <w:cols w:space="720" w:num="1"/>
        </w:sectPr>
      </w:pPr>
      <w:r>
        <w:rPr>
          <w:rFonts w:hint="eastAsia" w:ascii="宋体" w:hAnsi="宋体" w:cs="宋体"/>
          <w:color w:val="auto"/>
          <w:kern w:val="1"/>
          <w:szCs w:val="21"/>
          <w:highlight w:val="none"/>
          <w:u w:val="single"/>
        </w:rPr>
        <w:t>本表仅供参考，具体以开标时广州公共资源交易中心系统的开标记录表为准。</w:t>
      </w:r>
    </w:p>
    <w:p>
      <w:pPr>
        <w:pStyle w:val="4"/>
        <w:spacing w:line="360" w:lineRule="auto"/>
        <w:jc w:val="center"/>
        <w:rPr>
          <w:rFonts w:ascii="宋体" w:hAnsi="宋体" w:cs="宋体"/>
          <w:color w:val="auto"/>
          <w:kern w:val="1"/>
          <w:highlight w:val="none"/>
        </w:rPr>
      </w:pPr>
      <w:bookmarkStart w:id="355" w:name="_Toc31642"/>
      <w:bookmarkEnd w:id="355"/>
      <w:bookmarkStart w:id="356" w:name="_Toc5620346"/>
      <w:bookmarkStart w:id="357" w:name="_Toc16394"/>
      <w:r>
        <w:rPr>
          <w:rFonts w:hint="eastAsia" w:ascii="宋体" w:hAnsi="宋体" w:cs="宋体"/>
          <w:color w:val="auto"/>
          <w:kern w:val="1"/>
          <w:highlight w:val="none"/>
        </w:rPr>
        <w:t xml:space="preserve">第三章 </w:t>
      </w:r>
      <w:bookmarkStart w:id="358" w:name="_Hlk116911189"/>
      <w:r>
        <w:rPr>
          <w:rFonts w:hint="eastAsia" w:ascii="宋体" w:hAnsi="宋体" w:cs="宋体"/>
          <w:color w:val="auto"/>
          <w:kern w:val="1"/>
          <w:highlight w:val="none"/>
        </w:rPr>
        <w:t>评标办法</w:t>
      </w:r>
      <w:bookmarkEnd w:id="358"/>
      <w:r>
        <w:rPr>
          <w:rFonts w:hint="eastAsia" w:ascii="宋体" w:hAnsi="宋体" w:cs="宋体"/>
          <w:color w:val="auto"/>
          <w:kern w:val="1"/>
          <w:highlight w:val="none"/>
        </w:rPr>
        <w:t>（综合评估法）</w:t>
      </w:r>
      <w:bookmarkEnd w:id="356"/>
      <w:bookmarkEnd w:id="357"/>
    </w:p>
    <w:p>
      <w:pPr>
        <w:spacing w:line="360" w:lineRule="auto"/>
        <w:jc w:val="center"/>
        <w:rPr>
          <w:rFonts w:ascii="宋体" w:hAnsi="宋体" w:cs="宋体"/>
          <w:b/>
          <w:color w:val="auto"/>
          <w:kern w:val="1"/>
          <w:sz w:val="28"/>
          <w:highlight w:val="none"/>
        </w:rPr>
      </w:pPr>
      <w:r>
        <w:rPr>
          <w:rFonts w:hint="eastAsia" w:ascii="宋体" w:hAnsi="宋体" w:cs="宋体"/>
          <w:b/>
          <w:color w:val="auto"/>
          <w:kern w:val="1"/>
          <w:sz w:val="28"/>
          <w:highlight w:val="none"/>
        </w:rPr>
        <w:t>评标办法前附表</w:t>
      </w:r>
    </w:p>
    <w:tbl>
      <w:tblPr>
        <w:tblStyle w:val="35"/>
        <w:tblW w:w="9640" w:type="dxa"/>
        <w:jc w:val="center"/>
        <w:tblLayout w:type="fixed"/>
        <w:tblCellMar>
          <w:top w:w="0" w:type="dxa"/>
          <w:left w:w="108" w:type="dxa"/>
          <w:bottom w:w="0" w:type="dxa"/>
          <w:right w:w="108" w:type="dxa"/>
        </w:tblCellMar>
      </w:tblPr>
      <w:tblGrid>
        <w:gridCol w:w="840"/>
        <w:gridCol w:w="338"/>
        <w:gridCol w:w="1447"/>
        <w:gridCol w:w="1770"/>
        <w:gridCol w:w="5245"/>
      </w:tblGrid>
      <w:tr>
        <w:tblPrEx>
          <w:tblCellMar>
            <w:top w:w="0" w:type="dxa"/>
            <w:left w:w="108" w:type="dxa"/>
            <w:bottom w:w="0" w:type="dxa"/>
            <w:right w:w="108" w:type="dxa"/>
          </w:tblCellMar>
        </w:tblPrEx>
        <w:trPr>
          <w:trHeight w:val="314" w:hRule="atLeast"/>
          <w:tblHeader/>
          <w:jc w:val="center"/>
        </w:trPr>
        <w:tc>
          <w:tcPr>
            <w:tcW w:w="2625" w:type="dxa"/>
            <w:gridSpan w:val="3"/>
            <w:tcBorders>
              <w:top w:val="single" w:color="000000" w:sz="4" w:space="0"/>
              <w:left w:val="single" w:color="000000" w:sz="4" w:space="0"/>
              <w:bottom w:val="single" w:color="000000" w:sz="6" w:space="0"/>
              <w:right w:val="single" w:color="000000" w:sz="6" w:space="0"/>
            </w:tcBorders>
            <w:vAlign w:val="center"/>
          </w:tcPr>
          <w:p>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1770"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评审因素</w:t>
            </w:r>
          </w:p>
        </w:tc>
        <w:tc>
          <w:tcPr>
            <w:tcW w:w="5245" w:type="dxa"/>
            <w:tcBorders>
              <w:top w:val="single" w:color="000000" w:sz="4" w:space="0"/>
              <w:left w:val="single" w:color="000000" w:sz="6" w:space="0"/>
              <w:bottom w:val="single" w:color="000000" w:sz="6" w:space="0"/>
              <w:right w:val="single" w:color="000000" w:sz="4" w:space="0"/>
            </w:tcBorders>
            <w:vAlign w:val="center"/>
          </w:tcPr>
          <w:p>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评审标准</w:t>
            </w:r>
          </w:p>
        </w:tc>
      </w:tr>
      <w:tr>
        <w:tblPrEx>
          <w:tblCellMar>
            <w:top w:w="0" w:type="dxa"/>
            <w:left w:w="108" w:type="dxa"/>
            <w:bottom w:w="0" w:type="dxa"/>
            <w:right w:w="108" w:type="dxa"/>
          </w:tblCellMar>
        </w:tblPrEx>
        <w:trPr>
          <w:trHeight w:val="20" w:hRule="atLeast"/>
          <w:jc w:val="center"/>
        </w:trPr>
        <w:tc>
          <w:tcPr>
            <w:tcW w:w="840" w:type="dxa"/>
            <w:tcBorders>
              <w:top w:val="single" w:color="000000" w:sz="6" w:space="0"/>
              <w:left w:val="single" w:color="000000" w:sz="4" w:space="0"/>
              <w:bottom w:val="single" w:color="auto" w:sz="4" w:space="0"/>
              <w:right w:val="single" w:color="000000" w:sz="6"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w:t>
            </w:r>
          </w:p>
        </w:tc>
        <w:tc>
          <w:tcPr>
            <w:tcW w:w="1785" w:type="dxa"/>
            <w:gridSpan w:val="2"/>
            <w:tcBorders>
              <w:top w:val="single" w:color="000000" w:sz="6" w:space="0"/>
              <w:left w:val="single" w:color="000000" w:sz="6" w:space="0"/>
              <w:bottom w:val="single" w:color="auto" w:sz="4" w:space="0"/>
              <w:right w:val="single" w:color="000000" w:sz="6"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szCs w:val="21"/>
                <w:highlight w:val="none"/>
              </w:rPr>
              <w:t>评标方法</w:t>
            </w:r>
          </w:p>
        </w:tc>
        <w:tc>
          <w:tcPr>
            <w:tcW w:w="1770" w:type="dxa"/>
            <w:tcBorders>
              <w:top w:val="single" w:color="000000" w:sz="6" w:space="0"/>
              <w:left w:val="single" w:color="000000" w:sz="6" w:space="0"/>
              <w:bottom w:val="single" w:color="000000" w:sz="6" w:space="0"/>
              <w:right w:val="single" w:color="auto" w:sz="4" w:space="0"/>
            </w:tcBorders>
            <w:vAlign w:val="center"/>
          </w:tcPr>
          <w:p>
            <w:pPr>
              <w:spacing w:line="360" w:lineRule="auto"/>
              <w:jc w:val="center"/>
              <w:rPr>
                <w:color w:val="auto"/>
                <w:highlight w:val="none"/>
              </w:rPr>
            </w:pPr>
            <w:r>
              <w:rPr>
                <w:rFonts w:hint="eastAsia" w:ascii="宋体" w:hAnsi="宋体" w:cs="宋体"/>
                <w:color w:val="auto"/>
                <w:szCs w:val="21"/>
                <w:highlight w:val="none"/>
              </w:rPr>
              <w:t>中标候选人排序方法</w:t>
            </w:r>
          </w:p>
        </w:tc>
        <w:tc>
          <w:tcPr>
            <w:tcW w:w="5245" w:type="dxa"/>
            <w:tcBorders>
              <w:top w:val="single" w:color="000000" w:sz="6" w:space="0"/>
              <w:left w:val="single" w:color="auto" w:sz="4" w:space="0"/>
              <w:bottom w:val="single" w:color="000000" w:sz="6" w:space="0"/>
              <w:right w:val="single" w:color="000000" w:sz="4" w:space="0"/>
            </w:tcBorders>
            <w:vAlign w:val="center"/>
          </w:tcPr>
          <w:p>
            <w:pPr>
              <w:spacing w:line="360" w:lineRule="auto"/>
              <w:rPr>
                <w:color w:val="auto"/>
                <w:highlight w:val="none"/>
              </w:rPr>
            </w:pPr>
            <w:r>
              <w:rPr>
                <w:rFonts w:hint="eastAsia"/>
                <w:color w:val="auto"/>
                <w:highlight w:val="none"/>
              </w:rPr>
              <w:t>本次评标采用综合评估法。评标委员会对满足招标文件实质性要求的投标文件，按照本章第2.2款规定的评分标准进行打分，并按得分由高到低顺序推荐中标候选人，但投标报价低于其成本的除外。总分相等时，以</w:t>
            </w:r>
            <w:r>
              <w:rPr>
                <w:rFonts w:hint="eastAsia"/>
                <w:color w:val="auto"/>
                <w:highlight w:val="none"/>
                <w:lang w:eastAsia="zh-CN"/>
              </w:rPr>
              <w:t>勘察、设计、工程商务及实施方案</w:t>
            </w:r>
            <w:r>
              <w:rPr>
                <w:rFonts w:hint="eastAsia"/>
                <w:color w:val="auto"/>
                <w:highlight w:val="none"/>
              </w:rPr>
              <w:t>技术部分得分高的排前；如仍存在相同情况，则对具有相同情况的投标人，按中标候选人数量规定，由评标委员会采用记名投票方式，确定中标候选人的排序。</w:t>
            </w:r>
          </w:p>
        </w:tc>
      </w:tr>
      <w:tr>
        <w:tblPrEx>
          <w:tblCellMar>
            <w:top w:w="0" w:type="dxa"/>
            <w:left w:w="108" w:type="dxa"/>
            <w:bottom w:w="0" w:type="dxa"/>
            <w:right w:w="108" w:type="dxa"/>
          </w:tblCellMar>
        </w:tblPrEx>
        <w:trPr>
          <w:trHeight w:val="20" w:hRule="atLeast"/>
          <w:jc w:val="center"/>
        </w:trPr>
        <w:tc>
          <w:tcPr>
            <w:tcW w:w="840" w:type="dxa"/>
            <w:vMerge w:val="restart"/>
            <w:tcBorders>
              <w:top w:val="single" w:color="auto" w:sz="4" w:space="0"/>
              <w:left w:val="single" w:color="000000" w:sz="4" w:space="0"/>
              <w:right w:val="single" w:color="000000" w:sz="6"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2.1.1</w:t>
            </w:r>
          </w:p>
        </w:tc>
        <w:tc>
          <w:tcPr>
            <w:tcW w:w="1785" w:type="dxa"/>
            <w:gridSpan w:val="2"/>
            <w:vMerge w:val="restart"/>
            <w:tcBorders>
              <w:top w:val="single" w:color="auto" w:sz="4" w:space="0"/>
              <w:left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形式评审标准</w:t>
            </w:r>
          </w:p>
        </w:tc>
        <w:tc>
          <w:tcPr>
            <w:tcW w:w="1770" w:type="dxa"/>
            <w:tcBorders>
              <w:top w:val="single" w:color="000000" w:sz="6" w:space="0"/>
              <w:left w:val="single" w:color="000000" w:sz="6" w:space="0"/>
              <w:bottom w:val="single" w:color="000000" w:sz="6" w:space="0"/>
              <w:right w:val="single" w:color="auto" w:sz="4" w:space="0"/>
            </w:tcBorders>
            <w:vAlign w:val="center"/>
          </w:tcPr>
          <w:p>
            <w:pPr>
              <w:spacing w:line="360" w:lineRule="auto"/>
              <w:rPr>
                <w:color w:val="auto"/>
                <w:highlight w:val="none"/>
              </w:rPr>
            </w:pPr>
            <w:r>
              <w:rPr>
                <w:rFonts w:hint="eastAsia"/>
                <w:color w:val="auto"/>
                <w:highlight w:val="none"/>
              </w:rPr>
              <w:t>投标人名称、项目负责人、安全员</w:t>
            </w:r>
          </w:p>
        </w:tc>
        <w:tc>
          <w:tcPr>
            <w:tcW w:w="5245" w:type="dxa"/>
            <w:tcBorders>
              <w:top w:val="single" w:color="000000" w:sz="6" w:space="0"/>
              <w:left w:val="single" w:color="auto" w:sz="4" w:space="0"/>
              <w:bottom w:val="single" w:color="000000" w:sz="6" w:space="0"/>
              <w:right w:val="single" w:color="000000" w:sz="4" w:space="0"/>
            </w:tcBorders>
            <w:vAlign w:val="center"/>
          </w:tcPr>
          <w:p>
            <w:pPr>
              <w:spacing w:line="360" w:lineRule="auto"/>
              <w:rPr>
                <w:rFonts w:hint="eastAsia" w:eastAsia="宋体"/>
                <w:color w:val="auto"/>
                <w:highlight w:val="none"/>
                <w:lang w:eastAsia="zh-CN"/>
              </w:rPr>
            </w:pPr>
            <w:r>
              <w:rPr>
                <w:rFonts w:hint="eastAsia"/>
                <w:color w:val="auto"/>
                <w:highlight w:val="none"/>
              </w:rPr>
              <w:t>投标人名称与营业执照、资质证书一致，投标人名称、项目负责人、安全员与投标登记时一致</w:t>
            </w:r>
            <w:r>
              <w:rPr>
                <w:rFonts w:hint="eastAsia"/>
                <w:color w:val="auto"/>
                <w:highlight w:val="none"/>
                <w:lang w:eastAsia="zh-CN"/>
              </w:rPr>
              <w:t>。</w:t>
            </w:r>
          </w:p>
        </w:tc>
      </w:tr>
      <w:tr>
        <w:tblPrEx>
          <w:tblCellMar>
            <w:top w:w="0" w:type="dxa"/>
            <w:left w:w="108" w:type="dxa"/>
            <w:bottom w:w="0" w:type="dxa"/>
            <w:right w:w="108" w:type="dxa"/>
          </w:tblCellMar>
        </w:tblPrEx>
        <w:trPr>
          <w:trHeight w:val="20" w:hRule="atLeast"/>
          <w:jc w:val="center"/>
        </w:trPr>
        <w:tc>
          <w:tcPr>
            <w:tcW w:w="840" w:type="dxa"/>
            <w:vMerge w:val="continue"/>
            <w:tcBorders>
              <w:top w:val="single" w:color="000000" w:sz="6" w:space="0"/>
              <w:left w:val="single" w:color="000000" w:sz="4"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85" w:type="dxa"/>
            <w:gridSpan w:val="2"/>
            <w:vMerge w:val="continue"/>
            <w:tcBorders>
              <w:top w:val="single" w:color="000000" w:sz="6" w:space="0"/>
              <w:left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70" w:type="dxa"/>
            <w:tcBorders>
              <w:top w:val="single" w:color="000000" w:sz="6" w:space="0"/>
              <w:left w:val="single" w:color="000000" w:sz="6" w:space="0"/>
              <w:bottom w:val="single" w:color="000000" w:sz="6" w:space="0"/>
              <w:right w:val="single" w:color="auto" w:sz="4" w:space="0"/>
            </w:tcBorders>
            <w:vAlign w:val="center"/>
          </w:tcPr>
          <w:p>
            <w:pPr>
              <w:spacing w:line="360" w:lineRule="auto"/>
              <w:rPr>
                <w:color w:val="auto"/>
                <w:highlight w:val="none"/>
              </w:rPr>
            </w:pPr>
            <w:r>
              <w:rPr>
                <w:rFonts w:hint="eastAsia"/>
                <w:color w:val="auto"/>
                <w:highlight w:val="none"/>
              </w:rPr>
              <w:t>法定代表人证明书、法定代表人授权委托书</w:t>
            </w:r>
          </w:p>
        </w:tc>
        <w:tc>
          <w:tcPr>
            <w:tcW w:w="5245" w:type="dxa"/>
            <w:tcBorders>
              <w:top w:val="single" w:color="000000" w:sz="6" w:space="0"/>
              <w:left w:val="single" w:color="auto" w:sz="4" w:space="0"/>
              <w:bottom w:val="single" w:color="000000" w:sz="6" w:space="0"/>
              <w:right w:val="single" w:color="000000" w:sz="4" w:space="0"/>
            </w:tcBorders>
            <w:vAlign w:val="center"/>
          </w:tcPr>
          <w:p>
            <w:pPr>
              <w:spacing w:line="360" w:lineRule="auto"/>
              <w:rPr>
                <w:rFonts w:hint="eastAsia" w:eastAsia="宋体"/>
                <w:color w:val="auto"/>
                <w:highlight w:val="none"/>
                <w:lang w:eastAsia="zh-CN"/>
              </w:rPr>
            </w:pPr>
            <w:r>
              <w:rPr>
                <w:rFonts w:hint="eastAsia"/>
                <w:color w:val="auto"/>
                <w:highlight w:val="none"/>
              </w:rPr>
              <w:t>投标文件具有有效的法定代表人证明书，由委托代理人签署或盖章的投标文件中有法定代表人授权委托书</w:t>
            </w:r>
            <w:r>
              <w:rPr>
                <w:rFonts w:hint="eastAsia"/>
                <w:color w:val="auto"/>
                <w:highlight w:val="none"/>
                <w:lang w:eastAsia="zh-CN"/>
              </w:rPr>
              <w:t>。</w:t>
            </w:r>
          </w:p>
        </w:tc>
      </w:tr>
      <w:tr>
        <w:tblPrEx>
          <w:tblCellMar>
            <w:top w:w="0" w:type="dxa"/>
            <w:left w:w="108" w:type="dxa"/>
            <w:bottom w:w="0" w:type="dxa"/>
            <w:right w:w="108" w:type="dxa"/>
          </w:tblCellMar>
        </w:tblPrEx>
        <w:trPr>
          <w:trHeight w:val="20"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70" w:type="dxa"/>
            <w:tcBorders>
              <w:top w:val="single" w:color="000000" w:sz="6" w:space="0"/>
              <w:left w:val="single" w:color="000000" w:sz="6" w:space="0"/>
              <w:bottom w:val="single" w:color="000000" w:sz="6" w:space="0"/>
              <w:right w:val="single" w:color="auto" w:sz="4" w:space="0"/>
            </w:tcBorders>
            <w:vAlign w:val="center"/>
          </w:tcPr>
          <w:p>
            <w:pPr>
              <w:spacing w:line="360" w:lineRule="auto"/>
              <w:rPr>
                <w:color w:val="auto"/>
                <w:highlight w:val="none"/>
              </w:rPr>
            </w:pPr>
            <w:r>
              <w:rPr>
                <w:rFonts w:hint="eastAsia"/>
                <w:color w:val="auto"/>
                <w:highlight w:val="none"/>
              </w:rPr>
              <w:t>《勘察设计投标书》、《技术投标书》、《投标函》</w:t>
            </w:r>
          </w:p>
        </w:tc>
        <w:tc>
          <w:tcPr>
            <w:tcW w:w="5245" w:type="dxa"/>
            <w:tcBorders>
              <w:top w:val="single" w:color="000000" w:sz="6" w:space="0"/>
              <w:left w:val="single" w:color="auto" w:sz="4" w:space="0"/>
              <w:bottom w:val="single" w:color="000000" w:sz="6" w:space="0"/>
              <w:right w:val="single" w:color="000000" w:sz="4" w:space="0"/>
            </w:tcBorders>
            <w:vAlign w:val="center"/>
          </w:tcPr>
          <w:p>
            <w:pPr>
              <w:spacing w:line="360" w:lineRule="auto"/>
              <w:rPr>
                <w:rFonts w:hint="eastAsia" w:eastAsia="宋体"/>
                <w:color w:val="auto"/>
                <w:highlight w:val="none"/>
                <w:lang w:eastAsia="zh-CN"/>
              </w:rPr>
            </w:pPr>
            <w:r>
              <w:rPr>
                <w:rFonts w:hint="eastAsia"/>
                <w:color w:val="auto"/>
                <w:highlight w:val="none"/>
              </w:rPr>
              <w:t>按招标文件规定的格式填写，没有出现内容不全，或者关键字迹模糊无法辨认的；有法定代表人或其委托代理人签字或盖章并加盖单位章</w:t>
            </w:r>
            <w:r>
              <w:rPr>
                <w:rFonts w:hint="eastAsia"/>
                <w:color w:val="auto"/>
                <w:highlight w:val="none"/>
                <w:lang w:eastAsia="zh-CN"/>
              </w:rPr>
              <w:t>。</w:t>
            </w:r>
          </w:p>
        </w:tc>
      </w:tr>
      <w:tr>
        <w:tblPrEx>
          <w:tblCellMar>
            <w:top w:w="0" w:type="dxa"/>
            <w:left w:w="108" w:type="dxa"/>
            <w:bottom w:w="0" w:type="dxa"/>
            <w:right w:w="108" w:type="dxa"/>
          </w:tblCellMar>
        </w:tblPrEx>
        <w:trPr>
          <w:trHeight w:val="20"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70" w:type="dxa"/>
            <w:tcBorders>
              <w:top w:val="single" w:color="000000" w:sz="6" w:space="0"/>
              <w:left w:val="single" w:color="000000" w:sz="6" w:space="0"/>
              <w:bottom w:val="single" w:color="000000" w:sz="6" w:space="0"/>
              <w:right w:val="single" w:color="auto" w:sz="4" w:space="0"/>
            </w:tcBorders>
            <w:vAlign w:val="center"/>
          </w:tcPr>
          <w:p>
            <w:pPr>
              <w:spacing w:line="360" w:lineRule="auto"/>
              <w:rPr>
                <w:color w:val="auto"/>
                <w:highlight w:val="none"/>
              </w:rPr>
            </w:pPr>
            <w:r>
              <w:rPr>
                <w:rFonts w:hint="eastAsia"/>
                <w:color w:val="auto"/>
                <w:highlight w:val="none"/>
              </w:rPr>
              <w:t>投标文件格式</w:t>
            </w:r>
          </w:p>
        </w:tc>
        <w:tc>
          <w:tcPr>
            <w:tcW w:w="5245" w:type="dxa"/>
            <w:tcBorders>
              <w:top w:val="single" w:color="000000" w:sz="6" w:space="0"/>
              <w:left w:val="single" w:color="auto" w:sz="4" w:space="0"/>
              <w:bottom w:val="single" w:color="000000" w:sz="6" w:space="0"/>
              <w:right w:val="single" w:color="000000" w:sz="4" w:space="0"/>
            </w:tcBorders>
            <w:vAlign w:val="center"/>
          </w:tcPr>
          <w:p>
            <w:pPr>
              <w:spacing w:line="360" w:lineRule="auto"/>
              <w:rPr>
                <w:color w:val="auto"/>
                <w:highlight w:val="none"/>
              </w:rPr>
            </w:pPr>
            <w:r>
              <w:rPr>
                <w:rFonts w:hint="eastAsia"/>
                <w:color w:val="auto"/>
                <w:highlight w:val="none"/>
                <w:lang w:eastAsia="zh-CN"/>
              </w:rPr>
              <w:t>勘察、设计、工程商务及实施方案</w:t>
            </w:r>
            <w:r>
              <w:rPr>
                <w:rFonts w:hint="eastAsia"/>
                <w:color w:val="auto"/>
                <w:highlight w:val="none"/>
              </w:rPr>
              <w:t>技术投标文件按规定的格式（第七章“投标文件格式” 格式1、格式2、格式3、格式</w:t>
            </w:r>
            <w:r>
              <w:rPr>
                <w:color w:val="auto"/>
                <w:highlight w:val="none"/>
              </w:rPr>
              <w:t>4</w:t>
            </w:r>
            <w:r>
              <w:rPr>
                <w:rFonts w:hint="eastAsia"/>
                <w:color w:val="auto"/>
                <w:highlight w:val="none"/>
              </w:rPr>
              <w:t>、格式1</w:t>
            </w:r>
            <w:r>
              <w:rPr>
                <w:color w:val="auto"/>
                <w:highlight w:val="none"/>
              </w:rPr>
              <w:t>2</w:t>
            </w:r>
            <w:r>
              <w:rPr>
                <w:rFonts w:hint="eastAsia"/>
                <w:color w:val="auto"/>
                <w:highlight w:val="none"/>
              </w:rPr>
              <w:t>）要求填写，按规定盖章签署，没有主要内容不全，或关键字迹模糊、无法辨认的情形；</w:t>
            </w:r>
          </w:p>
          <w:p>
            <w:pPr>
              <w:spacing w:line="360" w:lineRule="auto"/>
              <w:rPr>
                <w:rFonts w:hint="eastAsia" w:eastAsia="宋体"/>
                <w:color w:val="auto"/>
                <w:highlight w:val="none"/>
                <w:lang w:eastAsia="zh-CN"/>
              </w:rPr>
            </w:pPr>
            <w:r>
              <w:rPr>
                <w:rFonts w:hint="eastAsia"/>
                <w:color w:val="auto"/>
                <w:highlight w:val="none"/>
                <w:lang w:eastAsia="zh-CN"/>
              </w:rPr>
              <w:t>勘察、设计、工程商务及实施方案</w:t>
            </w:r>
            <w:r>
              <w:rPr>
                <w:rFonts w:hint="eastAsia"/>
                <w:color w:val="auto"/>
                <w:highlight w:val="none"/>
              </w:rPr>
              <w:t>经济投标文件按规定的格式（第七章“投标文件格式” 格式1、格式2、格式3、格式</w:t>
            </w:r>
            <w:r>
              <w:rPr>
                <w:color w:val="auto"/>
                <w:highlight w:val="none"/>
              </w:rPr>
              <w:t>4</w:t>
            </w:r>
            <w:r>
              <w:rPr>
                <w:rFonts w:hint="eastAsia"/>
                <w:color w:val="auto"/>
                <w:highlight w:val="none"/>
              </w:rPr>
              <w:t>）要求填写，按规定盖章签署，没有主要内容不全，或关键字迹模糊、无法辨认的情形</w:t>
            </w:r>
            <w:r>
              <w:rPr>
                <w:rFonts w:hint="eastAsia"/>
                <w:color w:val="auto"/>
                <w:highlight w:val="none"/>
                <w:lang w:eastAsia="zh-CN"/>
              </w:rPr>
              <w:t>。</w:t>
            </w:r>
          </w:p>
        </w:tc>
      </w:tr>
      <w:tr>
        <w:tblPrEx>
          <w:tblCellMar>
            <w:top w:w="0" w:type="dxa"/>
            <w:left w:w="108" w:type="dxa"/>
            <w:bottom w:w="0" w:type="dxa"/>
            <w:right w:w="108" w:type="dxa"/>
          </w:tblCellMar>
        </w:tblPrEx>
        <w:trPr>
          <w:trHeight w:val="20"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70" w:type="dxa"/>
            <w:tcBorders>
              <w:top w:val="single" w:color="000000" w:sz="6" w:space="0"/>
              <w:left w:val="single" w:color="000000" w:sz="6" w:space="0"/>
              <w:bottom w:val="single" w:color="000000" w:sz="6" w:space="0"/>
              <w:right w:val="single" w:color="auto" w:sz="4" w:space="0"/>
            </w:tcBorders>
            <w:vAlign w:val="center"/>
          </w:tcPr>
          <w:p>
            <w:pPr>
              <w:spacing w:line="360" w:lineRule="auto"/>
              <w:rPr>
                <w:color w:val="auto"/>
                <w:highlight w:val="none"/>
              </w:rPr>
            </w:pPr>
            <w:r>
              <w:rPr>
                <w:rFonts w:hint="eastAsia"/>
                <w:color w:val="auto"/>
                <w:highlight w:val="none"/>
              </w:rPr>
              <w:t>报价唯一</w:t>
            </w:r>
          </w:p>
        </w:tc>
        <w:tc>
          <w:tcPr>
            <w:tcW w:w="5245" w:type="dxa"/>
            <w:tcBorders>
              <w:top w:val="single" w:color="000000" w:sz="6" w:space="0"/>
              <w:left w:val="single" w:color="auto" w:sz="4" w:space="0"/>
              <w:bottom w:val="single" w:color="000000" w:sz="6" w:space="0"/>
              <w:right w:val="single" w:color="000000" w:sz="4" w:space="0"/>
            </w:tcBorders>
            <w:vAlign w:val="center"/>
          </w:tcPr>
          <w:p>
            <w:pPr>
              <w:spacing w:line="360" w:lineRule="auto"/>
              <w:rPr>
                <w:rFonts w:hint="eastAsia" w:eastAsia="宋体"/>
                <w:color w:val="auto"/>
                <w:highlight w:val="none"/>
                <w:lang w:eastAsia="zh-CN"/>
              </w:rPr>
            </w:pPr>
            <w:r>
              <w:rPr>
                <w:rFonts w:hint="eastAsia" w:ascii="宋体" w:hAnsi="宋体" w:cs="宋体"/>
                <w:color w:val="auto"/>
                <w:szCs w:val="21"/>
                <w:highlight w:val="none"/>
              </w:rPr>
              <w:t>符合第二章“投标人须知”第3.2项规定</w:t>
            </w:r>
            <w:r>
              <w:rPr>
                <w:rFonts w:hint="eastAsia" w:ascii="宋体" w:hAnsi="宋体" w:cs="宋体"/>
                <w:color w:val="auto"/>
                <w:szCs w:val="21"/>
                <w:highlight w:val="none"/>
                <w:lang w:eastAsia="zh-CN"/>
              </w:rPr>
              <w:t>。</w:t>
            </w:r>
          </w:p>
        </w:tc>
      </w:tr>
      <w:tr>
        <w:tblPrEx>
          <w:tblCellMar>
            <w:top w:w="0" w:type="dxa"/>
            <w:left w:w="108" w:type="dxa"/>
            <w:bottom w:w="0" w:type="dxa"/>
            <w:right w:w="108" w:type="dxa"/>
          </w:tblCellMar>
        </w:tblPrEx>
        <w:trPr>
          <w:trHeight w:val="20"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70" w:type="dxa"/>
            <w:tcBorders>
              <w:top w:val="single" w:color="000000" w:sz="6" w:space="0"/>
              <w:left w:val="single" w:color="000000" w:sz="6" w:space="0"/>
              <w:bottom w:val="single" w:color="000000" w:sz="6" w:space="0"/>
              <w:right w:val="single" w:color="auto" w:sz="4" w:space="0"/>
            </w:tcBorders>
            <w:vAlign w:val="center"/>
          </w:tcPr>
          <w:p>
            <w:pPr>
              <w:spacing w:line="360" w:lineRule="auto"/>
              <w:rPr>
                <w:color w:val="auto"/>
                <w:highlight w:val="none"/>
              </w:rPr>
            </w:pPr>
            <w:r>
              <w:rPr>
                <w:rFonts w:hint="eastAsia"/>
                <w:color w:val="auto"/>
                <w:highlight w:val="none"/>
              </w:rPr>
              <w:t>投标保证金递交情况</w:t>
            </w:r>
          </w:p>
        </w:tc>
        <w:tc>
          <w:tcPr>
            <w:tcW w:w="5245" w:type="dxa"/>
            <w:tcBorders>
              <w:top w:val="single" w:color="000000" w:sz="6" w:space="0"/>
              <w:left w:val="single" w:color="auto" w:sz="4" w:space="0"/>
              <w:bottom w:val="single" w:color="000000" w:sz="6" w:space="0"/>
              <w:right w:val="single" w:color="000000" w:sz="4" w:space="0"/>
            </w:tcBorders>
            <w:vAlign w:val="center"/>
          </w:tcPr>
          <w:p>
            <w:pPr>
              <w:spacing w:line="360" w:lineRule="auto"/>
              <w:rPr>
                <w:rFonts w:hint="eastAsia" w:eastAsia="宋体"/>
                <w:color w:val="auto"/>
                <w:highlight w:val="none"/>
                <w:lang w:eastAsia="zh-CN"/>
              </w:rPr>
            </w:pPr>
            <w:r>
              <w:rPr>
                <w:rFonts w:hint="eastAsia"/>
                <w:color w:val="auto"/>
                <w:highlight w:val="none"/>
              </w:rPr>
              <w:t>按招标文件要求递交投标保证金</w:t>
            </w:r>
            <w:r>
              <w:rPr>
                <w:rFonts w:hint="eastAsia"/>
                <w:color w:val="auto"/>
                <w:highlight w:val="none"/>
                <w:lang w:eastAsia="zh-CN"/>
              </w:rPr>
              <w:t>。</w:t>
            </w:r>
          </w:p>
        </w:tc>
      </w:tr>
      <w:tr>
        <w:tblPrEx>
          <w:tblCellMar>
            <w:top w:w="0" w:type="dxa"/>
            <w:left w:w="108" w:type="dxa"/>
            <w:bottom w:w="0" w:type="dxa"/>
            <w:right w:w="108" w:type="dxa"/>
          </w:tblCellMar>
        </w:tblPrEx>
        <w:trPr>
          <w:trHeight w:val="20"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70" w:type="dxa"/>
            <w:tcBorders>
              <w:top w:val="single" w:color="000000" w:sz="6" w:space="0"/>
              <w:left w:val="single" w:color="000000" w:sz="6" w:space="0"/>
              <w:bottom w:val="single" w:color="000000" w:sz="6" w:space="0"/>
              <w:right w:val="single" w:color="auto" w:sz="4" w:space="0"/>
            </w:tcBorders>
            <w:vAlign w:val="center"/>
          </w:tcPr>
          <w:p>
            <w:pPr>
              <w:spacing w:line="360" w:lineRule="auto"/>
              <w:rPr>
                <w:color w:val="auto"/>
                <w:highlight w:val="none"/>
              </w:rPr>
            </w:pPr>
            <w:r>
              <w:rPr>
                <w:rFonts w:hint="eastAsia"/>
                <w:color w:val="auto"/>
                <w:highlight w:val="none"/>
              </w:rPr>
              <w:t>参与编制投标文件人员名单</w:t>
            </w:r>
          </w:p>
        </w:tc>
        <w:tc>
          <w:tcPr>
            <w:tcW w:w="5245" w:type="dxa"/>
            <w:tcBorders>
              <w:top w:val="single" w:color="000000" w:sz="6" w:space="0"/>
              <w:left w:val="single" w:color="auto" w:sz="4" w:space="0"/>
              <w:bottom w:val="single" w:color="000000" w:sz="6" w:space="0"/>
              <w:right w:val="single" w:color="000000" w:sz="4" w:space="0"/>
            </w:tcBorders>
            <w:vAlign w:val="center"/>
          </w:tcPr>
          <w:p>
            <w:pPr>
              <w:spacing w:line="360" w:lineRule="auto"/>
              <w:rPr>
                <w:rFonts w:hint="eastAsia" w:eastAsia="宋体"/>
                <w:color w:val="auto"/>
                <w:highlight w:val="none"/>
                <w:lang w:eastAsia="zh-CN"/>
              </w:rPr>
            </w:pPr>
            <w:r>
              <w:rPr>
                <w:rFonts w:hint="eastAsia"/>
                <w:color w:val="auto"/>
                <w:highlight w:val="none"/>
              </w:rPr>
              <w:t>有《参与编制</w:t>
            </w:r>
            <w:r>
              <w:rPr>
                <w:rFonts w:hint="eastAsia"/>
                <w:color w:val="auto"/>
                <w:highlight w:val="none"/>
                <w:lang w:eastAsia="zh-CN"/>
              </w:rPr>
              <w:t>勘察、设计、工程商务及实施方案</w:t>
            </w:r>
            <w:r>
              <w:rPr>
                <w:rFonts w:hint="eastAsia"/>
                <w:color w:val="auto"/>
                <w:highlight w:val="none"/>
              </w:rPr>
              <w:t>技术投标文件人员名单》和《参与编制</w:t>
            </w:r>
            <w:r>
              <w:rPr>
                <w:rFonts w:hint="eastAsia"/>
                <w:color w:val="auto"/>
                <w:highlight w:val="none"/>
                <w:lang w:eastAsia="zh-CN"/>
              </w:rPr>
              <w:t>勘察、设计、工程商务及实施方案</w:t>
            </w:r>
            <w:r>
              <w:rPr>
                <w:rFonts w:hint="eastAsia"/>
                <w:color w:val="auto"/>
                <w:highlight w:val="none"/>
              </w:rPr>
              <w:t>经济投标文件人员名单》</w:t>
            </w:r>
            <w:r>
              <w:rPr>
                <w:rFonts w:hint="eastAsia"/>
                <w:color w:val="auto"/>
                <w:highlight w:val="none"/>
                <w:lang w:eastAsia="zh-CN"/>
              </w:rPr>
              <w:t>。</w:t>
            </w:r>
          </w:p>
        </w:tc>
      </w:tr>
      <w:tr>
        <w:tblPrEx>
          <w:tblCellMar>
            <w:top w:w="0" w:type="dxa"/>
            <w:left w:w="108" w:type="dxa"/>
            <w:bottom w:w="0" w:type="dxa"/>
            <w:right w:w="108" w:type="dxa"/>
          </w:tblCellMar>
        </w:tblPrEx>
        <w:trPr>
          <w:trHeight w:val="20"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70" w:type="dxa"/>
            <w:tcBorders>
              <w:top w:val="single" w:color="000000" w:sz="6" w:space="0"/>
              <w:left w:val="single" w:color="000000" w:sz="6" w:space="0"/>
              <w:bottom w:val="single" w:color="000000" w:sz="6" w:space="0"/>
              <w:right w:val="single" w:color="auto" w:sz="4" w:space="0"/>
            </w:tcBorders>
            <w:vAlign w:val="center"/>
          </w:tcPr>
          <w:p>
            <w:pPr>
              <w:spacing w:line="360" w:lineRule="auto"/>
              <w:rPr>
                <w:color w:val="auto"/>
                <w:highlight w:val="none"/>
              </w:rPr>
            </w:pPr>
            <w:r>
              <w:rPr>
                <w:rFonts w:hint="eastAsia"/>
                <w:color w:val="auto"/>
                <w:highlight w:val="none"/>
              </w:rPr>
              <w:t>投标文件电脑机器特征码</w:t>
            </w:r>
          </w:p>
        </w:tc>
        <w:tc>
          <w:tcPr>
            <w:tcW w:w="5245" w:type="dxa"/>
            <w:tcBorders>
              <w:top w:val="single" w:color="000000" w:sz="6" w:space="0"/>
              <w:left w:val="single" w:color="auto" w:sz="4" w:space="0"/>
              <w:bottom w:val="single" w:color="000000" w:sz="6" w:space="0"/>
              <w:right w:val="single" w:color="000000" w:sz="4" w:space="0"/>
            </w:tcBorders>
            <w:vAlign w:val="center"/>
          </w:tcPr>
          <w:p>
            <w:pPr>
              <w:spacing w:line="360" w:lineRule="auto"/>
              <w:rPr>
                <w:rFonts w:hint="eastAsia" w:eastAsia="宋体"/>
                <w:color w:val="auto"/>
                <w:highlight w:val="none"/>
                <w:lang w:eastAsia="zh-CN"/>
              </w:rPr>
            </w:pPr>
            <w:r>
              <w:rPr>
                <w:rFonts w:hint="eastAsia"/>
                <w:color w:val="auto"/>
                <w:highlight w:val="none"/>
              </w:rPr>
              <w:t>投标人与</w:t>
            </w:r>
            <w:r>
              <w:rPr>
                <w:rFonts w:hint="eastAsia"/>
                <w:color w:val="auto"/>
                <w:highlight w:val="none"/>
                <w:u w:val="single"/>
              </w:rPr>
              <w:t>本项目</w:t>
            </w:r>
            <w:r>
              <w:rPr>
                <w:rFonts w:hint="eastAsia"/>
                <w:color w:val="auto"/>
                <w:highlight w:val="none"/>
              </w:rPr>
              <w:t>其他投标人加密打包投标文件电脑机器特征码一致的</w:t>
            </w:r>
            <w:r>
              <w:rPr>
                <w:rFonts w:hint="eastAsia" w:ascii="宋体" w:hAnsi="宋体" w:cs="宋体"/>
                <w:color w:val="auto"/>
                <w:highlight w:val="none"/>
                <w:lang w:eastAsia="zh-CN"/>
              </w:rPr>
              <w:t>（</w:t>
            </w:r>
            <w:r>
              <w:rPr>
                <w:rFonts w:hint="eastAsia"/>
                <w:color w:val="auto"/>
                <w:highlight w:val="none"/>
              </w:rPr>
              <w:t>以广州公共资源交易中心交易平台评标系统的检索信息为准</w:t>
            </w:r>
            <w:r>
              <w:rPr>
                <w:rFonts w:hint="eastAsia" w:ascii="宋体" w:hAnsi="宋体" w:cs="宋体"/>
                <w:color w:val="auto"/>
                <w:highlight w:val="none"/>
                <w:lang w:eastAsia="zh-CN"/>
              </w:rPr>
              <w:t>）</w:t>
            </w:r>
            <w:r>
              <w:rPr>
                <w:rFonts w:hint="eastAsia"/>
                <w:color w:val="auto"/>
                <w:highlight w:val="none"/>
              </w:rPr>
              <w:t>将被否决</w:t>
            </w:r>
            <w:r>
              <w:rPr>
                <w:rFonts w:hint="eastAsia"/>
                <w:color w:val="auto"/>
                <w:highlight w:val="none"/>
                <w:lang w:eastAsia="zh-CN"/>
              </w:rPr>
              <w:t>。</w:t>
            </w:r>
          </w:p>
        </w:tc>
      </w:tr>
      <w:tr>
        <w:tblPrEx>
          <w:tblCellMar>
            <w:top w:w="0" w:type="dxa"/>
            <w:left w:w="108" w:type="dxa"/>
            <w:bottom w:w="0" w:type="dxa"/>
            <w:right w:w="108" w:type="dxa"/>
          </w:tblCellMar>
        </w:tblPrEx>
        <w:trPr>
          <w:trHeight w:val="20" w:hRule="atLeast"/>
          <w:jc w:val="center"/>
        </w:trPr>
        <w:tc>
          <w:tcPr>
            <w:tcW w:w="840" w:type="dxa"/>
            <w:vMerge w:val="continue"/>
            <w:tcBorders>
              <w:left w:val="single" w:color="000000" w:sz="4" w:space="0"/>
              <w:bottom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bottom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70" w:type="dxa"/>
            <w:tcBorders>
              <w:top w:val="single" w:color="000000" w:sz="6" w:space="0"/>
              <w:left w:val="single" w:color="000000" w:sz="6" w:space="0"/>
              <w:bottom w:val="single" w:color="000000" w:sz="6" w:space="0"/>
              <w:right w:val="single" w:color="auto" w:sz="4" w:space="0"/>
            </w:tcBorders>
            <w:vAlign w:val="center"/>
          </w:tcPr>
          <w:p>
            <w:pPr>
              <w:spacing w:line="360" w:lineRule="auto"/>
              <w:rPr>
                <w:color w:val="auto"/>
                <w:highlight w:val="none"/>
              </w:rPr>
            </w:pPr>
            <w:r>
              <w:rPr>
                <w:rFonts w:hint="eastAsia"/>
                <w:color w:val="auto"/>
                <w:highlight w:val="none"/>
              </w:rPr>
              <w:t>串通投标情形</w:t>
            </w:r>
          </w:p>
        </w:tc>
        <w:tc>
          <w:tcPr>
            <w:tcW w:w="5245" w:type="dxa"/>
            <w:tcBorders>
              <w:top w:val="single" w:color="000000" w:sz="6" w:space="0"/>
              <w:left w:val="single" w:color="auto" w:sz="4" w:space="0"/>
              <w:bottom w:val="single" w:color="000000" w:sz="6" w:space="0"/>
              <w:right w:val="single" w:color="000000" w:sz="4" w:space="0"/>
            </w:tcBorders>
            <w:vAlign w:val="center"/>
          </w:tcPr>
          <w:p>
            <w:pPr>
              <w:spacing w:line="360" w:lineRule="auto"/>
              <w:rPr>
                <w:rFonts w:hint="eastAsia" w:eastAsia="宋体"/>
                <w:color w:val="auto"/>
                <w:highlight w:val="none"/>
                <w:lang w:eastAsia="zh-CN"/>
              </w:rPr>
            </w:pPr>
            <w:r>
              <w:rPr>
                <w:rFonts w:hint="eastAsia"/>
                <w:color w:val="auto"/>
                <w:highlight w:val="none"/>
              </w:rPr>
              <w:t>不存在串通投标情形（串通投标情形以《中华人民共和国招标投标法实施条例》的规定为准）</w:t>
            </w:r>
            <w:r>
              <w:rPr>
                <w:rFonts w:hint="eastAsia"/>
                <w:color w:val="auto"/>
                <w:highlight w:val="none"/>
                <w:lang w:eastAsia="zh-CN"/>
              </w:rPr>
              <w:t>。</w:t>
            </w:r>
          </w:p>
        </w:tc>
      </w:tr>
      <w:tr>
        <w:tblPrEx>
          <w:tblCellMar>
            <w:top w:w="0" w:type="dxa"/>
            <w:left w:w="108" w:type="dxa"/>
            <w:bottom w:w="0" w:type="dxa"/>
            <w:right w:w="108" w:type="dxa"/>
          </w:tblCellMar>
        </w:tblPrEx>
        <w:trPr>
          <w:trHeight w:val="695" w:hRule="atLeast"/>
          <w:jc w:val="center"/>
        </w:trPr>
        <w:tc>
          <w:tcPr>
            <w:tcW w:w="840" w:type="dxa"/>
            <w:tcBorders>
              <w:top w:val="single" w:color="000000" w:sz="6" w:space="0"/>
              <w:left w:val="single" w:color="000000" w:sz="4" w:space="0"/>
              <w:right w:val="single" w:color="000000" w:sz="6"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2</w:t>
            </w:r>
          </w:p>
        </w:tc>
        <w:tc>
          <w:tcPr>
            <w:tcW w:w="1785" w:type="dxa"/>
            <w:gridSpan w:val="2"/>
            <w:tcBorders>
              <w:top w:val="single" w:color="000000" w:sz="6" w:space="0"/>
              <w:left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资格评审标准</w:t>
            </w:r>
          </w:p>
        </w:tc>
        <w:tc>
          <w:tcPr>
            <w:tcW w:w="1770" w:type="dxa"/>
            <w:tcBorders>
              <w:top w:val="single" w:color="000000" w:sz="6" w:space="0"/>
              <w:left w:val="single" w:color="000000" w:sz="6" w:space="0"/>
              <w:right w:val="single" w:color="auto" w:sz="4" w:space="0"/>
            </w:tcBorders>
            <w:vAlign w:val="center"/>
          </w:tcPr>
          <w:p>
            <w:pPr>
              <w:spacing w:line="360" w:lineRule="auto"/>
              <w:rPr>
                <w:color w:val="auto"/>
                <w:highlight w:val="none"/>
              </w:rPr>
            </w:pPr>
            <w:r>
              <w:rPr>
                <w:rFonts w:hint="eastAsia"/>
                <w:color w:val="auto"/>
                <w:highlight w:val="none"/>
              </w:rPr>
              <w:t>详见附表1</w:t>
            </w:r>
          </w:p>
        </w:tc>
        <w:tc>
          <w:tcPr>
            <w:tcW w:w="5245" w:type="dxa"/>
            <w:tcBorders>
              <w:top w:val="single" w:color="000000" w:sz="6" w:space="0"/>
              <w:left w:val="single" w:color="auto" w:sz="4" w:space="0"/>
              <w:right w:val="single" w:color="000000" w:sz="4" w:space="0"/>
            </w:tcBorders>
            <w:vAlign w:val="center"/>
          </w:tcPr>
          <w:p>
            <w:pPr>
              <w:spacing w:line="360" w:lineRule="auto"/>
              <w:rPr>
                <w:rFonts w:hint="eastAsia" w:eastAsia="宋体"/>
                <w:color w:val="auto"/>
                <w:highlight w:val="none"/>
                <w:lang w:eastAsia="zh-CN"/>
              </w:rPr>
            </w:pPr>
            <w:r>
              <w:rPr>
                <w:rFonts w:hint="eastAsia"/>
                <w:color w:val="auto"/>
                <w:highlight w:val="none"/>
              </w:rPr>
              <w:t>详见附表1</w:t>
            </w:r>
            <w:r>
              <w:rPr>
                <w:rFonts w:hint="eastAsia"/>
                <w:color w:val="auto"/>
                <w:highlight w:val="none"/>
                <w:lang w:eastAsia="zh-CN"/>
              </w:rPr>
              <w:t>。</w:t>
            </w:r>
          </w:p>
        </w:tc>
      </w:tr>
      <w:tr>
        <w:tblPrEx>
          <w:tblCellMar>
            <w:top w:w="0" w:type="dxa"/>
            <w:left w:w="108" w:type="dxa"/>
            <w:bottom w:w="0" w:type="dxa"/>
            <w:right w:w="108" w:type="dxa"/>
          </w:tblCellMar>
        </w:tblPrEx>
        <w:trPr>
          <w:trHeight w:val="480" w:hRule="atLeast"/>
          <w:jc w:val="center"/>
        </w:trPr>
        <w:tc>
          <w:tcPr>
            <w:tcW w:w="840" w:type="dxa"/>
            <w:vMerge w:val="restart"/>
            <w:tcBorders>
              <w:top w:val="single" w:color="000000" w:sz="6" w:space="0"/>
              <w:left w:val="single" w:color="000000" w:sz="4" w:space="0"/>
              <w:right w:val="single" w:color="000000" w:sz="6"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3</w:t>
            </w:r>
          </w:p>
        </w:tc>
        <w:tc>
          <w:tcPr>
            <w:tcW w:w="1785" w:type="dxa"/>
            <w:gridSpan w:val="2"/>
            <w:vMerge w:val="restart"/>
            <w:tcBorders>
              <w:top w:val="single" w:color="000000" w:sz="6" w:space="0"/>
              <w:left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响应性评审标准</w:t>
            </w:r>
          </w:p>
        </w:tc>
        <w:tc>
          <w:tcPr>
            <w:tcW w:w="1770" w:type="dxa"/>
            <w:tcBorders>
              <w:top w:val="single" w:color="000000" w:sz="6" w:space="0"/>
              <w:left w:val="single" w:color="000000" w:sz="6" w:space="0"/>
              <w:bottom w:val="single" w:color="000000" w:sz="6" w:space="0"/>
              <w:right w:val="single" w:color="auto" w:sz="4" w:space="0"/>
            </w:tcBorders>
            <w:vAlign w:val="center"/>
          </w:tcPr>
          <w:p>
            <w:pPr>
              <w:spacing w:line="360" w:lineRule="auto"/>
              <w:rPr>
                <w:color w:val="auto"/>
                <w:highlight w:val="none"/>
              </w:rPr>
            </w:pPr>
            <w:r>
              <w:rPr>
                <w:rFonts w:hint="eastAsia"/>
                <w:color w:val="auto"/>
                <w:highlight w:val="none"/>
              </w:rPr>
              <w:t>投标报价</w:t>
            </w:r>
          </w:p>
        </w:tc>
        <w:tc>
          <w:tcPr>
            <w:tcW w:w="5245" w:type="dxa"/>
            <w:tcBorders>
              <w:top w:val="single" w:color="000000" w:sz="6" w:space="0"/>
              <w:left w:val="single" w:color="auto" w:sz="4" w:space="0"/>
              <w:bottom w:val="single" w:color="000000" w:sz="6" w:space="0"/>
              <w:right w:val="single" w:color="000000" w:sz="4" w:space="0"/>
            </w:tcBorders>
            <w:vAlign w:val="center"/>
          </w:tcPr>
          <w:p>
            <w:pPr>
              <w:spacing w:line="360" w:lineRule="auto"/>
              <w:rPr>
                <w:rFonts w:hint="eastAsia" w:eastAsia="宋体"/>
                <w:color w:val="auto"/>
                <w:highlight w:val="none"/>
                <w:lang w:eastAsia="zh-CN"/>
              </w:rPr>
            </w:pPr>
            <w:r>
              <w:rPr>
                <w:rFonts w:hint="eastAsia"/>
                <w:color w:val="auto"/>
                <w:highlight w:val="none"/>
              </w:rPr>
              <w:t>符合第二章“投标人须知”第3.2项规定</w:t>
            </w:r>
            <w:r>
              <w:rPr>
                <w:rFonts w:hint="eastAsia"/>
                <w:color w:val="auto"/>
                <w:highlight w:val="none"/>
                <w:lang w:eastAsia="zh-CN"/>
              </w:rPr>
              <w:t>。</w:t>
            </w:r>
          </w:p>
        </w:tc>
      </w:tr>
      <w:tr>
        <w:tblPrEx>
          <w:tblCellMar>
            <w:top w:w="0" w:type="dxa"/>
            <w:left w:w="108" w:type="dxa"/>
            <w:bottom w:w="0" w:type="dxa"/>
            <w:right w:w="108" w:type="dxa"/>
          </w:tblCellMar>
        </w:tblPrEx>
        <w:trPr>
          <w:trHeight w:val="480"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70" w:type="dxa"/>
            <w:tcBorders>
              <w:top w:val="single" w:color="000000" w:sz="6" w:space="0"/>
              <w:left w:val="single" w:color="000000" w:sz="6" w:space="0"/>
              <w:bottom w:val="single" w:color="000000" w:sz="6" w:space="0"/>
              <w:right w:val="single" w:color="auto" w:sz="4" w:space="0"/>
            </w:tcBorders>
            <w:vAlign w:val="center"/>
          </w:tcPr>
          <w:p>
            <w:pPr>
              <w:spacing w:line="360" w:lineRule="auto"/>
              <w:rPr>
                <w:color w:val="auto"/>
                <w:highlight w:val="none"/>
              </w:rPr>
            </w:pPr>
            <w:r>
              <w:rPr>
                <w:rFonts w:hint="eastAsia"/>
                <w:color w:val="auto"/>
                <w:highlight w:val="none"/>
              </w:rPr>
              <w:t>投标内容</w:t>
            </w:r>
          </w:p>
        </w:tc>
        <w:tc>
          <w:tcPr>
            <w:tcW w:w="5245" w:type="dxa"/>
            <w:tcBorders>
              <w:top w:val="single" w:color="000000" w:sz="6" w:space="0"/>
              <w:left w:val="single" w:color="auto" w:sz="4" w:space="0"/>
              <w:bottom w:val="single" w:color="000000" w:sz="6" w:space="0"/>
              <w:right w:val="single" w:color="000000" w:sz="4" w:space="0"/>
            </w:tcBorders>
            <w:vAlign w:val="center"/>
          </w:tcPr>
          <w:p>
            <w:pPr>
              <w:spacing w:line="360" w:lineRule="auto"/>
              <w:rPr>
                <w:rFonts w:hint="eastAsia" w:eastAsia="宋体"/>
                <w:color w:val="auto"/>
                <w:highlight w:val="none"/>
                <w:lang w:eastAsia="zh-CN"/>
              </w:rPr>
            </w:pPr>
            <w:r>
              <w:rPr>
                <w:rFonts w:hint="eastAsia"/>
                <w:color w:val="auto"/>
                <w:highlight w:val="none"/>
              </w:rPr>
              <w:t>符合第二章“投标人须知”第1.3.1项规定</w:t>
            </w:r>
            <w:r>
              <w:rPr>
                <w:rFonts w:hint="eastAsia"/>
                <w:color w:val="auto"/>
                <w:highlight w:val="none"/>
                <w:lang w:eastAsia="zh-CN"/>
              </w:rPr>
              <w:t>。</w:t>
            </w:r>
          </w:p>
        </w:tc>
      </w:tr>
      <w:tr>
        <w:tblPrEx>
          <w:tblCellMar>
            <w:top w:w="0" w:type="dxa"/>
            <w:left w:w="108" w:type="dxa"/>
            <w:bottom w:w="0" w:type="dxa"/>
            <w:right w:w="108" w:type="dxa"/>
          </w:tblCellMar>
        </w:tblPrEx>
        <w:trPr>
          <w:trHeight w:val="476"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70" w:type="dxa"/>
            <w:tcBorders>
              <w:top w:val="single" w:color="000000" w:sz="6" w:space="0"/>
              <w:left w:val="single" w:color="000000" w:sz="6" w:space="0"/>
              <w:bottom w:val="single" w:color="000000" w:sz="6" w:space="0"/>
              <w:right w:val="single" w:color="auto" w:sz="4" w:space="0"/>
            </w:tcBorders>
            <w:vAlign w:val="center"/>
          </w:tcPr>
          <w:p>
            <w:pPr>
              <w:spacing w:line="360" w:lineRule="auto"/>
              <w:rPr>
                <w:color w:val="auto"/>
                <w:highlight w:val="none"/>
              </w:rPr>
            </w:pPr>
            <w:r>
              <w:rPr>
                <w:rFonts w:hint="eastAsia"/>
                <w:color w:val="auto"/>
                <w:highlight w:val="none"/>
              </w:rPr>
              <w:t>投标总工期</w:t>
            </w:r>
          </w:p>
        </w:tc>
        <w:tc>
          <w:tcPr>
            <w:tcW w:w="5245" w:type="dxa"/>
            <w:tcBorders>
              <w:top w:val="single" w:color="000000" w:sz="6" w:space="0"/>
              <w:left w:val="single" w:color="auto" w:sz="4" w:space="0"/>
              <w:bottom w:val="single" w:color="000000" w:sz="6" w:space="0"/>
              <w:right w:val="single" w:color="000000" w:sz="4" w:space="0"/>
            </w:tcBorders>
            <w:vAlign w:val="center"/>
          </w:tcPr>
          <w:p>
            <w:pPr>
              <w:spacing w:line="360" w:lineRule="auto"/>
              <w:rPr>
                <w:rFonts w:hint="eastAsia" w:eastAsia="宋体"/>
                <w:color w:val="auto"/>
                <w:highlight w:val="none"/>
                <w:lang w:eastAsia="zh-CN"/>
              </w:rPr>
            </w:pPr>
            <w:r>
              <w:rPr>
                <w:rFonts w:hint="eastAsia"/>
                <w:color w:val="auto"/>
                <w:highlight w:val="none"/>
              </w:rPr>
              <w:t>符合第二章“投标人须知”第1.3.2项规定</w:t>
            </w:r>
            <w:r>
              <w:rPr>
                <w:rFonts w:hint="eastAsia"/>
                <w:color w:val="auto"/>
                <w:highlight w:val="none"/>
                <w:lang w:eastAsia="zh-CN"/>
              </w:rPr>
              <w:t>。</w:t>
            </w:r>
          </w:p>
        </w:tc>
      </w:tr>
      <w:tr>
        <w:tblPrEx>
          <w:tblCellMar>
            <w:top w:w="0" w:type="dxa"/>
            <w:left w:w="108" w:type="dxa"/>
            <w:bottom w:w="0" w:type="dxa"/>
            <w:right w:w="108" w:type="dxa"/>
          </w:tblCellMar>
        </w:tblPrEx>
        <w:trPr>
          <w:trHeight w:val="356"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70" w:type="dxa"/>
            <w:tcBorders>
              <w:top w:val="single" w:color="000000" w:sz="6" w:space="0"/>
              <w:left w:val="single" w:color="000000" w:sz="6" w:space="0"/>
              <w:bottom w:val="single" w:color="000000" w:sz="6" w:space="0"/>
              <w:right w:val="single" w:color="auto" w:sz="4" w:space="0"/>
            </w:tcBorders>
            <w:vAlign w:val="center"/>
          </w:tcPr>
          <w:p>
            <w:pPr>
              <w:spacing w:line="360" w:lineRule="auto"/>
              <w:rPr>
                <w:color w:val="auto"/>
                <w:highlight w:val="none"/>
              </w:rPr>
            </w:pPr>
            <w:r>
              <w:rPr>
                <w:rFonts w:hint="eastAsia"/>
                <w:color w:val="auto"/>
                <w:highlight w:val="none"/>
              </w:rPr>
              <w:t>质量标准</w:t>
            </w:r>
          </w:p>
        </w:tc>
        <w:tc>
          <w:tcPr>
            <w:tcW w:w="5245" w:type="dxa"/>
            <w:tcBorders>
              <w:top w:val="single" w:color="000000" w:sz="6" w:space="0"/>
              <w:left w:val="single" w:color="auto" w:sz="4" w:space="0"/>
              <w:bottom w:val="single" w:color="000000" w:sz="6" w:space="0"/>
              <w:right w:val="single" w:color="000000" w:sz="4" w:space="0"/>
            </w:tcBorders>
            <w:vAlign w:val="center"/>
          </w:tcPr>
          <w:p>
            <w:pPr>
              <w:spacing w:line="360" w:lineRule="auto"/>
              <w:rPr>
                <w:rFonts w:hint="eastAsia" w:eastAsia="宋体"/>
                <w:color w:val="auto"/>
                <w:highlight w:val="none"/>
                <w:lang w:eastAsia="zh-CN"/>
              </w:rPr>
            </w:pPr>
            <w:r>
              <w:rPr>
                <w:rFonts w:hint="eastAsia"/>
                <w:color w:val="auto"/>
                <w:highlight w:val="none"/>
              </w:rPr>
              <w:t>符合第二章“投标人须知”第1.3.3项规定</w:t>
            </w:r>
            <w:r>
              <w:rPr>
                <w:rFonts w:hint="eastAsia"/>
                <w:color w:val="auto"/>
                <w:highlight w:val="none"/>
                <w:lang w:eastAsia="zh-CN"/>
              </w:rPr>
              <w:t>。</w:t>
            </w:r>
          </w:p>
        </w:tc>
      </w:tr>
      <w:tr>
        <w:tblPrEx>
          <w:tblCellMar>
            <w:top w:w="0" w:type="dxa"/>
            <w:left w:w="108" w:type="dxa"/>
            <w:bottom w:w="0" w:type="dxa"/>
            <w:right w:w="108" w:type="dxa"/>
          </w:tblCellMar>
        </w:tblPrEx>
        <w:trPr>
          <w:trHeight w:val="406"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70" w:type="dxa"/>
            <w:tcBorders>
              <w:top w:val="single" w:color="000000" w:sz="6" w:space="0"/>
              <w:left w:val="single" w:color="000000" w:sz="6" w:space="0"/>
              <w:bottom w:val="single" w:color="000000" w:sz="6" w:space="0"/>
              <w:right w:val="single" w:color="auto" w:sz="4" w:space="0"/>
            </w:tcBorders>
            <w:vAlign w:val="center"/>
          </w:tcPr>
          <w:p>
            <w:pPr>
              <w:spacing w:line="360" w:lineRule="auto"/>
              <w:rPr>
                <w:color w:val="auto"/>
                <w:highlight w:val="none"/>
              </w:rPr>
            </w:pPr>
            <w:r>
              <w:rPr>
                <w:rFonts w:hint="eastAsia"/>
                <w:color w:val="auto"/>
                <w:highlight w:val="none"/>
              </w:rPr>
              <w:t>保修期限</w:t>
            </w:r>
          </w:p>
        </w:tc>
        <w:tc>
          <w:tcPr>
            <w:tcW w:w="5245" w:type="dxa"/>
            <w:tcBorders>
              <w:top w:val="single" w:color="000000" w:sz="6" w:space="0"/>
              <w:left w:val="single" w:color="auto" w:sz="4" w:space="0"/>
              <w:bottom w:val="single" w:color="000000" w:sz="6" w:space="0"/>
              <w:right w:val="single" w:color="000000" w:sz="4" w:space="0"/>
            </w:tcBorders>
            <w:vAlign w:val="center"/>
          </w:tcPr>
          <w:p>
            <w:pPr>
              <w:spacing w:line="360" w:lineRule="auto"/>
              <w:rPr>
                <w:rFonts w:hint="eastAsia" w:eastAsia="宋体"/>
                <w:color w:val="auto"/>
                <w:highlight w:val="none"/>
                <w:lang w:eastAsia="zh-CN"/>
              </w:rPr>
            </w:pPr>
            <w:r>
              <w:rPr>
                <w:rFonts w:hint="eastAsia"/>
                <w:color w:val="auto"/>
                <w:highlight w:val="none"/>
              </w:rPr>
              <w:t>符合第二章“投标人须知前附表”第</w:t>
            </w:r>
            <w:r>
              <w:rPr>
                <w:color w:val="auto"/>
                <w:highlight w:val="none"/>
              </w:rPr>
              <w:t>9.2</w:t>
            </w:r>
            <w:r>
              <w:rPr>
                <w:rFonts w:hint="eastAsia"/>
                <w:color w:val="auto"/>
                <w:highlight w:val="none"/>
              </w:rPr>
              <w:t>项规定</w:t>
            </w:r>
            <w:r>
              <w:rPr>
                <w:rFonts w:hint="eastAsia"/>
                <w:color w:val="auto"/>
                <w:highlight w:val="none"/>
                <w:lang w:eastAsia="zh-CN"/>
              </w:rPr>
              <w:t>。</w:t>
            </w:r>
          </w:p>
        </w:tc>
      </w:tr>
      <w:tr>
        <w:tblPrEx>
          <w:tblCellMar>
            <w:top w:w="0" w:type="dxa"/>
            <w:left w:w="108" w:type="dxa"/>
            <w:bottom w:w="0" w:type="dxa"/>
            <w:right w:w="108" w:type="dxa"/>
          </w:tblCellMar>
        </w:tblPrEx>
        <w:trPr>
          <w:trHeight w:val="486"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70" w:type="dxa"/>
            <w:tcBorders>
              <w:top w:val="single" w:color="000000" w:sz="6" w:space="0"/>
              <w:left w:val="single" w:color="000000" w:sz="6" w:space="0"/>
              <w:bottom w:val="single" w:color="000000" w:sz="6" w:space="0"/>
              <w:right w:val="single" w:color="auto" w:sz="4" w:space="0"/>
            </w:tcBorders>
            <w:vAlign w:val="center"/>
          </w:tcPr>
          <w:p>
            <w:pPr>
              <w:spacing w:line="360" w:lineRule="auto"/>
              <w:rPr>
                <w:color w:val="auto"/>
                <w:highlight w:val="none"/>
              </w:rPr>
            </w:pPr>
            <w:r>
              <w:rPr>
                <w:rFonts w:hint="eastAsia"/>
                <w:color w:val="auto"/>
                <w:highlight w:val="none"/>
              </w:rPr>
              <w:t>投标有效期</w:t>
            </w:r>
          </w:p>
        </w:tc>
        <w:tc>
          <w:tcPr>
            <w:tcW w:w="5245" w:type="dxa"/>
            <w:tcBorders>
              <w:top w:val="single" w:color="000000" w:sz="6" w:space="0"/>
              <w:left w:val="single" w:color="auto" w:sz="4" w:space="0"/>
              <w:bottom w:val="single" w:color="000000" w:sz="6" w:space="0"/>
              <w:right w:val="single" w:color="000000" w:sz="4" w:space="0"/>
            </w:tcBorders>
            <w:vAlign w:val="center"/>
          </w:tcPr>
          <w:p>
            <w:pPr>
              <w:spacing w:line="360" w:lineRule="auto"/>
              <w:rPr>
                <w:rFonts w:hint="eastAsia" w:eastAsia="宋体"/>
                <w:color w:val="auto"/>
                <w:highlight w:val="none"/>
                <w:lang w:eastAsia="zh-CN"/>
              </w:rPr>
            </w:pPr>
            <w:r>
              <w:rPr>
                <w:rFonts w:hint="eastAsia"/>
                <w:color w:val="auto"/>
                <w:highlight w:val="none"/>
              </w:rPr>
              <w:t>符合第二章“投标人须知”第3.3.1项规定</w:t>
            </w:r>
            <w:r>
              <w:rPr>
                <w:rFonts w:hint="eastAsia"/>
                <w:color w:val="auto"/>
                <w:highlight w:val="none"/>
                <w:lang w:eastAsia="zh-CN"/>
              </w:rPr>
              <w:t>。</w:t>
            </w:r>
          </w:p>
        </w:tc>
      </w:tr>
      <w:tr>
        <w:tblPrEx>
          <w:tblCellMar>
            <w:top w:w="0" w:type="dxa"/>
            <w:left w:w="108" w:type="dxa"/>
            <w:bottom w:w="0" w:type="dxa"/>
            <w:right w:w="108" w:type="dxa"/>
          </w:tblCellMar>
        </w:tblPrEx>
        <w:trPr>
          <w:trHeight w:val="486"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70" w:type="dxa"/>
            <w:tcBorders>
              <w:top w:val="single" w:color="000000" w:sz="6" w:space="0"/>
              <w:left w:val="single" w:color="000000" w:sz="6" w:space="0"/>
              <w:bottom w:val="single" w:color="000000" w:sz="6" w:space="0"/>
              <w:right w:val="single" w:color="auto" w:sz="4" w:space="0"/>
            </w:tcBorders>
            <w:vAlign w:val="center"/>
          </w:tcPr>
          <w:p>
            <w:pPr>
              <w:spacing w:line="360" w:lineRule="auto"/>
              <w:rPr>
                <w:color w:val="auto"/>
                <w:highlight w:val="none"/>
              </w:rPr>
            </w:pPr>
            <w:r>
              <w:rPr>
                <w:rFonts w:hint="eastAsia"/>
                <w:color w:val="auto"/>
                <w:highlight w:val="none"/>
              </w:rPr>
              <w:t>算术复核</w:t>
            </w:r>
          </w:p>
        </w:tc>
        <w:tc>
          <w:tcPr>
            <w:tcW w:w="5245" w:type="dxa"/>
            <w:tcBorders>
              <w:top w:val="single" w:color="000000" w:sz="6" w:space="0"/>
              <w:left w:val="single" w:color="auto" w:sz="4" w:space="0"/>
              <w:bottom w:val="single" w:color="000000" w:sz="6" w:space="0"/>
              <w:right w:val="single" w:color="000000" w:sz="4" w:space="0"/>
            </w:tcBorders>
            <w:vAlign w:val="center"/>
          </w:tcPr>
          <w:p>
            <w:pPr>
              <w:spacing w:line="360" w:lineRule="auto"/>
              <w:rPr>
                <w:rFonts w:hint="eastAsia" w:eastAsia="宋体"/>
                <w:color w:val="auto"/>
                <w:highlight w:val="none"/>
                <w:lang w:eastAsia="zh-CN"/>
              </w:rPr>
            </w:pPr>
            <w:r>
              <w:rPr>
                <w:rFonts w:hint="eastAsia"/>
                <w:color w:val="auto"/>
                <w:highlight w:val="none"/>
              </w:rPr>
              <w:t>算术复核后的施工费投标报价与原施工费投标报价相比误差在1%以内</w:t>
            </w:r>
            <w:r>
              <w:rPr>
                <w:rFonts w:hint="eastAsia"/>
                <w:color w:val="auto"/>
                <w:highlight w:val="none"/>
                <w:lang w:eastAsia="zh-CN"/>
              </w:rPr>
              <w:t>。</w:t>
            </w:r>
          </w:p>
        </w:tc>
      </w:tr>
      <w:tr>
        <w:tblPrEx>
          <w:tblCellMar>
            <w:top w:w="0" w:type="dxa"/>
            <w:left w:w="108" w:type="dxa"/>
            <w:bottom w:w="0" w:type="dxa"/>
            <w:right w:w="108" w:type="dxa"/>
          </w:tblCellMar>
        </w:tblPrEx>
        <w:trPr>
          <w:trHeight w:val="486" w:hRule="atLeast"/>
          <w:jc w:val="center"/>
        </w:trPr>
        <w:tc>
          <w:tcPr>
            <w:tcW w:w="840" w:type="dxa"/>
            <w:vMerge w:val="continue"/>
            <w:tcBorders>
              <w:left w:val="single" w:color="000000" w:sz="4" w:space="0"/>
              <w:right w:val="single" w:color="000000" w:sz="6" w:space="0"/>
            </w:tcBorders>
            <w:vAlign w:val="center"/>
          </w:tcPr>
          <w:p>
            <w:pPr>
              <w:spacing w:line="360" w:lineRule="auto"/>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pPr>
              <w:spacing w:line="360" w:lineRule="auto"/>
              <w:rPr>
                <w:rFonts w:ascii="宋体" w:hAnsi="宋体" w:cs="宋体"/>
                <w:color w:val="auto"/>
                <w:kern w:val="1"/>
                <w:szCs w:val="21"/>
                <w:highlight w:val="none"/>
              </w:rPr>
            </w:pPr>
          </w:p>
        </w:tc>
        <w:tc>
          <w:tcPr>
            <w:tcW w:w="1770" w:type="dxa"/>
            <w:tcBorders>
              <w:top w:val="single" w:color="000000" w:sz="6" w:space="0"/>
              <w:left w:val="single" w:color="000000" w:sz="6" w:space="0"/>
              <w:bottom w:val="single" w:color="000000" w:sz="6" w:space="0"/>
              <w:right w:val="single" w:color="auto" w:sz="4" w:space="0"/>
            </w:tcBorders>
            <w:vAlign w:val="center"/>
          </w:tcPr>
          <w:p>
            <w:pPr>
              <w:spacing w:line="360" w:lineRule="auto"/>
              <w:rPr>
                <w:color w:val="auto"/>
                <w:highlight w:val="none"/>
              </w:rPr>
            </w:pPr>
            <w:r>
              <w:rPr>
                <w:rFonts w:hint="eastAsia"/>
                <w:color w:val="auto"/>
                <w:highlight w:val="none"/>
              </w:rPr>
              <w:t>合法合规性</w:t>
            </w:r>
          </w:p>
        </w:tc>
        <w:tc>
          <w:tcPr>
            <w:tcW w:w="5245" w:type="dxa"/>
            <w:tcBorders>
              <w:top w:val="single" w:color="000000" w:sz="6" w:space="0"/>
              <w:left w:val="single" w:color="auto" w:sz="4" w:space="0"/>
              <w:bottom w:val="single" w:color="000000" w:sz="6" w:space="0"/>
              <w:right w:val="single" w:color="000000" w:sz="4" w:space="0"/>
            </w:tcBorders>
            <w:vAlign w:val="center"/>
          </w:tcPr>
          <w:p>
            <w:pPr>
              <w:spacing w:line="360" w:lineRule="auto"/>
              <w:rPr>
                <w:rFonts w:hint="eastAsia" w:eastAsia="宋体"/>
                <w:color w:val="auto"/>
                <w:highlight w:val="none"/>
                <w:lang w:eastAsia="zh-CN"/>
              </w:rPr>
            </w:pPr>
            <w:r>
              <w:rPr>
                <w:rFonts w:hint="eastAsia"/>
                <w:color w:val="auto"/>
                <w:szCs w:val="21"/>
                <w:highlight w:val="none"/>
              </w:rPr>
              <w:t>投标人之间不存在《广东省实施&lt;中华人民共和国招标投标法&gt;》第十六条所禁止的情形的</w:t>
            </w:r>
            <w:r>
              <w:rPr>
                <w:rFonts w:hint="eastAsia"/>
                <w:color w:val="auto"/>
                <w:szCs w:val="21"/>
                <w:highlight w:val="none"/>
                <w:lang w:eastAsia="zh-CN"/>
              </w:rPr>
              <w:t>。</w:t>
            </w:r>
          </w:p>
        </w:tc>
      </w:tr>
      <w:tr>
        <w:tblPrEx>
          <w:tblCellMar>
            <w:top w:w="0" w:type="dxa"/>
            <w:left w:w="108" w:type="dxa"/>
            <w:bottom w:w="0" w:type="dxa"/>
            <w:right w:w="108" w:type="dxa"/>
          </w:tblCellMar>
        </w:tblPrEx>
        <w:trPr>
          <w:trHeight w:val="20" w:hRule="atLeast"/>
          <w:jc w:val="center"/>
        </w:trPr>
        <w:tc>
          <w:tcPr>
            <w:tcW w:w="2625" w:type="dxa"/>
            <w:gridSpan w:val="3"/>
            <w:tcBorders>
              <w:top w:val="single" w:color="000000" w:sz="6" w:space="0"/>
              <w:left w:val="single" w:color="000000" w:sz="4" w:space="0"/>
              <w:bottom w:val="single" w:color="000000" w:sz="6" w:space="0"/>
              <w:right w:val="single" w:color="000000" w:sz="6" w:space="0"/>
            </w:tcBorders>
            <w:vAlign w:val="center"/>
          </w:tcPr>
          <w:p>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177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条款内容</w:t>
            </w:r>
          </w:p>
        </w:tc>
        <w:tc>
          <w:tcPr>
            <w:tcW w:w="5245" w:type="dxa"/>
            <w:tcBorders>
              <w:top w:val="single" w:color="000000" w:sz="6" w:space="0"/>
              <w:left w:val="single" w:color="000000" w:sz="6" w:space="0"/>
              <w:bottom w:val="single" w:color="000000" w:sz="6" w:space="0"/>
              <w:right w:val="single" w:color="000000" w:sz="4" w:space="0"/>
            </w:tcBorders>
            <w:vAlign w:val="center"/>
          </w:tcPr>
          <w:p>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编列内容</w:t>
            </w:r>
          </w:p>
        </w:tc>
      </w:tr>
      <w:tr>
        <w:tblPrEx>
          <w:tblCellMar>
            <w:top w:w="0" w:type="dxa"/>
            <w:left w:w="108" w:type="dxa"/>
            <w:bottom w:w="0" w:type="dxa"/>
            <w:right w:w="108" w:type="dxa"/>
          </w:tblCellMar>
        </w:tblPrEx>
        <w:trPr>
          <w:trHeight w:val="948" w:hRule="atLeast"/>
          <w:jc w:val="center"/>
        </w:trPr>
        <w:tc>
          <w:tcPr>
            <w:tcW w:w="2625" w:type="dxa"/>
            <w:gridSpan w:val="3"/>
            <w:tcBorders>
              <w:top w:val="single" w:color="000000" w:sz="6" w:space="0"/>
              <w:left w:val="single" w:color="000000" w:sz="4" w:space="0"/>
              <w:bottom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2.2.1</w:t>
            </w:r>
          </w:p>
        </w:tc>
        <w:tc>
          <w:tcPr>
            <w:tcW w:w="177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分值构成及权重</w:t>
            </w:r>
          </w:p>
        </w:tc>
        <w:tc>
          <w:tcPr>
            <w:tcW w:w="5245" w:type="dxa"/>
            <w:tcBorders>
              <w:top w:val="single" w:color="000000" w:sz="6" w:space="0"/>
              <w:left w:val="single" w:color="000000" w:sz="6" w:space="0"/>
              <w:bottom w:val="single" w:color="000000" w:sz="6" w:space="0"/>
              <w:right w:val="single" w:color="000000" w:sz="4" w:space="0"/>
            </w:tcBorders>
            <w:vAlign w:val="center"/>
          </w:tcPr>
          <w:p>
            <w:pPr>
              <w:spacing w:line="360" w:lineRule="auto"/>
              <w:rPr>
                <w:color w:val="auto"/>
                <w:highlight w:val="none"/>
              </w:rPr>
            </w:pPr>
            <w:r>
              <w:rPr>
                <w:rFonts w:hint="eastAsia"/>
                <w:color w:val="auto"/>
                <w:highlight w:val="none"/>
              </w:rPr>
              <w:t>总得分满分为</w:t>
            </w:r>
            <w:r>
              <w:rPr>
                <w:rFonts w:hint="eastAsia" w:ascii="宋体" w:hAnsi="宋体"/>
                <w:color w:val="auto"/>
                <w:highlight w:val="none"/>
              </w:rPr>
              <w:t>100</w:t>
            </w:r>
            <w:r>
              <w:rPr>
                <w:rFonts w:hint="eastAsia"/>
                <w:color w:val="auto"/>
                <w:highlight w:val="none"/>
              </w:rPr>
              <w:t>分，总分权重分配：</w:t>
            </w:r>
          </w:p>
          <w:p>
            <w:pPr>
              <w:spacing w:line="360" w:lineRule="auto"/>
              <w:rPr>
                <w:color w:val="auto"/>
                <w:highlight w:val="none"/>
              </w:rPr>
            </w:pPr>
            <w:r>
              <w:rPr>
                <w:color w:val="auto"/>
                <w:highlight w:val="none"/>
              </w:rPr>
              <w:t>总</w:t>
            </w:r>
            <w:r>
              <w:rPr>
                <w:rFonts w:hint="eastAsia"/>
                <w:color w:val="auto"/>
                <w:highlight w:val="none"/>
              </w:rPr>
              <w:t>得分=</w:t>
            </w:r>
            <w:r>
              <w:rPr>
                <w:rFonts w:hint="eastAsia"/>
                <w:b/>
                <w:color w:val="auto"/>
                <w:highlight w:val="none"/>
                <w:u w:val="single"/>
                <w:lang w:eastAsia="zh-CN"/>
              </w:rPr>
              <w:t>勘察、设计、工程商务及实施方案</w:t>
            </w:r>
            <w:r>
              <w:rPr>
                <w:rFonts w:hint="eastAsia"/>
                <w:b/>
                <w:color w:val="auto"/>
                <w:highlight w:val="none"/>
                <w:u w:val="single"/>
                <w:lang w:val="en-US" w:eastAsia="zh-CN"/>
              </w:rPr>
              <w:t>（满分100分）×</w:t>
            </w:r>
            <w:r>
              <w:rPr>
                <w:b/>
                <w:color w:val="auto"/>
                <w:highlight w:val="none"/>
                <w:u w:val="single"/>
              </w:rPr>
              <w:t>权重</w:t>
            </w:r>
            <w:r>
              <w:rPr>
                <w:rFonts w:hint="eastAsia"/>
                <w:b/>
                <w:color w:val="auto"/>
                <w:highlight w:val="none"/>
                <w:u w:val="single"/>
                <w:lang w:eastAsia="zh-CN"/>
              </w:rPr>
              <w:t>（</w:t>
            </w:r>
            <w:r>
              <w:rPr>
                <w:rFonts w:hint="eastAsia"/>
                <w:b/>
                <w:color w:val="auto"/>
                <w:highlight w:val="none"/>
                <w:u w:val="single"/>
                <w:lang w:val="en-US" w:eastAsia="zh-CN"/>
              </w:rPr>
              <w:t>8</w:t>
            </w:r>
            <w:r>
              <w:rPr>
                <w:b/>
                <w:color w:val="auto"/>
                <w:highlight w:val="none"/>
                <w:u w:val="single"/>
              </w:rPr>
              <w:t>0%）+</w:t>
            </w:r>
            <w:r>
              <w:rPr>
                <w:rFonts w:hint="eastAsia"/>
                <w:b/>
                <w:color w:val="auto"/>
                <w:highlight w:val="none"/>
                <w:u w:val="single"/>
                <w:lang w:eastAsia="zh-CN"/>
              </w:rPr>
              <w:t>建安工程费投标报价得分</w:t>
            </w:r>
            <w:r>
              <w:rPr>
                <w:rFonts w:hint="eastAsia"/>
                <w:b/>
                <w:color w:val="auto"/>
                <w:highlight w:val="none"/>
                <w:u w:val="single"/>
              </w:rPr>
              <w:t>（满分100分）</w:t>
            </w:r>
            <w:r>
              <w:rPr>
                <w:rFonts w:hint="eastAsia"/>
                <w:b/>
                <w:color w:val="auto"/>
                <w:highlight w:val="none"/>
                <w:u w:val="single"/>
                <w:lang w:eastAsia="zh-CN"/>
              </w:rPr>
              <w:t>×权重</w:t>
            </w:r>
            <w:r>
              <w:rPr>
                <w:rFonts w:hint="default"/>
                <w:b/>
                <w:color w:val="auto"/>
                <w:highlight w:val="none"/>
                <w:u w:val="single"/>
                <w:lang w:eastAsia="zh-CN"/>
              </w:rPr>
              <w:t>（</w:t>
            </w:r>
            <w:r>
              <w:rPr>
                <w:rFonts w:hint="eastAsia"/>
                <w:b/>
                <w:color w:val="auto"/>
                <w:highlight w:val="none"/>
                <w:u w:val="single"/>
                <w:lang w:eastAsia="zh-CN"/>
              </w:rPr>
              <w:t>20%）</w:t>
            </w:r>
            <w:r>
              <w:rPr>
                <w:b/>
                <w:color w:val="auto"/>
                <w:highlight w:val="none"/>
                <w:u w:val="single"/>
              </w:rPr>
              <w:t>。</w:t>
            </w:r>
          </w:p>
        </w:tc>
      </w:tr>
      <w:tr>
        <w:tblPrEx>
          <w:tblCellMar>
            <w:top w:w="0" w:type="dxa"/>
            <w:left w:w="108" w:type="dxa"/>
            <w:bottom w:w="0" w:type="dxa"/>
            <w:right w:w="108" w:type="dxa"/>
          </w:tblCellMar>
        </w:tblPrEx>
        <w:trPr>
          <w:trHeight w:val="860" w:hRule="atLeast"/>
          <w:jc w:val="center"/>
        </w:trPr>
        <w:tc>
          <w:tcPr>
            <w:tcW w:w="2625" w:type="dxa"/>
            <w:gridSpan w:val="3"/>
            <w:tcBorders>
              <w:top w:val="single" w:color="000000" w:sz="6" w:space="0"/>
              <w:left w:val="single" w:color="000000" w:sz="4" w:space="0"/>
              <w:bottom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.2.2</w:t>
            </w:r>
          </w:p>
        </w:tc>
        <w:tc>
          <w:tcPr>
            <w:tcW w:w="1770" w:type="dxa"/>
            <w:tcBorders>
              <w:top w:val="single" w:color="000000" w:sz="6" w:space="0"/>
              <w:left w:val="single" w:color="000000" w:sz="6" w:space="0"/>
              <w:bottom w:val="single" w:color="000000" w:sz="6" w:space="0"/>
              <w:right w:val="single" w:color="000000" w:sz="6" w:space="0"/>
            </w:tcBorders>
            <w:vAlign w:val="center"/>
          </w:tcPr>
          <w:p>
            <w:pPr>
              <w:spacing w:line="360" w:lineRule="auto"/>
              <w:rPr>
                <w:color w:val="auto"/>
                <w:highlight w:val="none"/>
              </w:rPr>
            </w:pPr>
            <w:r>
              <w:rPr>
                <w:rFonts w:hint="eastAsia"/>
                <w:color w:val="auto"/>
                <w:highlight w:val="none"/>
              </w:rPr>
              <w:t>评标基准价计算方法</w:t>
            </w:r>
          </w:p>
        </w:tc>
        <w:tc>
          <w:tcPr>
            <w:tcW w:w="5245" w:type="dxa"/>
            <w:tcBorders>
              <w:top w:val="single" w:color="000000" w:sz="6" w:space="0"/>
              <w:left w:val="single" w:color="000000" w:sz="6" w:space="0"/>
              <w:bottom w:val="single" w:color="000000" w:sz="6" w:space="0"/>
              <w:right w:val="single" w:color="000000" w:sz="4" w:space="0"/>
            </w:tcBorders>
            <w:vAlign w:val="center"/>
          </w:tcPr>
          <w:p>
            <w:pPr>
              <w:spacing w:line="360" w:lineRule="auto"/>
              <w:rPr>
                <w:color w:val="auto"/>
                <w:highlight w:val="none"/>
              </w:rPr>
            </w:pPr>
            <w:r>
              <w:rPr>
                <w:rFonts w:hint="eastAsia"/>
                <w:color w:val="auto"/>
                <w:highlight w:val="none"/>
              </w:rPr>
              <w:t>在通过初步评审且经算术复核的施工费投标报价位于[施工费最高投标限价×</w:t>
            </w:r>
            <w:r>
              <w:rPr>
                <w:rFonts w:hint="eastAsia" w:ascii="宋体" w:hAnsi="宋体"/>
                <w:color w:val="auto"/>
                <w:highlight w:val="none"/>
                <w:lang w:eastAsia="zh-CN"/>
              </w:rPr>
              <w:t>95</w:t>
            </w:r>
            <w:r>
              <w:rPr>
                <w:rFonts w:hint="eastAsia" w:ascii="宋体" w:hAnsi="宋体"/>
                <w:color w:val="auto"/>
                <w:highlight w:val="none"/>
              </w:rPr>
              <w:t>%</w:t>
            </w:r>
            <w:r>
              <w:rPr>
                <w:rFonts w:hint="eastAsia"/>
                <w:color w:val="auto"/>
                <w:highlight w:val="none"/>
              </w:rPr>
              <w:t>，施工费最高投标限价]区间的投标人超过</w:t>
            </w:r>
            <w:r>
              <w:rPr>
                <w:rFonts w:hint="eastAsia" w:ascii="宋体" w:hAnsi="宋体"/>
                <w:color w:val="auto"/>
                <w:highlight w:val="none"/>
              </w:rPr>
              <w:t>5</w:t>
            </w:r>
            <w:r>
              <w:rPr>
                <w:rFonts w:hint="eastAsia"/>
                <w:color w:val="auto"/>
                <w:highlight w:val="none"/>
              </w:rPr>
              <w:t>家时，在经算术复核的位于[施工费最高投标限价×</w:t>
            </w:r>
            <w:r>
              <w:rPr>
                <w:rFonts w:hint="eastAsia" w:ascii="宋体" w:hAnsi="宋体"/>
                <w:color w:val="auto"/>
                <w:highlight w:val="none"/>
                <w:lang w:eastAsia="zh-CN"/>
              </w:rPr>
              <w:t>95</w:t>
            </w:r>
            <w:r>
              <w:rPr>
                <w:rFonts w:hint="eastAsia" w:ascii="宋体" w:hAnsi="宋体"/>
                <w:color w:val="auto"/>
                <w:highlight w:val="none"/>
              </w:rPr>
              <w:t>%</w:t>
            </w:r>
            <w:r>
              <w:rPr>
                <w:rFonts w:hint="eastAsia"/>
                <w:color w:val="auto"/>
                <w:highlight w:val="none"/>
              </w:rPr>
              <w:t>，施工费最高投标限价]区间的投标人的施工费投标报价中，去掉一个最高价和一个最低价后，取剩余报价的算术平均值为评标基准价（精确到小数点后两位）；在通过初步评审且经算术复核的施工费投标报价位于[施工费最高投标限价×</w:t>
            </w:r>
            <w:r>
              <w:rPr>
                <w:rFonts w:hint="eastAsia" w:ascii="宋体" w:hAnsi="宋体"/>
                <w:color w:val="auto"/>
                <w:highlight w:val="none"/>
                <w:lang w:eastAsia="zh-CN"/>
              </w:rPr>
              <w:t>95</w:t>
            </w:r>
            <w:r>
              <w:rPr>
                <w:rFonts w:hint="eastAsia" w:ascii="宋体" w:hAnsi="宋体"/>
                <w:color w:val="auto"/>
                <w:highlight w:val="none"/>
              </w:rPr>
              <w:t>%</w:t>
            </w:r>
            <w:r>
              <w:rPr>
                <w:rFonts w:hint="eastAsia"/>
                <w:color w:val="auto"/>
                <w:highlight w:val="none"/>
              </w:rPr>
              <w:t>，施工费最高投标限价]区间的投标人少于</w:t>
            </w:r>
            <w:r>
              <w:rPr>
                <w:rFonts w:hint="eastAsia" w:ascii="宋体" w:hAnsi="宋体"/>
                <w:color w:val="auto"/>
                <w:highlight w:val="none"/>
              </w:rPr>
              <w:t>5</w:t>
            </w:r>
            <w:r>
              <w:rPr>
                <w:rFonts w:hint="eastAsia"/>
                <w:color w:val="auto"/>
                <w:highlight w:val="none"/>
              </w:rPr>
              <w:t>家（含</w:t>
            </w:r>
            <w:r>
              <w:rPr>
                <w:rFonts w:hint="eastAsia" w:ascii="宋体" w:hAnsi="宋体"/>
                <w:color w:val="auto"/>
                <w:highlight w:val="none"/>
              </w:rPr>
              <w:t>5</w:t>
            </w:r>
            <w:r>
              <w:rPr>
                <w:rFonts w:hint="eastAsia"/>
                <w:color w:val="auto"/>
                <w:highlight w:val="none"/>
              </w:rPr>
              <w:t>家）时，直接取区间中经算术复核的施工费投标报价的算术平均值为评标基准价（精确到小数点后两位）。若在通过初步评审且经算术复核的施工费投标报价中，没有施工费投标报价位于[施工费最高投标限价×</w:t>
            </w:r>
            <w:r>
              <w:rPr>
                <w:rFonts w:hint="eastAsia" w:ascii="宋体" w:hAnsi="宋体"/>
                <w:color w:val="auto"/>
                <w:highlight w:val="none"/>
                <w:lang w:eastAsia="zh-CN"/>
              </w:rPr>
              <w:t>95</w:t>
            </w:r>
            <w:r>
              <w:rPr>
                <w:rFonts w:hint="eastAsia" w:ascii="宋体" w:hAnsi="宋体"/>
                <w:color w:val="auto"/>
                <w:highlight w:val="none"/>
              </w:rPr>
              <w:t>%</w:t>
            </w:r>
            <w:r>
              <w:rPr>
                <w:rFonts w:hint="eastAsia"/>
                <w:color w:val="auto"/>
                <w:highlight w:val="none"/>
              </w:rPr>
              <w:t>，施工费最高投标限价]区间，则本项目招标失败，由招标人依法重新招标。</w:t>
            </w:r>
          </w:p>
        </w:tc>
      </w:tr>
      <w:tr>
        <w:tblPrEx>
          <w:tblCellMar>
            <w:top w:w="0" w:type="dxa"/>
            <w:left w:w="108" w:type="dxa"/>
            <w:bottom w:w="0" w:type="dxa"/>
            <w:right w:w="108" w:type="dxa"/>
          </w:tblCellMar>
        </w:tblPrEx>
        <w:trPr>
          <w:trHeight w:val="1127" w:hRule="atLeast"/>
          <w:jc w:val="center"/>
        </w:trPr>
        <w:tc>
          <w:tcPr>
            <w:tcW w:w="2625" w:type="dxa"/>
            <w:gridSpan w:val="3"/>
            <w:tcBorders>
              <w:top w:val="single" w:color="000000" w:sz="6" w:space="0"/>
              <w:left w:val="single" w:color="000000" w:sz="4" w:space="0"/>
              <w:bottom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.2.3</w:t>
            </w:r>
          </w:p>
        </w:tc>
        <w:tc>
          <w:tcPr>
            <w:tcW w:w="1770" w:type="dxa"/>
            <w:tcBorders>
              <w:top w:val="single" w:color="000000" w:sz="6" w:space="0"/>
              <w:left w:val="single" w:color="000000" w:sz="6" w:space="0"/>
              <w:bottom w:val="single" w:color="000000" w:sz="6" w:space="0"/>
              <w:right w:val="single" w:color="000000" w:sz="6" w:space="0"/>
            </w:tcBorders>
            <w:vAlign w:val="center"/>
          </w:tcPr>
          <w:p>
            <w:pPr>
              <w:spacing w:line="360" w:lineRule="auto"/>
              <w:rPr>
                <w:color w:val="auto"/>
                <w:highlight w:val="none"/>
              </w:rPr>
            </w:pPr>
            <w:r>
              <w:rPr>
                <w:rFonts w:hint="eastAsia"/>
                <w:color w:val="auto"/>
                <w:highlight w:val="none"/>
              </w:rPr>
              <w:t>施工费投标报价的偏差率计算公式</w:t>
            </w:r>
          </w:p>
        </w:tc>
        <w:tc>
          <w:tcPr>
            <w:tcW w:w="5245" w:type="dxa"/>
            <w:tcBorders>
              <w:top w:val="single" w:color="000000" w:sz="6" w:space="0"/>
              <w:left w:val="single" w:color="000000" w:sz="6" w:space="0"/>
              <w:bottom w:val="single" w:color="000000" w:sz="6" w:space="0"/>
              <w:right w:val="single" w:color="000000" w:sz="4" w:space="0"/>
            </w:tcBorders>
            <w:vAlign w:val="center"/>
          </w:tcPr>
          <w:p>
            <w:pPr>
              <w:spacing w:line="360" w:lineRule="auto"/>
              <w:rPr>
                <w:color w:val="auto"/>
                <w:highlight w:val="none"/>
              </w:rPr>
            </w:pPr>
            <w:r>
              <w:rPr>
                <w:rFonts w:hint="eastAsia"/>
                <w:color w:val="auto"/>
                <w:highlight w:val="none"/>
              </w:rPr>
              <w:t>偏差率=</w:t>
            </w:r>
            <w:r>
              <w:rPr>
                <w:rFonts w:hint="eastAsia" w:ascii="宋体" w:hAnsi="宋体"/>
                <w:color w:val="auto"/>
                <w:highlight w:val="none"/>
              </w:rPr>
              <w:t>100%</w:t>
            </w:r>
            <w:r>
              <w:rPr>
                <w:rFonts w:hint="eastAsia"/>
                <w:color w:val="auto"/>
                <w:highlight w:val="none"/>
              </w:rPr>
              <w:t>×（施工费投标报价－评标基准价）/评标基准价</w:t>
            </w:r>
          </w:p>
        </w:tc>
      </w:tr>
      <w:tr>
        <w:tblPrEx>
          <w:tblCellMar>
            <w:top w:w="0" w:type="dxa"/>
            <w:left w:w="108" w:type="dxa"/>
            <w:bottom w:w="0" w:type="dxa"/>
            <w:right w:w="108" w:type="dxa"/>
          </w:tblCellMar>
        </w:tblPrEx>
        <w:trPr>
          <w:trHeight w:val="20" w:hRule="atLeast"/>
          <w:jc w:val="center"/>
        </w:trPr>
        <w:tc>
          <w:tcPr>
            <w:tcW w:w="2625" w:type="dxa"/>
            <w:gridSpan w:val="3"/>
            <w:tcBorders>
              <w:top w:val="single" w:color="000000" w:sz="6" w:space="0"/>
              <w:left w:val="single" w:color="000000" w:sz="4" w:space="0"/>
              <w:bottom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b/>
                <w:color w:val="auto"/>
                <w:kern w:val="1"/>
                <w:szCs w:val="21"/>
                <w:highlight w:val="none"/>
              </w:rPr>
              <w:t>条款号</w:t>
            </w:r>
          </w:p>
        </w:tc>
        <w:tc>
          <w:tcPr>
            <w:tcW w:w="1770" w:type="dxa"/>
            <w:tcBorders>
              <w:top w:val="single" w:color="000000" w:sz="6" w:space="0"/>
              <w:left w:val="single" w:color="000000" w:sz="6" w:space="0"/>
              <w:bottom w:val="single" w:color="000000" w:sz="6" w:space="0"/>
              <w:right w:val="single" w:color="000000" w:sz="4" w:space="0"/>
            </w:tcBorders>
            <w:vAlign w:val="center"/>
          </w:tcPr>
          <w:p>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评分因素</w:t>
            </w:r>
          </w:p>
        </w:tc>
        <w:tc>
          <w:tcPr>
            <w:tcW w:w="5245" w:type="dxa"/>
            <w:tcBorders>
              <w:top w:val="single" w:color="000000" w:sz="6" w:space="0"/>
              <w:left w:val="single" w:color="000000" w:sz="4" w:space="0"/>
              <w:bottom w:val="single" w:color="000000" w:sz="6"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b/>
                <w:color w:val="auto"/>
                <w:kern w:val="1"/>
                <w:szCs w:val="21"/>
                <w:highlight w:val="none"/>
              </w:rPr>
              <w:t>评分标准</w:t>
            </w:r>
          </w:p>
        </w:tc>
      </w:tr>
      <w:tr>
        <w:tblPrEx>
          <w:tblCellMar>
            <w:top w:w="0" w:type="dxa"/>
            <w:left w:w="108" w:type="dxa"/>
            <w:bottom w:w="0" w:type="dxa"/>
            <w:right w:w="108" w:type="dxa"/>
          </w:tblCellMar>
        </w:tblPrEx>
        <w:trPr>
          <w:trHeight w:val="714" w:hRule="atLeast"/>
          <w:jc w:val="center"/>
        </w:trPr>
        <w:tc>
          <w:tcPr>
            <w:tcW w:w="1178" w:type="dxa"/>
            <w:gridSpan w:val="2"/>
            <w:tcBorders>
              <w:top w:val="single" w:color="000000" w:sz="6" w:space="0"/>
              <w:left w:val="single" w:color="000000" w:sz="4" w:space="0"/>
              <w:bottom w:val="single" w:color="auto"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w:t>
            </w:r>
            <w:r>
              <w:rPr>
                <w:rFonts w:hint="eastAsia" w:ascii="宋体" w:hAnsi="宋体" w:cs="宋体"/>
                <w:color w:val="auto"/>
                <w:kern w:val="1"/>
                <w:szCs w:val="21"/>
                <w:highlight w:val="none"/>
                <w:lang w:val="en-US" w:eastAsia="zh-CN"/>
              </w:rPr>
              <w:t>1</w:t>
            </w:r>
            <w:r>
              <w:rPr>
                <w:rFonts w:hint="eastAsia" w:ascii="宋体" w:hAnsi="宋体" w:cs="宋体"/>
                <w:color w:val="auto"/>
                <w:kern w:val="1"/>
                <w:szCs w:val="21"/>
                <w:highlight w:val="none"/>
              </w:rPr>
              <w:t>）</w:t>
            </w:r>
          </w:p>
        </w:tc>
        <w:tc>
          <w:tcPr>
            <w:tcW w:w="1447" w:type="dxa"/>
            <w:vMerge w:val="restart"/>
            <w:tcBorders>
              <w:top w:val="single" w:color="auto" w:sz="4" w:space="0"/>
              <w:left w:val="single" w:color="000000" w:sz="4" w:space="0"/>
              <w:right w:val="single" w:color="000000" w:sz="6"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eastAsia="zh-CN"/>
              </w:rPr>
              <w:t>勘察、设计、工程商务及实施方案</w:t>
            </w:r>
            <w:r>
              <w:rPr>
                <w:rFonts w:hint="eastAsia" w:ascii="宋体" w:hAnsi="宋体" w:cs="宋体"/>
                <w:color w:val="auto"/>
                <w:kern w:val="1"/>
                <w:szCs w:val="21"/>
                <w:highlight w:val="none"/>
              </w:rPr>
              <w:t>评分标准</w:t>
            </w:r>
          </w:p>
        </w:tc>
        <w:tc>
          <w:tcPr>
            <w:tcW w:w="1770" w:type="dxa"/>
            <w:tcBorders>
              <w:top w:val="single" w:color="000000" w:sz="6" w:space="0"/>
              <w:left w:val="single" w:color="000000" w:sz="6" w:space="0"/>
              <w:bottom w:val="single" w:color="000000" w:sz="6" w:space="0"/>
              <w:right w:val="single" w:color="000000" w:sz="4" w:space="0"/>
            </w:tcBorders>
            <w:vAlign w:val="center"/>
          </w:tcPr>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lang w:eastAsia="zh-CN"/>
              </w:rPr>
              <w:t>勘察、设计、工程商务及实施方案</w:t>
            </w:r>
            <w:r>
              <w:rPr>
                <w:rFonts w:hint="eastAsia" w:ascii="宋体" w:hAnsi="宋体" w:cs="宋体"/>
                <w:color w:val="auto"/>
                <w:kern w:val="1"/>
                <w:szCs w:val="21"/>
                <w:highlight w:val="none"/>
              </w:rPr>
              <w:t>技术部分</w:t>
            </w:r>
          </w:p>
        </w:tc>
        <w:tc>
          <w:tcPr>
            <w:tcW w:w="5245" w:type="dxa"/>
            <w:tcBorders>
              <w:top w:val="single" w:color="000000" w:sz="6" w:space="0"/>
              <w:left w:val="single" w:color="000000" w:sz="4" w:space="0"/>
              <w:bottom w:val="single" w:color="000000" w:sz="6" w:space="0"/>
              <w:right w:val="single" w:color="000000" w:sz="4" w:space="0"/>
            </w:tcBorders>
            <w:vAlign w:val="center"/>
          </w:tcPr>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见附表</w:t>
            </w:r>
            <w:r>
              <w:rPr>
                <w:rFonts w:hint="eastAsia" w:ascii="宋体" w:hAnsi="宋体" w:cs="宋体"/>
                <w:color w:val="auto"/>
                <w:kern w:val="1"/>
                <w:szCs w:val="21"/>
                <w:highlight w:val="none"/>
                <w:lang w:val="en-US" w:eastAsia="zh-CN"/>
              </w:rPr>
              <w:t>2</w:t>
            </w:r>
            <w:r>
              <w:rPr>
                <w:rFonts w:hint="eastAsia" w:ascii="宋体" w:hAnsi="宋体" w:cs="宋体"/>
                <w:color w:val="auto"/>
                <w:kern w:val="1"/>
                <w:szCs w:val="21"/>
                <w:highlight w:val="none"/>
              </w:rPr>
              <w:t>《</w:t>
            </w:r>
            <w:r>
              <w:rPr>
                <w:rFonts w:hint="eastAsia" w:ascii="宋体" w:hAnsi="宋体" w:cs="宋体"/>
                <w:color w:val="auto"/>
                <w:kern w:val="1"/>
                <w:szCs w:val="21"/>
                <w:highlight w:val="none"/>
                <w:lang w:eastAsia="zh-CN"/>
              </w:rPr>
              <w:t>勘察、设计、工程商务及实施方案投标文件详细审查评分表</w:t>
            </w:r>
            <w:r>
              <w:rPr>
                <w:rFonts w:hint="eastAsia" w:ascii="宋体" w:hAnsi="宋体" w:cs="宋体"/>
                <w:color w:val="auto"/>
                <w:kern w:val="1"/>
                <w:szCs w:val="21"/>
                <w:highlight w:val="none"/>
              </w:rPr>
              <w:t>》</w:t>
            </w:r>
          </w:p>
        </w:tc>
      </w:tr>
      <w:tr>
        <w:tblPrEx>
          <w:tblCellMar>
            <w:top w:w="0" w:type="dxa"/>
            <w:left w:w="108" w:type="dxa"/>
            <w:bottom w:w="0" w:type="dxa"/>
            <w:right w:w="108" w:type="dxa"/>
          </w:tblCellMar>
        </w:tblPrEx>
        <w:trPr>
          <w:trHeight w:val="538" w:hRule="atLeast"/>
          <w:jc w:val="center"/>
        </w:trPr>
        <w:tc>
          <w:tcPr>
            <w:tcW w:w="1178" w:type="dxa"/>
            <w:gridSpan w:val="2"/>
            <w:tcBorders>
              <w:top w:val="single" w:color="auto" w:sz="4" w:space="0"/>
              <w:left w:val="single" w:color="000000" w:sz="4" w:space="0"/>
              <w:bottom w:val="single" w:color="000000" w:sz="6"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w:t>
            </w:r>
            <w:r>
              <w:rPr>
                <w:rFonts w:hint="eastAsia" w:ascii="宋体" w:hAnsi="宋体" w:cs="宋体"/>
                <w:color w:val="auto"/>
                <w:kern w:val="1"/>
                <w:szCs w:val="21"/>
                <w:highlight w:val="none"/>
                <w:lang w:val="en-US" w:eastAsia="zh-CN"/>
              </w:rPr>
              <w:t>2</w:t>
            </w:r>
            <w:r>
              <w:rPr>
                <w:rFonts w:hint="eastAsia" w:ascii="宋体" w:hAnsi="宋体" w:cs="宋体"/>
                <w:color w:val="auto"/>
                <w:kern w:val="1"/>
                <w:szCs w:val="21"/>
                <w:highlight w:val="none"/>
              </w:rPr>
              <w:t>）</w:t>
            </w:r>
          </w:p>
        </w:tc>
        <w:tc>
          <w:tcPr>
            <w:tcW w:w="1447" w:type="dxa"/>
            <w:vMerge w:val="continue"/>
            <w:tcBorders>
              <w:left w:val="single" w:color="000000" w:sz="4" w:space="0"/>
              <w:bottom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770" w:type="dxa"/>
            <w:tcBorders>
              <w:top w:val="single" w:color="000000" w:sz="6" w:space="0"/>
              <w:left w:val="single" w:color="000000" w:sz="6" w:space="0"/>
              <w:bottom w:val="single" w:color="000000" w:sz="6" w:space="0"/>
              <w:right w:val="single" w:color="000000" w:sz="4" w:space="0"/>
            </w:tcBorders>
            <w:vAlign w:val="center"/>
          </w:tcPr>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lang w:eastAsia="zh-CN"/>
              </w:rPr>
              <w:t>勘察、设计、工程商务及实施方案</w:t>
            </w:r>
            <w:r>
              <w:rPr>
                <w:rFonts w:hint="eastAsia" w:ascii="宋体" w:hAnsi="宋体" w:cs="宋体"/>
                <w:color w:val="auto"/>
                <w:kern w:val="1"/>
                <w:szCs w:val="21"/>
                <w:highlight w:val="none"/>
              </w:rPr>
              <w:t>经济部分</w:t>
            </w:r>
          </w:p>
        </w:tc>
        <w:tc>
          <w:tcPr>
            <w:tcW w:w="5245" w:type="dxa"/>
            <w:tcBorders>
              <w:top w:val="single" w:color="000000" w:sz="6" w:space="0"/>
              <w:left w:val="single" w:color="000000" w:sz="4" w:space="0"/>
              <w:bottom w:val="single" w:color="000000" w:sz="6" w:space="0"/>
              <w:right w:val="single" w:color="000000" w:sz="4" w:space="0"/>
            </w:tcBorders>
            <w:shd w:val="clear" w:color="auto" w:fill="auto"/>
            <w:vAlign w:val="center"/>
          </w:tcPr>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评标委员会按“当评标价等于评标基准价时得100分，评标价每高于评标基准价1%，扣0.2分，每低于评标基准价1%，扣0.1分，最多扣100分”的标准，计算出</w:t>
            </w:r>
            <w:r>
              <w:rPr>
                <w:rFonts w:hint="eastAsia" w:ascii="宋体" w:hAnsi="宋体" w:cs="宋体"/>
                <w:color w:val="auto"/>
                <w:kern w:val="1"/>
                <w:szCs w:val="21"/>
                <w:highlight w:val="none"/>
                <w:lang w:eastAsia="zh-CN"/>
              </w:rPr>
              <w:t>勘察、设计、工程商务及实施方案</w:t>
            </w:r>
            <w:r>
              <w:rPr>
                <w:rFonts w:hint="eastAsia" w:ascii="宋体" w:hAnsi="宋体" w:cs="宋体"/>
                <w:color w:val="auto"/>
                <w:kern w:val="1"/>
                <w:szCs w:val="21"/>
                <w:highlight w:val="none"/>
              </w:rPr>
              <w:t>经济部分得分，精确到小数点后两位。</w:t>
            </w:r>
          </w:p>
        </w:tc>
      </w:tr>
      <w:tr>
        <w:tblPrEx>
          <w:tblCellMar>
            <w:top w:w="0" w:type="dxa"/>
            <w:left w:w="108" w:type="dxa"/>
            <w:bottom w:w="0" w:type="dxa"/>
            <w:right w:w="108" w:type="dxa"/>
          </w:tblCellMar>
        </w:tblPrEx>
        <w:trPr>
          <w:trHeight w:val="305" w:hRule="atLeast"/>
          <w:jc w:val="center"/>
        </w:trPr>
        <w:tc>
          <w:tcPr>
            <w:tcW w:w="9640" w:type="dxa"/>
            <w:gridSpan w:val="5"/>
            <w:tcBorders>
              <w:top w:val="single" w:color="000000" w:sz="6" w:space="0"/>
              <w:left w:val="single" w:color="000000" w:sz="4" w:space="0"/>
              <w:bottom w:val="single" w:color="000000" w:sz="6" w:space="0"/>
              <w:right w:val="single" w:color="000000" w:sz="4" w:space="0"/>
            </w:tcBorders>
            <w:vAlign w:val="center"/>
          </w:tcPr>
          <w:p>
            <w:pPr>
              <w:spacing w:line="360" w:lineRule="auto"/>
              <w:rPr>
                <w:rFonts w:ascii="宋体" w:hAnsi="宋体" w:cs="宋体"/>
                <w:b/>
                <w:color w:val="auto"/>
                <w:kern w:val="1"/>
                <w:szCs w:val="21"/>
                <w:highlight w:val="none"/>
              </w:rPr>
            </w:pPr>
            <w:r>
              <w:rPr>
                <w:rFonts w:hint="eastAsia" w:ascii="宋体" w:hAnsi="宋体" w:cs="宋体"/>
                <w:b/>
                <w:color w:val="auto"/>
                <w:kern w:val="1"/>
                <w:szCs w:val="21"/>
                <w:highlight w:val="none"/>
              </w:rPr>
              <w:t>需要补充的其他内容</w:t>
            </w:r>
          </w:p>
        </w:tc>
      </w:tr>
      <w:tr>
        <w:tblPrEx>
          <w:tblCellMar>
            <w:top w:w="0" w:type="dxa"/>
            <w:left w:w="108" w:type="dxa"/>
            <w:bottom w:w="0" w:type="dxa"/>
            <w:right w:w="108" w:type="dxa"/>
          </w:tblCellMar>
        </w:tblPrEx>
        <w:trPr>
          <w:trHeight w:val="759" w:hRule="atLeast"/>
          <w:jc w:val="center"/>
        </w:trPr>
        <w:tc>
          <w:tcPr>
            <w:tcW w:w="9640" w:type="dxa"/>
            <w:gridSpan w:val="5"/>
            <w:tcBorders>
              <w:top w:val="single" w:color="000000" w:sz="6" w:space="0"/>
              <w:left w:val="single" w:color="000000" w:sz="4" w:space="0"/>
              <w:bottom w:val="single" w:color="000000" w:sz="4" w:space="0"/>
              <w:right w:val="single" w:color="000000" w:sz="4" w:space="0"/>
            </w:tcBorders>
          </w:tcPr>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关于联合体投标人评标的相关规定：</w:t>
            </w:r>
          </w:p>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1）如投标人组成联合体，</w:t>
            </w:r>
            <w:r>
              <w:rPr>
                <w:rFonts w:hint="eastAsia" w:ascii="宋体" w:hAnsi="宋体"/>
                <w:color w:val="auto"/>
                <w:szCs w:val="21"/>
                <w:highlight w:val="none"/>
                <w:shd w:val="clear" w:color="auto" w:fill="FFFFFF"/>
              </w:rPr>
              <w:t>但只接受最多由</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家单位【1家勘察单位、</w:t>
            </w:r>
            <w:r>
              <w:rPr>
                <w:rFonts w:hint="eastAsia" w:ascii="宋体" w:hAnsi="宋体"/>
                <w:color w:val="auto"/>
                <w:szCs w:val="21"/>
                <w:highlight w:val="none"/>
                <w:lang w:val="en-US" w:eastAsia="zh-CN"/>
              </w:rPr>
              <w:t>1</w:t>
            </w:r>
            <w:r>
              <w:rPr>
                <w:rFonts w:hint="eastAsia" w:ascii="宋体" w:hAnsi="宋体"/>
                <w:color w:val="auto"/>
                <w:szCs w:val="21"/>
                <w:highlight w:val="none"/>
              </w:rPr>
              <w:t>家设计单位、1家</w:t>
            </w:r>
            <w:r>
              <w:rPr>
                <w:rFonts w:hint="eastAsia" w:ascii="宋体" w:hAnsi="宋体"/>
                <w:color w:val="auto"/>
                <w:szCs w:val="21"/>
                <w:highlight w:val="none"/>
                <w:shd w:val="clear" w:color="auto" w:fill="FFFFFF"/>
              </w:rPr>
              <w:t>施工单位】组成的联合体，</w:t>
            </w:r>
            <w:r>
              <w:rPr>
                <w:rFonts w:hint="eastAsia" w:ascii="宋体" w:hAnsi="宋体" w:cs="宋体"/>
                <w:color w:val="auto"/>
                <w:szCs w:val="21"/>
                <w:highlight w:val="none"/>
              </w:rPr>
              <w:t>应以承接</w:t>
            </w:r>
            <w:r>
              <w:rPr>
                <w:rFonts w:hint="eastAsia" w:ascii="宋体" w:hAnsi="宋体" w:cs="宋体"/>
                <w:color w:val="auto"/>
                <w:szCs w:val="21"/>
                <w:highlight w:val="none"/>
                <w:u w:val="single"/>
              </w:rPr>
              <w:t>施工</w:t>
            </w:r>
            <w:r>
              <w:rPr>
                <w:rFonts w:hint="eastAsia" w:ascii="宋体" w:hAnsi="宋体" w:cs="宋体"/>
                <w:color w:val="auto"/>
                <w:szCs w:val="21"/>
                <w:highlight w:val="none"/>
              </w:rPr>
              <w:t>任务的一家单位为</w:t>
            </w:r>
            <w:r>
              <w:rPr>
                <w:rFonts w:hint="eastAsia" w:ascii="宋体" w:hAnsi="宋体" w:cs="宋体"/>
                <w:color w:val="auto"/>
                <w:szCs w:val="21"/>
                <w:highlight w:val="none"/>
                <w:lang w:eastAsia="zh-CN"/>
              </w:rPr>
              <w:t>主办方</w:t>
            </w:r>
            <w:r>
              <w:rPr>
                <w:rFonts w:hint="eastAsia" w:ascii="宋体" w:hAnsi="宋体" w:cs="宋体"/>
                <w:color w:val="auto"/>
                <w:kern w:val="1"/>
                <w:szCs w:val="21"/>
                <w:highlight w:val="none"/>
              </w:rPr>
              <w:t>，并签订联合体共同投标协议书。联合体共同投标协议书应明确约定各方拟承担的工作和责任。投标人拟任本工程项目负责人应为</w:t>
            </w:r>
            <w:r>
              <w:rPr>
                <w:rFonts w:hint="eastAsia" w:ascii="宋体" w:hAnsi="宋体" w:cs="宋体"/>
                <w:color w:val="auto"/>
                <w:kern w:val="1"/>
                <w:szCs w:val="21"/>
                <w:highlight w:val="none"/>
                <w:lang w:eastAsia="zh-CN"/>
              </w:rPr>
              <w:t>主办方</w:t>
            </w:r>
            <w:r>
              <w:rPr>
                <w:rFonts w:hint="eastAsia" w:ascii="宋体" w:hAnsi="宋体" w:cs="宋体"/>
                <w:color w:val="auto"/>
                <w:kern w:val="1"/>
                <w:szCs w:val="21"/>
                <w:highlight w:val="none"/>
              </w:rPr>
              <w:t>正式员工。</w:t>
            </w:r>
          </w:p>
          <w:p>
            <w:pPr>
              <w:spacing w:line="360" w:lineRule="auto"/>
              <w:rPr>
                <w:color w:val="auto"/>
                <w:highlight w:val="none"/>
              </w:rPr>
            </w:pPr>
            <w:r>
              <w:rPr>
                <w:rFonts w:ascii="宋体" w:hAnsi="宋体" w:cs="宋体"/>
                <w:color w:val="auto"/>
                <w:kern w:val="1"/>
                <w:szCs w:val="21"/>
                <w:highlight w:val="none"/>
              </w:rPr>
              <w:t>2）如组成联合体投标的；</w:t>
            </w:r>
            <w:r>
              <w:rPr>
                <w:rFonts w:hint="eastAsia" w:ascii="宋体" w:hAnsi="宋体" w:cs="宋体"/>
                <w:color w:val="auto"/>
                <w:kern w:val="1"/>
                <w:szCs w:val="21"/>
                <w:highlight w:val="none"/>
              </w:rPr>
              <w:t>勘察</w:t>
            </w:r>
            <w:r>
              <w:rPr>
                <w:rFonts w:ascii="宋体" w:hAnsi="宋体" w:cs="宋体"/>
                <w:color w:val="auto"/>
                <w:kern w:val="1"/>
                <w:szCs w:val="21"/>
                <w:highlight w:val="none"/>
              </w:rPr>
              <w:t>设计部分评分以承接</w:t>
            </w:r>
            <w:r>
              <w:rPr>
                <w:rFonts w:hint="eastAsia" w:ascii="宋体" w:hAnsi="宋体" w:cs="宋体"/>
                <w:color w:val="auto"/>
                <w:kern w:val="1"/>
                <w:szCs w:val="21"/>
                <w:highlight w:val="none"/>
              </w:rPr>
              <w:t>勘察</w:t>
            </w:r>
            <w:r>
              <w:rPr>
                <w:rFonts w:ascii="宋体" w:hAnsi="宋体" w:cs="宋体"/>
                <w:color w:val="auto"/>
                <w:kern w:val="1"/>
                <w:szCs w:val="21"/>
                <w:highlight w:val="none"/>
              </w:rPr>
              <w:t>设计任务的单位为准；施工部分评分以</w:t>
            </w:r>
            <w:r>
              <w:rPr>
                <w:rFonts w:hint="eastAsia" w:ascii="宋体" w:hAnsi="宋体" w:cs="宋体"/>
                <w:color w:val="auto"/>
                <w:kern w:val="1"/>
                <w:szCs w:val="21"/>
                <w:highlight w:val="none"/>
                <w:lang w:eastAsia="zh-CN"/>
              </w:rPr>
              <w:t>主办方</w:t>
            </w:r>
            <w:r>
              <w:rPr>
                <w:rFonts w:ascii="宋体" w:hAnsi="宋体" w:cs="宋体"/>
                <w:color w:val="auto"/>
                <w:kern w:val="1"/>
                <w:szCs w:val="21"/>
                <w:highlight w:val="none"/>
              </w:rPr>
              <w:t>为准。</w:t>
            </w:r>
          </w:p>
        </w:tc>
      </w:tr>
    </w:tbl>
    <w:p>
      <w:pPr>
        <w:spacing w:line="360" w:lineRule="auto"/>
        <w:jc w:val="left"/>
        <w:rPr>
          <w:rFonts w:ascii="宋体" w:hAnsi="宋体" w:cs="宋体"/>
          <w:color w:val="auto"/>
          <w:highlight w:val="none"/>
        </w:rPr>
        <w:sectPr>
          <w:headerReference r:id="rId9" w:type="default"/>
          <w:footerReference r:id="rId10" w:type="default"/>
          <w:pgSz w:w="11907" w:h="16840"/>
          <w:pgMar w:top="1361" w:right="1304" w:bottom="1304" w:left="1304" w:header="851" w:footer="720" w:gutter="0"/>
          <w:cols w:space="720" w:num="1"/>
        </w:sectPr>
      </w:pPr>
    </w:p>
    <w:p>
      <w:pPr>
        <w:pStyle w:val="5"/>
        <w:spacing w:before="100" w:after="100" w:line="360" w:lineRule="auto"/>
        <w:rPr>
          <w:rFonts w:ascii="宋体" w:hAnsi="宋体" w:eastAsia="宋体" w:cs="宋体"/>
          <w:color w:val="auto"/>
          <w:sz w:val="24"/>
          <w:szCs w:val="24"/>
          <w:highlight w:val="none"/>
          <w:lang w:val="zh-CN"/>
        </w:rPr>
      </w:pPr>
      <w:bookmarkStart w:id="359" w:name="_Toc3262"/>
      <w:bookmarkEnd w:id="359"/>
      <w:bookmarkStart w:id="360" w:name="_Toc27323"/>
      <w:bookmarkEnd w:id="360"/>
      <w:bookmarkStart w:id="361" w:name="_Toc1626"/>
      <w:bookmarkStart w:id="362" w:name="_Toc5620347"/>
      <w:r>
        <w:rPr>
          <w:rFonts w:hint="eastAsia" w:ascii="宋体" w:hAnsi="宋体" w:eastAsia="宋体" w:cs="宋体"/>
          <w:color w:val="auto"/>
          <w:sz w:val="24"/>
          <w:szCs w:val="24"/>
          <w:highlight w:val="none"/>
          <w:lang w:val="zh-CN"/>
        </w:rPr>
        <w:t>1. 评标方法</w:t>
      </w:r>
      <w:bookmarkEnd w:id="361"/>
      <w:bookmarkEnd w:id="362"/>
    </w:p>
    <w:p>
      <w:pPr>
        <w:spacing w:line="480" w:lineRule="auto"/>
        <w:ind w:firstLine="420"/>
        <w:rPr>
          <w:rFonts w:hint="eastAsia" w:ascii="Calibri" w:hAnsi="Calibri" w:cs="Calibri"/>
          <w:color w:val="auto"/>
          <w:kern w:val="0"/>
          <w:sz w:val="20"/>
          <w:szCs w:val="24"/>
          <w:highlight w:val="none"/>
          <w:u w:val="single"/>
          <w:lang w:val="zh-CN"/>
        </w:rPr>
      </w:pPr>
      <w:r>
        <w:rPr>
          <w:rFonts w:hint="eastAsia" w:ascii="Calibri" w:hAnsi="Calibri" w:cs="Calibri"/>
          <w:color w:val="auto"/>
          <w:kern w:val="0"/>
          <w:sz w:val="20"/>
          <w:szCs w:val="24"/>
          <w:highlight w:val="none"/>
          <w:u w:val="single"/>
          <w:lang w:val="zh-CN"/>
        </w:rPr>
        <w:t>本次评标采用综合评估法。评标委员会对满足招标文件实质性要求的投标文件，按照本章第2.2款规定的评分标准进行打分，并按得分由高到低顺序推荐中标候选人，但投标报价低于其成本的除外。总分相等时，以</w:t>
      </w:r>
      <w:r>
        <w:rPr>
          <w:rFonts w:hint="eastAsia" w:ascii="Calibri" w:hAnsi="Calibri" w:cs="Calibri"/>
          <w:color w:val="auto"/>
          <w:kern w:val="0"/>
          <w:sz w:val="20"/>
          <w:szCs w:val="24"/>
          <w:highlight w:val="none"/>
          <w:u w:val="single"/>
          <w:lang w:val="zh-CN" w:eastAsia="zh-CN"/>
        </w:rPr>
        <w:t>勘察、设计、工程商务及实施方案</w:t>
      </w:r>
      <w:r>
        <w:rPr>
          <w:rFonts w:hint="eastAsia" w:ascii="Calibri" w:hAnsi="Calibri" w:cs="Calibri"/>
          <w:color w:val="auto"/>
          <w:kern w:val="0"/>
          <w:sz w:val="20"/>
          <w:szCs w:val="24"/>
          <w:highlight w:val="none"/>
          <w:u w:val="single"/>
          <w:lang w:val="zh-CN"/>
        </w:rPr>
        <w:t>技术部分得分高的排前；如仍存在相同情况，则对具有相同情况的投标人，按中标候选人数量规定，由评标委员会采用记名投票方式，确定中标候选人的排序。</w:t>
      </w:r>
    </w:p>
    <w:p>
      <w:pPr>
        <w:pStyle w:val="5"/>
        <w:spacing w:before="100" w:after="100" w:line="360" w:lineRule="auto"/>
        <w:rPr>
          <w:rFonts w:ascii="宋体" w:hAnsi="宋体" w:eastAsia="宋体" w:cs="宋体"/>
          <w:color w:val="auto"/>
          <w:sz w:val="21"/>
          <w:szCs w:val="21"/>
          <w:highlight w:val="none"/>
          <w:lang w:val="zh-CN"/>
        </w:rPr>
      </w:pPr>
      <w:bookmarkStart w:id="363" w:name="_Toc26760"/>
      <w:bookmarkEnd w:id="363"/>
      <w:bookmarkStart w:id="364" w:name="_Toc3493"/>
      <w:bookmarkEnd w:id="364"/>
      <w:bookmarkStart w:id="365" w:name="_Toc5620348"/>
      <w:bookmarkStart w:id="366" w:name="_Toc26257"/>
      <w:r>
        <w:rPr>
          <w:rFonts w:hint="eastAsia" w:ascii="宋体" w:hAnsi="宋体" w:eastAsia="宋体" w:cs="宋体"/>
          <w:color w:val="auto"/>
          <w:sz w:val="21"/>
          <w:szCs w:val="21"/>
          <w:highlight w:val="none"/>
          <w:lang w:val="zh-CN"/>
        </w:rPr>
        <w:t>2. 评审标准</w:t>
      </w:r>
      <w:bookmarkEnd w:id="365"/>
      <w:bookmarkEnd w:id="366"/>
    </w:p>
    <w:p>
      <w:pPr>
        <w:pStyle w:val="6"/>
        <w:spacing w:before="100" w:after="100" w:line="480" w:lineRule="auto"/>
        <w:rPr>
          <w:rFonts w:ascii="宋体" w:hAnsi="宋体" w:eastAsia="宋体"/>
          <w:b/>
          <w:bCs/>
          <w:color w:val="auto"/>
          <w:sz w:val="21"/>
          <w:szCs w:val="21"/>
          <w:highlight w:val="none"/>
          <w:lang w:val="zh-CN"/>
        </w:rPr>
      </w:pPr>
      <w:bookmarkStart w:id="367" w:name="_Toc14978"/>
      <w:bookmarkEnd w:id="367"/>
      <w:bookmarkStart w:id="368" w:name="_Toc22589"/>
      <w:bookmarkEnd w:id="368"/>
      <w:bookmarkStart w:id="369" w:name="_Toc5620349"/>
      <w:bookmarkStart w:id="370" w:name="_Toc24233"/>
      <w:r>
        <w:rPr>
          <w:rFonts w:hint="eastAsia" w:ascii="宋体" w:hAnsi="宋体" w:eastAsia="宋体"/>
          <w:b/>
          <w:bCs/>
          <w:color w:val="auto"/>
          <w:sz w:val="21"/>
          <w:szCs w:val="21"/>
          <w:highlight w:val="none"/>
          <w:lang w:val="zh-CN"/>
        </w:rPr>
        <w:t>2.1 初步评审标准</w:t>
      </w:r>
      <w:bookmarkEnd w:id="369"/>
      <w:bookmarkEnd w:id="370"/>
    </w:p>
    <w:p>
      <w:pPr>
        <w:spacing w:line="480" w:lineRule="auto"/>
        <w:ind w:firstLine="420"/>
        <w:rPr>
          <w:rFonts w:hint="eastAsia" w:ascii="Calibri" w:hAnsi="Calibri" w:cs="Calibri"/>
          <w:color w:val="auto"/>
          <w:kern w:val="0"/>
          <w:sz w:val="20"/>
          <w:szCs w:val="24"/>
          <w:highlight w:val="none"/>
          <w:u w:val="single"/>
          <w:lang w:val="zh-CN"/>
        </w:rPr>
      </w:pPr>
      <w:r>
        <w:rPr>
          <w:rFonts w:hint="eastAsia" w:ascii="Calibri" w:hAnsi="Calibri" w:cs="Calibri"/>
          <w:color w:val="auto"/>
          <w:kern w:val="0"/>
          <w:sz w:val="20"/>
          <w:szCs w:val="24"/>
          <w:highlight w:val="none"/>
          <w:u w:val="single"/>
          <w:lang w:val="zh-CN"/>
        </w:rPr>
        <w:t>2.1.1 形式评审标准：见评标办法前附表。</w:t>
      </w:r>
    </w:p>
    <w:p>
      <w:pPr>
        <w:spacing w:line="480" w:lineRule="auto"/>
        <w:ind w:firstLine="420"/>
        <w:rPr>
          <w:rFonts w:hint="eastAsia" w:ascii="Calibri" w:hAnsi="Calibri" w:cs="Calibri"/>
          <w:color w:val="auto"/>
          <w:kern w:val="0"/>
          <w:sz w:val="20"/>
          <w:szCs w:val="24"/>
          <w:highlight w:val="none"/>
          <w:u w:val="single"/>
          <w:lang w:val="zh-CN"/>
        </w:rPr>
      </w:pPr>
      <w:r>
        <w:rPr>
          <w:rFonts w:hint="eastAsia" w:ascii="Calibri" w:hAnsi="Calibri" w:cs="Calibri"/>
          <w:color w:val="auto"/>
          <w:kern w:val="0"/>
          <w:sz w:val="20"/>
          <w:szCs w:val="24"/>
          <w:highlight w:val="none"/>
          <w:u w:val="single"/>
          <w:lang w:val="zh-CN"/>
        </w:rPr>
        <w:t>2.1.2 资格评审标准：见评标办法前附表。</w:t>
      </w:r>
    </w:p>
    <w:p>
      <w:pPr>
        <w:spacing w:line="480" w:lineRule="auto"/>
        <w:ind w:firstLine="420"/>
        <w:rPr>
          <w:rFonts w:hint="eastAsia" w:ascii="Calibri" w:hAnsi="Calibri" w:cs="Calibri"/>
          <w:color w:val="auto"/>
          <w:kern w:val="0"/>
          <w:sz w:val="20"/>
          <w:szCs w:val="24"/>
          <w:highlight w:val="none"/>
          <w:u w:val="single"/>
          <w:lang w:val="zh-CN"/>
        </w:rPr>
      </w:pPr>
      <w:r>
        <w:rPr>
          <w:rFonts w:hint="eastAsia" w:ascii="Calibri" w:hAnsi="Calibri" w:cs="Calibri"/>
          <w:color w:val="auto"/>
          <w:kern w:val="0"/>
          <w:sz w:val="20"/>
          <w:szCs w:val="24"/>
          <w:highlight w:val="none"/>
          <w:u w:val="single"/>
          <w:lang w:val="zh-CN"/>
        </w:rPr>
        <w:t>2.1.</w:t>
      </w:r>
      <w:r>
        <w:rPr>
          <w:rFonts w:hint="eastAsia" w:ascii="Calibri" w:hAnsi="Calibri" w:cs="Calibri"/>
          <w:color w:val="auto"/>
          <w:kern w:val="0"/>
          <w:sz w:val="20"/>
          <w:szCs w:val="24"/>
          <w:highlight w:val="none"/>
          <w:u w:val="single"/>
          <w:lang w:val="zh-CN" w:eastAsia="zh-CN"/>
        </w:rPr>
        <w:t>3</w:t>
      </w:r>
      <w:r>
        <w:rPr>
          <w:rFonts w:hint="eastAsia" w:ascii="Calibri" w:hAnsi="Calibri" w:cs="Calibri"/>
          <w:color w:val="auto"/>
          <w:kern w:val="0"/>
          <w:sz w:val="20"/>
          <w:szCs w:val="24"/>
          <w:highlight w:val="none"/>
          <w:u w:val="single"/>
          <w:lang w:val="zh-CN"/>
        </w:rPr>
        <w:t xml:space="preserve"> </w:t>
      </w:r>
      <w:r>
        <w:rPr>
          <w:rFonts w:hint="eastAsia" w:ascii="Calibri" w:hAnsi="Calibri" w:cs="Calibri"/>
          <w:color w:val="auto"/>
          <w:kern w:val="0"/>
          <w:sz w:val="20"/>
          <w:szCs w:val="24"/>
          <w:highlight w:val="none"/>
          <w:u w:val="single"/>
          <w:lang w:val="zh-CN" w:eastAsia="zh-CN"/>
        </w:rPr>
        <w:t>勘察、设计、工程商务及实施方案</w:t>
      </w:r>
      <w:r>
        <w:rPr>
          <w:rFonts w:hint="eastAsia" w:ascii="Calibri" w:hAnsi="Calibri" w:cs="Calibri"/>
          <w:color w:val="auto"/>
          <w:kern w:val="0"/>
          <w:sz w:val="20"/>
          <w:szCs w:val="24"/>
          <w:highlight w:val="none"/>
          <w:u w:val="single"/>
          <w:lang w:val="zh-CN"/>
        </w:rPr>
        <w:t>响应性评审标准：见评标办法前附表。</w:t>
      </w:r>
    </w:p>
    <w:p>
      <w:pPr>
        <w:pStyle w:val="6"/>
        <w:spacing w:before="100" w:after="100" w:line="360" w:lineRule="auto"/>
        <w:rPr>
          <w:rFonts w:ascii="宋体" w:hAnsi="宋体" w:eastAsia="宋体"/>
          <w:b/>
          <w:bCs/>
          <w:color w:val="auto"/>
          <w:sz w:val="21"/>
          <w:szCs w:val="21"/>
          <w:highlight w:val="none"/>
          <w:lang w:val="zh-CN"/>
        </w:rPr>
      </w:pPr>
      <w:bookmarkStart w:id="371" w:name="_Toc5620350"/>
      <w:bookmarkStart w:id="372" w:name="_Toc21917"/>
      <w:r>
        <w:rPr>
          <w:rFonts w:hint="eastAsia" w:ascii="宋体" w:hAnsi="宋体" w:eastAsia="宋体"/>
          <w:b/>
          <w:bCs/>
          <w:color w:val="auto"/>
          <w:sz w:val="21"/>
          <w:szCs w:val="21"/>
          <w:highlight w:val="none"/>
          <w:lang w:val="zh-CN"/>
        </w:rPr>
        <w:t>2.2 分值构成与评分标准</w:t>
      </w:r>
      <w:bookmarkEnd w:id="371"/>
      <w:bookmarkEnd w:id="372"/>
    </w:p>
    <w:p>
      <w:pPr>
        <w:spacing w:line="480" w:lineRule="auto"/>
        <w:ind w:firstLine="420"/>
        <w:rPr>
          <w:rFonts w:hint="eastAsia" w:ascii="Calibri" w:hAnsi="Calibri" w:cs="Calibri"/>
          <w:color w:val="auto"/>
          <w:kern w:val="0"/>
          <w:sz w:val="20"/>
          <w:szCs w:val="24"/>
          <w:highlight w:val="none"/>
          <w:u w:val="single"/>
          <w:lang w:val="zh-CN"/>
        </w:rPr>
      </w:pPr>
      <w:r>
        <w:rPr>
          <w:rFonts w:hint="eastAsia" w:ascii="Calibri" w:hAnsi="Calibri" w:cs="Calibri"/>
          <w:color w:val="auto"/>
          <w:kern w:val="0"/>
          <w:sz w:val="20"/>
          <w:szCs w:val="24"/>
          <w:highlight w:val="none"/>
          <w:u w:val="single"/>
          <w:lang w:val="zh-CN"/>
        </w:rPr>
        <w:t>2.2.1 分值构成及权重：见评标办法前附表。</w:t>
      </w:r>
    </w:p>
    <w:p>
      <w:pPr>
        <w:spacing w:line="480" w:lineRule="auto"/>
        <w:ind w:firstLine="420"/>
        <w:rPr>
          <w:rFonts w:hint="eastAsia" w:ascii="Calibri" w:hAnsi="Calibri" w:cs="Calibri"/>
          <w:color w:val="auto"/>
          <w:kern w:val="0"/>
          <w:sz w:val="20"/>
          <w:szCs w:val="24"/>
          <w:highlight w:val="none"/>
          <w:u w:val="single"/>
          <w:lang w:val="zh-CN"/>
        </w:rPr>
      </w:pPr>
      <w:r>
        <w:rPr>
          <w:rFonts w:hint="eastAsia" w:ascii="Calibri" w:hAnsi="Calibri" w:cs="Calibri"/>
          <w:color w:val="auto"/>
          <w:kern w:val="0"/>
          <w:sz w:val="20"/>
          <w:szCs w:val="24"/>
          <w:highlight w:val="none"/>
          <w:u w:val="single"/>
          <w:lang w:val="zh-CN"/>
        </w:rPr>
        <w:t>2.2.2 评标基准价计算</w:t>
      </w:r>
    </w:p>
    <w:p>
      <w:pPr>
        <w:spacing w:line="480" w:lineRule="auto"/>
        <w:ind w:firstLine="420"/>
        <w:rPr>
          <w:rFonts w:hint="eastAsia" w:ascii="Calibri" w:hAnsi="Calibri" w:cs="Calibri"/>
          <w:color w:val="auto"/>
          <w:kern w:val="0"/>
          <w:sz w:val="20"/>
          <w:szCs w:val="24"/>
          <w:highlight w:val="none"/>
          <w:u w:val="single"/>
          <w:lang w:val="zh-CN"/>
        </w:rPr>
      </w:pPr>
      <w:r>
        <w:rPr>
          <w:rFonts w:hint="eastAsia" w:ascii="Calibri" w:hAnsi="Calibri" w:cs="Calibri"/>
          <w:color w:val="auto"/>
          <w:kern w:val="0"/>
          <w:sz w:val="20"/>
          <w:szCs w:val="24"/>
          <w:highlight w:val="none"/>
          <w:u w:val="single"/>
          <w:lang w:val="zh-CN"/>
        </w:rPr>
        <w:t>评标基准价计算方法：见评标办法前附表。</w:t>
      </w:r>
    </w:p>
    <w:p>
      <w:pPr>
        <w:spacing w:line="480" w:lineRule="auto"/>
        <w:ind w:firstLine="420"/>
        <w:rPr>
          <w:rFonts w:hint="eastAsia" w:ascii="Calibri" w:hAnsi="Calibri" w:cs="Calibri"/>
          <w:color w:val="auto"/>
          <w:kern w:val="0"/>
          <w:sz w:val="20"/>
          <w:szCs w:val="24"/>
          <w:highlight w:val="none"/>
          <w:u w:val="single"/>
          <w:lang w:val="zh-CN"/>
        </w:rPr>
      </w:pPr>
      <w:r>
        <w:rPr>
          <w:rFonts w:hint="eastAsia" w:ascii="Calibri" w:hAnsi="Calibri" w:cs="Calibri"/>
          <w:color w:val="auto"/>
          <w:kern w:val="0"/>
          <w:sz w:val="20"/>
          <w:szCs w:val="24"/>
          <w:highlight w:val="none"/>
          <w:u w:val="single"/>
          <w:lang w:val="zh-CN"/>
        </w:rPr>
        <w:t>2.2.3 施工费投标报价的偏差率计算</w:t>
      </w:r>
    </w:p>
    <w:p>
      <w:pPr>
        <w:spacing w:line="480" w:lineRule="auto"/>
        <w:ind w:firstLine="420"/>
        <w:rPr>
          <w:rFonts w:hint="eastAsia" w:ascii="Calibri" w:hAnsi="Calibri" w:cs="Calibri"/>
          <w:color w:val="auto"/>
          <w:kern w:val="0"/>
          <w:sz w:val="20"/>
          <w:szCs w:val="24"/>
          <w:highlight w:val="none"/>
          <w:u w:val="single"/>
          <w:lang w:val="zh-CN"/>
        </w:rPr>
      </w:pPr>
      <w:r>
        <w:rPr>
          <w:rFonts w:hint="eastAsia" w:ascii="Calibri" w:hAnsi="Calibri" w:cs="Calibri"/>
          <w:color w:val="auto"/>
          <w:kern w:val="0"/>
          <w:sz w:val="20"/>
          <w:szCs w:val="24"/>
          <w:highlight w:val="none"/>
          <w:u w:val="single"/>
          <w:lang w:val="zh-CN"/>
        </w:rPr>
        <w:t>施工费投标报价的偏差率计算公式：见评标办法前附表。</w:t>
      </w:r>
    </w:p>
    <w:p>
      <w:pPr>
        <w:spacing w:line="480" w:lineRule="auto"/>
        <w:ind w:firstLine="420"/>
        <w:rPr>
          <w:rFonts w:hint="eastAsia" w:ascii="Calibri" w:hAnsi="Calibri" w:cs="Calibri"/>
          <w:color w:val="auto"/>
          <w:kern w:val="0"/>
          <w:sz w:val="20"/>
          <w:szCs w:val="24"/>
          <w:highlight w:val="none"/>
          <w:u w:val="single"/>
          <w:lang w:val="zh-CN"/>
        </w:rPr>
      </w:pPr>
      <w:r>
        <w:rPr>
          <w:rFonts w:hint="eastAsia" w:ascii="Calibri" w:hAnsi="Calibri" w:cs="Calibri"/>
          <w:color w:val="auto"/>
          <w:kern w:val="0"/>
          <w:sz w:val="20"/>
          <w:szCs w:val="24"/>
          <w:highlight w:val="none"/>
          <w:u w:val="single"/>
          <w:lang w:val="zh-CN"/>
        </w:rPr>
        <w:t>2.2.4评分标准</w:t>
      </w:r>
    </w:p>
    <w:p>
      <w:pPr>
        <w:spacing w:line="480" w:lineRule="auto"/>
        <w:ind w:firstLine="420"/>
        <w:rPr>
          <w:rFonts w:hint="eastAsia" w:ascii="Calibri" w:hAnsi="Calibri" w:cs="Calibri"/>
          <w:color w:val="auto"/>
          <w:kern w:val="0"/>
          <w:sz w:val="20"/>
          <w:szCs w:val="24"/>
          <w:highlight w:val="none"/>
          <w:u w:val="single"/>
          <w:lang w:val="zh-CN"/>
        </w:rPr>
      </w:pPr>
      <w:r>
        <w:rPr>
          <w:rFonts w:hint="eastAsia" w:ascii="Calibri" w:hAnsi="Calibri" w:cs="Calibri"/>
          <w:color w:val="auto"/>
          <w:kern w:val="0"/>
          <w:sz w:val="20"/>
          <w:szCs w:val="24"/>
          <w:highlight w:val="none"/>
          <w:u w:val="single"/>
          <w:lang w:val="zh-CN"/>
        </w:rPr>
        <w:t>（2）</w:t>
      </w:r>
      <w:r>
        <w:rPr>
          <w:rFonts w:hint="eastAsia" w:ascii="Calibri" w:hAnsi="Calibri" w:cs="Calibri"/>
          <w:color w:val="auto"/>
          <w:kern w:val="0"/>
          <w:sz w:val="20"/>
          <w:szCs w:val="24"/>
          <w:highlight w:val="none"/>
          <w:u w:val="single"/>
          <w:lang w:val="zh-CN" w:eastAsia="zh-CN"/>
        </w:rPr>
        <w:t>勘察、设计、工程商务及实施方案</w:t>
      </w:r>
      <w:r>
        <w:rPr>
          <w:rFonts w:hint="eastAsia" w:ascii="Calibri" w:hAnsi="Calibri" w:cs="Calibri"/>
          <w:color w:val="auto"/>
          <w:kern w:val="0"/>
          <w:sz w:val="20"/>
          <w:szCs w:val="24"/>
          <w:highlight w:val="none"/>
          <w:u w:val="single"/>
          <w:lang w:val="zh-CN"/>
        </w:rPr>
        <w:t>技术部分：见评标办法前附表。</w:t>
      </w:r>
    </w:p>
    <w:p>
      <w:pPr>
        <w:spacing w:line="480" w:lineRule="auto"/>
        <w:ind w:firstLine="420"/>
        <w:rPr>
          <w:rFonts w:hint="eastAsia" w:ascii="Calibri" w:hAnsi="Calibri" w:cs="Calibri"/>
          <w:color w:val="auto"/>
          <w:kern w:val="0"/>
          <w:sz w:val="20"/>
          <w:szCs w:val="24"/>
          <w:highlight w:val="none"/>
          <w:u w:val="single"/>
          <w:lang w:val="zh-CN"/>
        </w:rPr>
      </w:pPr>
      <w:r>
        <w:rPr>
          <w:rFonts w:hint="eastAsia" w:ascii="Calibri" w:hAnsi="Calibri" w:cs="Calibri"/>
          <w:color w:val="auto"/>
          <w:kern w:val="0"/>
          <w:sz w:val="20"/>
          <w:szCs w:val="24"/>
          <w:highlight w:val="none"/>
          <w:u w:val="single"/>
          <w:lang w:val="zh-CN"/>
        </w:rPr>
        <w:t>（3）</w:t>
      </w:r>
      <w:r>
        <w:rPr>
          <w:rFonts w:hint="eastAsia" w:ascii="Calibri" w:hAnsi="Calibri" w:cs="Calibri"/>
          <w:color w:val="auto"/>
          <w:kern w:val="0"/>
          <w:sz w:val="20"/>
          <w:szCs w:val="24"/>
          <w:highlight w:val="none"/>
          <w:u w:val="single"/>
          <w:lang w:val="zh-CN" w:eastAsia="zh-CN"/>
        </w:rPr>
        <w:t>勘察、设计、工程商务及实施方案</w:t>
      </w:r>
      <w:r>
        <w:rPr>
          <w:rFonts w:hint="eastAsia" w:ascii="Calibri" w:hAnsi="Calibri" w:cs="Calibri"/>
          <w:color w:val="auto"/>
          <w:kern w:val="0"/>
          <w:sz w:val="20"/>
          <w:szCs w:val="24"/>
          <w:highlight w:val="none"/>
          <w:u w:val="single"/>
          <w:lang w:val="zh-CN"/>
        </w:rPr>
        <w:t>经济部分：见评标办法前附表。</w:t>
      </w:r>
    </w:p>
    <w:p>
      <w:pPr>
        <w:pStyle w:val="5"/>
        <w:spacing w:before="100" w:after="100" w:line="360" w:lineRule="auto"/>
        <w:rPr>
          <w:rFonts w:ascii="宋体" w:hAnsi="宋体" w:eastAsia="宋体" w:cs="宋体"/>
          <w:color w:val="auto"/>
          <w:sz w:val="21"/>
          <w:szCs w:val="21"/>
          <w:highlight w:val="none"/>
          <w:lang w:val="zh-CN"/>
        </w:rPr>
      </w:pPr>
      <w:bookmarkStart w:id="373" w:name="_Toc11733"/>
      <w:bookmarkEnd w:id="373"/>
      <w:bookmarkStart w:id="374" w:name="_Toc25997"/>
      <w:bookmarkEnd w:id="374"/>
      <w:bookmarkStart w:id="375" w:name="_Toc5818"/>
      <w:bookmarkStart w:id="376" w:name="_Toc5620351"/>
      <w:r>
        <w:rPr>
          <w:rFonts w:hint="eastAsia" w:ascii="宋体" w:hAnsi="宋体" w:eastAsia="宋体" w:cs="宋体"/>
          <w:color w:val="auto"/>
          <w:sz w:val="21"/>
          <w:szCs w:val="21"/>
          <w:highlight w:val="none"/>
          <w:lang w:val="zh-CN"/>
        </w:rPr>
        <w:t>3. 评标程序</w:t>
      </w:r>
      <w:bookmarkEnd w:id="375"/>
      <w:bookmarkEnd w:id="376"/>
    </w:p>
    <w:p>
      <w:pPr>
        <w:pStyle w:val="12"/>
        <w:spacing w:line="480" w:lineRule="auto"/>
        <w:ind w:firstLine="426"/>
        <w:rPr>
          <w:rFonts w:hint="eastAsia"/>
          <w:color w:val="auto"/>
          <w:highlight w:val="none"/>
          <w:u w:val="single"/>
          <w:lang w:val="zh-CN"/>
        </w:rPr>
      </w:pPr>
      <w:bookmarkStart w:id="377" w:name="_Toc11283"/>
      <w:r>
        <w:rPr>
          <w:rFonts w:hint="eastAsia"/>
          <w:color w:val="auto"/>
          <w:highlight w:val="none"/>
          <w:u w:val="single"/>
          <w:lang w:val="zh-CN"/>
        </w:rPr>
        <w:t>本项目采取电子评标。</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3.1形式审查及资格审查</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3.1.1 形式审查中全部符合形式评审标准（详见前附表）中规定情形的，为形式审查合格。否则为形式审查不合格，经评委共同认定后，其投标文件将被拒绝。如评委的评审意见不一致时，以过半数成员的意见作为对该情形的认定结论。</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3.1.2汇总形式审查情况，只有通过形式审查的投标人方可进入下一阶段的评审。形式审查合格的投标人少于3名的，则本项目招标失败。</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3.1.3评委对所有通过形式审查的投标人进行资格审查。资格审查文件中全部符合资格评审标准（详见前附表）中规定情形的，为资格审查合格。否则为资格审查不合格，经评委共同认定后，其投标将被拒绝。如评委的评审意见不一致时，以过半数成员的意见作为评标委员会对该情形的认定结论。只有通过资格审查的投标人方可进入下一阶段的评审。</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3.1.4汇总资格审查情况，编写资格审查报告。资格审查合格的投标人少于3名的，则本项目招标失败。</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3.1.5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特别声明：资审合格后，投标人的资格发生变化而不满足投标人合格条件，在发出中标通知书前，资格问题仍未解决的，招标人将取消其中标资格。</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3.2勘察、设计、工程商务及实施方案评审</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3.2.1勘察、设计、工程商务及实施方案的响应性审查：通过资格审查的投标文件中没有任一种列于勘察、设计、工程商务及实施方案响应性评审标准（详见前附表）中情形的，为有效标书。否则为无效标书，经评委共同认定后，其投标文件将被拒绝。如评委的评审意见不一致时，以过半数成员的意见作为评标委员会对该情形的认定结论。</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3.2.2勘察、设计、工程商务及实施方案详细审查：评委按照勘察、设计、工程商务及实施方案评分标准（详见前附表），对通过响应性审查的投标文件进行详细审查、评分。</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3.2.3各投标人勘察、设计、工程商务及实施方案得分为所有评委的评分汇总后的算术平均值为投标人的最终得分，评委按此汇总每个投标人勘察、设计、工程商务及实施方案详细审查得分，分数出现小数点，保留小数点后二位，第三位小数四舍五入。</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3.3投标报价得分</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3.3.1投标报价的算术校核。评委对通过勘察、设计、工程商务及实施方案响应性审查的投标文件的投标报进行算术校核，具体标准如下：</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（1）如果下浮率与最高投标限价乘积不等于投标报价时，以下浮率为准修正投标报价（下浮率有明显的数量级错误的除外，此时应修正下浮率），若修正后的投标报价超过最高投标限价的，作否决投标处理；</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（2）如果分项报价累加不等总价的，以分项报价累加为准，修正总价；</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（3）投标文件存在其他计算性错误的，按就低不就高计算并修正；</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（4）按上述修正错误的原则及方法调整或修正投标文件的投标报价，调整后的投标报价对投标人起约束作用。如果投标人不接受修正后的报价，则取消其投标资格或中标资格。</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3.3.2投标报价评分</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1）以通过勘察、设计、工程商务及实施方案响应性评审并经算术校核的投标人的投标总报价中，位于[最高投标限价×95%，最高投标限价]区间的投标人超过5家时，在经算术校核的位于[最高投标限价×95%，最高投标限价]区间的投标人的投标总报价中，去掉一个最高价和一个最低价后，剩余投标总报价的算术平均值为评标参考价；</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通过勘察、设计、工程商务及实施方案响应性评审并经算术校核的投标人的投标总报价中，位于[最高投标限价×95%，最高投标限价]区间的投标人少于5家（含5家）时，在经算术校核的位于[最高投标限价×95%，最高投标限价]区间的投标人的投标总报价的算术平均值为评标参考价。</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若没有投标总报价位于[最高投标限价×95%，最高投标限价]区间，则由招标人依法重新招标。</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（2）当投标总报价等于评标参考价时得100分，投标总报价每高于评标参考价1%，扣0.</w:t>
      </w:r>
      <w:r>
        <w:rPr>
          <w:rFonts w:hint="eastAsia"/>
          <w:color w:val="auto"/>
          <w:highlight w:val="none"/>
          <w:u w:val="single"/>
          <w:lang w:val="en-US" w:eastAsia="zh-CN"/>
        </w:rPr>
        <w:t>2</w:t>
      </w:r>
      <w:r>
        <w:rPr>
          <w:rFonts w:hint="eastAsia"/>
          <w:color w:val="auto"/>
          <w:highlight w:val="none"/>
          <w:u w:val="single"/>
          <w:lang w:val="zh-CN"/>
        </w:rPr>
        <w:t>分，每低于评标参考价1%，扣0.</w:t>
      </w:r>
      <w:r>
        <w:rPr>
          <w:rFonts w:hint="eastAsia"/>
          <w:color w:val="auto"/>
          <w:highlight w:val="none"/>
          <w:u w:val="single"/>
          <w:lang w:val="en-US" w:eastAsia="zh-CN"/>
        </w:rPr>
        <w:t>1</w:t>
      </w:r>
      <w:r>
        <w:rPr>
          <w:rFonts w:hint="eastAsia"/>
          <w:color w:val="auto"/>
          <w:highlight w:val="none"/>
          <w:u w:val="single"/>
          <w:lang w:val="zh-CN"/>
        </w:rPr>
        <w:t>分，扣至0分为止，得出投标报价得分，精确到小数点后两位。</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3.4评审汇总</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3.4.1投标人总得分满分为100分，各部分分值分配详见评标办法前附表。</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3.4.2评委汇总各有效投标文件的总分，并按照总分从高到低排列先后次序，只有通过形式审查、资格审查、和勘察、设计、工程商务及实施方案响应性审查的投标文件方可计算总分。总分相同的，以勘察、设计、工程商务及实施方案得分高的排前；总分与勘察、设计、工程商务及实施方案得分均相同的投标文件，以投标报价较低的排前；如仍存在相同情况，则对具有相同情况的投标人，按中标候选人数量规定，由评标委员会采用记名投票方式，确定中标候选人的排序。评标委员会应按排序先后，向招标人推荐前3名投标人依次为第一中标候选人至第三中标候选人，并编写评标报告。</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3.4.3有效投标单位不足三家，应当依法重新组织招标。</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3.5投标文件的澄清和补正</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3.5.1为有助于投标文件的审查、评价和比较，评标期间，经评标委员会中两人以上（含两人）的成员以书面形式提出动议，评标委员会应当书面发出澄清通知，要求投标人对投标文件含义不明确的内容作出澄清。</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3.5.2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3.5.3 评标委员会成员均应当阅读投标人的澄清，但应独立参考澄清对投标文件进行评审。</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3.5.4如果投标文件实质上不响应招标文件的各项要求，评标委员会相应评审将按照响应性审查标准予以拒绝，不接受投标人通过修改或撤销其不符合要求的差异或保留，使之成为具有响应性的投标。</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3.6评标结果</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3.6.1 除第二章“投标人须知”前附表授权直接确定中标人外，评标委员会按照得分由高到低的顺序推荐中标候选人。</w:t>
      </w:r>
    </w:p>
    <w:p>
      <w:pPr>
        <w:pStyle w:val="12"/>
        <w:spacing w:line="480" w:lineRule="auto"/>
        <w:ind w:firstLine="426"/>
        <w:rPr>
          <w:rFonts w:hint="eastAsia"/>
          <w:color w:val="auto"/>
          <w:highlight w:val="none"/>
          <w:u w:val="single"/>
          <w:lang w:val="zh-CN"/>
        </w:rPr>
      </w:pPr>
      <w:r>
        <w:rPr>
          <w:rFonts w:hint="eastAsia"/>
          <w:color w:val="auto"/>
          <w:highlight w:val="none"/>
          <w:u w:val="single"/>
          <w:lang w:val="zh-CN"/>
        </w:rPr>
        <w:t>3.6.2 评标委员会完成评标后，应当向招标人提交书面评标报告。</w:t>
      </w:r>
    </w:p>
    <w:p>
      <w:pPr>
        <w:pStyle w:val="12"/>
        <w:spacing w:line="480" w:lineRule="auto"/>
        <w:ind w:firstLine="426"/>
        <w:rPr>
          <w:rFonts w:hint="eastAsia" w:ascii="宋体" w:hAnsi="宋体" w:cs="宋体"/>
          <w:color w:val="auto"/>
          <w:kern w:val="1"/>
          <w:sz w:val="21"/>
          <w:szCs w:val="21"/>
          <w:highlight w:val="none"/>
          <w:u w:val="single"/>
          <w:lang w:val="zh-CN"/>
        </w:rPr>
      </w:pPr>
      <w:r>
        <w:rPr>
          <w:rFonts w:hint="eastAsia"/>
          <w:color w:val="auto"/>
          <w:highlight w:val="none"/>
          <w:u w:val="single"/>
          <w:lang w:val="zh-CN"/>
        </w:rPr>
        <w:t>3.6.3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pPr>
        <w:pStyle w:val="5"/>
        <w:numPr>
          <w:ilvl w:val="0"/>
          <w:numId w:val="3"/>
        </w:numPr>
        <w:spacing w:before="100" w:after="100" w:line="360" w:lineRule="auto"/>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否决性条款（详见附件：否决性条款汇总）</w:t>
      </w:r>
      <w:bookmarkEnd w:id="377"/>
    </w:p>
    <w:p>
      <w:pPr>
        <w:pStyle w:val="5"/>
        <w:spacing w:before="100" w:after="100" w:line="360" w:lineRule="auto"/>
        <w:rPr>
          <w:rFonts w:ascii="宋体" w:hAnsi="宋体" w:eastAsia="宋体" w:cs="宋体"/>
          <w:color w:val="auto"/>
          <w:sz w:val="21"/>
          <w:szCs w:val="21"/>
          <w:highlight w:val="none"/>
          <w:lang w:val="zh-CN"/>
        </w:rPr>
      </w:pPr>
      <w:bookmarkStart w:id="378" w:name="_Toc14390"/>
      <w:bookmarkEnd w:id="378"/>
      <w:bookmarkStart w:id="379" w:name="_Toc29974"/>
      <w:bookmarkEnd w:id="379"/>
      <w:bookmarkStart w:id="380" w:name="_Toc5620358"/>
      <w:bookmarkStart w:id="381" w:name="_Toc30449"/>
      <w:r>
        <w:rPr>
          <w:rFonts w:hint="eastAsia" w:ascii="宋体" w:hAnsi="宋体" w:eastAsia="宋体" w:cs="宋体"/>
          <w:color w:val="auto"/>
          <w:sz w:val="21"/>
          <w:szCs w:val="21"/>
          <w:highlight w:val="none"/>
          <w:lang w:val="zh-CN"/>
        </w:rPr>
        <w:t>5. 评标表格</w:t>
      </w:r>
      <w:bookmarkEnd w:id="380"/>
      <w:bookmarkEnd w:id="381"/>
    </w:p>
    <w:p>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见附表。</w:t>
      </w:r>
    </w:p>
    <w:p>
      <w:pPr>
        <w:spacing w:line="360" w:lineRule="auto"/>
        <w:ind w:firstLine="420"/>
        <w:rPr>
          <w:rFonts w:ascii="宋体" w:hAnsi="宋体" w:cs="宋体"/>
          <w:color w:val="auto"/>
          <w:kern w:val="1"/>
          <w:highlight w:val="none"/>
        </w:rPr>
      </w:pPr>
    </w:p>
    <w:p>
      <w:pPr>
        <w:spacing w:line="360" w:lineRule="auto"/>
        <w:ind w:firstLine="420"/>
        <w:rPr>
          <w:rFonts w:ascii="宋体" w:hAnsi="宋体" w:cs="宋体"/>
          <w:b/>
          <w:color w:val="auto"/>
          <w:kern w:val="1"/>
          <w:highlight w:val="none"/>
        </w:rPr>
      </w:pPr>
      <w:r>
        <w:rPr>
          <w:rFonts w:hint="eastAsia" w:ascii="宋体" w:hAnsi="宋体" w:cs="宋体"/>
          <w:color w:val="auto"/>
          <w:kern w:val="1"/>
          <w:highlight w:val="none"/>
        </w:rPr>
        <w:br w:type="page"/>
      </w:r>
      <w:r>
        <w:rPr>
          <w:rFonts w:hint="eastAsia" w:ascii="宋体" w:hAnsi="宋体" w:cs="宋体"/>
          <w:b/>
          <w:color w:val="auto"/>
          <w:kern w:val="1"/>
          <w:highlight w:val="none"/>
          <w:lang w:val="zh-CN"/>
        </w:rPr>
        <w:t>附件：否决性条款汇总</w:t>
      </w:r>
    </w:p>
    <w:p>
      <w:pPr>
        <w:spacing w:line="360" w:lineRule="auto"/>
        <w:ind w:firstLine="422"/>
        <w:jc w:val="center"/>
        <w:rPr>
          <w:rFonts w:ascii="宋体" w:hAnsi="宋体" w:cs="宋体"/>
          <w:b/>
          <w:color w:val="auto"/>
          <w:kern w:val="1"/>
          <w:highlight w:val="none"/>
        </w:rPr>
      </w:pPr>
      <w:r>
        <w:rPr>
          <w:rFonts w:hint="eastAsia" w:ascii="宋体" w:hAnsi="宋体" w:cs="宋体"/>
          <w:b/>
          <w:color w:val="auto"/>
          <w:kern w:val="1"/>
          <w:highlight w:val="none"/>
          <w:lang w:val="zh-CN"/>
        </w:rPr>
        <w:t>否决性条款汇总</w:t>
      </w:r>
    </w:p>
    <w:p>
      <w:pPr>
        <w:spacing w:line="360" w:lineRule="auto"/>
        <w:ind w:firstLine="420"/>
        <w:rPr>
          <w:rFonts w:ascii="宋体" w:hAnsi="宋体" w:cs="宋体"/>
          <w:color w:val="auto"/>
          <w:kern w:val="1"/>
          <w:highlight w:val="none"/>
        </w:rPr>
      </w:pP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lang w:val="zh-CN"/>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pPr>
        <w:spacing w:line="480" w:lineRule="auto"/>
        <w:ind w:firstLine="420"/>
        <w:rPr>
          <w:rFonts w:ascii="宋体" w:hAnsi="宋体" w:cs="宋体"/>
          <w:color w:val="auto"/>
          <w:kern w:val="1"/>
          <w:highlight w:val="none"/>
        </w:rPr>
      </w:pPr>
      <w:r>
        <w:rPr>
          <w:rFonts w:hint="eastAsia" w:ascii="宋体" w:hAnsi="宋体" w:cs="宋体"/>
          <w:color w:val="auto"/>
          <w:kern w:val="1"/>
          <w:highlight w:val="none"/>
          <w:lang w:val="zh-CN"/>
        </w:rPr>
        <w:t>否决性条款是指招标文件中规定的不予受理投标或者作无效标以及不合格标处理等否定投标文件效力的条款。</w:t>
      </w:r>
    </w:p>
    <w:p>
      <w:pPr>
        <w:spacing w:line="480" w:lineRule="auto"/>
        <w:ind w:firstLine="420" w:firstLineChars="200"/>
        <w:rPr>
          <w:rFonts w:ascii="宋体" w:hAnsi="宋体" w:cs="宋体"/>
          <w:color w:val="auto"/>
          <w:kern w:val="1"/>
          <w:highlight w:val="none"/>
        </w:rPr>
      </w:pPr>
      <w:r>
        <w:rPr>
          <w:rFonts w:hint="eastAsia" w:ascii="宋体" w:hAnsi="宋体" w:cs="宋体"/>
          <w:color w:val="auto"/>
          <w:kern w:val="1"/>
          <w:highlight w:val="none"/>
          <w:lang w:val="zh-CN"/>
        </w:rPr>
        <w:t>一、若出现以下情况，电子招标投标交易平台将予以拒收其投标文件：</w:t>
      </w:r>
    </w:p>
    <w:p>
      <w:pPr>
        <w:spacing w:line="480" w:lineRule="auto"/>
        <w:ind w:firstLine="420"/>
        <w:rPr>
          <w:rFonts w:ascii="宋体" w:hAnsi="宋体" w:cs="宋体"/>
          <w:color w:val="auto"/>
          <w:kern w:val="1"/>
          <w:highlight w:val="none"/>
          <w:lang w:val="zh-CN"/>
        </w:rPr>
      </w:pPr>
      <w:r>
        <w:rPr>
          <w:rFonts w:hint="eastAsia" w:ascii="宋体" w:hAnsi="宋体" w:cs="宋体"/>
          <w:color w:val="auto"/>
          <w:kern w:val="1"/>
          <w:highlight w:val="none"/>
          <w:lang w:val="zh-CN"/>
        </w:rPr>
        <w:t xml:space="preserve">  1、在招标文件规定的投标截止时间后递交投标文件的。</w:t>
      </w:r>
    </w:p>
    <w:p>
      <w:pPr>
        <w:spacing w:line="480" w:lineRule="auto"/>
        <w:ind w:firstLine="420" w:firstLineChars="200"/>
        <w:rPr>
          <w:rFonts w:cs="宋体"/>
          <w:color w:val="auto"/>
          <w:kern w:val="1"/>
          <w:highlight w:val="none"/>
        </w:rPr>
        <w:sectPr>
          <w:headerReference r:id="rId11" w:type="default"/>
          <w:footerReference r:id="rId12" w:type="default"/>
          <w:pgSz w:w="11907" w:h="16840"/>
          <w:pgMar w:top="1361" w:right="1304" w:bottom="1304" w:left="1304" w:header="851" w:footer="720" w:gutter="0"/>
          <w:cols w:space="720" w:num="1"/>
        </w:sectPr>
      </w:pPr>
      <w:r>
        <w:rPr>
          <w:rFonts w:hint="eastAsia" w:ascii="宋体" w:hAnsi="宋体" w:cs="宋体"/>
          <w:color w:val="auto"/>
          <w:kern w:val="1"/>
          <w:highlight w:val="none"/>
          <w:lang w:val="zh-CN"/>
        </w:rPr>
        <w:t>二、若出现不符合形式评审、资格评审、响应性评审中的评审因素，当无效标处理。</w:t>
      </w:r>
    </w:p>
    <w:p>
      <w:pPr>
        <w:widowControl/>
        <w:jc w:val="left"/>
        <w:rPr>
          <w:rFonts w:ascii="宋体" w:hAnsi="宋体" w:cs="宋体"/>
          <w:b/>
          <w:color w:val="auto"/>
          <w:kern w:val="1"/>
          <w:sz w:val="24"/>
          <w:szCs w:val="24"/>
          <w:highlight w:val="none"/>
        </w:rPr>
      </w:pPr>
      <w:r>
        <w:rPr>
          <w:rFonts w:hint="eastAsia" w:ascii="宋体" w:hAnsi="宋体" w:cs="宋体"/>
          <w:b/>
          <w:color w:val="auto"/>
          <w:kern w:val="1"/>
          <w:sz w:val="24"/>
          <w:szCs w:val="24"/>
          <w:highlight w:val="none"/>
        </w:rPr>
        <w:t>附表1</w:t>
      </w:r>
    </w:p>
    <w:p>
      <w:pPr>
        <w:spacing w:line="400" w:lineRule="exact"/>
        <w:jc w:val="center"/>
        <w:rPr>
          <w:rFonts w:ascii="宋体" w:hAnsi="宋体"/>
          <w:b/>
          <w:color w:val="auto"/>
          <w:sz w:val="36"/>
          <w:szCs w:val="36"/>
          <w:highlight w:val="none"/>
        </w:rPr>
      </w:pPr>
      <w:r>
        <w:rPr>
          <w:rFonts w:ascii="宋体" w:hAnsi="宋体"/>
          <w:b/>
          <w:color w:val="auto"/>
          <w:sz w:val="36"/>
          <w:szCs w:val="36"/>
          <w:highlight w:val="none"/>
        </w:rPr>
        <w:t>资格审</w:t>
      </w:r>
      <w:r>
        <w:rPr>
          <w:rFonts w:hint="eastAsia" w:ascii="宋体" w:hAnsi="宋体"/>
          <w:b/>
          <w:color w:val="auto"/>
          <w:sz w:val="36"/>
          <w:szCs w:val="36"/>
          <w:highlight w:val="none"/>
        </w:rPr>
        <w:t>查评</w:t>
      </w:r>
      <w:r>
        <w:rPr>
          <w:rFonts w:ascii="宋体" w:hAnsi="宋体"/>
          <w:b/>
          <w:color w:val="auto"/>
          <w:sz w:val="36"/>
          <w:szCs w:val="36"/>
          <w:highlight w:val="none"/>
        </w:rPr>
        <w:t>审</w:t>
      </w:r>
      <w:r>
        <w:rPr>
          <w:rFonts w:hint="eastAsia" w:ascii="宋体" w:hAnsi="宋体"/>
          <w:b/>
          <w:color w:val="auto"/>
          <w:sz w:val="36"/>
          <w:szCs w:val="36"/>
          <w:highlight w:val="none"/>
        </w:rPr>
        <w:t>表</w:t>
      </w:r>
    </w:p>
    <w:tbl>
      <w:tblPr>
        <w:tblStyle w:val="35"/>
        <w:tblW w:w="133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530"/>
        <w:gridCol w:w="10819"/>
        <w:gridCol w:w="585"/>
        <w:gridCol w:w="615"/>
        <w:gridCol w:w="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291" w:hRule="atLeast"/>
        </w:trPr>
        <w:tc>
          <w:tcPr>
            <w:tcW w:w="530" w:type="dxa"/>
            <w:vAlign w:val="center"/>
          </w:tcPr>
          <w:p>
            <w:pPr>
              <w:jc w:val="center"/>
              <w:rPr>
                <w:rFonts w:ascii="宋体" w:hAnsi="宋体"/>
                <w:b/>
                <w:color w:val="auto"/>
                <w:sz w:val="18"/>
                <w:szCs w:val="18"/>
                <w:highlight w:val="none"/>
              </w:rPr>
            </w:pPr>
            <w:r>
              <w:rPr>
                <w:rFonts w:hint="eastAsia" w:ascii="宋体" w:hAnsi="宋体"/>
                <w:b/>
                <w:color w:val="auto"/>
                <w:sz w:val="18"/>
                <w:szCs w:val="18"/>
                <w:highlight w:val="none"/>
              </w:rPr>
              <w:t>序号</w:t>
            </w:r>
          </w:p>
        </w:tc>
        <w:tc>
          <w:tcPr>
            <w:tcW w:w="10819" w:type="dxa"/>
            <w:vAlign w:val="center"/>
          </w:tcPr>
          <w:p>
            <w:pPr>
              <w:jc w:val="center"/>
              <w:rPr>
                <w:rFonts w:ascii="宋体" w:hAnsi="宋体"/>
                <w:b/>
                <w:color w:val="auto"/>
                <w:sz w:val="18"/>
                <w:szCs w:val="18"/>
                <w:highlight w:val="none"/>
              </w:rPr>
            </w:pPr>
            <w:r>
              <w:rPr>
                <w:rFonts w:hint="eastAsia" w:ascii="宋体" w:hAnsi="宋体"/>
                <w:b/>
                <w:color w:val="auto"/>
                <w:sz w:val="18"/>
                <w:szCs w:val="18"/>
                <w:highlight w:val="none"/>
              </w:rPr>
              <w:t>评审内容</w:t>
            </w:r>
          </w:p>
        </w:tc>
        <w:tc>
          <w:tcPr>
            <w:tcW w:w="585" w:type="dxa"/>
          </w:tcPr>
          <w:p>
            <w:pPr>
              <w:rPr>
                <w:rFonts w:ascii="宋体" w:hAnsi="宋体"/>
                <w:b/>
                <w:color w:val="auto"/>
                <w:sz w:val="18"/>
                <w:szCs w:val="18"/>
                <w:highlight w:val="none"/>
              </w:rPr>
            </w:pPr>
          </w:p>
        </w:tc>
        <w:tc>
          <w:tcPr>
            <w:tcW w:w="615" w:type="dxa"/>
          </w:tcPr>
          <w:p>
            <w:pPr>
              <w:rPr>
                <w:rFonts w:ascii="宋体" w:hAnsi="宋体"/>
                <w:b/>
                <w:color w:val="auto"/>
                <w:sz w:val="18"/>
                <w:szCs w:val="18"/>
                <w:highlight w:val="none"/>
              </w:rPr>
            </w:pPr>
          </w:p>
        </w:tc>
        <w:tc>
          <w:tcPr>
            <w:tcW w:w="825" w:type="dxa"/>
          </w:tcPr>
          <w:p>
            <w:pPr>
              <w:rPr>
                <w:rFonts w:ascii="宋体" w:hAnsi="宋体"/>
                <w:b/>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236" w:hRule="atLeast"/>
        </w:trPr>
        <w:tc>
          <w:tcPr>
            <w:tcW w:w="530" w:type="dxa"/>
            <w:vAlign w:val="center"/>
          </w:tcPr>
          <w:p>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1</w:t>
            </w:r>
          </w:p>
        </w:tc>
        <w:tc>
          <w:tcPr>
            <w:tcW w:w="10819" w:type="dxa"/>
            <w:vAlign w:val="center"/>
          </w:tcPr>
          <w:p>
            <w:pPr>
              <w:rPr>
                <w:color w:val="auto"/>
                <w:sz w:val="18"/>
                <w:szCs w:val="18"/>
                <w:highlight w:val="none"/>
              </w:rPr>
            </w:pPr>
            <w:r>
              <w:rPr>
                <w:rFonts w:hint="eastAsia"/>
                <w:color w:val="auto"/>
                <w:sz w:val="18"/>
                <w:szCs w:val="18"/>
                <w:highlight w:val="none"/>
              </w:rPr>
              <w:t>投标人参加投标的意思表达清楚，投标人代表被授权有效。</w:t>
            </w:r>
          </w:p>
        </w:tc>
        <w:tc>
          <w:tcPr>
            <w:tcW w:w="585" w:type="dxa"/>
          </w:tcPr>
          <w:p>
            <w:pPr>
              <w:spacing w:line="400" w:lineRule="exact"/>
              <w:rPr>
                <w:rFonts w:ascii="宋体" w:hAnsi="宋体"/>
                <w:color w:val="auto"/>
                <w:sz w:val="18"/>
                <w:szCs w:val="18"/>
                <w:highlight w:val="none"/>
              </w:rPr>
            </w:pPr>
          </w:p>
        </w:tc>
        <w:tc>
          <w:tcPr>
            <w:tcW w:w="615" w:type="dxa"/>
          </w:tcPr>
          <w:p>
            <w:pPr>
              <w:spacing w:line="400" w:lineRule="exact"/>
              <w:rPr>
                <w:rFonts w:ascii="宋体" w:hAnsi="宋体"/>
                <w:color w:val="auto"/>
                <w:sz w:val="18"/>
                <w:szCs w:val="18"/>
                <w:highlight w:val="none"/>
              </w:rPr>
            </w:pPr>
          </w:p>
        </w:tc>
        <w:tc>
          <w:tcPr>
            <w:tcW w:w="825" w:type="dxa"/>
          </w:tcPr>
          <w:p>
            <w:pPr>
              <w:spacing w:line="400" w:lineRule="exact"/>
              <w:rPr>
                <w:rFonts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81" w:hRule="atLeast"/>
        </w:trPr>
        <w:tc>
          <w:tcPr>
            <w:tcW w:w="530" w:type="dxa"/>
            <w:vAlign w:val="center"/>
          </w:tcPr>
          <w:p>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2</w:t>
            </w:r>
          </w:p>
        </w:tc>
        <w:tc>
          <w:tcPr>
            <w:tcW w:w="10819" w:type="dxa"/>
            <w:vAlign w:val="center"/>
          </w:tcPr>
          <w:p>
            <w:pPr>
              <w:rPr>
                <w:color w:val="auto"/>
                <w:sz w:val="18"/>
                <w:szCs w:val="18"/>
                <w:highlight w:val="none"/>
              </w:rPr>
            </w:pPr>
            <w:r>
              <w:rPr>
                <w:rFonts w:hint="eastAsia"/>
                <w:color w:val="auto"/>
                <w:sz w:val="18"/>
                <w:szCs w:val="18"/>
                <w:highlight w:val="none"/>
              </w:rPr>
              <w:t>投标人（联合体各成员）均具有独立法人资格，持有工商行政（市场监督）管理部门核发的法人营业执照或各级政府事业单位登记管理机关颁发的事业单位法人证书[联合体承担设计任务的一方为普通合伙企业形式的设计事务所的，需持有工商行政（市场监督）管理部门核发的合伙企业营业执照；联合体承担设计任务的一方为单独投标的香港企业的，需持有在香港进行商业登记的证明文书；]，按国家法律经营。</w:t>
            </w:r>
          </w:p>
        </w:tc>
        <w:tc>
          <w:tcPr>
            <w:tcW w:w="585" w:type="dxa"/>
          </w:tcPr>
          <w:p>
            <w:pPr>
              <w:spacing w:line="400" w:lineRule="exact"/>
              <w:rPr>
                <w:rFonts w:ascii="宋体" w:hAnsi="宋体"/>
                <w:color w:val="auto"/>
                <w:sz w:val="18"/>
                <w:szCs w:val="18"/>
                <w:highlight w:val="none"/>
              </w:rPr>
            </w:pPr>
          </w:p>
        </w:tc>
        <w:tc>
          <w:tcPr>
            <w:tcW w:w="615" w:type="dxa"/>
          </w:tcPr>
          <w:p>
            <w:pPr>
              <w:spacing w:line="400" w:lineRule="exact"/>
              <w:rPr>
                <w:rFonts w:ascii="宋体" w:hAnsi="宋体"/>
                <w:color w:val="auto"/>
                <w:sz w:val="18"/>
                <w:szCs w:val="18"/>
                <w:highlight w:val="none"/>
              </w:rPr>
            </w:pPr>
          </w:p>
        </w:tc>
        <w:tc>
          <w:tcPr>
            <w:tcW w:w="825" w:type="dxa"/>
          </w:tcPr>
          <w:p>
            <w:pPr>
              <w:spacing w:line="400" w:lineRule="exact"/>
              <w:rPr>
                <w:rFonts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287" w:hRule="atLeast"/>
        </w:trPr>
        <w:tc>
          <w:tcPr>
            <w:tcW w:w="530" w:type="dxa"/>
            <w:vAlign w:val="center"/>
          </w:tcPr>
          <w:p>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3</w:t>
            </w:r>
          </w:p>
        </w:tc>
        <w:tc>
          <w:tcPr>
            <w:tcW w:w="10819" w:type="dxa"/>
            <w:vAlign w:val="center"/>
          </w:tcPr>
          <w:p>
            <w:pPr>
              <w:rPr>
                <w:color w:val="auto"/>
                <w:sz w:val="18"/>
                <w:szCs w:val="18"/>
                <w:highlight w:val="none"/>
              </w:rPr>
            </w:pPr>
            <w:r>
              <w:rPr>
                <w:rFonts w:hint="eastAsia"/>
                <w:color w:val="auto"/>
                <w:sz w:val="18"/>
                <w:szCs w:val="18"/>
                <w:highlight w:val="none"/>
              </w:rPr>
              <w:t>投标人（若为联合体，指承担施工任务的各方）持有有效的建设行政主管部门颁发的安全生产许可证。</w:t>
            </w:r>
          </w:p>
        </w:tc>
        <w:tc>
          <w:tcPr>
            <w:tcW w:w="585" w:type="dxa"/>
          </w:tcPr>
          <w:p>
            <w:pPr>
              <w:spacing w:line="400" w:lineRule="exact"/>
              <w:rPr>
                <w:rFonts w:ascii="宋体" w:hAnsi="宋体"/>
                <w:color w:val="auto"/>
                <w:sz w:val="18"/>
                <w:szCs w:val="18"/>
                <w:highlight w:val="none"/>
              </w:rPr>
            </w:pPr>
          </w:p>
        </w:tc>
        <w:tc>
          <w:tcPr>
            <w:tcW w:w="615" w:type="dxa"/>
          </w:tcPr>
          <w:p>
            <w:pPr>
              <w:spacing w:line="400" w:lineRule="exact"/>
              <w:rPr>
                <w:rFonts w:ascii="宋体" w:hAnsi="宋体"/>
                <w:color w:val="auto"/>
                <w:sz w:val="18"/>
                <w:szCs w:val="18"/>
                <w:highlight w:val="none"/>
              </w:rPr>
            </w:pPr>
          </w:p>
        </w:tc>
        <w:tc>
          <w:tcPr>
            <w:tcW w:w="825" w:type="dxa"/>
          </w:tcPr>
          <w:p>
            <w:pPr>
              <w:spacing w:line="400" w:lineRule="exact"/>
              <w:rPr>
                <w:rFonts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287" w:hRule="atLeast"/>
        </w:trPr>
        <w:tc>
          <w:tcPr>
            <w:tcW w:w="530" w:type="dxa"/>
            <w:vAlign w:val="center"/>
          </w:tcPr>
          <w:p>
            <w:pPr>
              <w:spacing w:line="400" w:lineRule="exact"/>
              <w:jc w:val="center"/>
              <w:rPr>
                <w:rFonts w:ascii="宋体" w:hAnsi="宋体"/>
                <w:color w:val="auto"/>
                <w:sz w:val="18"/>
                <w:szCs w:val="18"/>
                <w:highlight w:val="none"/>
              </w:rPr>
            </w:pPr>
            <w:r>
              <w:rPr>
                <w:rFonts w:ascii="宋体" w:hAnsi="宋体"/>
                <w:color w:val="auto"/>
                <w:sz w:val="18"/>
                <w:szCs w:val="18"/>
                <w:highlight w:val="none"/>
              </w:rPr>
              <w:t>4</w:t>
            </w:r>
          </w:p>
        </w:tc>
        <w:tc>
          <w:tcPr>
            <w:tcW w:w="10819" w:type="dxa"/>
            <w:vAlign w:val="center"/>
          </w:tcPr>
          <w:p>
            <w:pPr>
              <w:rPr>
                <w:color w:val="auto"/>
                <w:sz w:val="18"/>
                <w:szCs w:val="18"/>
                <w:highlight w:val="none"/>
              </w:rPr>
            </w:pPr>
            <w:r>
              <w:rPr>
                <w:rFonts w:hint="eastAsia"/>
                <w:color w:val="auto"/>
                <w:sz w:val="18"/>
                <w:szCs w:val="18"/>
                <w:highlight w:val="none"/>
              </w:rPr>
              <w:t>投标人（若为联合体，指联合体各方）企业资质符合招标公告要求。</w:t>
            </w:r>
          </w:p>
        </w:tc>
        <w:tc>
          <w:tcPr>
            <w:tcW w:w="585" w:type="dxa"/>
          </w:tcPr>
          <w:p>
            <w:pPr>
              <w:spacing w:line="400" w:lineRule="exact"/>
              <w:rPr>
                <w:rFonts w:ascii="宋体" w:hAnsi="宋体"/>
                <w:color w:val="auto"/>
                <w:sz w:val="18"/>
                <w:szCs w:val="18"/>
                <w:highlight w:val="none"/>
              </w:rPr>
            </w:pPr>
          </w:p>
        </w:tc>
        <w:tc>
          <w:tcPr>
            <w:tcW w:w="615" w:type="dxa"/>
          </w:tcPr>
          <w:p>
            <w:pPr>
              <w:spacing w:line="400" w:lineRule="exact"/>
              <w:rPr>
                <w:rFonts w:ascii="宋体" w:hAnsi="宋体"/>
                <w:color w:val="auto"/>
                <w:sz w:val="18"/>
                <w:szCs w:val="18"/>
                <w:highlight w:val="none"/>
              </w:rPr>
            </w:pPr>
          </w:p>
        </w:tc>
        <w:tc>
          <w:tcPr>
            <w:tcW w:w="825" w:type="dxa"/>
          </w:tcPr>
          <w:p>
            <w:pPr>
              <w:spacing w:line="400" w:lineRule="exact"/>
              <w:rPr>
                <w:rFonts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359" w:hRule="atLeast"/>
        </w:trPr>
        <w:tc>
          <w:tcPr>
            <w:tcW w:w="530" w:type="dxa"/>
            <w:vAlign w:val="center"/>
          </w:tcPr>
          <w:p>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5</w:t>
            </w:r>
          </w:p>
        </w:tc>
        <w:tc>
          <w:tcPr>
            <w:tcW w:w="10819" w:type="dxa"/>
            <w:vAlign w:val="center"/>
          </w:tcPr>
          <w:p>
            <w:pPr>
              <w:rPr>
                <w:color w:val="auto"/>
                <w:sz w:val="18"/>
                <w:szCs w:val="18"/>
                <w:highlight w:val="none"/>
              </w:rPr>
            </w:pPr>
            <w:r>
              <w:rPr>
                <w:rFonts w:hint="eastAsia"/>
                <w:color w:val="auto"/>
                <w:sz w:val="18"/>
                <w:szCs w:val="18"/>
                <w:highlight w:val="none"/>
              </w:rPr>
              <w:t>投标人拟担任本项目的项目负责人资格满足招标公告要求。</w:t>
            </w:r>
          </w:p>
        </w:tc>
        <w:tc>
          <w:tcPr>
            <w:tcW w:w="585" w:type="dxa"/>
          </w:tcPr>
          <w:p>
            <w:pPr>
              <w:spacing w:line="400" w:lineRule="exact"/>
              <w:rPr>
                <w:rFonts w:ascii="宋体" w:hAnsi="宋体"/>
                <w:color w:val="auto"/>
                <w:sz w:val="18"/>
                <w:szCs w:val="18"/>
                <w:highlight w:val="none"/>
              </w:rPr>
            </w:pPr>
          </w:p>
        </w:tc>
        <w:tc>
          <w:tcPr>
            <w:tcW w:w="615" w:type="dxa"/>
          </w:tcPr>
          <w:p>
            <w:pPr>
              <w:spacing w:line="400" w:lineRule="exact"/>
              <w:rPr>
                <w:rFonts w:ascii="宋体" w:hAnsi="宋体"/>
                <w:color w:val="auto"/>
                <w:sz w:val="18"/>
                <w:szCs w:val="18"/>
                <w:highlight w:val="none"/>
              </w:rPr>
            </w:pPr>
          </w:p>
        </w:tc>
        <w:tc>
          <w:tcPr>
            <w:tcW w:w="825" w:type="dxa"/>
          </w:tcPr>
          <w:p>
            <w:pPr>
              <w:spacing w:line="400" w:lineRule="exact"/>
              <w:rPr>
                <w:rFonts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325" w:hRule="atLeast"/>
        </w:trPr>
        <w:tc>
          <w:tcPr>
            <w:tcW w:w="530" w:type="dxa"/>
            <w:vAlign w:val="center"/>
          </w:tcPr>
          <w:p>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6</w:t>
            </w:r>
          </w:p>
        </w:tc>
        <w:tc>
          <w:tcPr>
            <w:tcW w:w="10819" w:type="dxa"/>
            <w:vAlign w:val="center"/>
          </w:tcPr>
          <w:p>
            <w:pPr>
              <w:rPr>
                <w:color w:val="auto"/>
                <w:sz w:val="18"/>
                <w:szCs w:val="18"/>
                <w:highlight w:val="none"/>
              </w:rPr>
            </w:pPr>
            <w:r>
              <w:rPr>
                <w:rFonts w:hint="eastAsia"/>
                <w:color w:val="auto"/>
                <w:sz w:val="18"/>
                <w:szCs w:val="18"/>
                <w:highlight w:val="none"/>
              </w:rPr>
              <w:t>投标人拟担任本项目的设计负责人资格满足招标公告要求。</w:t>
            </w:r>
          </w:p>
        </w:tc>
        <w:tc>
          <w:tcPr>
            <w:tcW w:w="585" w:type="dxa"/>
          </w:tcPr>
          <w:p>
            <w:pPr>
              <w:spacing w:line="400" w:lineRule="exact"/>
              <w:rPr>
                <w:rFonts w:ascii="宋体" w:hAnsi="宋体"/>
                <w:color w:val="auto"/>
                <w:sz w:val="18"/>
                <w:szCs w:val="18"/>
                <w:highlight w:val="none"/>
              </w:rPr>
            </w:pPr>
          </w:p>
        </w:tc>
        <w:tc>
          <w:tcPr>
            <w:tcW w:w="615" w:type="dxa"/>
          </w:tcPr>
          <w:p>
            <w:pPr>
              <w:spacing w:line="400" w:lineRule="exact"/>
              <w:rPr>
                <w:rFonts w:ascii="宋体" w:hAnsi="宋体"/>
                <w:color w:val="auto"/>
                <w:sz w:val="18"/>
                <w:szCs w:val="18"/>
                <w:highlight w:val="none"/>
              </w:rPr>
            </w:pPr>
          </w:p>
        </w:tc>
        <w:tc>
          <w:tcPr>
            <w:tcW w:w="825" w:type="dxa"/>
          </w:tcPr>
          <w:p>
            <w:pPr>
              <w:spacing w:line="400" w:lineRule="exact"/>
              <w:rPr>
                <w:rFonts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255" w:hRule="atLeast"/>
        </w:trPr>
        <w:tc>
          <w:tcPr>
            <w:tcW w:w="530" w:type="dxa"/>
            <w:vAlign w:val="center"/>
          </w:tcPr>
          <w:p>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7</w:t>
            </w:r>
          </w:p>
        </w:tc>
        <w:tc>
          <w:tcPr>
            <w:tcW w:w="10819" w:type="dxa"/>
            <w:vAlign w:val="center"/>
          </w:tcPr>
          <w:p>
            <w:pPr>
              <w:rPr>
                <w:color w:val="auto"/>
                <w:sz w:val="18"/>
                <w:szCs w:val="18"/>
                <w:highlight w:val="none"/>
              </w:rPr>
            </w:pPr>
            <w:r>
              <w:rPr>
                <w:rFonts w:hint="eastAsia"/>
                <w:color w:val="auto"/>
                <w:sz w:val="18"/>
                <w:szCs w:val="18"/>
                <w:highlight w:val="none"/>
              </w:rPr>
              <w:t>投标人拟担任本项目的项目技术负责人资格满足招标公告要求。</w:t>
            </w:r>
          </w:p>
        </w:tc>
        <w:tc>
          <w:tcPr>
            <w:tcW w:w="585" w:type="dxa"/>
          </w:tcPr>
          <w:p>
            <w:pPr>
              <w:spacing w:line="400" w:lineRule="exact"/>
              <w:rPr>
                <w:rFonts w:ascii="宋体" w:hAnsi="宋体"/>
                <w:color w:val="auto"/>
                <w:sz w:val="18"/>
                <w:szCs w:val="18"/>
                <w:highlight w:val="none"/>
              </w:rPr>
            </w:pPr>
          </w:p>
        </w:tc>
        <w:tc>
          <w:tcPr>
            <w:tcW w:w="615" w:type="dxa"/>
          </w:tcPr>
          <w:p>
            <w:pPr>
              <w:spacing w:line="400" w:lineRule="exact"/>
              <w:rPr>
                <w:rFonts w:ascii="宋体" w:hAnsi="宋体"/>
                <w:color w:val="auto"/>
                <w:sz w:val="18"/>
                <w:szCs w:val="18"/>
                <w:highlight w:val="none"/>
              </w:rPr>
            </w:pPr>
          </w:p>
        </w:tc>
        <w:tc>
          <w:tcPr>
            <w:tcW w:w="825" w:type="dxa"/>
          </w:tcPr>
          <w:p>
            <w:pPr>
              <w:spacing w:line="400" w:lineRule="exact"/>
              <w:rPr>
                <w:rFonts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348" w:hRule="atLeast"/>
        </w:trPr>
        <w:tc>
          <w:tcPr>
            <w:tcW w:w="530" w:type="dxa"/>
            <w:vAlign w:val="center"/>
          </w:tcPr>
          <w:p>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8</w:t>
            </w:r>
          </w:p>
        </w:tc>
        <w:tc>
          <w:tcPr>
            <w:tcW w:w="10819" w:type="dxa"/>
            <w:vAlign w:val="center"/>
          </w:tcPr>
          <w:p>
            <w:pPr>
              <w:rPr>
                <w:color w:val="auto"/>
                <w:sz w:val="18"/>
                <w:szCs w:val="18"/>
                <w:highlight w:val="none"/>
              </w:rPr>
            </w:pPr>
            <w:r>
              <w:rPr>
                <w:rFonts w:hint="eastAsia"/>
                <w:color w:val="auto"/>
                <w:sz w:val="18"/>
                <w:szCs w:val="18"/>
                <w:highlight w:val="none"/>
              </w:rPr>
              <w:t>投标人（若为联合体，指联合体</w:t>
            </w:r>
            <w:r>
              <w:rPr>
                <w:rFonts w:hint="eastAsia"/>
                <w:color w:val="auto"/>
                <w:sz w:val="18"/>
                <w:szCs w:val="18"/>
                <w:highlight w:val="none"/>
                <w:lang w:eastAsia="zh-CN"/>
              </w:rPr>
              <w:t>主办方</w:t>
            </w:r>
            <w:r>
              <w:rPr>
                <w:rFonts w:hint="eastAsia"/>
                <w:color w:val="auto"/>
                <w:sz w:val="18"/>
                <w:szCs w:val="18"/>
                <w:highlight w:val="none"/>
              </w:rPr>
              <w:t>）项目负责人持有在有效期内的安全培训考核合格证书（B类），或能够提供建筑施工企业项目负责人安全生产考核合格证书扫描件。设计负责人、项目负责人、技术负责人和安全员不为同一人。</w:t>
            </w:r>
          </w:p>
        </w:tc>
        <w:tc>
          <w:tcPr>
            <w:tcW w:w="585" w:type="dxa"/>
          </w:tcPr>
          <w:p>
            <w:pPr>
              <w:spacing w:line="400" w:lineRule="exact"/>
              <w:rPr>
                <w:rFonts w:ascii="宋体" w:hAnsi="宋体"/>
                <w:color w:val="auto"/>
                <w:sz w:val="18"/>
                <w:szCs w:val="18"/>
                <w:highlight w:val="none"/>
              </w:rPr>
            </w:pPr>
          </w:p>
        </w:tc>
        <w:tc>
          <w:tcPr>
            <w:tcW w:w="615" w:type="dxa"/>
          </w:tcPr>
          <w:p>
            <w:pPr>
              <w:spacing w:line="400" w:lineRule="exact"/>
              <w:rPr>
                <w:rFonts w:ascii="宋体" w:hAnsi="宋体"/>
                <w:color w:val="auto"/>
                <w:sz w:val="18"/>
                <w:szCs w:val="18"/>
                <w:highlight w:val="none"/>
              </w:rPr>
            </w:pPr>
          </w:p>
        </w:tc>
        <w:tc>
          <w:tcPr>
            <w:tcW w:w="825" w:type="dxa"/>
          </w:tcPr>
          <w:p>
            <w:pPr>
              <w:spacing w:line="400" w:lineRule="exact"/>
              <w:rPr>
                <w:rFonts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09" w:hRule="atLeast"/>
        </w:trPr>
        <w:tc>
          <w:tcPr>
            <w:tcW w:w="530" w:type="dxa"/>
            <w:vAlign w:val="center"/>
          </w:tcPr>
          <w:p>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9</w:t>
            </w:r>
          </w:p>
        </w:tc>
        <w:tc>
          <w:tcPr>
            <w:tcW w:w="10819" w:type="dxa"/>
            <w:vAlign w:val="center"/>
          </w:tcPr>
          <w:p>
            <w:pPr>
              <w:rPr>
                <w:color w:val="auto"/>
                <w:sz w:val="18"/>
                <w:szCs w:val="18"/>
                <w:highlight w:val="none"/>
              </w:rPr>
            </w:pPr>
            <w:r>
              <w:rPr>
                <w:rFonts w:hint="eastAsia"/>
                <w:color w:val="auto"/>
                <w:sz w:val="18"/>
                <w:szCs w:val="18"/>
                <w:highlight w:val="none"/>
              </w:rPr>
              <w:t>投标人（若为联合体，指联合体</w:t>
            </w:r>
            <w:r>
              <w:rPr>
                <w:rFonts w:hint="eastAsia"/>
                <w:color w:val="auto"/>
                <w:sz w:val="18"/>
                <w:szCs w:val="18"/>
                <w:highlight w:val="none"/>
                <w:lang w:eastAsia="zh-CN"/>
              </w:rPr>
              <w:t>主办方</w:t>
            </w:r>
            <w:r>
              <w:rPr>
                <w:rFonts w:hint="eastAsia"/>
                <w:color w:val="auto"/>
                <w:sz w:val="18"/>
                <w:szCs w:val="18"/>
                <w:highlight w:val="none"/>
              </w:rPr>
              <w:t>）专职安全员须具有在有效期内的安全生产考核合格证（C类）或建筑施工企业专职安全生产管理人员安全生产考核合格证书（C3）。</w:t>
            </w:r>
          </w:p>
        </w:tc>
        <w:tc>
          <w:tcPr>
            <w:tcW w:w="585" w:type="dxa"/>
          </w:tcPr>
          <w:p>
            <w:pPr>
              <w:spacing w:line="400" w:lineRule="exact"/>
              <w:rPr>
                <w:rFonts w:ascii="宋体" w:hAnsi="宋体"/>
                <w:color w:val="auto"/>
                <w:sz w:val="18"/>
                <w:szCs w:val="18"/>
                <w:highlight w:val="none"/>
              </w:rPr>
            </w:pPr>
          </w:p>
        </w:tc>
        <w:tc>
          <w:tcPr>
            <w:tcW w:w="615" w:type="dxa"/>
          </w:tcPr>
          <w:p>
            <w:pPr>
              <w:spacing w:line="400" w:lineRule="exact"/>
              <w:rPr>
                <w:rFonts w:ascii="宋体" w:hAnsi="宋体"/>
                <w:color w:val="auto"/>
                <w:sz w:val="18"/>
                <w:szCs w:val="18"/>
                <w:highlight w:val="none"/>
              </w:rPr>
            </w:pPr>
          </w:p>
        </w:tc>
        <w:tc>
          <w:tcPr>
            <w:tcW w:w="825" w:type="dxa"/>
          </w:tcPr>
          <w:p>
            <w:pPr>
              <w:spacing w:line="400" w:lineRule="exact"/>
              <w:rPr>
                <w:rFonts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460" w:hRule="atLeast"/>
        </w:trPr>
        <w:tc>
          <w:tcPr>
            <w:tcW w:w="530" w:type="dxa"/>
            <w:vAlign w:val="center"/>
          </w:tcPr>
          <w:p>
            <w:pPr>
              <w:spacing w:line="400" w:lineRule="exact"/>
              <w:jc w:val="center"/>
              <w:rPr>
                <w:rFonts w:ascii="宋体" w:hAnsi="宋体"/>
                <w:color w:val="auto"/>
                <w:sz w:val="18"/>
                <w:szCs w:val="18"/>
                <w:highlight w:val="none"/>
              </w:rPr>
            </w:pPr>
            <w:r>
              <w:rPr>
                <w:rFonts w:ascii="宋体" w:hAnsi="宋体"/>
                <w:color w:val="auto"/>
                <w:sz w:val="18"/>
                <w:szCs w:val="18"/>
                <w:highlight w:val="none"/>
              </w:rPr>
              <w:t>10</w:t>
            </w:r>
          </w:p>
        </w:tc>
        <w:tc>
          <w:tcPr>
            <w:tcW w:w="10819" w:type="dxa"/>
            <w:vAlign w:val="center"/>
          </w:tcPr>
          <w:p>
            <w:pPr>
              <w:rPr>
                <w:color w:val="auto"/>
                <w:sz w:val="18"/>
                <w:szCs w:val="18"/>
                <w:highlight w:val="none"/>
              </w:rPr>
            </w:pPr>
            <w:r>
              <w:rPr>
                <w:rFonts w:hint="eastAsia"/>
                <w:color w:val="auto"/>
                <w:sz w:val="18"/>
                <w:szCs w:val="18"/>
                <w:highlight w:val="none"/>
              </w:rPr>
              <w:t>资格审查前，投标人（若为联合体，指联合体各方）在广州市住建行业信用管理平台建立企业信用档案及拟担任本工程项目负责人、专职安全员、技术负责人和设计负责人须是本企业信用档案中的在册人员。（联合体投标的，企业信用档案和人员在册情况应与联合体共同投标协议书分工对应）。</w:t>
            </w:r>
          </w:p>
        </w:tc>
        <w:tc>
          <w:tcPr>
            <w:tcW w:w="585" w:type="dxa"/>
          </w:tcPr>
          <w:p>
            <w:pPr>
              <w:spacing w:line="400" w:lineRule="exact"/>
              <w:rPr>
                <w:rFonts w:ascii="宋体" w:hAnsi="宋体"/>
                <w:color w:val="auto"/>
                <w:sz w:val="18"/>
                <w:szCs w:val="18"/>
                <w:highlight w:val="none"/>
              </w:rPr>
            </w:pPr>
          </w:p>
        </w:tc>
        <w:tc>
          <w:tcPr>
            <w:tcW w:w="615" w:type="dxa"/>
          </w:tcPr>
          <w:p>
            <w:pPr>
              <w:spacing w:line="400" w:lineRule="exact"/>
              <w:rPr>
                <w:rFonts w:ascii="宋体" w:hAnsi="宋体"/>
                <w:color w:val="auto"/>
                <w:sz w:val="18"/>
                <w:szCs w:val="18"/>
                <w:highlight w:val="none"/>
              </w:rPr>
            </w:pPr>
          </w:p>
        </w:tc>
        <w:tc>
          <w:tcPr>
            <w:tcW w:w="825" w:type="dxa"/>
          </w:tcPr>
          <w:p>
            <w:pPr>
              <w:spacing w:line="400" w:lineRule="exact"/>
              <w:rPr>
                <w:rFonts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359" w:hRule="atLeast"/>
        </w:trPr>
        <w:tc>
          <w:tcPr>
            <w:tcW w:w="530" w:type="dxa"/>
            <w:vAlign w:val="center"/>
          </w:tcPr>
          <w:p>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11</w:t>
            </w:r>
          </w:p>
        </w:tc>
        <w:tc>
          <w:tcPr>
            <w:tcW w:w="10819" w:type="dxa"/>
            <w:vAlign w:val="center"/>
          </w:tcPr>
          <w:p>
            <w:pPr>
              <w:rPr>
                <w:color w:val="auto"/>
                <w:sz w:val="18"/>
                <w:szCs w:val="18"/>
                <w:highlight w:val="none"/>
              </w:rPr>
            </w:pPr>
            <w:r>
              <w:rPr>
                <w:rFonts w:hint="eastAsia"/>
                <w:color w:val="auto"/>
                <w:sz w:val="18"/>
                <w:szCs w:val="18"/>
                <w:highlight w:val="none"/>
              </w:rPr>
              <w:t>投标人提供的《投标人声明》符合招标公告要求。</w:t>
            </w:r>
          </w:p>
        </w:tc>
        <w:tc>
          <w:tcPr>
            <w:tcW w:w="585" w:type="dxa"/>
          </w:tcPr>
          <w:p>
            <w:pPr>
              <w:spacing w:line="400" w:lineRule="exact"/>
              <w:rPr>
                <w:rFonts w:ascii="宋体" w:hAnsi="宋体"/>
                <w:color w:val="auto"/>
                <w:sz w:val="18"/>
                <w:szCs w:val="18"/>
                <w:highlight w:val="none"/>
              </w:rPr>
            </w:pPr>
          </w:p>
        </w:tc>
        <w:tc>
          <w:tcPr>
            <w:tcW w:w="615" w:type="dxa"/>
          </w:tcPr>
          <w:p>
            <w:pPr>
              <w:spacing w:line="400" w:lineRule="exact"/>
              <w:rPr>
                <w:rFonts w:ascii="宋体" w:hAnsi="宋体"/>
                <w:color w:val="auto"/>
                <w:sz w:val="18"/>
                <w:szCs w:val="18"/>
                <w:highlight w:val="none"/>
              </w:rPr>
            </w:pPr>
          </w:p>
        </w:tc>
        <w:tc>
          <w:tcPr>
            <w:tcW w:w="825" w:type="dxa"/>
          </w:tcPr>
          <w:p>
            <w:pPr>
              <w:spacing w:line="400" w:lineRule="exact"/>
              <w:rPr>
                <w:rFonts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253" w:hRule="atLeast"/>
        </w:trPr>
        <w:tc>
          <w:tcPr>
            <w:tcW w:w="530" w:type="dxa"/>
            <w:vAlign w:val="center"/>
          </w:tcPr>
          <w:p>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12</w:t>
            </w:r>
          </w:p>
        </w:tc>
        <w:tc>
          <w:tcPr>
            <w:tcW w:w="10819" w:type="dxa"/>
            <w:vAlign w:val="center"/>
          </w:tcPr>
          <w:p>
            <w:pPr>
              <w:rPr>
                <w:color w:val="auto"/>
                <w:sz w:val="18"/>
                <w:szCs w:val="18"/>
                <w:highlight w:val="none"/>
              </w:rPr>
            </w:pPr>
            <w:r>
              <w:rPr>
                <w:rFonts w:hint="eastAsia"/>
                <w:color w:val="auto"/>
                <w:sz w:val="18"/>
                <w:szCs w:val="18"/>
                <w:highlight w:val="none"/>
              </w:rPr>
              <w:t>如联合体投标的提交联合体共同投标协议书，联合体组成符合招标公告要求。</w:t>
            </w:r>
          </w:p>
        </w:tc>
        <w:tc>
          <w:tcPr>
            <w:tcW w:w="585" w:type="dxa"/>
          </w:tcPr>
          <w:p>
            <w:pPr>
              <w:spacing w:line="400" w:lineRule="exact"/>
              <w:rPr>
                <w:rFonts w:ascii="宋体" w:hAnsi="宋体"/>
                <w:color w:val="auto"/>
                <w:sz w:val="18"/>
                <w:szCs w:val="18"/>
                <w:highlight w:val="none"/>
              </w:rPr>
            </w:pPr>
          </w:p>
        </w:tc>
        <w:tc>
          <w:tcPr>
            <w:tcW w:w="615" w:type="dxa"/>
          </w:tcPr>
          <w:p>
            <w:pPr>
              <w:spacing w:line="400" w:lineRule="exact"/>
              <w:rPr>
                <w:rFonts w:ascii="宋体" w:hAnsi="宋体"/>
                <w:color w:val="auto"/>
                <w:sz w:val="18"/>
                <w:szCs w:val="18"/>
                <w:highlight w:val="none"/>
              </w:rPr>
            </w:pPr>
          </w:p>
        </w:tc>
        <w:tc>
          <w:tcPr>
            <w:tcW w:w="825" w:type="dxa"/>
          </w:tcPr>
          <w:p>
            <w:pPr>
              <w:spacing w:line="400" w:lineRule="exact"/>
              <w:rPr>
                <w:rFonts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272" w:hRule="atLeast"/>
        </w:trPr>
        <w:tc>
          <w:tcPr>
            <w:tcW w:w="530" w:type="dxa"/>
            <w:vAlign w:val="center"/>
          </w:tcPr>
          <w:p>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13</w:t>
            </w:r>
          </w:p>
        </w:tc>
        <w:tc>
          <w:tcPr>
            <w:tcW w:w="10819" w:type="dxa"/>
            <w:vAlign w:val="center"/>
          </w:tcPr>
          <w:p>
            <w:pPr>
              <w:rPr>
                <w:color w:val="auto"/>
                <w:sz w:val="18"/>
                <w:szCs w:val="18"/>
                <w:highlight w:val="none"/>
              </w:rPr>
            </w:pPr>
            <w:r>
              <w:rPr>
                <w:rFonts w:hint="eastAsia"/>
                <w:color w:val="auto"/>
                <w:sz w:val="18"/>
                <w:szCs w:val="18"/>
                <w:highlight w:val="none"/>
              </w:rPr>
              <w:t>投标人（若为联合体，指联合体各方）未出现以下情形：与其它投标人的单位负责人为同一人或者存在控股、管理关系的（按投标人提供的《投标人声明》第八条内容进行评审）。</w:t>
            </w:r>
          </w:p>
        </w:tc>
        <w:tc>
          <w:tcPr>
            <w:tcW w:w="585" w:type="dxa"/>
          </w:tcPr>
          <w:p>
            <w:pPr>
              <w:spacing w:line="400" w:lineRule="exact"/>
              <w:rPr>
                <w:rFonts w:ascii="宋体" w:hAnsi="宋体"/>
                <w:color w:val="auto"/>
                <w:sz w:val="18"/>
                <w:szCs w:val="18"/>
                <w:highlight w:val="none"/>
              </w:rPr>
            </w:pPr>
          </w:p>
        </w:tc>
        <w:tc>
          <w:tcPr>
            <w:tcW w:w="615" w:type="dxa"/>
          </w:tcPr>
          <w:p>
            <w:pPr>
              <w:spacing w:line="400" w:lineRule="exact"/>
              <w:rPr>
                <w:rFonts w:ascii="宋体" w:hAnsi="宋体"/>
                <w:color w:val="auto"/>
                <w:sz w:val="18"/>
                <w:szCs w:val="18"/>
                <w:highlight w:val="none"/>
              </w:rPr>
            </w:pPr>
          </w:p>
        </w:tc>
        <w:tc>
          <w:tcPr>
            <w:tcW w:w="825" w:type="dxa"/>
          </w:tcPr>
          <w:p>
            <w:pPr>
              <w:spacing w:line="400" w:lineRule="exact"/>
              <w:rPr>
                <w:rFonts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432" w:hRule="atLeast"/>
        </w:trPr>
        <w:tc>
          <w:tcPr>
            <w:tcW w:w="530" w:type="dxa"/>
            <w:vAlign w:val="center"/>
          </w:tcPr>
          <w:p>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14</w:t>
            </w:r>
          </w:p>
        </w:tc>
        <w:tc>
          <w:tcPr>
            <w:tcW w:w="10819" w:type="dxa"/>
            <w:vAlign w:val="center"/>
          </w:tcPr>
          <w:p>
            <w:pPr>
              <w:rPr>
                <w:color w:val="auto"/>
                <w:sz w:val="18"/>
                <w:szCs w:val="18"/>
                <w:highlight w:val="none"/>
              </w:rPr>
            </w:pPr>
            <w:r>
              <w:rPr>
                <w:rFonts w:hint="eastAsia"/>
                <w:color w:val="auto"/>
                <w:sz w:val="18"/>
                <w:szCs w:val="18"/>
                <w:highlight w:val="none"/>
              </w:rPr>
              <w:t>投标人（若为联合体，指联合体各方）未被纳入失信联合惩戒名单且被限制参加建设工程投标的（具体名单以递交投标文件截止时间“信用广州”https://credit1.gz.gov.cn/sgs/sgsXkNew公布的“失信黑名单”为准。不包含限制参加财政投资工程或政府投资工程的投标）。[注：因联合惩戒措施表述存在细微差别，惩戒措施与上文不完全一致但措施内容相同的，也应属于被限制参与相关项目的投标。]</w:t>
            </w:r>
          </w:p>
        </w:tc>
        <w:tc>
          <w:tcPr>
            <w:tcW w:w="585" w:type="dxa"/>
          </w:tcPr>
          <w:p>
            <w:pPr>
              <w:spacing w:line="400" w:lineRule="exact"/>
              <w:rPr>
                <w:rFonts w:ascii="宋体" w:hAnsi="宋体"/>
                <w:color w:val="auto"/>
                <w:sz w:val="18"/>
                <w:szCs w:val="18"/>
                <w:highlight w:val="none"/>
              </w:rPr>
            </w:pPr>
          </w:p>
        </w:tc>
        <w:tc>
          <w:tcPr>
            <w:tcW w:w="615" w:type="dxa"/>
          </w:tcPr>
          <w:p>
            <w:pPr>
              <w:spacing w:line="400" w:lineRule="exact"/>
              <w:rPr>
                <w:rFonts w:ascii="宋体" w:hAnsi="宋体"/>
                <w:color w:val="auto"/>
                <w:sz w:val="18"/>
                <w:szCs w:val="18"/>
                <w:highlight w:val="none"/>
              </w:rPr>
            </w:pPr>
          </w:p>
        </w:tc>
        <w:tc>
          <w:tcPr>
            <w:tcW w:w="825" w:type="dxa"/>
          </w:tcPr>
          <w:p>
            <w:pPr>
              <w:spacing w:line="400" w:lineRule="exact"/>
              <w:rPr>
                <w:rFonts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292" w:hRule="atLeast"/>
        </w:trPr>
        <w:tc>
          <w:tcPr>
            <w:tcW w:w="530" w:type="dxa"/>
            <w:vAlign w:val="center"/>
          </w:tcPr>
          <w:p>
            <w:pPr>
              <w:spacing w:line="400" w:lineRule="exact"/>
              <w:jc w:val="center"/>
              <w:rPr>
                <w:rFonts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5</w:t>
            </w:r>
          </w:p>
        </w:tc>
        <w:tc>
          <w:tcPr>
            <w:tcW w:w="10819" w:type="dxa"/>
            <w:vAlign w:val="center"/>
          </w:tcPr>
          <w:p>
            <w:pPr>
              <w:spacing w:line="360" w:lineRule="exact"/>
              <w:rPr>
                <w:color w:val="auto"/>
                <w:sz w:val="18"/>
                <w:szCs w:val="18"/>
                <w:highlight w:val="none"/>
              </w:rPr>
            </w:pPr>
            <w:r>
              <w:rPr>
                <w:rFonts w:hint="eastAsia"/>
                <w:color w:val="auto"/>
                <w:sz w:val="18"/>
                <w:szCs w:val="18"/>
                <w:highlight w:val="none"/>
              </w:rPr>
              <w:t>结论</w:t>
            </w:r>
          </w:p>
        </w:tc>
        <w:tc>
          <w:tcPr>
            <w:tcW w:w="585" w:type="dxa"/>
          </w:tcPr>
          <w:p>
            <w:pPr>
              <w:spacing w:line="400" w:lineRule="exact"/>
              <w:rPr>
                <w:rFonts w:ascii="宋体" w:hAnsi="宋体"/>
                <w:color w:val="auto"/>
                <w:sz w:val="18"/>
                <w:szCs w:val="18"/>
                <w:highlight w:val="none"/>
              </w:rPr>
            </w:pPr>
          </w:p>
        </w:tc>
        <w:tc>
          <w:tcPr>
            <w:tcW w:w="615" w:type="dxa"/>
          </w:tcPr>
          <w:p>
            <w:pPr>
              <w:spacing w:line="400" w:lineRule="exact"/>
              <w:rPr>
                <w:rFonts w:ascii="宋体" w:hAnsi="宋体"/>
                <w:color w:val="auto"/>
                <w:sz w:val="18"/>
                <w:szCs w:val="18"/>
                <w:highlight w:val="none"/>
              </w:rPr>
            </w:pPr>
          </w:p>
        </w:tc>
        <w:tc>
          <w:tcPr>
            <w:tcW w:w="825" w:type="dxa"/>
          </w:tcPr>
          <w:p>
            <w:pPr>
              <w:spacing w:line="400" w:lineRule="exact"/>
              <w:rPr>
                <w:rFonts w:ascii="宋体" w:hAnsi="宋体"/>
                <w:color w:val="auto"/>
                <w:sz w:val="18"/>
                <w:szCs w:val="18"/>
                <w:highlight w:val="none"/>
              </w:rPr>
            </w:pPr>
          </w:p>
        </w:tc>
      </w:tr>
    </w:tbl>
    <w:p>
      <w:pPr>
        <w:spacing w:line="240" w:lineRule="exact"/>
        <w:rPr>
          <w:rFonts w:ascii="宋体" w:hAnsi="宋体"/>
          <w:color w:val="auto"/>
          <w:sz w:val="18"/>
          <w:szCs w:val="18"/>
          <w:highlight w:val="none"/>
        </w:rPr>
      </w:pPr>
      <w:r>
        <w:rPr>
          <w:rFonts w:hint="eastAsia" w:ascii="宋体" w:hAnsi="宋体"/>
          <w:color w:val="auto"/>
          <w:sz w:val="18"/>
          <w:szCs w:val="18"/>
          <w:highlight w:val="none"/>
        </w:rPr>
        <w:t>注：1.每一项目符合有效的记“通过”无效的记“不通过”，全部审查项目均为有效的，结论为“通过”，否则为“不通过”。2.如对本表中某种情形的评审意见不一致时，以评审组过半数成员的意见作为评审组对该情形的认定结论。3.资格审查资料按招标公告附件一要求提供。</w:t>
      </w:r>
    </w:p>
    <w:p>
      <w:pPr>
        <w:spacing w:line="240" w:lineRule="exact"/>
        <w:rPr>
          <w:rFonts w:ascii="宋体" w:hAnsi="宋体"/>
          <w:color w:val="auto"/>
          <w:sz w:val="18"/>
          <w:szCs w:val="18"/>
          <w:highlight w:val="none"/>
        </w:rPr>
        <w:sectPr>
          <w:pgSz w:w="16840" w:h="11907" w:orient="landscape"/>
          <w:pgMar w:top="1304" w:right="1361" w:bottom="1304" w:left="1304" w:header="851" w:footer="720" w:gutter="0"/>
          <w:cols w:space="720" w:num="1"/>
        </w:sectPr>
      </w:pPr>
      <w:r>
        <w:rPr>
          <w:rFonts w:hint="eastAsia" w:ascii="宋体" w:hAnsi="宋体"/>
          <w:color w:val="auto"/>
          <w:sz w:val="18"/>
          <w:szCs w:val="18"/>
          <w:highlight w:val="none"/>
        </w:rPr>
        <w:t>评委签名：                                                                        日期：</w:t>
      </w:r>
    </w:p>
    <w:p>
      <w:pPr>
        <w:spacing w:line="400" w:lineRule="exact"/>
        <w:jc w:val="both"/>
        <w:rPr>
          <w:b/>
          <w:color w:val="auto"/>
          <w:sz w:val="32"/>
          <w:szCs w:val="32"/>
          <w:highlight w:val="none"/>
        </w:rPr>
      </w:pPr>
      <w:bookmarkStart w:id="382" w:name="_Hlk56515308"/>
      <w:bookmarkStart w:id="383" w:name="_Hlk56412681"/>
      <w:r>
        <w:rPr>
          <w:rFonts w:hint="eastAsia" w:ascii="宋体" w:hAnsi="宋体" w:cs="宋体"/>
          <w:b/>
          <w:color w:val="auto"/>
          <w:kern w:val="1"/>
          <w:sz w:val="24"/>
          <w:szCs w:val="24"/>
          <w:highlight w:val="none"/>
        </w:rPr>
        <w:t>附表</w:t>
      </w:r>
      <w:bookmarkStart w:id="384" w:name="_Hlk55894641"/>
      <w:r>
        <w:rPr>
          <w:rFonts w:ascii="宋体" w:hAnsi="宋体" w:cs="宋体"/>
          <w:b/>
          <w:color w:val="auto"/>
          <w:kern w:val="1"/>
          <w:sz w:val="24"/>
          <w:szCs w:val="24"/>
          <w:highlight w:val="none"/>
        </w:rPr>
        <w:t>2</w:t>
      </w:r>
      <w:r>
        <w:rPr>
          <w:rFonts w:hint="eastAsia" w:ascii="宋体" w:hAnsi="宋体" w:cs="宋体"/>
          <w:b/>
          <w:color w:val="auto"/>
          <w:kern w:val="1"/>
          <w:sz w:val="24"/>
          <w:szCs w:val="24"/>
          <w:highlight w:val="none"/>
        </w:rPr>
        <w:t xml:space="preserve">                    </w:t>
      </w:r>
      <w:r>
        <w:rPr>
          <w:rFonts w:hint="eastAsia"/>
          <w:b/>
          <w:color w:val="auto"/>
          <w:sz w:val="28"/>
          <w:szCs w:val="28"/>
          <w:highlight w:val="none"/>
        </w:rPr>
        <w:t>勘察、设计、工程商务及实施方案投标文件详细审查评分表</w:t>
      </w:r>
    </w:p>
    <w:tbl>
      <w:tblPr>
        <w:tblStyle w:val="35"/>
        <w:tblW w:w="15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
        <w:gridCol w:w="621"/>
        <w:gridCol w:w="946"/>
        <w:gridCol w:w="560"/>
        <w:gridCol w:w="1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97" w:type="dxa"/>
            <w:gridSpan w:val="2"/>
            <w:tcBorders>
              <w:top w:val="single" w:color="auto" w:sz="4" w:space="0"/>
              <w:left w:val="single" w:color="auto" w:sz="4" w:space="0"/>
              <w:right w:val="single" w:color="auto" w:sz="4" w:space="0"/>
            </w:tcBorders>
            <w:vAlign w:val="center"/>
          </w:tcPr>
          <w:p>
            <w:pPr>
              <w:adjustRightInd w:val="0"/>
              <w:snapToGrid w:val="0"/>
              <w:jc w:val="center"/>
              <w:rPr>
                <w:color w:val="auto"/>
                <w:sz w:val="18"/>
                <w:szCs w:val="18"/>
                <w:highlight w:val="none"/>
              </w:rPr>
            </w:pPr>
            <w:r>
              <w:rPr>
                <w:rFonts w:hint="eastAsia"/>
                <w:b/>
                <w:bCs/>
                <w:snapToGrid w:val="0"/>
                <w:color w:val="auto"/>
                <w:sz w:val="18"/>
                <w:szCs w:val="18"/>
                <w:highlight w:val="none"/>
              </w:rPr>
              <w:t>序号</w:t>
            </w:r>
          </w:p>
        </w:tc>
        <w:tc>
          <w:tcPr>
            <w:tcW w:w="946" w:type="dxa"/>
            <w:tcBorders>
              <w:top w:val="single" w:color="auto" w:sz="4" w:space="0"/>
              <w:left w:val="single" w:color="auto" w:sz="4" w:space="0"/>
              <w:right w:val="single" w:color="auto" w:sz="4" w:space="0"/>
            </w:tcBorders>
            <w:vAlign w:val="center"/>
          </w:tcPr>
          <w:p>
            <w:pPr>
              <w:adjustRightInd w:val="0"/>
              <w:snapToGrid w:val="0"/>
              <w:jc w:val="center"/>
              <w:rPr>
                <w:color w:val="auto"/>
                <w:sz w:val="18"/>
                <w:szCs w:val="18"/>
                <w:highlight w:val="none"/>
              </w:rPr>
            </w:pPr>
            <w:r>
              <w:rPr>
                <w:rFonts w:hint="eastAsia"/>
                <w:b/>
                <w:bCs/>
                <w:snapToGrid w:val="0"/>
                <w:color w:val="auto"/>
                <w:sz w:val="18"/>
                <w:szCs w:val="18"/>
                <w:highlight w:val="none"/>
              </w:rPr>
              <w:t>评分内容</w:t>
            </w:r>
          </w:p>
        </w:tc>
        <w:tc>
          <w:tcPr>
            <w:tcW w:w="560" w:type="dxa"/>
            <w:tcBorders>
              <w:top w:val="single" w:color="auto" w:sz="4" w:space="0"/>
              <w:left w:val="single" w:color="auto" w:sz="4" w:space="0"/>
              <w:right w:val="single" w:color="auto" w:sz="4" w:space="0"/>
            </w:tcBorders>
            <w:vAlign w:val="center"/>
          </w:tcPr>
          <w:p>
            <w:pPr>
              <w:adjustRightInd w:val="0"/>
              <w:snapToGrid w:val="0"/>
              <w:jc w:val="center"/>
              <w:rPr>
                <w:color w:val="auto"/>
                <w:sz w:val="18"/>
                <w:szCs w:val="18"/>
                <w:highlight w:val="none"/>
              </w:rPr>
            </w:pPr>
            <w:r>
              <w:rPr>
                <w:rFonts w:hint="eastAsia"/>
                <w:b/>
                <w:bCs/>
                <w:snapToGrid w:val="0"/>
                <w:color w:val="auto"/>
                <w:sz w:val="18"/>
                <w:szCs w:val="18"/>
                <w:highlight w:val="none"/>
              </w:rPr>
              <w:t>分值</w:t>
            </w:r>
          </w:p>
        </w:tc>
        <w:tc>
          <w:tcPr>
            <w:tcW w:w="12774" w:type="dxa"/>
            <w:tcBorders>
              <w:top w:val="single" w:color="auto" w:sz="4" w:space="0"/>
              <w:left w:val="single" w:color="auto" w:sz="4" w:space="0"/>
              <w:right w:val="single" w:color="auto" w:sz="4" w:space="0"/>
            </w:tcBorders>
            <w:vAlign w:val="center"/>
          </w:tcPr>
          <w:p>
            <w:pPr>
              <w:adjustRightInd w:val="0"/>
              <w:snapToGrid w:val="0"/>
              <w:jc w:val="center"/>
              <w:rPr>
                <w:color w:val="auto"/>
                <w:sz w:val="18"/>
                <w:szCs w:val="18"/>
                <w:highlight w:val="none"/>
              </w:rPr>
            </w:pPr>
            <w:r>
              <w:rPr>
                <w:rFonts w:hint="eastAsia"/>
                <w:b/>
                <w:bCs/>
                <w:snapToGrid w:val="0"/>
                <w:color w:val="auto"/>
                <w:sz w:val="18"/>
                <w:szCs w:val="18"/>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5277" w:type="dxa"/>
            <w:gridSpan w:val="5"/>
            <w:tcBorders>
              <w:top w:val="single" w:color="auto" w:sz="4" w:space="0"/>
              <w:left w:val="single" w:color="auto" w:sz="4" w:space="0"/>
              <w:right w:val="single" w:color="auto" w:sz="4" w:space="0"/>
            </w:tcBorders>
            <w:vAlign w:val="center"/>
          </w:tcPr>
          <w:p>
            <w:pPr>
              <w:adjustRightInd w:val="0"/>
              <w:snapToGrid w:val="0"/>
              <w:rPr>
                <w:b/>
                <w:bCs/>
                <w:snapToGrid w:val="0"/>
                <w:color w:val="auto"/>
                <w:sz w:val="18"/>
                <w:szCs w:val="18"/>
                <w:highlight w:val="none"/>
              </w:rPr>
            </w:pPr>
            <w:r>
              <w:rPr>
                <w:rFonts w:hint="eastAsia"/>
                <w:b/>
                <w:bCs/>
                <w:snapToGrid w:val="0"/>
                <w:color w:val="auto"/>
                <w:sz w:val="18"/>
                <w:szCs w:val="18"/>
                <w:highlight w:val="none"/>
              </w:rPr>
              <w:t>1.资信部分（40分）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1" w:hRule="atLeast"/>
          <w:jc w:val="center"/>
        </w:trPr>
        <w:tc>
          <w:tcPr>
            <w:tcW w:w="376" w:type="dxa"/>
            <w:vMerge w:val="restart"/>
            <w:tcBorders>
              <w:top w:val="single" w:color="auto" w:sz="4" w:space="0"/>
              <w:left w:val="single" w:color="auto" w:sz="4" w:space="0"/>
              <w:right w:val="single" w:color="auto" w:sz="4" w:space="0"/>
            </w:tcBorders>
          </w:tcPr>
          <w:p>
            <w:pPr>
              <w:adjustRightInd w:val="0"/>
              <w:snapToGrid w:val="0"/>
              <w:rPr>
                <w:bCs/>
                <w:snapToGrid w:val="0"/>
                <w:color w:val="auto"/>
                <w:spacing w:val="-10"/>
                <w:sz w:val="18"/>
                <w:szCs w:val="18"/>
                <w:highlight w:val="none"/>
              </w:rPr>
            </w:pPr>
          </w:p>
        </w:tc>
        <w:tc>
          <w:tcPr>
            <w:tcW w:w="621" w:type="dxa"/>
            <w:tcBorders>
              <w:top w:val="single" w:color="auto" w:sz="4" w:space="0"/>
              <w:left w:val="single" w:color="auto" w:sz="4" w:space="0"/>
              <w:right w:val="single" w:color="auto" w:sz="4" w:space="0"/>
            </w:tcBorders>
            <w:vAlign w:val="center"/>
          </w:tcPr>
          <w:p>
            <w:pPr>
              <w:widowControl/>
              <w:adjustRightInd w:val="0"/>
              <w:snapToGrid w:val="0"/>
              <w:jc w:val="center"/>
              <w:rPr>
                <w:bCs/>
                <w:snapToGrid w:val="0"/>
                <w:color w:val="auto"/>
                <w:spacing w:val="-10"/>
                <w:sz w:val="18"/>
                <w:szCs w:val="18"/>
                <w:highlight w:val="none"/>
              </w:rPr>
            </w:pPr>
            <w:r>
              <w:rPr>
                <w:rFonts w:hint="eastAsia"/>
                <w:bCs/>
                <w:snapToGrid w:val="0"/>
                <w:color w:val="auto"/>
                <w:spacing w:val="-10"/>
                <w:sz w:val="18"/>
                <w:szCs w:val="18"/>
                <w:highlight w:val="none"/>
              </w:rPr>
              <w:t>1.1.1</w:t>
            </w:r>
          </w:p>
        </w:tc>
        <w:tc>
          <w:tcPr>
            <w:tcW w:w="946"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auto"/>
                <w:sz w:val="18"/>
                <w:szCs w:val="18"/>
                <w:highlight w:val="none"/>
              </w:rPr>
            </w:pPr>
            <w:r>
              <w:rPr>
                <w:rFonts w:hint="eastAsia"/>
                <w:snapToGrid w:val="0"/>
                <w:color w:val="auto"/>
                <w:spacing w:val="-10"/>
                <w:sz w:val="18"/>
                <w:szCs w:val="18"/>
                <w:highlight w:val="none"/>
              </w:rPr>
              <w:t>类似业绩</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napToGrid w:val="0"/>
                <w:color w:val="auto"/>
                <w:spacing w:val="-10"/>
                <w:sz w:val="18"/>
                <w:szCs w:val="18"/>
                <w:highlight w:val="none"/>
              </w:rPr>
            </w:pPr>
            <w:r>
              <w:rPr>
                <w:rFonts w:hint="eastAsia"/>
                <w:b/>
                <w:bCs/>
                <w:snapToGrid w:val="0"/>
                <w:color w:val="auto"/>
                <w:spacing w:val="-10"/>
                <w:sz w:val="18"/>
                <w:szCs w:val="18"/>
                <w:highlight w:val="none"/>
                <w:lang w:val="en-US" w:eastAsia="zh-CN"/>
              </w:rPr>
              <w:t>10</w:t>
            </w:r>
            <w:r>
              <w:rPr>
                <w:rFonts w:hint="eastAsia"/>
                <w:color w:val="auto"/>
                <w:sz w:val="18"/>
                <w:szCs w:val="18"/>
                <w:highlight w:val="none"/>
              </w:rPr>
              <w:t>分</w:t>
            </w:r>
          </w:p>
        </w:tc>
        <w:tc>
          <w:tcPr>
            <w:tcW w:w="12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
                <w:bCs/>
                <w:color w:val="auto"/>
                <w:sz w:val="18"/>
                <w:szCs w:val="18"/>
                <w:highlight w:val="none"/>
              </w:rPr>
            </w:pPr>
            <w:r>
              <w:rPr>
                <w:b/>
                <w:bCs/>
                <w:color w:val="auto"/>
                <w:sz w:val="18"/>
                <w:szCs w:val="18"/>
                <w:highlight w:val="none"/>
              </w:rPr>
              <w:t>1、投标人（若为联合体，指主办方）自2018年1月1日至今完成质量合格的工程造价金额大于或等于</w:t>
            </w:r>
            <w:r>
              <w:rPr>
                <w:rFonts w:hint="eastAsia"/>
                <w:b/>
                <w:bCs/>
                <w:color w:val="auto"/>
                <w:sz w:val="18"/>
                <w:szCs w:val="18"/>
                <w:highlight w:val="none"/>
                <w:lang w:val="en-US" w:eastAsia="zh-CN"/>
              </w:rPr>
              <w:t>35</w:t>
            </w:r>
            <w:r>
              <w:rPr>
                <w:b/>
                <w:bCs/>
                <w:color w:val="auto"/>
                <w:sz w:val="18"/>
                <w:szCs w:val="18"/>
                <w:highlight w:val="none"/>
              </w:rPr>
              <w:t>00万元的建筑工程施工总承包业绩或工程总承包工程的施工业绩，每项得0.5分，本小项最高得</w:t>
            </w:r>
            <w:r>
              <w:rPr>
                <w:rFonts w:hint="eastAsia"/>
                <w:b/>
                <w:bCs/>
                <w:color w:val="auto"/>
                <w:sz w:val="18"/>
                <w:szCs w:val="18"/>
                <w:highlight w:val="none"/>
                <w:lang w:val="en-US" w:eastAsia="zh-CN"/>
              </w:rPr>
              <w:t>4</w:t>
            </w:r>
            <w:r>
              <w:rPr>
                <w:b/>
                <w:bCs/>
                <w:color w:val="auto"/>
                <w:sz w:val="18"/>
                <w:szCs w:val="18"/>
                <w:highlight w:val="none"/>
              </w:rPr>
              <w:t>分。</w:t>
            </w:r>
          </w:p>
          <w:p>
            <w:pPr>
              <w:adjustRightInd w:val="0"/>
              <w:snapToGrid w:val="0"/>
              <w:spacing w:line="276" w:lineRule="auto"/>
              <w:rPr>
                <w:bCs/>
                <w:color w:val="auto"/>
                <w:sz w:val="18"/>
                <w:szCs w:val="18"/>
                <w:highlight w:val="none"/>
              </w:rPr>
            </w:pPr>
            <w:r>
              <w:rPr>
                <w:rFonts w:hint="eastAsia"/>
                <w:bCs/>
                <w:color w:val="auto"/>
                <w:sz w:val="18"/>
                <w:szCs w:val="18"/>
                <w:highlight w:val="none"/>
              </w:rPr>
              <w:t>注：须提供中标通知书或免招标的证明、施工合同或工程总承包合同（均不含补充合同）、竣工验收报告或工程竣工备案表或建设工程质量监督部门出具的工程竣工合格验收的证明原件扫描件</w:t>
            </w:r>
            <w:r>
              <w:rPr>
                <w:bCs/>
                <w:color w:val="auto"/>
                <w:sz w:val="18"/>
                <w:szCs w:val="18"/>
                <w:highlight w:val="none"/>
              </w:rPr>
              <w:t>[前述竣工验收文件至少具有建设单位（或建设管理单位）、设计、施工和监理单位盖章]。（1）业绩金额以中标通知书金额（其中工程总承包业绩以施工费中标金额）为准，中标通知书上没有金额或免招标的，以施工合同或工程总承包合同（均不含补充合同，其中工程总承包业绩以施工费合同金额）为准。（2）完成时间以竣工验收时间为准。</w:t>
            </w:r>
            <w:r>
              <w:rPr>
                <w:rFonts w:hint="eastAsia"/>
                <w:bCs/>
                <w:color w:val="auto"/>
                <w:sz w:val="18"/>
                <w:szCs w:val="18"/>
                <w:highlight w:val="none"/>
              </w:rPr>
              <w:t>（</w:t>
            </w:r>
            <w:r>
              <w:rPr>
                <w:bCs/>
                <w:color w:val="auto"/>
                <w:sz w:val="18"/>
                <w:szCs w:val="18"/>
                <w:highlight w:val="none"/>
              </w:rPr>
              <w:t>3）不符合上述条件或提供的资料不齐全的业绩不得分。（4）上述资料显示的内容须一致且工程业绩须为建筑工程施工总承包资质方能承接的业绩（工程总承包业绩以施工资质为准）。（5）工程总承包业绩包括勘察设计施工总承包或设计施工总承包或设计采购施工总承包或勘察设计采购施工总承包业绩等。</w:t>
            </w:r>
          </w:p>
          <w:p>
            <w:pPr>
              <w:rPr>
                <w:color w:val="auto"/>
                <w:highlight w:val="none"/>
              </w:rPr>
            </w:pPr>
          </w:p>
          <w:p>
            <w:pPr>
              <w:adjustRightInd w:val="0"/>
              <w:snapToGrid w:val="0"/>
              <w:spacing w:line="276" w:lineRule="auto"/>
              <w:rPr>
                <w:b/>
                <w:bCs/>
                <w:color w:val="auto"/>
                <w:sz w:val="18"/>
                <w:szCs w:val="18"/>
                <w:highlight w:val="none"/>
              </w:rPr>
            </w:pPr>
          </w:p>
          <w:p>
            <w:pPr>
              <w:adjustRightInd w:val="0"/>
              <w:snapToGrid w:val="0"/>
              <w:spacing w:line="276" w:lineRule="auto"/>
              <w:rPr>
                <w:b/>
                <w:bCs/>
                <w:color w:val="auto"/>
                <w:sz w:val="18"/>
                <w:szCs w:val="18"/>
                <w:highlight w:val="none"/>
              </w:rPr>
            </w:pPr>
            <w:r>
              <w:rPr>
                <w:b/>
                <w:bCs/>
                <w:color w:val="auto"/>
                <w:sz w:val="18"/>
                <w:szCs w:val="18"/>
                <w:highlight w:val="none"/>
              </w:rPr>
              <w:t>2、投标人（若为联合体，指主办方）自2018年1月1日至今</w:t>
            </w:r>
            <w:r>
              <w:rPr>
                <w:rFonts w:hint="eastAsia"/>
                <w:b/>
                <w:bCs/>
                <w:color w:val="auto"/>
                <w:sz w:val="18"/>
                <w:szCs w:val="18"/>
                <w:highlight w:val="none"/>
                <w:lang w:val="en-US" w:eastAsia="zh-CN"/>
              </w:rPr>
              <w:t>完成</w:t>
            </w:r>
            <w:r>
              <w:rPr>
                <w:b/>
                <w:bCs/>
                <w:color w:val="auto"/>
                <w:sz w:val="18"/>
                <w:szCs w:val="18"/>
                <w:highlight w:val="none"/>
              </w:rPr>
              <w:t>质量合格的工程造价金额大于或等于</w:t>
            </w:r>
            <w:r>
              <w:rPr>
                <w:rFonts w:hint="eastAsia"/>
                <w:b/>
                <w:bCs/>
                <w:color w:val="auto"/>
                <w:sz w:val="18"/>
                <w:szCs w:val="18"/>
                <w:highlight w:val="none"/>
                <w:lang w:val="en-US" w:eastAsia="zh-CN"/>
              </w:rPr>
              <w:t>35</w:t>
            </w:r>
            <w:r>
              <w:rPr>
                <w:b/>
                <w:bCs/>
                <w:color w:val="auto"/>
                <w:sz w:val="18"/>
                <w:szCs w:val="18"/>
                <w:highlight w:val="none"/>
              </w:rPr>
              <w:t>00万元的装配式建筑工程施工总承包业绩或</w:t>
            </w:r>
            <w:r>
              <w:rPr>
                <w:rFonts w:hint="eastAsia"/>
                <w:b/>
                <w:bCs/>
                <w:color w:val="auto"/>
                <w:sz w:val="18"/>
                <w:szCs w:val="18"/>
                <w:highlight w:val="none"/>
              </w:rPr>
              <w:t>装配式建筑工程</w:t>
            </w:r>
            <w:r>
              <w:rPr>
                <w:b/>
                <w:bCs/>
                <w:color w:val="auto"/>
                <w:sz w:val="18"/>
                <w:szCs w:val="18"/>
                <w:highlight w:val="none"/>
              </w:rPr>
              <w:t>工程总承包工程的施工业绩，每项得1分，本小项最高得3分。</w:t>
            </w:r>
          </w:p>
          <w:p>
            <w:pPr>
              <w:adjustRightInd w:val="0"/>
              <w:snapToGrid w:val="0"/>
              <w:spacing w:line="276" w:lineRule="auto"/>
              <w:rPr>
                <w:bCs/>
                <w:color w:val="auto"/>
                <w:sz w:val="18"/>
                <w:szCs w:val="18"/>
                <w:highlight w:val="none"/>
              </w:rPr>
            </w:pPr>
            <w:r>
              <w:rPr>
                <w:rFonts w:hint="eastAsia"/>
                <w:bCs/>
                <w:color w:val="auto"/>
                <w:sz w:val="18"/>
                <w:szCs w:val="18"/>
                <w:highlight w:val="none"/>
              </w:rPr>
              <w:t>注：须提供中标通知书或免招标的证明、施工合同或工程总承包合同（均不含补充合同）、竣工验收报告或工程竣工备案表或建设工程质量监督部门出具的工程竣工合格验收的证明原件扫描件[前述竣工验收文件至少具有建设单位（或建设管理单位）、设计、施工和监理单位盖章]。和政府相关部门发出的装配式建筑项目设计阶段预评价意见书扫描件。（</w:t>
            </w:r>
            <w:r>
              <w:rPr>
                <w:bCs/>
                <w:color w:val="auto"/>
                <w:sz w:val="18"/>
                <w:szCs w:val="18"/>
                <w:highlight w:val="none"/>
              </w:rPr>
              <w:t>1）业绩金额以中标通知书金额（其中工程总承包业绩以施工费中标金额）为准，中标通知书上没有金额或免招标的，以施工合同或工程总承包合同（均不含补充合同，其中工程总承包业绩以施工费合同金额）为准。（2）时间以中标时间为准。（3）不符合上述条件或提供的资料不齐全的业绩不得分。（4）工程总承包业绩包括勘察设计施工总承包或设计施工总承包或设计采购施工总承包或勘察设计采购施工总承包业绩等。</w:t>
            </w:r>
          </w:p>
          <w:p>
            <w:pPr>
              <w:adjustRightInd w:val="0"/>
              <w:snapToGrid w:val="0"/>
              <w:spacing w:line="276" w:lineRule="auto"/>
              <w:rPr>
                <w:b/>
                <w:bCs/>
                <w:color w:val="auto"/>
                <w:sz w:val="18"/>
                <w:szCs w:val="18"/>
                <w:highlight w:val="none"/>
              </w:rPr>
            </w:pPr>
          </w:p>
          <w:p>
            <w:pPr>
              <w:adjustRightInd w:val="0"/>
              <w:snapToGrid w:val="0"/>
              <w:spacing w:line="276" w:lineRule="auto"/>
              <w:rPr>
                <w:b/>
                <w:bCs/>
                <w:color w:val="auto"/>
                <w:sz w:val="18"/>
                <w:szCs w:val="18"/>
                <w:highlight w:val="none"/>
              </w:rPr>
            </w:pPr>
            <w:r>
              <w:rPr>
                <w:b/>
                <w:bCs/>
                <w:color w:val="auto"/>
                <w:sz w:val="18"/>
                <w:szCs w:val="18"/>
                <w:highlight w:val="none"/>
              </w:rPr>
              <w:t>3、投标人（若为联合体，指设计方）自20</w:t>
            </w:r>
            <w:r>
              <w:rPr>
                <w:rFonts w:hint="eastAsia"/>
                <w:b/>
                <w:bCs/>
                <w:color w:val="auto"/>
                <w:sz w:val="18"/>
                <w:szCs w:val="18"/>
                <w:highlight w:val="none"/>
                <w:lang w:val="en-US" w:eastAsia="zh-CN"/>
              </w:rPr>
              <w:t>18</w:t>
            </w:r>
            <w:r>
              <w:rPr>
                <w:b/>
                <w:bCs/>
                <w:color w:val="auto"/>
                <w:sz w:val="18"/>
                <w:szCs w:val="18"/>
                <w:highlight w:val="none"/>
              </w:rPr>
              <w:t>年1月1日至今</w:t>
            </w:r>
            <w:r>
              <w:rPr>
                <w:rFonts w:hint="eastAsia"/>
                <w:b/>
                <w:bCs/>
                <w:color w:val="auto"/>
                <w:sz w:val="18"/>
                <w:szCs w:val="18"/>
                <w:highlight w:val="none"/>
                <w:lang w:val="en-US" w:eastAsia="zh-CN"/>
              </w:rPr>
              <w:t>完成</w:t>
            </w:r>
            <w:r>
              <w:rPr>
                <w:b/>
                <w:bCs/>
                <w:color w:val="auto"/>
                <w:sz w:val="18"/>
                <w:szCs w:val="18"/>
                <w:highlight w:val="none"/>
              </w:rPr>
              <w:t>质量合格的项目总投资金额大于或等于</w:t>
            </w:r>
            <w:r>
              <w:rPr>
                <w:rFonts w:hint="eastAsia"/>
                <w:b/>
                <w:bCs/>
                <w:color w:val="auto"/>
                <w:sz w:val="18"/>
                <w:szCs w:val="18"/>
                <w:highlight w:val="none"/>
                <w:lang w:val="en-US" w:eastAsia="zh-CN"/>
              </w:rPr>
              <w:t>35</w:t>
            </w:r>
            <w:r>
              <w:rPr>
                <w:b/>
                <w:bCs/>
                <w:color w:val="auto"/>
                <w:sz w:val="18"/>
                <w:szCs w:val="18"/>
                <w:highlight w:val="none"/>
              </w:rPr>
              <w:t>00万元的房屋建筑工程设计业绩，包括建筑工程设计项目或工程勘察设计项目或EPC(建筑工程设计采购施工总承包或设计施工总承包或勘察设计施工总承包等模式），每项得1分，本小项最高得3分。</w:t>
            </w:r>
          </w:p>
          <w:p>
            <w:pPr>
              <w:adjustRightInd w:val="0"/>
              <w:snapToGrid w:val="0"/>
              <w:spacing w:line="276" w:lineRule="auto"/>
              <w:rPr>
                <w:bCs/>
                <w:color w:val="auto"/>
                <w:sz w:val="18"/>
                <w:szCs w:val="18"/>
                <w:highlight w:val="none"/>
              </w:rPr>
            </w:pPr>
            <w:r>
              <w:rPr>
                <w:rFonts w:hint="eastAsia"/>
                <w:bCs/>
                <w:color w:val="auto"/>
                <w:sz w:val="18"/>
                <w:szCs w:val="18"/>
                <w:highlight w:val="none"/>
              </w:rPr>
              <w:t>注：（</w:t>
            </w:r>
            <w:r>
              <w:rPr>
                <w:bCs/>
                <w:color w:val="auto"/>
                <w:sz w:val="18"/>
                <w:szCs w:val="18"/>
                <w:highlight w:val="none"/>
              </w:rPr>
              <w:t>1）设计业绩需同时</w:t>
            </w:r>
            <w:r>
              <w:rPr>
                <w:rFonts w:hint="eastAsia"/>
                <w:bCs/>
                <w:color w:val="auto"/>
                <w:sz w:val="18"/>
                <w:szCs w:val="18"/>
                <w:highlight w:val="none"/>
                <w:lang w:eastAsia="zh-CN"/>
              </w:rPr>
              <w:t>提供</w:t>
            </w:r>
            <w:r>
              <w:rPr>
                <w:bCs/>
                <w:color w:val="auto"/>
                <w:sz w:val="18"/>
                <w:szCs w:val="18"/>
                <w:highlight w:val="none"/>
              </w:rPr>
              <w:t>中标通知书或免招标证明、合同文本主要页原件清晰扫描件。（2）业绩时间以合同签订日期为准。（3）业绩金额以合同列明的项目总投资金额为准，如合同没有列明的，可提交列明项目总投资金额的项目建议书批文或可行性研究报告批文或企业投资项目备案证等相关政府部门出具的文件作为证明材料。（4）不符合上述条件或提供的资料不齐全的业绩不得分。</w:t>
            </w:r>
          </w:p>
          <w:p>
            <w:pPr>
              <w:adjustRightInd w:val="0"/>
              <w:snapToGrid w:val="0"/>
              <w:spacing w:line="276" w:lineRule="auto"/>
              <w:rPr>
                <w:b/>
                <w:bCs/>
                <w:color w:val="auto"/>
                <w:sz w:val="18"/>
                <w:szCs w:val="18"/>
                <w:highlight w:val="none"/>
              </w:rPr>
            </w:pPr>
          </w:p>
          <w:p>
            <w:pPr>
              <w:adjustRightInd w:val="0"/>
              <w:snapToGrid w:val="0"/>
              <w:spacing w:line="276" w:lineRule="auto"/>
              <w:rPr>
                <w:b/>
                <w:bCs/>
                <w:color w:val="auto"/>
                <w:sz w:val="18"/>
                <w:szCs w:val="18"/>
                <w:highlight w:val="none"/>
              </w:rPr>
            </w:pPr>
            <w:r>
              <w:rPr>
                <w:b/>
                <w:bCs/>
                <w:color w:val="auto"/>
                <w:sz w:val="18"/>
                <w:szCs w:val="18"/>
                <w:highlight w:val="none"/>
              </w:rPr>
              <w:t>本项合计最高得</w:t>
            </w:r>
            <w:r>
              <w:rPr>
                <w:rFonts w:hint="eastAsia"/>
                <w:b/>
                <w:bCs/>
                <w:color w:val="auto"/>
                <w:sz w:val="18"/>
                <w:szCs w:val="18"/>
                <w:highlight w:val="none"/>
                <w:lang w:val="en-US" w:eastAsia="zh-CN"/>
              </w:rPr>
              <w:t>10</w:t>
            </w:r>
            <w:r>
              <w:rPr>
                <w:rFonts w:hint="eastAsia"/>
                <w:b/>
                <w:bCs/>
                <w:color w:val="auto"/>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376" w:type="dxa"/>
            <w:vMerge w:val="continue"/>
            <w:tcBorders>
              <w:left w:val="single" w:color="auto" w:sz="4" w:space="0"/>
              <w:right w:val="single" w:color="auto" w:sz="4" w:space="0"/>
            </w:tcBorders>
            <w:vAlign w:val="center"/>
          </w:tcPr>
          <w:p>
            <w:pPr>
              <w:widowControl/>
              <w:adjustRightInd w:val="0"/>
              <w:snapToGrid w:val="0"/>
              <w:jc w:val="center"/>
              <w:rPr>
                <w:bCs/>
                <w:snapToGrid w:val="0"/>
                <w:color w:val="auto"/>
                <w:spacing w:val="-10"/>
                <w:sz w:val="18"/>
                <w:szCs w:val="18"/>
                <w:highlight w:val="none"/>
              </w:rPr>
            </w:pPr>
          </w:p>
        </w:tc>
        <w:tc>
          <w:tcPr>
            <w:tcW w:w="621" w:type="dxa"/>
            <w:tcBorders>
              <w:left w:val="single" w:color="auto" w:sz="4" w:space="0"/>
              <w:right w:val="single" w:color="auto" w:sz="4" w:space="0"/>
            </w:tcBorders>
            <w:vAlign w:val="center"/>
          </w:tcPr>
          <w:p>
            <w:pPr>
              <w:widowControl/>
              <w:adjustRightInd w:val="0"/>
              <w:snapToGrid w:val="0"/>
              <w:jc w:val="center"/>
              <w:rPr>
                <w:bCs/>
                <w:snapToGrid w:val="0"/>
                <w:color w:val="auto"/>
                <w:spacing w:val="-10"/>
                <w:sz w:val="18"/>
                <w:szCs w:val="18"/>
                <w:highlight w:val="none"/>
              </w:rPr>
            </w:pPr>
            <w:r>
              <w:rPr>
                <w:rFonts w:hint="eastAsia"/>
                <w:bCs/>
                <w:snapToGrid w:val="0"/>
                <w:color w:val="auto"/>
                <w:spacing w:val="-10"/>
                <w:sz w:val="18"/>
                <w:szCs w:val="18"/>
                <w:highlight w:val="none"/>
              </w:rPr>
              <w:t>1.1.2</w:t>
            </w:r>
          </w:p>
        </w:tc>
        <w:tc>
          <w:tcPr>
            <w:tcW w:w="946" w:type="dxa"/>
            <w:tcBorders>
              <w:top w:val="single" w:color="auto" w:sz="4" w:space="0"/>
              <w:left w:val="nil"/>
              <w:bottom w:val="single" w:color="auto" w:sz="4" w:space="0"/>
              <w:right w:val="single" w:color="auto" w:sz="4" w:space="0"/>
            </w:tcBorders>
            <w:vAlign w:val="center"/>
          </w:tcPr>
          <w:p>
            <w:pPr>
              <w:adjustRightInd w:val="0"/>
              <w:snapToGrid w:val="0"/>
              <w:jc w:val="center"/>
              <w:rPr>
                <w:color w:val="auto"/>
                <w:sz w:val="18"/>
                <w:szCs w:val="18"/>
                <w:highlight w:val="none"/>
              </w:rPr>
            </w:pPr>
            <w:r>
              <w:rPr>
                <w:rFonts w:hint="eastAsia"/>
                <w:snapToGrid w:val="0"/>
                <w:color w:val="auto"/>
                <w:spacing w:val="-10"/>
                <w:sz w:val="18"/>
                <w:szCs w:val="18"/>
                <w:highlight w:val="none"/>
              </w:rPr>
              <w:t>企业获奖</w:t>
            </w:r>
          </w:p>
        </w:tc>
        <w:tc>
          <w:tcPr>
            <w:tcW w:w="560" w:type="dxa"/>
            <w:tcBorders>
              <w:top w:val="single" w:color="auto" w:sz="4" w:space="0"/>
              <w:left w:val="nil"/>
              <w:bottom w:val="single" w:color="auto" w:sz="4" w:space="0"/>
              <w:right w:val="single" w:color="auto" w:sz="4" w:space="0"/>
            </w:tcBorders>
            <w:vAlign w:val="center"/>
          </w:tcPr>
          <w:p>
            <w:pPr>
              <w:adjustRightInd w:val="0"/>
              <w:snapToGrid w:val="0"/>
              <w:jc w:val="center"/>
              <w:rPr>
                <w:snapToGrid w:val="0"/>
                <w:color w:val="auto"/>
                <w:spacing w:val="-10"/>
                <w:sz w:val="18"/>
                <w:szCs w:val="18"/>
                <w:highlight w:val="none"/>
              </w:rPr>
            </w:pPr>
            <w:r>
              <w:rPr>
                <w:rFonts w:hint="eastAsia"/>
                <w:b/>
                <w:bCs/>
                <w:snapToGrid w:val="0"/>
                <w:color w:val="auto"/>
                <w:spacing w:val="-10"/>
                <w:sz w:val="18"/>
                <w:szCs w:val="18"/>
                <w:highlight w:val="none"/>
              </w:rPr>
              <w:t>6</w:t>
            </w:r>
            <w:r>
              <w:rPr>
                <w:rFonts w:hint="eastAsia"/>
                <w:color w:val="auto"/>
                <w:sz w:val="18"/>
                <w:szCs w:val="18"/>
                <w:highlight w:val="none"/>
              </w:rPr>
              <w:t>分</w:t>
            </w:r>
          </w:p>
        </w:tc>
        <w:tc>
          <w:tcPr>
            <w:tcW w:w="12774" w:type="dxa"/>
            <w:tcBorders>
              <w:top w:val="single" w:color="auto" w:sz="4" w:space="0"/>
              <w:left w:val="nil"/>
              <w:bottom w:val="single" w:color="auto" w:sz="4" w:space="0"/>
              <w:right w:val="single" w:color="auto" w:sz="4" w:space="0"/>
            </w:tcBorders>
          </w:tcPr>
          <w:p>
            <w:pPr>
              <w:adjustRightInd w:val="0"/>
              <w:snapToGrid w:val="0"/>
              <w:spacing w:line="276" w:lineRule="auto"/>
              <w:rPr>
                <w:rFonts w:hint="eastAsia"/>
                <w:b/>
                <w:color w:val="auto"/>
                <w:sz w:val="18"/>
                <w:szCs w:val="18"/>
                <w:highlight w:val="none"/>
              </w:rPr>
            </w:pPr>
            <w:r>
              <w:rPr>
                <w:rFonts w:hint="eastAsia"/>
                <w:b/>
                <w:color w:val="auto"/>
                <w:sz w:val="18"/>
                <w:szCs w:val="18"/>
                <w:highlight w:val="none"/>
              </w:rPr>
              <w:t>投标人（若为联合体，指主办方）自2018年1月1日至投标截止时间止，已完成的建筑工程施工总承包项目获得的建设工程优质奖：</w:t>
            </w:r>
          </w:p>
          <w:p>
            <w:pPr>
              <w:adjustRightInd w:val="0"/>
              <w:snapToGrid w:val="0"/>
              <w:spacing w:line="276" w:lineRule="auto"/>
              <w:rPr>
                <w:rFonts w:hint="eastAsia"/>
                <w:b/>
                <w:color w:val="auto"/>
                <w:sz w:val="18"/>
                <w:szCs w:val="18"/>
                <w:highlight w:val="none"/>
              </w:rPr>
            </w:pPr>
            <w:r>
              <w:rPr>
                <w:rFonts w:hint="eastAsia"/>
                <w:b/>
                <w:color w:val="auto"/>
                <w:sz w:val="18"/>
                <w:szCs w:val="18"/>
                <w:highlight w:val="none"/>
              </w:rPr>
              <w:t>（1）获得国家级建设工程优质奖每项得2分，最多得6分；</w:t>
            </w:r>
          </w:p>
          <w:p>
            <w:pPr>
              <w:adjustRightInd w:val="0"/>
              <w:snapToGrid w:val="0"/>
              <w:spacing w:line="276" w:lineRule="auto"/>
              <w:rPr>
                <w:rFonts w:hint="eastAsia"/>
                <w:b/>
                <w:color w:val="auto"/>
                <w:sz w:val="18"/>
                <w:szCs w:val="18"/>
                <w:highlight w:val="none"/>
              </w:rPr>
            </w:pPr>
            <w:r>
              <w:rPr>
                <w:rFonts w:hint="eastAsia"/>
                <w:b/>
                <w:color w:val="auto"/>
                <w:sz w:val="18"/>
                <w:szCs w:val="18"/>
                <w:highlight w:val="none"/>
              </w:rPr>
              <w:t>（2）获得省级建设工程优质奖每项得1分，最多得6分；</w:t>
            </w:r>
          </w:p>
          <w:p>
            <w:pPr>
              <w:rPr>
                <w:color w:val="auto"/>
                <w:highlight w:val="none"/>
              </w:rPr>
            </w:pPr>
            <w:r>
              <w:rPr>
                <w:rFonts w:hint="eastAsia"/>
                <w:b/>
                <w:color w:val="auto"/>
                <w:sz w:val="18"/>
                <w:szCs w:val="18"/>
                <w:highlight w:val="none"/>
              </w:rPr>
              <w:t>（3）获得市级建设工程优质奖每项得0.5分，最多得4分；</w:t>
            </w:r>
          </w:p>
          <w:p>
            <w:pPr>
              <w:adjustRightInd w:val="0"/>
              <w:snapToGrid w:val="0"/>
              <w:spacing w:line="276" w:lineRule="auto"/>
              <w:rPr>
                <w:rFonts w:hint="default" w:eastAsia="宋体"/>
                <w:color w:val="auto"/>
                <w:sz w:val="18"/>
                <w:szCs w:val="18"/>
                <w:highlight w:val="none"/>
                <w:lang w:val="en-US" w:eastAsia="zh-CN"/>
              </w:rPr>
            </w:pPr>
            <w:r>
              <w:rPr>
                <w:rFonts w:hint="eastAsia"/>
                <w:bCs/>
                <w:color w:val="auto"/>
                <w:sz w:val="18"/>
                <w:szCs w:val="18"/>
                <w:highlight w:val="none"/>
              </w:rPr>
              <w:t>注：（</w:t>
            </w:r>
            <w:r>
              <w:rPr>
                <w:bCs/>
                <w:color w:val="auto"/>
                <w:sz w:val="18"/>
                <w:szCs w:val="18"/>
                <w:highlight w:val="none"/>
              </w:rPr>
              <w:t>1）</w:t>
            </w:r>
            <w:r>
              <w:rPr>
                <w:rFonts w:hint="eastAsia"/>
                <w:bCs/>
                <w:color w:val="auto"/>
                <w:sz w:val="18"/>
                <w:szCs w:val="18"/>
                <w:highlight w:val="none"/>
                <w:lang w:eastAsia="zh-CN"/>
              </w:rPr>
              <w:t>时间以获奖时间为准</w:t>
            </w:r>
            <w:r>
              <w:rPr>
                <w:rFonts w:hint="eastAsia"/>
                <w:bCs/>
                <w:color w:val="auto"/>
                <w:sz w:val="18"/>
                <w:szCs w:val="18"/>
                <w:highlight w:val="none"/>
              </w:rPr>
              <w:t>。（</w:t>
            </w:r>
            <w:r>
              <w:rPr>
                <w:rFonts w:hint="eastAsia"/>
                <w:bCs/>
                <w:color w:val="auto"/>
                <w:sz w:val="18"/>
                <w:szCs w:val="18"/>
                <w:highlight w:val="none"/>
                <w:lang w:val="en-US" w:eastAsia="zh-CN"/>
              </w:rPr>
              <w:t>2</w:t>
            </w:r>
            <w:r>
              <w:rPr>
                <w:rFonts w:hint="eastAsia"/>
                <w:bCs/>
                <w:color w:val="auto"/>
                <w:sz w:val="18"/>
                <w:szCs w:val="18"/>
                <w:highlight w:val="none"/>
              </w:rPr>
              <w:t>）奖项须为房屋建筑工程</w:t>
            </w:r>
            <w:r>
              <w:rPr>
                <w:rFonts w:hint="eastAsia"/>
                <w:bCs/>
                <w:color w:val="auto"/>
                <w:sz w:val="18"/>
                <w:szCs w:val="18"/>
                <w:highlight w:val="none"/>
                <w:lang w:eastAsia="zh-CN"/>
              </w:rPr>
              <w:t>建设工程优质</w:t>
            </w:r>
            <w:r>
              <w:rPr>
                <w:rFonts w:hint="eastAsia"/>
                <w:bCs/>
                <w:color w:val="auto"/>
                <w:sz w:val="18"/>
                <w:szCs w:val="18"/>
                <w:highlight w:val="none"/>
              </w:rPr>
              <w:t>奖(不含</w:t>
            </w:r>
            <w:r>
              <w:rPr>
                <w:rFonts w:hint="eastAsia"/>
                <w:bCs/>
                <w:color w:val="auto"/>
                <w:sz w:val="18"/>
                <w:szCs w:val="18"/>
                <w:highlight w:val="none"/>
                <w:lang w:eastAsia="zh-CN"/>
              </w:rPr>
              <w:t>安全文明或</w:t>
            </w:r>
            <w:r>
              <w:rPr>
                <w:rFonts w:hint="eastAsia"/>
                <w:bCs/>
                <w:color w:val="auto"/>
                <w:sz w:val="18"/>
                <w:szCs w:val="18"/>
                <w:highlight w:val="none"/>
              </w:rPr>
              <w:t>结构类)</w:t>
            </w:r>
            <w:r>
              <w:rPr>
                <w:rFonts w:hint="eastAsia"/>
                <w:bCs/>
                <w:color w:val="auto"/>
                <w:sz w:val="18"/>
                <w:szCs w:val="18"/>
                <w:highlight w:val="none"/>
                <w:lang w:eastAsia="zh-CN"/>
              </w:rPr>
              <w:t>，不</w:t>
            </w:r>
            <w:r>
              <w:rPr>
                <w:rFonts w:hint="eastAsia"/>
                <w:bCs/>
                <w:color w:val="auto"/>
                <w:sz w:val="18"/>
                <w:szCs w:val="18"/>
                <w:highlight w:val="none"/>
              </w:rPr>
              <w:t>含参建。同一项目按最高级别奖项只计一次得分。其中国家级</w:t>
            </w:r>
            <w:r>
              <w:rPr>
                <w:rFonts w:hint="eastAsia"/>
                <w:bCs/>
                <w:color w:val="auto"/>
                <w:sz w:val="18"/>
                <w:szCs w:val="18"/>
                <w:highlight w:val="none"/>
                <w:lang w:eastAsia="zh-CN"/>
              </w:rPr>
              <w:t>建设工程优质</w:t>
            </w:r>
            <w:r>
              <w:rPr>
                <w:rFonts w:hint="eastAsia"/>
                <w:bCs/>
                <w:color w:val="auto"/>
                <w:sz w:val="18"/>
                <w:szCs w:val="18"/>
                <w:highlight w:val="none"/>
              </w:rPr>
              <w:t>奖包括：中国建设工程鲁班奖、国家优质工程（金质奖）、国家优质工程（银质奖）、国家优质工程奖、中国土木工程詹天佑奖等；省、市级建设工程优质奖仅计算建设工程优质奖(不含</w:t>
            </w:r>
            <w:r>
              <w:rPr>
                <w:rFonts w:hint="eastAsia"/>
                <w:bCs/>
                <w:color w:val="auto"/>
                <w:sz w:val="18"/>
                <w:szCs w:val="18"/>
                <w:highlight w:val="none"/>
                <w:lang w:eastAsia="zh-CN"/>
              </w:rPr>
              <w:t>安全文明或</w:t>
            </w:r>
            <w:r>
              <w:rPr>
                <w:rFonts w:hint="eastAsia"/>
                <w:bCs/>
                <w:color w:val="auto"/>
                <w:sz w:val="18"/>
                <w:szCs w:val="18"/>
                <w:highlight w:val="none"/>
              </w:rPr>
              <w:t>结构类)。（</w:t>
            </w:r>
            <w:r>
              <w:rPr>
                <w:rFonts w:hint="eastAsia"/>
                <w:bCs/>
                <w:color w:val="auto"/>
                <w:sz w:val="18"/>
                <w:szCs w:val="18"/>
                <w:highlight w:val="none"/>
                <w:lang w:val="en-US" w:eastAsia="zh-CN"/>
              </w:rPr>
              <w:t>3</w:t>
            </w:r>
            <w:r>
              <w:rPr>
                <w:rFonts w:hint="eastAsia"/>
                <w:bCs/>
                <w:color w:val="auto"/>
                <w:sz w:val="18"/>
                <w:szCs w:val="18"/>
                <w:highlight w:val="none"/>
              </w:rPr>
              <w:t>）不符合上述条件或未提供上述资料的奖项不得分。</w:t>
            </w:r>
            <w:r>
              <w:rPr>
                <w:rFonts w:hint="eastAsia"/>
                <w:bCs/>
                <w:color w:val="auto"/>
                <w:sz w:val="18"/>
                <w:szCs w:val="18"/>
                <w:highlight w:val="none"/>
                <w:lang w:eastAsia="zh-CN"/>
              </w:rPr>
              <w:t>（</w:t>
            </w:r>
            <w:r>
              <w:rPr>
                <w:rFonts w:hint="eastAsia"/>
                <w:bCs/>
                <w:color w:val="auto"/>
                <w:sz w:val="18"/>
                <w:szCs w:val="18"/>
                <w:highlight w:val="none"/>
                <w:lang w:val="en-US" w:eastAsia="zh-CN"/>
              </w:rPr>
              <w:t>4</w:t>
            </w:r>
            <w:r>
              <w:rPr>
                <w:rFonts w:hint="eastAsia"/>
                <w:bCs/>
                <w:color w:val="auto"/>
                <w:sz w:val="18"/>
                <w:szCs w:val="18"/>
                <w:highlight w:val="none"/>
                <w:lang w:eastAsia="zh-CN"/>
              </w:rPr>
              <w:t>）本项合计最高得</w:t>
            </w:r>
            <w:r>
              <w:rPr>
                <w:rFonts w:hint="eastAsia"/>
                <w:bCs/>
                <w:color w:val="auto"/>
                <w:sz w:val="18"/>
                <w:szCs w:val="18"/>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76" w:type="dxa"/>
            <w:vMerge w:val="continue"/>
            <w:tcBorders>
              <w:left w:val="single" w:color="auto" w:sz="4" w:space="0"/>
              <w:right w:val="single" w:color="auto" w:sz="4" w:space="0"/>
            </w:tcBorders>
            <w:vAlign w:val="center"/>
          </w:tcPr>
          <w:p>
            <w:pPr>
              <w:widowControl/>
              <w:adjustRightInd w:val="0"/>
              <w:snapToGrid w:val="0"/>
              <w:jc w:val="center"/>
              <w:rPr>
                <w:bCs/>
                <w:snapToGrid w:val="0"/>
                <w:color w:val="auto"/>
                <w:spacing w:val="-10"/>
                <w:sz w:val="18"/>
                <w:szCs w:val="18"/>
                <w:highlight w:val="none"/>
              </w:rPr>
            </w:pPr>
          </w:p>
        </w:tc>
        <w:tc>
          <w:tcPr>
            <w:tcW w:w="621" w:type="dxa"/>
            <w:tcBorders>
              <w:left w:val="single" w:color="auto" w:sz="4" w:space="0"/>
              <w:right w:val="single" w:color="auto" w:sz="4" w:space="0"/>
            </w:tcBorders>
            <w:vAlign w:val="center"/>
          </w:tcPr>
          <w:p>
            <w:pPr>
              <w:widowControl/>
              <w:adjustRightInd w:val="0"/>
              <w:snapToGrid w:val="0"/>
              <w:jc w:val="center"/>
              <w:rPr>
                <w:bCs/>
                <w:snapToGrid w:val="0"/>
                <w:color w:val="auto"/>
                <w:spacing w:val="-10"/>
                <w:sz w:val="18"/>
                <w:szCs w:val="18"/>
                <w:highlight w:val="none"/>
              </w:rPr>
            </w:pPr>
            <w:r>
              <w:rPr>
                <w:rFonts w:hint="eastAsia"/>
                <w:bCs/>
                <w:snapToGrid w:val="0"/>
                <w:color w:val="auto"/>
                <w:spacing w:val="-10"/>
                <w:sz w:val="18"/>
                <w:szCs w:val="18"/>
                <w:highlight w:val="none"/>
              </w:rPr>
              <w:t>1.1.3</w:t>
            </w:r>
          </w:p>
        </w:tc>
        <w:tc>
          <w:tcPr>
            <w:tcW w:w="946" w:type="dxa"/>
            <w:tcBorders>
              <w:top w:val="single" w:color="auto" w:sz="4" w:space="0"/>
              <w:left w:val="nil"/>
              <w:bottom w:val="single" w:color="auto" w:sz="4" w:space="0"/>
              <w:right w:val="single" w:color="auto" w:sz="4" w:space="0"/>
            </w:tcBorders>
            <w:vAlign w:val="center"/>
          </w:tcPr>
          <w:p>
            <w:pPr>
              <w:snapToGrid w:val="0"/>
              <w:jc w:val="center"/>
              <w:rPr>
                <w:color w:val="auto"/>
                <w:sz w:val="18"/>
                <w:szCs w:val="18"/>
                <w:highlight w:val="none"/>
              </w:rPr>
            </w:pPr>
            <w:r>
              <w:rPr>
                <w:rFonts w:hint="eastAsia"/>
                <w:color w:val="auto"/>
                <w:sz w:val="18"/>
                <w:szCs w:val="18"/>
                <w:highlight w:val="none"/>
              </w:rPr>
              <w:t>科技创新成果指标</w:t>
            </w:r>
          </w:p>
        </w:tc>
        <w:tc>
          <w:tcPr>
            <w:tcW w:w="560" w:type="dxa"/>
            <w:tcBorders>
              <w:top w:val="single" w:color="auto" w:sz="4" w:space="0"/>
              <w:left w:val="nil"/>
              <w:bottom w:val="single" w:color="auto" w:sz="4" w:space="0"/>
              <w:right w:val="single" w:color="auto" w:sz="4" w:space="0"/>
            </w:tcBorders>
            <w:vAlign w:val="center"/>
          </w:tcPr>
          <w:p>
            <w:pPr>
              <w:tabs>
                <w:tab w:val="left" w:pos="360"/>
              </w:tabs>
              <w:snapToGrid w:val="0"/>
              <w:jc w:val="center"/>
              <w:rPr>
                <w:snapToGrid w:val="0"/>
                <w:color w:val="auto"/>
                <w:spacing w:val="-10"/>
                <w:sz w:val="18"/>
                <w:szCs w:val="18"/>
                <w:highlight w:val="none"/>
              </w:rPr>
            </w:pPr>
            <w:r>
              <w:rPr>
                <w:rFonts w:hint="eastAsia"/>
                <w:color w:val="auto"/>
                <w:sz w:val="18"/>
                <w:szCs w:val="18"/>
                <w:highlight w:val="none"/>
                <w:lang w:val="en-US" w:eastAsia="zh-CN"/>
              </w:rPr>
              <w:t>9</w:t>
            </w:r>
            <w:r>
              <w:rPr>
                <w:rFonts w:hint="eastAsia"/>
                <w:color w:val="auto"/>
                <w:sz w:val="18"/>
                <w:szCs w:val="18"/>
                <w:highlight w:val="none"/>
              </w:rPr>
              <w:t>分</w:t>
            </w:r>
          </w:p>
        </w:tc>
        <w:tc>
          <w:tcPr>
            <w:tcW w:w="12774" w:type="dxa"/>
            <w:tcBorders>
              <w:top w:val="single" w:color="auto" w:sz="4" w:space="0"/>
              <w:left w:val="nil"/>
              <w:bottom w:val="single" w:color="auto" w:sz="4" w:space="0"/>
              <w:right w:val="single" w:color="auto" w:sz="4" w:space="0"/>
            </w:tcBorders>
          </w:tcPr>
          <w:p>
            <w:pPr>
              <w:adjustRightInd w:val="0"/>
              <w:snapToGrid w:val="0"/>
              <w:spacing w:line="276" w:lineRule="auto"/>
              <w:rPr>
                <w:rFonts w:hint="eastAsia"/>
                <w:b/>
                <w:color w:val="auto"/>
                <w:sz w:val="18"/>
                <w:szCs w:val="18"/>
                <w:highlight w:val="none"/>
              </w:rPr>
            </w:pPr>
            <w:r>
              <w:rPr>
                <w:rFonts w:hint="eastAsia"/>
                <w:b/>
                <w:color w:val="auto"/>
                <w:sz w:val="18"/>
                <w:szCs w:val="18"/>
                <w:highlight w:val="none"/>
              </w:rPr>
              <w:t>1、工程建设类专利</w:t>
            </w:r>
          </w:p>
          <w:p>
            <w:pPr>
              <w:adjustRightInd w:val="0"/>
              <w:snapToGrid w:val="0"/>
              <w:spacing w:line="276" w:lineRule="auto"/>
              <w:rPr>
                <w:rFonts w:hint="eastAsia"/>
                <w:b/>
                <w:color w:val="auto"/>
                <w:sz w:val="18"/>
                <w:szCs w:val="18"/>
                <w:highlight w:val="none"/>
              </w:rPr>
            </w:pPr>
            <w:r>
              <w:rPr>
                <w:rFonts w:hint="eastAsia"/>
                <w:b/>
                <w:color w:val="auto"/>
                <w:sz w:val="18"/>
                <w:szCs w:val="18"/>
                <w:highlight w:val="none"/>
              </w:rPr>
              <w:t>（1）投标人（若为联合体，指主办方）获得过工程建设类专利：获得25项或以上的，得2分；获得[15,25）项的，得1分；获得[5,15)的，得0.5分；其他不得分；</w:t>
            </w:r>
          </w:p>
          <w:p>
            <w:pPr>
              <w:adjustRightInd w:val="0"/>
              <w:snapToGrid w:val="0"/>
              <w:spacing w:line="276" w:lineRule="auto"/>
              <w:rPr>
                <w:rFonts w:hint="eastAsia"/>
                <w:b/>
                <w:color w:val="auto"/>
                <w:sz w:val="18"/>
                <w:szCs w:val="18"/>
                <w:highlight w:val="none"/>
              </w:rPr>
            </w:pPr>
            <w:r>
              <w:rPr>
                <w:rFonts w:hint="eastAsia"/>
                <w:b/>
                <w:color w:val="auto"/>
                <w:sz w:val="18"/>
                <w:szCs w:val="18"/>
                <w:highlight w:val="none"/>
              </w:rPr>
              <w:t>（2）投标人（若为联合体，指主办方）获得过装配式工程建设类专利：获得3项或以上的，得2分；获得2项得，得1分；获得1项得，得0.5分；其他不得分；</w:t>
            </w:r>
          </w:p>
          <w:p>
            <w:pPr>
              <w:adjustRightInd w:val="0"/>
              <w:snapToGrid w:val="0"/>
              <w:spacing w:line="276" w:lineRule="auto"/>
              <w:rPr>
                <w:b w:val="0"/>
                <w:bCs/>
                <w:color w:val="auto"/>
                <w:sz w:val="18"/>
                <w:szCs w:val="18"/>
                <w:highlight w:val="none"/>
              </w:rPr>
            </w:pPr>
            <w:r>
              <w:rPr>
                <w:rFonts w:hint="eastAsia"/>
                <w:b w:val="0"/>
                <w:bCs/>
                <w:color w:val="auto"/>
                <w:sz w:val="18"/>
                <w:szCs w:val="18"/>
                <w:highlight w:val="none"/>
              </w:rPr>
              <w:t>注：</w:t>
            </w:r>
            <w:r>
              <w:rPr>
                <w:rFonts w:hint="eastAsia"/>
                <w:b w:val="0"/>
                <w:bCs/>
                <w:color w:val="auto"/>
                <w:sz w:val="18"/>
                <w:szCs w:val="18"/>
                <w:highlight w:val="none"/>
                <w:lang w:eastAsia="zh-CN"/>
              </w:rPr>
              <w:t>（</w:t>
            </w:r>
            <w:r>
              <w:rPr>
                <w:rFonts w:hint="eastAsia"/>
                <w:b w:val="0"/>
                <w:bCs/>
                <w:color w:val="auto"/>
                <w:sz w:val="18"/>
                <w:szCs w:val="18"/>
                <w:highlight w:val="none"/>
                <w:lang w:val="en-US" w:eastAsia="zh-CN"/>
              </w:rPr>
              <w:t>1</w:t>
            </w:r>
            <w:r>
              <w:rPr>
                <w:rFonts w:hint="eastAsia"/>
                <w:b w:val="0"/>
                <w:bCs/>
                <w:color w:val="auto"/>
                <w:sz w:val="18"/>
                <w:szCs w:val="18"/>
                <w:highlight w:val="none"/>
                <w:lang w:eastAsia="zh-CN"/>
              </w:rPr>
              <w:t>）</w:t>
            </w:r>
            <w:r>
              <w:rPr>
                <w:rFonts w:hint="eastAsia"/>
                <w:b w:val="0"/>
                <w:bCs/>
                <w:color w:val="auto"/>
                <w:sz w:val="18"/>
                <w:szCs w:val="18"/>
                <w:highlight w:val="none"/>
              </w:rPr>
              <w:t>工程建设类专利以中华人民共和国国家知识产权局网站（http://www.cnipa.gov.cn/,网站中“中国专利发布公告”）可查询的专利为准，投标人需提交可反映企业专利的申请号、专利权人、有具体的授权公告号、授权公告日。获得单位必须为投标单位，以子公司名义获得不作计算。（2）装配式工程建设类专利除需满足前述（1）的要求外，专利名称需体现装配式描述。（3）本小项最高得4分。</w:t>
            </w:r>
          </w:p>
          <w:p>
            <w:pPr>
              <w:pStyle w:val="2"/>
              <w:rPr>
                <w:color w:val="auto"/>
                <w:highlight w:val="none"/>
              </w:rPr>
            </w:pPr>
          </w:p>
          <w:p>
            <w:pPr>
              <w:adjustRightInd w:val="0"/>
              <w:snapToGrid w:val="0"/>
              <w:spacing w:line="276" w:lineRule="auto"/>
              <w:rPr>
                <w:b/>
                <w:color w:val="auto"/>
                <w:sz w:val="18"/>
                <w:szCs w:val="18"/>
                <w:highlight w:val="none"/>
              </w:rPr>
            </w:pPr>
            <w:r>
              <w:rPr>
                <w:b/>
                <w:color w:val="auto"/>
                <w:sz w:val="18"/>
                <w:szCs w:val="18"/>
                <w:highlight w:val="none"/>
              </w:rPr>
              <w:t>2、工法</w:t>
            </w:r>
          </w:p>
          <w:p>
            <w:pPr>
              <w:adjustRightInd w:val="0"/>
              <w:snapToGrid w:val="0"/>
              <w:spacing w:line="276" w:lineRule="auto"/>
              <w:rPr>
                <w:b/>
                <w:color w:val="auto"/>
                <w:sz w:val="18"/>
                <w:szCs w:val="18"/>
                <w:highlight w:val="none"/>
              </w:rPr>
            </w:pPr>
            <w:r>
              <w:rPr>
                <w:rFonts w:hint="eastAsia"/>
                <w:b/>
                <w:color w:val="auto"/>
                <w:sz w:val="18"/>
                <w:szCs w:val="18"/>
                <w:highlight w:val="none"/>
              </w:rPr>
              <w:t>（</w:t>
            </w:r>
            <w:r>
              <w:rPr>
                <w:b/>
                <w:color w:val="auto"/>
                <w:sz w:val="18"/>
                <w:szCs w:val="18"/>
                <w:highlight w:val="none"/>
              </w:rPr>
              <w:t>1）投标人（若为联合体，指主办方）获得过省级（或以上）房建类工法奖：获得25项或以上的，得</w:t>
            </w:r>
            <w:r>
              <w:rPr>
                <w:rFonts w:hint="eastAsia"/>
                <w:b/>
                <w:color w:val="auto"/>
                <w:sz w:val="18"/>
                <w:szCs w:val="18"/>
                <w:highlight w:val="none"/>
                <w:lang w:val="en-US" w:eastAsia="zh-CN"/>
              </w:rPr>
              <w:t>3</w:t>
            </w:r>
            <w:r>
              <w:rPr>
                <w:b/>
                <w:color w:val="auto"/>
                <w:sz w:val="18"/>
                <w:szCs w:val="18"/>
                <w:highlight w:val="none"/>
              </w:rPr>
              <w:t>分；获得[15,25)项的，得2分；获得[5,15)项的，得1分；其他不得分；</w:t>
            </w:r>
          </w:p>
          <w:p>
            <w:pPr>
              <w:adjustRightInd w:val="0"/>
              <w:snapToGrid w:val="0"/>
              <w:spacing w:line="276" w:lineRule="auto"/>
              <w:rPr>
                <w:b/>
                <w:color w:val="auto"/>
                <w:sz w:val="18"/>
                <w:szCs w:val="18"/>
                <w:highlight w:val="none"/>
              </w:rPr>
            </w:pPr>
            <w:r>
              <w:rPr>
                <w:rFonts w:hint="eastAsia"/>
                <w:b/>
                <w:color w:val="auto"/>
                <w:sz w:val="18"/>
                <w:szCs w:val="18"/>
                <w:highlight w:val="none"/>
              </w:rPr>
              <w:t>（</w:t>
            </w:r>
            <w:r>
              <w:rPr>
                <w:b/>
                <w:color w:val="auto"/>
                <w:sz w:val="18"/>
                <w:szCs w:val="18"/>
                <w:highlight w:val="none"/>
              </w:rPr>
              <w:t>2）投标人（若为联合体，指主办方）获得过省级（或以上）装配式房建类工法奖：获得3项或以上的，得</w:t>
            </w:r>
            <w:r>
              <w:rPr>
                <w:rFonts w:hint="eastAsia"/>
                <w:b/>
                <w:color w:val="auto"/>
                <w:sz w:val="18"/>
                <w:szCs w:val="18"/>
                <w:highlight w:val="none"/>
                <w:lang w:val="en-US" w:eastAsia="zh-CN"/>
              </w:rPr>
              <w:t>2</w:t>
            </w:r>
            <w:r>
              <w:rPr>
                <w:b/>
                <w:color w:val="auto"/>
                <w:sz w:val="18"/>
                <w:szCs w:val="18"/>
                <w:highlight w:val="none"/>
              </w:rPr>
              <w:t>分；获得2项得，得1分；获得1项得，得0.5分；其他不得分；</w:t>
            </w:r>
          </w:p>
          <w:p>
            <w:pPr>
              <w:adjustRightInd w:val="0"/>
              <w:snapToGrid w:val="0"/>
              <w:spacing w:line="276" w:lineRule="auto"/>
              <w:rPr>
                <w:color w:val="auto"/>
                <w:sz w:val="18"/>
                <w:szCs w:val="18"/>
                <w:highlight w:val="none"/>
              </w:rPr>
            </w:pPr>
            <w:r>
              <w:rPr>
                <w:rFonts w:hint="eastAsia"/>
                <w:color w:val="auto"/>
                <w:sz w:val="18"/>
                <w:szCs w:val="18"/>
                <w:highlight w:val="none"/>
              </w:rPr>
              <w:t>注：</w:t>
            </w:r>
            <w:r>
              <w:rPr>
                <w:rFonts w:hint="eastAsia"/>
                <w:color w:val="auto"/>
                <w:sz w:val="18"/>
                <w:szCs w:val="18"/>
                <w:highlight w:val="none"/>
                <w:lang w:eastAsia="zh-CN"/>
              </w:rPr>
              <w:t>（</w:t>
            </w:r>
            <w:r>
              <w:rPr>
                <w:rFonts w:hint="eastAsia"/>
                <w:color w:val="auto"/>
                <w:sz w:val="18"/>
                <w:szCs w:val="18"/>
                <w:highlight w:val="none"/>
                <w:lang w:val="en-US" w:eastAsia="zh-CN"/>
              </w:rPr>
              <w:t>1</w:t>
            </w:r>
            <w:r>
              <w:rPr>
                <w:rFonts w:hint="eastAsia"/>
                <w:color w:val="auto"/>
                <w:sz w:val="18"/>
                <w:szCs w:val="18"/>
                <w:highlight w:val="none"/>
                <w:lang w:eastAsia="zh-CN"/>
              </w:rPr>
              <w:t>）</w:t>
            </w:r>
            <w:r>
              <w:rPr>
                <w:color w:val="auto"/>
                <w:sz w:val="18"/>
                <w:szCs w:val="18"/>
                <w:highlight w:val="none"/>
              </w:rPr>
              <w:t>投标人所提供的工法科技成果须成功应用于具体的房建项目，须提交工法证书扫描件及可反映工法科技成果成功应用在具体房建项目的科学技术成果鉴定证书扫描件，以上扫描件均需加盖投标单位电子印章。以上要求提供的扫描件缺一不可，否则该工法不能计算有效工法。不符合上述条件或未提供相关证明材料的不得分。</w:t>
            </w:r>
            <w:r>
              <w:rPr>
                <w:rFonts w:hint="eastAsia"/>
                <w:color w:val="auto"/>
                <w:sz w:val="18"/>
                <w:szCs w:val="18"/>
                <w:highlight w:val="none"/>
                <w:lang w:eastAsia="zh-CN"/>
              </w:rPr>
              <w:t>（</w:t>
            </w:r>
            <w:r>
              <w:rPr>
                <w:rFonts w:hint="eastAsia"/>
                <w:color w:val="auto"/>
                <w:sz w:val="18"/>
                <w:szCs w:val="18"/>
                <w:highlight w:val="none"/>
                <w:lang w:val="en-US" w:eastAsia="zh-CN"/>
              </w:rPr>
              <w:t>2</w:t>
            </w:r>
            <w:r>
              <w:rPr>
                <w:rFonts w:hint="eastAsia"/>
                <w:color w:val="auto"/>
                <w:sz w:val="18"/>
                <w:szCs w:val="18"/>
                <w:highlight w:val="none"/>
                <w:lang w:eastAsia="zh-CN"/>
              </w:rPr>
              <w:t>）</w:t>
            </w:r>
            <w:r>
              <w:rPr>
                <w:color w:val="auto"/>
                <w:sz w:val="18"/>
                <w:szCs w:val="18"/>
                <w:highlight w:val="none"/>
              </w:rPr>
              <w:t>装配式房建类工法奖除需满足前述（1）的要求外，工法名称需体现装配式描述。（3）本小项最高得</w:t>
            </w:r>
            <w:r>
              <w:rPr>
                <w:rFonts w:hint="eastAsia"/>
                <w:color w:val="auto"/>
                <w:sz w:val="18"/>
                <w:szCs w:val="18"/>
                <w:highlight w:val="none"/>
                <w:lang w:val="en-US" w:eastAsia="zh-CN"/>
              </w:rPr>
              <w:t>5</w:t>
            </w:r>
            <w:r>
              <w:rPr>
                <w:color w:val="auto"/>
                <w:sz w:val="18"/>
                <w:szCs w:val="18"/>
                <w:highlight w:val="none"/>
              </w:rPr>
              <w:t>分。</w:t>
            </w:r>
          </w:p>
          <w:p>
            <w:pPr>
              <w:pStyle w:val="2"/>
              <w:ind w:left="0" w:leftChars="0" w:firstLine="0" w:firstLineChars="0"/>
              <w:rPr>
                <w:b/>
                <w:bCs/>
                <w:color w:val="auto"/>
                <w:sz w:val="18"/>
                <w:szCs w:val="18"/>
                <w:highlight w:val="none"/>
              </w:rPr>
            </w:pPr>
            <w:r>
              <w:rPr>
                <w:rFonts w:hint="eastAsia"/>
                <w:b/>
                <w:color w:val="auto"/>
                <w:sz w:val="18"/>
                <w:szCs w:val="18"/>
                <w:highlight w:val="none"/>
              </w:rPr>
              <w:t>本项合计最高得</w:t>
            </w:r>
            <w:r>
              <w:rPr>
                <w:rFonts w:hint="eastAsia"/>
                <w:b/>
                <w:color w:val="auto"/>
                <w:sz w:val="18"/>
                <w:szCs w:val="18"/>
                <w:highlight w:val="none"/>
                <w:lang w:val="en-US" w:eastAsia="zh-CN"/>
              </w:rPr>
              <w:t>9</w:t>
            </w:r>
            <w:r>
              <w:rPr>
                <w:b/>
                <w:color w:val="auto"/>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76" w:type="dxa"/>
            <w:vMerge w:val="continue"/>
            <w:tcBorders>
              <w:left w:val="single" w:color="auto" w:sz="4" w:space="0"/>
              <w:right w:val="single" w:color="auto" w:sz="4" w:space="0"/>
            </w:tcBorders>
            <w:vAlign w:val="center"/>
          </w:tcPr>
          <w:p>
            <w:pPr>
              <w:widowControl/>
              <w:adjustRightInd w:val="0"/>
              <w:snapToGrid w:val="0"/>
              <w:jc w:val="center"/>
              <w:rPr>
                <w:bCs/>
                <w:snapToGrid w:val="0"/>
                <w:color w:val="auto"/>
                <w:spacing w:val="-10"/>
                <w:sz w:val="18"/>
                <w:szCs w:val="18"/>
                <w:highlight w:val="none"/>
              </w:rPr>
            </w:pPr>
          </w:p>
        </w:tc>
        <w:tc>
          <w:tcPr>
            <w:tcW w:w="621" w:type="dxa"/>
            <w:tcBorders>
              <w:left w:val="single" w:color="auto" w:sz="4" w:space="0"/>
              <w:right w:val="single" w:color="auto" w:sz="4" w:space="0"/>
            </w:tcBorders>
            <w:vAlign w:val="center"/>
          </w:tcPr>
          <w:p>
            <w:pPr>
              <w:widowControl/>
              <w:adjustRightInd w:val="0"/>
              <w:snapToGrid w:val="0"/>
              <w:jc w:val="center"/>
              <w:rPr>
                <w:bCs/>
                <w:snapToGrid w:val="0"/>
                <w:color w:val="auto"/>
                <w:spacing w:val="-10"/>
                <w:sz w:val="18"/>
                <w:szCs w:val="18"/>
                <w:highlight w:val="none"/>
              </w:rPr>
            </w:pPr>
            <w:r>
              <w:rPr>
                <w:rFonts w:hint="eastAsia"/>
                <w:bCs/>
                <w:snapToGrid w:val="0"/>
                <w:color w:val="auto"/>
                <w:spacing w:val="-10"/>
                <w:sz w:val="18"/>
                <w:szCs w:val="18"/>
                <w:highlight w:val="none"/>
              </w:rPr>
              <w:t>1.1.4</w:t>
            </w:r>
          </w:p>
        </w:tc>
        <w:tc>
          <w:tcPr>
            <w:tcW w:w="946" w:type="dxa"/>
            <w:tcBorders>
              <w:top w:val="single" w:color="auto" w:sz="4" w:space="0"/>
              <w:left w:val="nil"/>
              <w:bottom w:val="single" w:color="auto" w:sz="4" w:space="0"/>
              <w:right w:val="single" w:color="auto" w:sz="4" w:space="0"/>
            </w:tcBorders>
            <w:vAlign w:val="center"/>
          </w:tcPr>
          <w:p>
            <w:pPr>
              <w:snapToGrid w:val="0"/>
              <w:jc w:val="center"/>
              <w:rPr>
                <w:color w:val="auto"/>
                <w:sz w:val="18"/>
                <w:szCs w:val="18"/>
                <w:highlight w:val="none"/>
              </w:rPr>
            </w:pPr>
            <w:r>
              <w:rPr>
                <w:rFonts w:hint="eastAsia"/>
                <w:color w:val="auto"/>
                <w:sz w:val="18"/>
                <w:szCs w:val="18"/>
                <w:highlight w:val="none"/>
              </w:rPr>
              <w:t>第三方评价</w:t>
            </w:r>
          </w:p>
        </w:tc>
        <w:tc>
          <w:tcPr>
            <w:tcW w:w="560" w:type="dxa"/>
            <w:tcBorders>
              <w:top w:val="single" w:color="auto" w:sz="4" w:space="0"/>
              <w:left w:val="nil"/>
              <w:bottom w:val="single" w:color="auto" w:sz="4" w:space="0"/>
              <w:right w:val="single" w:color="auto" w:sz="4" w:space="0"/>
            </w:tcBorders>
            <w:vAlign w:val="center"/>
          </w:tcPr>
          <w:p>
            <w:pPr>
              <w:tabs>
                <w:tab w:val="left" w:pos="360"/>
              </w:tabs>
              <w:snapToGrid w:val="0"/>
              <w:jc w:val="center"/>
              <w:rPr>
                <w:snapToGrid w:val="0"/>
                <w:color w:val="auto"/>
                <w:spacing w:val="-10"/>
                <w:sz w:val="18"/>
                <w:szCs w:val="18"/>
                <w:highlight w:val="none"/>
              </w:rPr>
            </w:pPr>
            <w:r>
              <w:rPr>
                <w:rFonts w:hint="eastAsia"/>
                <w:color w:val="auto"/>
                <w:sz w:val="18"/>
                <w:szCs w:val="18"/>
                <w:highlight w:val="none"/>
              </w:rPr>
              <w:t>9分</w:t>
            </w:r>
          </w:p>
        </w:tc>
        <w:tc>
          <w:tcPr>
            <w:tcW w:w="1277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rFonts w:hint="eastAsia"/>
                <w:color w:val="auto"/>
                <w:sz w:val="18"/>
                <w:szCs w:val="18"/>
                <w:highlight w:val="none"/>
              </w:rPr>
            </w:pPr>
            <w:r>
              <w:rPr>
                <w:rFonts w:hint="eastAsia"/>
                <w:b/>
                <w:color w:val="auto"/>
                <w:sz w:val="18"/>
                <w:szCs w:val="18"/>
                <w:highlight w:val="none"/>
              </w:rPr>
              <w:t>1、投标人（若为联合体，指主办方）被中国建筑业协会评价为“AAA级”信用企业情况：</w:t>
            </w:r>
            <w:r>
              <w:rPr>
                <w:rFonts w:hint="eastAsia"/>
                <w:b/>
                <w:color w:val="auto"/>
                <w:sz w:val="18"/>
                <w:szCs w:val="18"/>
                <w:highlight w:val="none"/>
                <w:lang w:eastAsia="zh-CN"/>
              </w:rPr>
              <w:t>1</w:t>
            </w:r>
            <w:r>
              <w:rPr>
                <w:rFonts w:hint="eastAsia"/>
                <w:b/>
                <w:color w:val="auto"/>
                <w:sz w:val="18"/>
                <w:szCs w:val="18"/>
                <w:highlight w:val="none"/>
              </w:rPr>
              <w:t>次得1分</w:t>
            </w:r>
            <w:r>
              <w:rPr>
                <w:rFonts w:hint="eastAsia"/>
                <w:b/>
                <w:color w:val="auto"/>
                <w:sz w:val="18"/>
                <w:szCs w:val="18"/>
                <w:highlight w:val="none"/>
                <w:lang w:eastAsia="zh-CN"/>
              </w:rPr>
              <w:t>，</w:t>
            </w:r>
            <w:r>
              <w:rPr>
                <w:rFonts w:hint="eastAsia"/>
                <w:b/>
                <w:color w:val="auto"/>
                <w:sz w:val="18"/>
                <w:szCs w:val="18"/>
                <w:highlight w:val="none"/>
                <w:lang w:val="en-US" w:eastAsia="zh-CN"/>
              </w:rPr>
              <w:t>本小项最高得5分</w:t>
            </w:r>
            <w:r>
              <w:rPr>
                <w:rFonts w:hint="eastAsia"/>
                <w:b/>
                <w:color w:val="auto"/>
                <w:sz w:val="18"/>
                <w:szCs w:val="18"/>
                <w:highlight w:val="none"/>
              </w:rPr>
              <w:t>。</w:t>
            </w:r>
          </w:p>
          <w:p>
            <w:pPr>
              <w:adjustRightInd w:val="0"/>
              <w:snapToGrid w:val="0"/>
              <w:spacing w:line="276" w:lineRule="auto"/>
              <w:rPr>
                <w:color w:val="auto"/>
                <w:sz w:val="18"/>
                <w:szCs w:val="18"/>
                <w:highlight w:val="none"/>
              </w:rPr>
            </w:pPr>
            <w:r>
              <w:rPr>
                <w:rFonts w:hint="eastAsia"/>
                <w:color w:val="auto"/>
                <w:sz w:val="18"/>
                <w:szCs w:val="18"/>
                <w:highlight w:val="none"/>
              </w:rPr>
              <w:t>注：</w:t>
            </w:r>
            <w:r>
              <w:rPr>
                <w:color w:val="auto"/>
                <w:sz w:val="18"/>
                <w:szCs w:val="18"/>
                <w:highlight w:val="none"/>
              </w:rPr>
              <w:t>以中国建筑业协会颁发的企业信用等级证书为准。投标人须提供中国建筑业协会颁发的企业信用等级证照复印件并加盖投标人公章,不符合上述条件或未提供上述资料的不得分。</w:t>
            </w:r>
          </w:p>
          <w:p>
            <w:pPr>
              <w:pStyle w:val="2"/>
              <w:ind w:left="480" w:firstLine="480"/>
              <w:rPr>
                <w:color w:val="auto"/>
                <w:highlight w:val="none"/>
              </w:rPr>
            </w:pPr>
          </w:p>
          <w:p>
            <w:pPr>
              <w:adjustRightInd w:val="0"/>
              <w:snapToGrid w:val="0"/>
              <w:spacing w:line="276" w:lineRule="auto"/>
              <w:rPr>
                <w:rFonts w:hint="default" w:eastAsia="宋体"/>
                <w:b/>
                <w:color w:val="auto"/>
                <w:sz w:val="18"/>
                <w:szCs w:val="18"/>
                <w:highlight w:val="none"/>
                <w:lang w:val="en-US" w:eastAsia="zh-CN"/>
              </w:rPr>
            </w:pPr>
            <w:r>
              <w:rPr>
                <w:b/>
                <w:color w:val="auto"/>
                <w:sz w:val="18"/>
                <w:szCs w:val="18"/>
                <w:highlight w:val="none"/>
              </w:rPr>
              <w:t>2、投标人（若为联合体，指主办方）自2018年1月1日至今，获得省级（或以上）建筑协会（学会）颁发的科技创新先进企业称号情况：有5个或以上年度获得该称号4分；有4个年度获得该称号2分；有3个年度获得该称号0.5分；其他不得分</w:t>
            </w:r>
            <w:r>
              <w:rPr>
                <w:rFonts w:hint="eastAsia"/>
                <w:b/>
                <w:color w:val="auto"/>
                <w:sz w:val="18"/>
                <w:szCs w:val="18"/>
                <w:highlight w:val="none"/>
                <w:lang w:eastAsia="zh-CN"/>
              </w:rPr>
              <w:t>，本小项最高得</w:t>
            </w:r>
            <w:r>
              <w:rPr>
                <w:rFonts w:hint="eastAsia"/>
                <w:b/>
                <w:color w:val="auto"/>
                <w:sz w:val="18"/>
                <w:szCs w:val="18"/>
                <w:highlight w:val="none"/>
                <w:lang w:val="en-US" w:eastAsia="zh-CN"/>
              </w:rPr>
              <w:t>4分。</w:t>
            </w:r>
          </w:p>
          <w:p>
            <w:pPr>
              <w:adjustRightInd w:val="0"/>
              <w:snapToGrid w:val="0"/>
              <w:spacing w:line="276" w:lineRule="auto"/>
              <w:rPr>
                <w:color w:val="auto"/>
                <w:sz w:val="18"/>
                <w:szCs w:val="18"/>
                <w:highlight w:val="none"/>
              </w:rPr>
            </w:pPr>
            <w:r>
              <w:rPr>
                <w:rFonts w:hint="eastAsia"/>
                <w:color w:val="auto"/>
                <w:sz w:val="18"/>
                <w:szCs w:val="18"/>
                <w:highlight w:val="none"/>
              </w:rPr>
              <w:t>注：投标人须提供省级</w:t>
            </w:r>
            <w:r>
              <w:rPr>
                <w:color w:val="auto"/>
                <w:sz w:val="18"/>
                <w:szCs w:val="18"/>
                <w:highlight w:val="none"/>
              </w:rPr>
              <w:t>(或以上）建筑协会（学会）颁发的科技创新先进企业称号证书，需提供获奖证书扫描件或获奖证明材料扫描件并加盖投标单位电子印章，时间以证书颁发时间为准。如提供相关行业协会颁发的获奖证书，则须同时提供该行业协会在“中国社会组织公共服务平台”（网址：https://chinanpo.mca.gov.cn/）的登记的网页查询截图，证明其有登记备案，否则不得分。只计算投标人自身（不含投标人的子公司）。无提交上述资料不计分。</w:t>
            </w:r>
          </w:p>
          <w:p>
            <w:pPr>
              <w:adjustRightInd w:val="0"/>
              <w:snapToGrid w:val="0"/>
              <w:spacing w:line="276" w:lineRule="auto"/>
              <w:rPr>
                <w:b/>
                <w:color w:val="auto"/>
                <w:sz w:val="18"/>
                <w:szCs w:val="18"/>
                <w:highlight w:val="none"/>
              </w:rPr>
            </w:pPr>
          </w:p>
          <w:p>
            <w:pPr>
              <w:adjustRightInd w:val="0"/>
              <w:snapToGrid w:val="0"/>
              <w:spacing w:line="276" w:lineRule="auto"/>
              <w:rPr>
                <w:b/>
                <w:color w:val="auto"/>
                <w:sz w:val="18"/>
                <w:szCs w:val="18"/>
                <w:highlight w:val="none"/>
              </w:rPr>
            </w:pPr>
            <w:r>
              <w:rPr>
                <w:rFonts w:hint="eastAsia"/>
                <w:b/>
                <w:color w:val="auto"/>
                <w:sz w:val="18"/>
                <w:szCs w:val="18"/>
                <w:highlight w:val="none"/>
              </w:rPr>
              <w:t>本项合计最高得</w:t>
            </w:r>
            <w:r>
              <w:rPr>
                <w:b/>
                <w:color w:val="auto"/>
                <w:sz w:val="18"/>
                <w:szCs w:val="18"/>
                <w:highlight w:val="none"/>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bCs/>
                <w:snapToGrid w:val="0"/>
                <w:color w:val="auto"/>
                <w:spacing w:val="-10"/>
                <w:sz w:val="18"/>
                <w:szCs w:val="18"/>
                <w:highlight w:val="none"/>
              </w:rPr>
            </w:pPr>
          </w:p>
        </w:tc>
        <w:tc>
          <w:tcPr>
            <w:tcW w:w="621" w:type="dxa"/>
            <w:tcBorders>
              <w:left w:val="single" w:color="auto" w:sz="4" w:space="0"/>
              <w:bottom w:val="single" w:color="auto" w:sz="4" w:space="0"/>
              <w:right w:val="single" w:color="auto" w:sz="4" w:space="0"/>
            </w:tcBorders>
            <w:vAlign w:val="center"/>
          </w:tcPr>
          <w:p>
            <w:pPr>
              <w:widowControl/>
              <w:adjustRightInd w:val="0"/>
              <w:snapToGrid w:val="0"/>
              <w:jc w:val="center"/>
              <w:rPr>
                <w:bCs/>
                <w:snapToGrid w:val="0"/>
                <w:color w:val="auto"/>
                <w:spacing w:val="-10"/>
                <w:sz w:val="18"/>
                <w:szCs w:val="18"/>
                <w:highlight w:val="none"/>
              </w:rPr>
            </w:pPr>
            <w:r>
              <w:rPr>
                <w:rFonts w:hint="eastAsia"/>
                <w:bCs/>
                <w:snapToGrid w:val="0"/>
                <w:color w:val="auto"/>
                <w:spacing w:val="-10"/>
                <w:sz w:val="18"/>
                <w:szCs w:val="18"/>
                <w:highlight w:val="none"/>
              </w:rPr>
              <w:t>1.1.5</w:t>
            </w:r>
          </w:p>
        </w:tc>
        <w:tc>
          <w:tcPr>
            <w:tcW w:w="946" w:type="dxa"/>
            <w:tcBorders>
              <w:top w:val="single" w:color="auto" w:sz="4" w:space="0"/>
              <w:left w:val="nil"/>
              <w:bottom w:val="single" w:color="auto" w:sz="4" w:space="0"/>
              <w:right w:val="single" w:color="auto" w:sz="4" w:space="0"/>
            </w:tcBorders>
            <w:vAlign w:val="center"/>
          </w:tcPr>
          <w:p>
            <w:pPr>
              <w:snapToGrid w:val="0"/>
              <w:jc w:val="center"/>
              <w:rPr>
                <w:color w:val="auto"/>
                <w:sz w:val="18"/>
                <w:szCs w:val="18"/>
                <w:highlight w:val="none"/>
              </w:rPr>
            </w:pPr>
            <w:r>
              <w:rPr>
                <w:rFonts w:hint="eastAsia"/>
                <w:color w:val="auto"/>
                <w:sz w:val="18"/>
                <w:szCs w:val="18"/>
                <w:highlight w:val="none"/>
              </w:rPr>
              <w:t>企业财务情况</w:t>
            </w:r>
          </w:p>
        </w:tc>
        <w:tc>
          <w:tcPr>
            <w:tcW w:w="560" w:type="dxa"/>
            <w:tcBorders>
              <w:top w:val="single" w:color="auto" w:sz="4" w:space="0"/>
              <w:left w:val="nil"/>
              <w:bottom w:val="single" w:color="auto" w:sz="4" w:space="0"/>
              <w:right w:val="single" w:color="auto" w:sz="4" w:space="0"/>
            </w:tcBorders>
            <w:vAlign w:val="center"/>
          </w:tcPr>
          <w:p>
            <w:pPr>
              <w:tabs>
                <w:tab w:val="left" w:pos="360"/>
              </w:tabs>
              <w:snapToGrid w:val="0"/>
              <w:jc w:val="center"/>
              <w:rPr>
                <w:bCs/>
                <w:color w:val="auto"/>
                <w:sz w:val="18"/>
                <w:szCs w:val="18"/>
                <w:highlight w:val="none"/>
              </w:rPr>
            </w:pPr>
            <w:r>
              <w:rPr>
                <w:rFonts w:hint="eastAsia"/>
                <w:bCs/>
                <w:color w:val="auto"/>
                <w:sz w:val="18"/>
                <w:szCs w:val="18"/>
                <w:highlight w:val="none"/>
                <w:lang w:val="en-US" w:eastAsia="zh-CN"/>
              </w:rPr>
              <w:t>6</w:t>
            </w:r>
            <w:r>
              <w:rPr>
                <w:rFonts w:hint="eastAsia"/>
                <w:bCs/>
                <w:color w:val="auto"/>
                <w:sz w:val="18"/>
                <w:szCs w:val="18"/>
                <w:highlight w:val="none"/>
              </w:rPr>
              <w:t>分</w:t>
            </w:r>
          </w:p>
        </w:tc>
        <w:tc>
          <w:tcPr>
            <w:tcW w:w="12774" w:type="dxa"/>
            <w:tcBorders>
              <w:top w:val="single" w:color="auto" w:sz="4" w:space="0"/>
              <w:left w:val="nil"/>
              <w:bottom w:val="single" w:color="auto" w:sz="4" w:space="0"/>
              <w:right w:val="single" w:color="auto" w:sz="4" w:space="0"/>
            </w:tcBorders>
            <w:vAlign w:val="center"/>
          </w:tcPr>
          <w:p>
            <w:pPr>
              <w:pStyle w:val="83"/>
              <w:rPr>
                <w:b/>
                <w:color w:val="auto"/>
                <w:sz w:val="18"/>
                <w:szCs w:val="18"/>
                <w:highlight w:val="none"/>
              </w:rPr>
            </w:pPr>
            <w:r>
              <w:rPr>
                <w:rFonts w:hint="eastAsia"/>
                <w:b/>
                <w:color w:val="auto"/>
                <w:sz w:val="18"/>
                <w:szCs w:val="18"/>
                <w:highlight w:val="none"/>
              </w:rPr>
              <w:t>投标人（若为联合体，指主办方）获税务部门评定的最新纳税信用等级情况：评价年度从</w:t>
            </w:r>
            <w:r>
              <w:rPr>
                <w:b/>
                <w:color w:val="auto"/>
                <w:sz w:val="18"/>
                <w:szCs w:val="18"/>
                <w:highlight w:val="none"/>
              </w:rPr>
              <w:t>2022年度起往前算：</w:t>
            </w:r>
          </w:p>
          <w:p>
            <w:pPr>
              <w:pStyle w:val="83"/>
              <w:autoSpaceDE w:val="0"/>
              <w:autoSpaceDN w:val="0"/>
              <w:rPr>
                <w:rFonts w:hint="eastAsia" w:eastAsia="宋体"/>
                <w:b/>
                <w:color w:val="auto"/>
                <w:sz w:val="18"/>
                <w:szCs w:val="18"/>
                <w:highlight w:val="none"/>
                <w:lang w:eastAsia="zh-CN"/>
              </w:rPr>
            </w:pPr>
            <w:r>
              <w:rPr>
                <w:b/>
                <w:color w:val="auto"/>
                <w:sz w:val="18"/>
                <w:szCs w:val="18"/>
                <w:highlight w:val="none"/>
              </w:rPr>
              <w:t>1、连续5年以上（不含本数）获得过“纳税信用A级纳税人”称号的，得</w:t>
            </w:r>
            <w:r>
              <w:rPr>
                <w:rFonts w:hint="eastAsia"/>
                <w:b/>
                <w:color w:val="auto"/>
                <w:sz w:val="18"/>
                <w:szCs w:val="18"/>
                <w:highlight w:val="none"/>
                <w:lang w:val="en-US" w:eastAsia="zh-CN"/>
              </w:rPr>
              <w:t>6</w:t>
            </w:r>
            <w:r>
              <w:rPr>
                <w:b/>
                <w:color w:val="auto"/>
                <w:sz w:val="18"/>
                <w:szCs w:val="18"/>
                <w:highlight w:val="none"/>
              </w:rPr>
              <w:t>分</w:t>
            </w:r>
            <w:r>
              <w:rPr>
                <w:rFonts w:hint="eastAsia"/>
                <w:b/>
                <w:color w:val="auto"/>
                <w:sz w:val="18"/>
                <w:szCs w:val="18"/>
                <w:highlight w:val="none"/>
                <w:lang w:eastAsia="zh-CN"/>
              </w:rPr>
              <w:t>。</w:t>
            </w:r>
          </w:p>
          <w:p>
            <w:pPr>
              <w:pStyle w:val="83"/>
              <w:autoSpaceDE w:val="0"/>
              <w:autoSpaceDN w:val="0"/>
              <w:rPr>
                <w:rFonts w:hint="eastAsia" w:eastAsia="宋体"/>
                <w:b/>
                <w:color w:val="auto"/>
                <w:sz w:val="18"/>
                <w:szCs w:val="18"/>
                <w:highlight w:val="none"/>
                <w:lang w:eastAsia="zh-CN"/>
              </w:rPr>
            </w:pPr>
            <w:r>
              <w:rPr>
                <w:b/>
                <w:color w:val="auto"/>
                <w:sz w:val="18"/>
                <w:szCs w:val="18"/>
                <w:highlight w:val="none"/>
              </w:rPr>
              <w:t>2、连续(3,5]年获得过“纳税信用A级纳税人”称号的，得</w:t>
            </w:r>
            <w:r>
              <w:rPr>
                <w:rFonts w:hint="eastAsia"/>
                <w:b/>
                <w:color w:val="auto"/>
                <w:sz w:val="18"/>
                <w:szCs w:val="18"/>
                <w:highlight w:val="none"/>
                <w:lang w:val="en-US" w:eastAsia="zh-CN"/>
              </w:rPr>
              <w:t>4</w:t>
            </w:r>
            <w:r>
              <w:rPr>
                <w:b/>
                <w:color w:val="auto"/>
                <w:sz w:val="18"/>
                <w:szCs w:val="18"/>
                <w:highlight w:val="none"/>
              </w:rPr>
              <w:t>分</w:t>
            </w:r>
            <w:r>
              <w:rPr>
                <w:rFonts w:hint="eastAsia"/>
                <w:b/>
                <w:color w:val="auto"/>
                <w:sz w:val="18"/>
                <w:szCs w:val="18"/>
                <w:highlight w:val="none"/>
                <w:lang w:eastAsia="zh-CN"/>
              </w:rPr>
              <w:t>。</w:t>
            </w:r>
          </w:p>
          <w:p>
            <w:pPr>
              <w:pStyle w:val="83"/>
              <w:autoSpaceDE w:val="0"/>
              <w:autoSpaceDN w:val="0"/>
              <w:rPr>
                <w:rFonts w:hint="eastAsia" w:eastAsia="宋体"/>
                <w:b/>
                <w:color w:val="auto"/>
                <w:sz w:val="18"/>
                <w:szCs w:val="18"/>
                <w:highlight w:val="none"/>
                <w:lang w:eastAsia="zh-CN"/>
              </w:rPr>
            </w:pPr>
            <w:r>
              <w:rPr>
                <w:b/>
                <w:color w:val="auto"/>
                <w:sz w:val="18"/>
                <w:szCs w:val="18"/>
                <w:highlight w:val="none"/>
              </w:rPr>
              <w:t>3、连续(1,3]</w:t>
            </w:r>
            <w:r>
              <w:rPr>
                <w:rFonts w:hint="eastAsia"/>
                <w:b/>
                <w:color w:val="auto"/>
                <w:sz w:val="18"/>
                <w:szCs w:val="18"/>
                <w:highlight w:val="none"/>
                <w:lang w:val="en-US" w:eastAsia="zh-CN"/>
              </w:rPr>
              <w:t>年获</w:t>
            </w:r>
            <w:r>
              <w:rPr>
                <w:b/>
                <w:color w:val="auto"/>
                <w:sz w:val="18"/>
                <w:szCs w:val="18"/>
                <w:highlight w:val="none"/>
              </w:rPr>
              <w:t>得过“纳税信用A级纳税人”称号的，得</w:t>
            </w:r>
            <w:r>
              <w:rPr>
                <w:rFonts w:hint="eastAsia"/>
                <w:b/>
                <w:color w:val="auto"/>
                <w:sz w:val="18"/>
                <w:szCs w:val="18"/>
                <w:highlight w:val="none"/>
                <w:lang w:val="en-US" w:eastAsia="zh-CN"/>
              </w:rPr>
              <w:t>2</w:t>
            </w:r>
            <w:r>
              <w:rPr>
                <w:b/>
                <w:color w:val="auto"/>
                <w:sz w:val="18"/>
                <w:szCs w:val="18"/>
                <w:highlight w:val="none"/>
              </w:rPr>
              <w:t>分</w:t>
            </w:r>
            <w:r>
              <w:rPr>
                <w:rFonts w:hint="eastAsia"/>
                <w:b/>
                <w:color w:val="auto"/>
                <w:sz w:val="18"/>
                <w:szCs w:val="18"/>
                <w:highlight w:val="none"/>
                <w:lang w:eastAsia="zh-CN"/>
              </w:rPr>
              <w:t>。</w:t>
            </w:r>
          </w:p>
          <w:p>
            <w:pPr>
              <w:pStyle w:val="83"/>
              <w:rPr>
                <w:rFonts w:hint="eastAsia" w:ascii="宋体" w:hAnsi="宋体" w:cs="宋体"/>
                <w:bCs/>
                <w:color w:val="auto"/>
                <w:kern w:val="0"/>
                <w:sz w:val="18"/>
                <w:szCs w:val="18"/>
                <w:highlight w:val="none"/>
              </w:rPr>
            </w:pPr>
            <w:r>
              <w:rPr>
                <w:rFonts w:hint="eastAsia" w:ascii="宋体" w:hAnsi="宋体" w:cs="宋体"/>
                <w:bCs/>
                <w:color w:val="auto"/>
                <w:kern w:val="0"/>
                <w:sz w:val="18"/>
                <w:szCs w:val="18"/>
                <w:highlight w:val="none"/>
              </w:rPr>
              <w:t>注：纳税信用等级须提供纳税信用荣誉证书扫描件或“国家税务总局”官网（http://www.chinatax.gov.cn/）或各省级税务平台相关网站查询截图扫描件并加盖投标单位电子印章。只计算投标人自身（不含投标人的子公司）。无提交上述资料不计分。</w:t>
            </w:r>
          </w:p>
          <w:p>
            <w:pPr>
              <w:pStyle w:val="83"/>
              <w:rPr>
                <w:rFonts w:hint="eastAsia" w:ascii="宋体" w:hAnsi="宋体" w:cs="宋体"/>
                <w:bCs/>
                <w:color w:val="auto"/>
                <w:kern w:val="0"/>
                <w:sz w:val="18"/>
                <w:szCs w:val="18"/>
                <w:highlight w:val="none"/>
              </w:rPr>
            </w:pPr>
            <w:r>
              <w:rPr>
                <w:rFonts w:hint="eastAsia"/>
                <w:b/>
                <w:color w:val="auto"/>
                <w:sz w:val="18"/>
                <w:szCs w:val="18"/>
                <w:highlight w:val="none"/>
              </w:rPr>
              <w:t>本项合计最高得</w:t>
            </w:r>
            <w:r>
              <w:rPr>
                <w:rFonts w:hint="eastAsia"/>
                <w:b/>
                <w:color w:val="auto"/>
                <w:sz w:val="18"/>
                <w:szCs w:val="18"/>
                <w:highlight w:val="none"/>
                <w:lang w:val="en-US" w:eastAsia="zh-CN"/>
              </w:rPr>
              <w:t>6</w:t>
            </w:r>
            <w:r>
              <w:rPr>
                <w:b/>
                <w:color w:val="auto"/>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277" w:type="dxa"/>
            <w:gridSpan w:val="5"/>
            <w:tcBorders>
              <w:top w:val="single" w:color="auto" w:sz="4" w:space="0"/>
              <w:left w:val="single" w:color="auto" w:sz="4" w:space="0"/>
              <w:bottom w:val="single" w:color="auto" w:sz="4" w:space="0"/>
              <w:right w:val="single" w:color="auto" w:sz="4" w:space="0"/>
            </w:tcBorders>
            <w:vAlign w:val="center"/>
          </w:tcPr>
          <w:p>
            <w:pPr>
              <w:snapToGrid w:val="0"/>
              <w:rPr>
                <w:color w:val="auto"/>
                <w:sz w:val="18"/>
                <w:szCs w:val="18"/>
                <w:highlight w:val="none"/>
                <w:lang w:val="zh-CN"/>
              </w:rPr>
            </w:pPr>
            <w:r>
              <w:rPr>
                <w:rFonts w:hint="eastAsia"/>
                <w:b/>
                <w:bCs/>
                <w:snapToGrid w:val="0"/>
                <w:color w:val="auto"/>
                <w:sz w:val="18"/>
                <w:szCs w:val="18"/>
                <w:highlight w:val="none"/>
              </w:rPr>
              <w:t>2.工程实施方案（60分）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7" w:type="dxa"/>
            <w:gridSpan w:val="2"/>
            <w:vMerge w:val="restart"/>
            <w:tcBorders>
              <w:top w:val="single" w:color="auto" w:sz="4" w:space="0"/>
              <w:left w:val="single" w:color="auto" w:sz="4" w:space="0"/>
              <w:right w:val="single" w:color="auto" w:sz="4" w:space="0"/>
            </w:tcBorders>
            <w:vAlign w:val="center"/>
          </w:tcPr>
          <w:p>
            <w:pPr>
              <w:widowControl/>
              <w:adjustRightInd w:val="0"/>
              <w:snapToGrid w:val="0"/>
              <w:jc w:val="center"/>
              <w:rPr>
                <w:bCs/>
                <w:snapToGrid w:val="0"/>
                <w:color w:val="auto"/>
                <w:sz w:val="18"/>
                <w:szCs w:val="18"/>
                <w:highlight w:val="none"/>
              </w:rPr>
            </w:pPr>
            <w:r>
              <w:rPr>
                <w:rFonts w:hint="eastAsia"/>
                <w:bCs/>
                <w:snapToGrid w:val="0"/>
                <w:color w:val="auto"/>
                <w:sz w:val="18"/>
                <w:szCs w:val="18"/>
                <w:highlight w:val="none"/>
              </w:rPr>
              <w:t>2.1</w:t>
            </w:r>
          </w:p>
        </w:tc>
        <w:tc>
          <w:tcPr>
            <w:tcW w:w="946" w:type="dxa"/>
            <w:vMerge w:val="restart"/>
            <w:tcBorders>
              <w:top w:val="single" w:color="auto" w:sz="4" w:space="0"/>
              <w:left w:val="nil"/>
              <w:right w:val="single" w:color="auto" w:sz="4" w:space="0"/>
            </w:tcBorders>
            <w:vAlign w:val="center"/>
          </w:tcPr>
          <w:p>
            <w:pPr>
              <w:adjustRightInd w:val="0"/>
              <w:snapToGrid w:val="0"/>
              <w:jc w:val="center"/>
              <w:rPr>
                <w:bCs/>
                <w:snapToGrid w:val="0"/>
                <w:color w:val="auto"/>
                <w:sz w:val="18"/>
                <w:szCs w:val="18"/>
                <w:highlight w:val="none"/>
              </w:rPr>
            </w:pPr>
            <w:r>
              <w:rPr>
                <w:rFonts w:hint="eastAsia"/>
                <w:bCs/>
                <w:snapToGrid w:val="0"/>
                <w:color w:val="auto"/>
                <w:sz w:val="18"/>
                <w:szCs w:val="18"/>
                <w:highlight w:val="none"/>
              </w:rPr>
              <w:t>设计和施工的融合措施</w:t>
            </w:r>
          </w:p>
        </w:tc>
        <w:tc>
          <w:tcPr>
            <w:tcW w:w="560" w:type="dxa"/>
            <w:tcBorders>
              <w:top w:val="single" w:color="auto" w:sz="4" w:space="0"/>
              <w:left w:val="nil"/>
              <w:bottom w:val="single" w:color="auto" w:sz="4" w:space="0"/>
              <w:right w:val="single" w:color="auto" w:sz="4" w:space="0"/>
            </w:tcBorders>
            <w:vAlign w:val="center"/>
          </w:tcPr>
          <w:p>
            <w:pPr>
              <w:adjustRightInd w:val="0"/>
              <w:snapToGrid w:val="0"/>
              <w:jc w:val="center"/>
              <w:rPr>
                <w:bCs/>
                <w:snapToGrid w:val="0"/>
                <w:color w:val="auto"/>
                <w:sz w:val="18"/>
                <w:szCs w:val="18"/>
                <w:highlight w:val="none"/>
              </w:rPr>
            </w:pPr>
            <w:r>
              <w:rPr>
                <w:rFonts w:hint="eastAsia"/>
                <w:bCs/>
                <w:snapToGrid w:val="0"/>
                <w:color w:val="auto"/>
                <w:sz w:val="18"/>
                <w:szCs w:val="18"/>
                <w:highlight w:val="none"/>
              </w:rPr>
              <w:t>6分</w:t>
            </w:r>
          </w:p>
        </w:tc>
        <w:tc>
          <w:tcPr>
            <w:tcW w:w="1277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bCs/>
                <w:color w:val="auto"/>
                <w:sz w:val="18"/>
                <w:szCs w:val="18"/>
                <w:highlight w:val="none"/>
              </w:rPr>
            </w:pPr>
            <w:r>
              <w:rPr>
                <w:rFonts w:hint="eastAsia"/>
                <w:bCs/>
                <w:color w:val="auto"/>
                <w:sz w:val="18"/>
                <w:szCs w:val="18"/>
                <w:highlight w:val="none"/>
              </w:rPr>
              <w:t>（1）有设计和施工的融合措施；并有承诺在项目的设计、施工及保修等过程中，设计方、施工方紧密协作以满足项目的各阶段需求；得6分。</w:t>
            </w:r>
          </w:p>
          <w:p>
            <w:pPr>
              <w:adjustRightInd w:val="0"/>
              <w:snapToGrid w:val="0"/>
              <w:spacing w:line="276" w:lineRule="auto"/>
              <w:rPr>
                <w:bCs/>
                <w:color w:val="auto"/>
                <w:sz w:val="18"/>
                <w:szCs w:val="18"/>
                <w:highlight w:val="none"/>
              </w:rPr>
            </w:pPr>
            <w:r>
              <w:rPr>
                <w:rFonts w:hint="eastAsia"/>
                <w:bCs/>
                <w:color w:val="auto"/>
                <w:sz w:val="18"/>
                <w:szCs w:val="18"/>
                <w:highlight w:val="none"/>
              </w:rPr>
              <w:t>（2）无设计和施工的融合措施；有承诺在项目的设计、施工及保修等过程中，设计方、施工方紧密协作以满足项目的各阶段需求；得3分。</w:t>
            </w:r>
          </w:p>
          <w:p>
            <w:pPr>
              <w:adjustRightInd w:val="0"/>
              <w:snapToGrid w:val="0"/>
              <w:spacing w:line="276" w:lineRule="auto"/>
              <w:rPr>
                <w:bCs/>
                <w:color w:val="auto"/>
                <w:sz w:val="18"/>
                <w:szCs w:val="18"/>
                <w:highlight w:val="none"/>
                <w:lang w:val="zh-CN"/>
              </w:rPr>
            </w:pPr>
            <w:r>
              <w:rPr>
                <w:rFonts w:hint="eastAsia"/>
                <w:bCs/>
                <w:color w:val="auto"/>
                <w:sz w:val="18"/>
                <w:szCs w:val="18"/>
                <w:highlight w:val="none"/>
              </w:rPr>
              <w:t>注：要求提交承诺函，格式自拟。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97" w:type="dxa"/>
            <w:gridSpan w:val="2"/>
            <w:vMerge w:val="continue"/>
            <w:tcBorders>
              <w:left w:val="single" w:color="auto" w:sz="4" w:space="0"/>
              <w:bottom w:val="single" w:color="auto" w:sz="4" w:space="0"/>
              <w:right w:val="single" w:color="auto" w:sz="4" w:space="0"/>
            </w:tcBorders>
            <w:vAlign w:val="center"/>
          </w:tcPr>
          <w:p>
            <w:pPr>
              <w:widowControl/>
              <w:adjustRightInd w:val="0"/>
              <w:snapToGrid w:val="0"/>
              <w:jc w:val="center"/>
              <w:rPr>
                <w:bCs/>
                <w:snapToGrid w:val="0"/>
                <w:color w:val="auto"/>
                <w:sz w:val="18"/>
                <w:szCs w:val="18"/>
                <w:highlight w:val="none"/>
              </w:rPr>
            </w:pPr>
          </w:p>
        </w:tc>
        <w:tc>
          <w:tcPr>
            <w:tcW w:w="946" w:type="dxa"/>
            <w:vMerge w:val="continue"/>
            <w:tcBorders>
              <w:left w:val="nil"/>
              <w:bottom w:val="single" w:color="auto" w:sz="4" w:space="0"/>
              <w:right w:val="single" w:color="auto" w:sz="4" w:space="0"/>
            </w:tcBorders>
            <w:vAlign w:val="center"/>
          </w:tcPr>
          <w:p>
            <w:pPr>
              <w:adjustRightInd w:val="0"/>
              <w:snapToGrid w:val="0"/>
              <w:jc w:val="center"/>
              <w:rPr>
                <w:bCs/>
                <w:snapToGrid w:val="0"/>
                <w:color w:val="auto"/>
                <w:sz w:val="18"/>
                <w:szCs w:val="18"/>
                <w:highlight w:val="none"/>
              </w:rPr>
            </w:pPr>
          </w:p>
        </w:tc>
        <w:tc>
          <w:tcPr>
            <w:tcW w:w="560" w:type="dxa"/>
            <w:tcBorders>
              <w:top w:val="single" w:color="auto" w:sz="4" w:space="0"/>
              <w:left w:val="nil"/>
              <w:bottom w:val="single" w:color="auto" w:sz="4" w:space="0"/>
              <w:right w:val="single" w:color="auto" w:sz="4" w:space="0"/>
            </w:tcBorders>
            <w:vAlign w:val="center"/>
          </w:tcPr>
          <w:p>
            <w:pPr>
              <w:adjustRightInd w:val="0"/>
              <w:snapToGrid w:val="0"/>
              <w:jc w:val="center"/>
              <w:rPr>
                <w:bCs/>
                <w:snapToGrid w:val="0"/>
                <w:color w:val="auto"/>
                <w:sz w:val="18"/>
                <w:szCs w:val="18"/>
                <w:highlight w:val="none"/>
              </w:rPr>
            </w:pPr>
            <w:r>
              <w:rPr>
                <w:rFonts w:hint="eastAsia"/>
                <w:bCs/>
                <w:snapToGrid w:val="0"/>
                <w:color w:val="auto"/>
                <w:sz w:val="18"/>
                <w:szCs w:val="18"/>
                <w:highlight w:val="none"/>
              </w:rPr>
              <w:t>30分</w:t>
            </w:r>
          </w:p>
        </w:tc>
        <w:tc>
          <w:tcPr>
            <w:tcW w:w="1277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bCs/>
                <w:color w:val="auto"/>
                <w:sz w:val="18"/>
                <w:szCs w:val="18"/>
                <w:highlight w:val="none"/>
              </w:rPr>
            </w:pPr>
            <w:r>
              <w:rPr>
                <w:rFonts w:hint="eastAsia"/>
                <w:bCs/>
                <w:color w:val="auto"/>
                <w:sz w:val="18"/>
                <w:szCs w:val="18"/>
                <w:highlight w:val="none"/>
              </w:rPr>
              <w:t>项目团队组建：</w:t>
            </w:r>
          </w:p>
          <w:p>
            <w:pPr>
              <w:adjustRightInd w:val="0"/>
              <w:snapToGrid w:val="0"/>
              <w:spacing w:line="276" w:lineRule="auto"/>
              <w:rPr>
                <w:bCs/>
                <w:color w:val="auto"/>
                <w:sz w:val="18"/>
                <w:szCs w:val="18"/>
                <w:highlight w:val="none"/>
              </w:rPr>
            </w:pPr>
            <w:r>
              <w:rPr>
                <w:rFonts w:hint="eastAsia"/>
                <w:b/>
                <w:bCs/>
                <w:color w:val="auto"/>
                <w:sz w:val="18"/>
                <w:szCs w:val="18"/>
                <w:highlight w:val="none"/>
              </w:rPr>
              <w:t>（1）施工方项目管理团队（若为联合体，指主办方）</w:t>
            </w:r>
            <w:r>
              <w:rPr>
                <w:rFonts w:hint="eastAsia"/>
                <w:bCs/>
                <w:color w:val="auto"/>
                <w:sz w:val="18"/>
                <w:szCs w:val="18"/>
                <w:highlight w:val="none"/>
              </w:rPr>
              <w:t>：</w:t>
            </w:r>
          </w:p>
          <w:p>
            <w:pPr>
              <w:adjustRightInd w:val="0"/>
              <w:snapToGrid w:val="0"/>
              <w:spacing w:line="276" w:lineRule="auto"/>
              <w:rPr>
                <w:bCs/>
                <w:color w:val="auto"/>
                <w:sz w:val="18"/>
                <w:szCs w:val="18"/>
                <w:highlight w:val="none"/>
              </w:rPr>
            </w:pPr>
            <w:r>
              <w:rPr>
                <w:rFonts w:hint="eastAsia"/>
                <w:bCs/>
                <w:color w:val="auto"/>
                <w:sz w:val="18"/>
                <w:szCs w:val="18"/>
                <w:highlight w:val="none"/>
              </w:rPr>
              <w:t>①技术负责人：具有建筑工程类高级工程师或以上职称的，得</w:t>
            </w:r>
            <w:r>
              <w:rPr>
                <w:bCs/>
                <w:color w:val="auto"/>
                <w:sz w:val="18"/>
                <w:szCs w:val="18"/>
                <w:highlight w:val="none"/>
              </w:rPr>
              <w:t>2分；具有建筑工程类中级工程师职称的，得1分；</w:t>
            </w:r>
            <w:r>
              <w:rPr>
                <w:rFonts w:hint="eastAsia"/>
                <w:bCs/>
                <w:color w:val="auto"/>
                <w:sz w:val="18"/>
                <w:szCs w:val="18"/>
                <w:highlight w:val="none"/>
                <w:lang w:eastAsia="zh-CN"/>
              </w:rPr>
              <w:t>该</w:t>
            </w:r>
            <w:r>
              <w:rPr>
                <w:bCs/>
                <w:color w:val="auto"/>
                <w:sz w:val="18"/>
                <w:szCs w:val="18"/>
                <w:highlight w:val="none"/>
              </w:rPr>
              <w:t>项最高得2分。</w:t>
            </w:r>
          </w:p>
          <w:p>
            <w:pPr>
              <w:adjustRightInd w:val="0"/>
              <w:snapToGrid w:val="0"/>
              <w:spacing w:line="276" w:lineRule="auto"/>
              <w:rPr>
                <w:bCs/>
                <w:color w:val="auto"/>
                <w:sz w:val="18"/>
                <w:szCs w:val="18"/>
                <w:highlight w:val="none"/>
              </w:rPr>
            </w:pPr>
            <w:r>
              <w:rPr>
                <w:rFonts w:hint="eastAsia"/>
                <w:bCs/>
                <w:color w:val="auto"/>
                <w:sz w:val="18"/>
                <w:szCs w:val="18"/>
                <w:highlight w:val="none"/>
              </w:rPr>
              <w:t>②质量负责人：具有建筑工程类高级工程师或以上职称的，得</w:t>
            </w:r>
            <w:r>
              <w:rPr>
                <w:bCs/>
                <w:color w:val="auto"/>
                <w:sz w:val="18"/>
                <w:szCs w:val="18"/>
                <w:highlight w:val="none"/>
              </w:rPr>
              <w:t>2分；具有建筑工程类中级工程师职称的，得1分；</w:t>
            </w:r>
            <w:r>
              <w:rPr>
                <w:rFonts w:hint="eastAsia"/>
                <w:bCs/>
                <w:color w:val="auto"/>
                <w:sz w:val="18"/>
                <w:szCs w:val="18"/>
                <w:highlight w:val="none"/>
                <w:lang w:eastAsia="zh-CN"/>
              </w:rPr>
              <w:t>该</w:t>
            </w:r>
            <w:r>
              <w:rPr>
                <w:bCs/>
                <w:color w:val="auto"/>
                <w:sz w:val="18"/>
                <w:szCs w:val="18"/>
                <w:highlight w:val="none"/>
              </w:rPr>
              <w:t>项最高得2分。</w:t>
            </w:r>
          </w:p>
          <w:p>
            <w:pPr>
              <w:adjustRightInd w:val="0"/>
              <w:snapToGrid w:val="0"/>
              <w:spacing w:line="276" w:lineRule="auto"/>
              <w:rPr>
                <w:bCs/>
                <w:color w:val="auto"/>
                <w:sz w:val="18"/>
                <w:szCs w:val="18"/>
                <w:highlight w:val="none"/>
              </w:rPr>
            </w:pPr>
            <w:r>
              <w:rPr>
                <w:rFonts w:hint="eastAsia"/>
                <w:bCs/>
                <w:color w:val="auto"/>
                <w:sz w:val="18"/>
                <w:szCs w:val="18"/>
                <w:highlight w:val="none"/>
              </w:rPr>
              <w:t>③安全负责人：具有建筑工程类高级工程师或以上职称的，得</w:t>
            </w:r>
            <w:r>
              <w:rPr>
                <w:bCs/>
                <w:color w:val="auto"/>
                <w:sz w:val="18"/>
                <w:szCs w:val="18"/>
                <w:highlight w:val="none"/>
              </w:rPr>
              <w:t>1分；具有建筑工程类中级工程师职称的，得0.5分；具有安全生产考核合格证（C类）或建筑施工企业专职安全生产管理人员安全生产考核合格证（C3类），得1分；</w:t>
            </w:r>
            <w:r>
              <w:rPr>
                <w:rFonts w:hint="eastAsia"/>
                <w:bCs/>
                <w:color w:val="auto"/>
                <w:sz w:val="18"/>
                <w:szCs w:val="18"/>
                <w:highlight w:val="none"/>
                <w:lang w:eastAsia="zh-CN"/>
              </w:rPr>
              <w:t>该</w:t>
            </w:r>
            <w:r>
              <w:rPr>
                <w:bCs/>
                <w:color w:val="auto"/>
                <w:sz w:val="18"/>
                <w:szCs w:val="18"/>
                <w:highlight w:val="none"/>
              </w:rPr>
              <w:t>项最高得2分。</w:t>
            </w:r>
          </w:p>
          <w:p>
            <w:pPr>
              <w:adjustRightInd w:val="0"/>
              <w:snapToGrid w:val="0"/>
              <w:spacing w:line="276" w:lineRule="auto"/>
              <w:rPr>
                <w:rFonts w:hint="eastAsia"/>
                <w:bCs/>
                <w:color w:val="auto"/>
                <w:sz w:val="18"/>
                <w:szCs w:val="18"/>
                <w:highlight w:val="none"/>
              </w:rPr>
            </w:pPr>
            <w:r>
              <w:rPr>
                <w:rFonts w:hint="eastAsia"/>
                <w:bCs/>
                <w:color w:val="auto"/>
                <w:sz w:val="18"/>
                <w:szCs w:val="18"/>
                <w:highlight w:val="none"/>
              </w:rPr>
              <w:t>④造价负责人：具有一级造价工程师注册执业资格且在有效期内的，且同时具有造价类或经济类高级工程师或以上职称的，得2分；具有一级造价工程师注册执业资格且在有效期内的，且同时具有造价类或经济类中级工程师职称的，得1分；</w:t>
            </w:r>
            <w:r>
              <w:rPr>
                <w:rFonts w:hint="eastAsia"/>
                <w:bCs/>
                <w:color w:val="auto"/>
                <w:sz w:val="18"/>
                <w:szCs w:val="18"/>
                <w:highlight w:val="none"/>
                <w:lang w:eastAsia="zh-CN"/>
              </w:rPr>
              <w:t>该</w:t>
            </w:r>
            <w:r>
              <w:rPr>
                <w:rFonts w:hint="eastAsia"/>
                <w:bCs/>
                <w:color w:val="auto"/>
                <w:sz w:val="18"/>
                <w:szCs w:val="18"/>
                <w:highlight w:val="none"/>
              </w:rPr>
              <w:t>项最高得2分。</w:t>
            </w:r>
          </w:p>
          <w:p>
            <w:pPr>
              <w:adjustRightInd w:val="0"/>
              <w:snapToGrid w:val="0"/>
              <w:spacing w:line="276" w:lineRule="auto"/>
              <w:rPr>
                <w:bCs/>
                <w:color w:val="auto"/>
                <w:sz w:val="18"/>
                <w:szCs w:val="18"/>
                <w:highlight w:val="none"/>
              </w:rPr>
            </w:pPr>
            <w:r>
              <w:rPr>
                <w:rFonts w:hint="eastAsia"/>
                <w:bCs/>
                <w:color w:val="auto"/>
                <w:sz w:val="18"/>
                <w:szCs w:val="18"/>
                <w:highlight w:val="none"/>
              </w:rPr>
              <w:t>⑤安全工程师：具有注册安全工程师执业资格且在有效期内的，得</w:t>
            </w:r>
            <w:r>
              <w:rPr>
                <w:bCs/>
                <w:color w:val="auto"/>
                <w:sz w:val="18"/>
                <w:szCs w:val="18"/>
                <w:highlight w:val="none"/>
              </w:rPr>
              <w:t>1分；具有建筑工程类中级工程师或以上职称的，得1分；</w:t>
            </w:r>
            <w:r>
              <w:rPr>
                <w:rFonts w:hint="eastAsia"/>
                <w:bCs/>
                <w:color w:val="auto"/>
                <w:sz w:val="18"/>
                <w:szCs w:val="18"/>
                <w:highlight w:val="none"/>
                <w:lang w:eastAsia="zh-CN"/>
              </w:rPr>
              <w:t>该</w:t>
            </w:r>
            <w:r>
              <w:rPr>
                <w:bCs/>
                <w:color w:val="auto"/>
                <w:sz w:val="18"/>
                <w:szCs w:val="18"/>
                <w:highlight w:val="none"/>
              </w:rPr>
              <w:t>项最高得2分。</w:t>
            </w:r>
          </w:p>
          <w:p>
            <w:pPr>
              <w:adjustRightInd w:val="0"/>
              <w:snapToGrid w:val="0"/>
              <w:spacing w:line="276" w:lineRule="auto"/>
              <w:rPr>
                <w:bCs/>
                <w:color w:val="auto"/>
                <w:sz w:val="18"/>
                <w:szCs w:val="18"/>
                <w:highlight w:val="none"/>
              </w:rPr>
            </w:pPr>
            <w:r>
              <w:rPr>
                <w:bCs/>
                <w:color w:val="auto"/>
                <w:sz w:val="18"/>
                <w:szCs w:val="18"/>
                <w:highlight w:val="none"/>
              </w:rPr>
              <w:fldChar w:fldCharType="begin"/>
            </w:r>
            <w:r>
              <w:rPr>
                <w:bCs/>
                <w:color w:val="auto"/>
                <w:sz w:val="18"/>
                <w:szCs w:val="18"/>
                <w:highlight w:val="none"/>
              </w:rPr>
              <w:instrText xml:space="preserve"> </w:instrText>
            </w:r>
            <w:r>
              <w:rPr>
                <w:rFonts w:hint="eastAsia"/>
                <w:bCs/>
                <w:color w:val="auto"/>
                <w:sz w:val="18"/>
                <w:szCs w:val="18"/>
                <w:highlight w:val="none"/>
              </w:rPr>
              <w:instrText xml:space="preserve">= 6 \* GB3</w:instrText>
            </w:r>
            <w:r>
              <w:rPr>
                <w:bCs/>
                <w:color w:val="auto"/>
                <w:sz w:val="18"/>
                <w:szCs w:val="18"/>
                <w:highlight w:val="none"/>
              </w:rPr>
              <w:instrText xml:space="preserve"> </w:instrText>
            </w:r>
            <w:r>
              <w:rPr>
                <w:bCs/>
                <w:color w:val="auto"/>
                <w:sz w:val="18"/>
                <w:szCs w:val="18"/>
                <w:highlight w:val="none"/>
              </w:rPr>
              <w:fldChar w:fldCharType="separate"/>
            </w:r>
            <w:r>
              <w:rPr>
                <w:rFonts w:hint="eastAsia"/>
                <w:bCs/>
                <w:color w:val="auto"/>
                <w:sz w:val="18"/>
                <w:szCs w:val="18"/>
                <w:highlight w:val="none"/>
              </w:rPr>
              <w:t>⑥</w:t>
            </w:r>
            <w:r>
              <w:rPr>
                <w:bCs/>
                <w:color w:val="auto"/>
                <w:sz w:val="18"/>
                <w:szCs w:val="18"/>
                <w:highlight w:val="none"/>
              </w:rPr>
              <w:fldChar w:fldCharType="end"/>
            </w:r>
            <w:r>
              <w:rPr>
                <w:rFonts w:hint="eastAsia"/>
                <w:bCs/>
                <w:color w:val="auto"/>
                <w:sz w:val="18"/>
                <w:szCs w:val="18"/>
                <w:highlight w:val="none"/>
              </w:rPr>
              <w:t>电气工程师：具有机电工程类专业或电气类专业高级工程师或以上职称的，得</w:t>
            </w:r>
            <w:r>
              <w:rPr>
                <w:bCs/>
                <w:color w:val="auto"/>
                <w:sz w:val="18"/>
                <w:szCs w:val="18"/>
                <w:highlight w:val="none"/>
              </w:rPr>
              <w:t>1分，具有机电工程类专业或电气类专业工程师职称的得0.5分；</w:t>
            </w:r>
            <w:r>
              <w:rPr>
                <w:rFonts w:hint="eastAsia"/>
                <w:bCs/>
                <w:color w:val="auto"/>
                <w:sz w:val="18"/>
                <w:szCs w:val="18"/>
                <w:highlight w:val="none"/>
                <w:lang w:eastAsia="zh-CN"/>
              </w:rPr>
              <w:t>该</w:t>
            </w:r>
            <w:r>
              <w:rPr>
                <w:bCs/>
                <w:color w:val="auto"/>
                <w:sz w:val="18"/>
                <w:szCs w:val="18"/>
                <w:highlight w:val="none"/>
              </w:rPr>
              <w:t>项最高得1分。</w:t>
            </w:r>
          </w:p>
          <w:p>
            <w:pPr>
              <w:adjustRightInd w:val="0"/>
              <w:snapToGrid w:val="0"/>
              <w:spacing w:line="276" w:lineRule="auto"/>
              <w:rPr>
                <w:bCs/>
                <w:color w:val="auto"/>
                <w:sz w:val="18"/>
                <w:szCs w:val="18"/>
                <w:highlight w:val="none"/>
              </w:rPr>
            </w:pPr>
            <w:r>
              <w:rPr>
                <w:bCs/>
                <w:color w:val="auto"/>
                <w:sz w:val="18"/>
                <w:szCs w:val="18"/>
                <w:highlight w:val="none"/>
              </w:rPr>
              <w:fldChar w:fldCharType="begin"/>
            </w:r>
            <w:r>
              <w:rPr>
                <w:bCs/>
                <w:color w:val="auto"/>
                <w:sz w:val="18"/>
                <w:szCs w:val="18"/>
                <w:highlight w:val="none"/>
              </w:rPr>
              <w:instrText xml:space="preserve"> </w:instrText>
            </w:r>
            <w:r>
              <w:rPr>
                <w:rFonts w:hint="eastAsia"/>
                <w:bCs/>
                <w:color w:val="auto"/>
                <w:sz w:val="18"/>
                <w:szCs w:val="18"/>
                <w:highlight w:val="none"/>
              </w:rPr>
              <w:instrText xml:space="preserve">= 7 \* GB3</w:instrText>
            </w:r>
            <w:r>
              <w:rPr>
                <w:bCs/>
                <w:color w:val="auto"/>
                <w:sz w:val="18"/>
                <w:szCs w:val="18"/>
                <w:highlight w:val="none"/>
              </w:rPr>
              <w:instrText xml:space="preserve"> </w:instrText>
            </w:r>
            <w:r>
              <w:rPr>
                <w:bCs/>
                <w:color w:val="auto"/>
                <w:sz w:val="18"/>
                <w:szCs w:val="18"/>
                <w:highlight w:val="none"/>
              </w:rPr>
              <w:fldChar w:fldCharType="separate"/>
            </w:r>
            <w:r>
              <w:rPr>
                <w:rFonts w:hint="eastAsia"/>
                <w:bCs/>
                <w:color w:val="auto"/>
                <w:sz w:val="18"/>
                <w:szCs w:val="18"/>
                <w:highlight w:val="none"/>
              </w:rPr>
              <w:t>⑦</w:t>
            </w:r>
            <w:r>
              <w:rPr>
                <w:bCs/>
                <w:color w:val="auto"/>
                <w:sz w:val="18"/>
                <w:szCs w:val="18"/>
                <w:highlight w:val="none"/>
              </w:rPr>
              <w:fldChar w:fldCharType="end"/>
            </w:r>
            <w:r>
              <w:rPr>
                <w:rFonts w:hint="eastAsia"/>
                <w:bCs/>
                <w:color w:val="auto"/>
                <w:sz w:val="18"/>
                <w:szCs w:val="18"/>
                <w:highlight w:val="none"/>
              </w:rPr>
              <w:t>给排水工程师：具有给排水工程类专业高级工程师或以上职称的，得</w:t>
            </w:r>
            <w:r>
              <w:rPr>
                <w:bCs/>
                <w:color w:val="auto"/>
                <w:sz w:val="18"/>
                <w:szCs w:val="18"/>
                <w:highlight w:val="none"/>
              </w:rPr>
              <w:t>1分，具有给排水工程类专业工程师职称的得0.5分；</w:t>
            </w:r>
            <w:r>
              <w:rPr>
                <w:rFonts w:hint="eastAsia"/>
                <w:bCs/>
                <w:color w:val="auto"/>
                <w:sz w:val="18"/>
                <w:szCs w:val="18"/>
                <w:highlight w:val="none"/>
                <w:lang w:eastAsia="zh-CN"/>
              </w:rPr>
              <w:t>该</w:t>
            </w:r>
            <w:r>
              <w:rPr>
                <w:bCs/>
                <w:color w:val="auto"/>
                <w:sz w:val="18"/>
                <w:szCs w:val="18"/>
                <w:highlight w:val="none"/>
              </w:rPr>
              <w:t>项最高得1分。</w:t>
            </w:r>
          </w:p>
          <w:p>
            <w:pPr>
              <w:adjustRightInd w:val="0"/>
              <w:snapToGrid w:val="0"/>
              <w:spacing w:line="276" w:lineRule="auto"/>
              <w:rPr>
                <w:bCs/>
                <w:color w:val="auto"/>
                <w:sz w:val="18"/>
                <w:szCs w:val="18"/>
                <w:highlight w:val="none"/>
              </w:rPr>
            </w:pPr>
            <w:r>
              <w:rPr>
                <w:bCs/>
                <w:color w:val="auto"/>
                <w:sz w:val="18"/>
                <w:szCs w:val="18"/>
                <w:highlight w:val="none"/>
              </w:rPr>
              <w:fldChar w:fldCharType="begin"/>
            </w:r>
            <w:r>
              <w:rPr>
                <w:bCs/>
                <w:color w:val="auto"/>
                <w:sz w:val="18"/>
                <w:szCs w:val="18"/>
                <w:highlight w:val="none"/>
              </w:rPr>
              <w:instrText xml:space="preserve"> </w:instrText>
            </w:r>
            <w:r>
              <w:rPr>
                <w:rFonts w:hint="eastAsia"/>
                <w:bCs/>
                <w:color w:val="auto"/>
                <w:sz w:val="18"/>
                <w:szCs w:val="18"/>
                <w:highlight w:val="none"/>
              </w:rPr>
              <w:instrText xml:space="preserve">= 8 \* GB3</w:instrText>
            </w:r>
            <w:r>
              <w:rPr>
                <w:bCs/>
                <w:color w:val="auto"/>
                <w:sz w:val="18"/>
                <w:szCs w:val="18"/>
                <w:highlight w:val="none"/>
              </w:rPr>
              <w:instrText xml:space="preserve"> </w:instrText>
            </w:r>
            <w:r>
              <w:rPr>
                <w:bCs/>
                <w:color w:val="auto"/>
                <w:sz w:val="18"/>
                <w:szCs w:val="18"/>
                <w:highlight w:val="none"/>
              </w:rPr>
              <w:fldChar w:fldCharType="separate"/>
            </w:r>
            <w:r>
              <w:rPr>
                <w:rFonts w:hint="eastAsia"/>
                <w:bCs/>
                <w:color w:val="auto"/>
                <w:sz w:val="18"/>
                <w:szCs w:val="18"/>
                <w:highlight w:val="none"/>
              </w:rPr>
              <w:t>⑧</w:t>
            </w:r>
            <w:r>
              <w:rPr>
                <w:bCs/>
                <w:color w:val="auto"/>
                <w:sz w:val="18"/>
                <w:szCs w:val="18"/>
                <w:highlight w:val="none"/>
              </w:rPr>
              <w:fldChar w:fldCharType="end"/>
            </w:r>
            <w:r>
              <w:rPr>
                <w:rFonts w:hint="eastAsia"/>
                <w:bCs/>
                <w:color w:val="auto"/>
                <w:sz w:val="18"/>
                <w:szCs w:val="18"/>
                <w:highlight w:val="none"/>
              </w:rPr>
              <w:t>土建工程师：具有建筑工程类专业高级工程师或以上职称的，得</w:t>
            </w:r>
            <w:r>
              <w:rPr>
                <w:bCs/>
                <w:color w:val="auto"/>
                <w:sz w:val="18"/>
                <w:szCs w:val="18"/>
                <w:highlight w:val="none"/>
              </w:rPr>
              <w:t>1分，具有建筑工程类专业工程师职称的得0.5分；</w:t>
            </w:r>
            <w:r>
              <w:rPr>
                <w:rFonts w:hint="eastAsia"/>
                <w:bCs/>
                <w:color w:val="auto"/>
                <w:sz w:val="18"/>
                <w:szCs w:val="18"/>
                <w:highlight w:val="none"/>
                <w:lang w:eastAsia="zh-CN"/>
              </w:rPr>
              <w:t>该</w:t>
            </w:r>
            <w:r>
              <w:rPr>
                <w:bCs/>
                <w:color w:val="auto"/>
                <w:sz w:val="18"/>
                <w:szCs w:val="18"/>
                <w:highlight w:val="none"/>
              </w:rPr>
              <w:t>项最高得1分。</w:t>
            </w:r>
          </w:p>
          <w:p>
            <w:pPr>
              <w:adjustRightInd w:val="0"/>
              <w:snapToGrid w:val="0"/>
              <w:spacing w:line="276" w:lineRule="auto"/>
              <w:rPr>
                <w:bCs/>
                <w:color w:val="auto"/>
                <w:sz w:val="18"/>
                <w:szCs w:val="18"/>
                <w:highlight w:val="none"/>
              </w:rPr>
            </w:pPr>
            <w:r>
              <w:rPr>
                <w:bCs/>
                <w:color w:val="auto"/>
                <w:sz w:val="18"/>
                <w:szCs w:val="18"/>
                <w:highlight w:val="none"/>
              </w:rPr>
              <w:fldChar w:fldCharType="begin"/>
            </w:r>
            <w:r>
              <w:rPr>
                <w:bCs/>
                <w:color w:val="auto"/>
                <w:sz w:val="18"/>
                <w:szCs w:val="18"/>
                <w:highlight w:val="none"/>
              </w:rPr>
              <w:instrText xml:space="preserve"> </w:instrText>
            </w:r>
            <w:r>
              <w:rPr>
                <w:rFonts w:hint="eastAsia"/>
                <w:bCs/>
                <w:color w:val="auto"/>
                <w:sz w:val="18"/>
                <w:szCs w:val="18"/>
                <w:highlight w:val="none"/>
              </w:rPr>
              <w:instrText xml:space="preserve">= 9 \* GB3</w:instrText>
            </w:r>
            <w:r>
              <w:rPr>
                <w:bCs/>
                <w:color w:val="auto"/>
                <w:sz w:val="18"/>
                <w:szCs w:val="18"/>
                <w:highlight w:val="none"/>
              </w:rPr>
              <w:instrText xml:space="preserve"> </w:instrText>
            </w:r>
            <w:r>
              <w:rPr>
                <w:bCs/>
                <w:color w:val="auto"/>
                <w:sz w:val="18"/>
                <w:szCs w:val="18"/>
                <w:highlight w:val="none"/>
              </w:rPr>
              <w:fldChar w:fldCharType="separate"/>
            </w:r>
            <w:r>
              <w:rPr>
                <w:rFonts w:hint="eastAsia"/>
                <w:bCs/>
                <w:color w:val="auto"/>
                <w:sz w:val="18"/>
                <w:szCs w:val="18"/>
                <w:highlight w:val="none"/>
              </w:rPr>
              <w:t>⑨</w:t>
            </w:r>
            <w:r>
              <w:rPr>
                <w:bCs/>
                <w:color w:val="auto"/>
                <w:sz w:val="18"/>
                <w:szCs w:val="18"/>
                <w:highlight w:val="none"/>
              </w:rPr>
              <w:fldChar w:fldCharType="end"/>
            </w:r>
            <w:r>
              <w:rPr>
                <w:rFonts w:hint="eastAsia"/>
                <w:bCs/>
                <w:color w:val="auto"/>
                <w:sz w:val="18"/>
                <w:szCs w:val="18"/>
                <w:highlight w:val="none"/>
              </w:rPr>
              <w:t>园林工程师：具有风景园林施工高级工程师或以上职称的，得</w:t>
            </w:r>
            <w:r>
              <w:rPr>
                <w:bCs/>
                <w:color w:val="auto"/>
                <w:sz w:val="18"/>
                <w:szCs w:val="18"/>
                <w:highlight w:val="none"/>
              </w:rPr>
              <w:t>1分；具有风景园林施工工程师职称的，得0.5分；</w:t>
            </w:r>
            <w:r>
              <w:rPr>
                <w:rFonts w:hint="eastAsia"/>
                <w:bCs/>
                <w:color w:val="auto"/>
                <w:sz w:val="18"/>
                <w:szCs w:val="18"/>
                <w:highlight w:val="none"/>
                <w:lang w:eastAsia="zh-CN"/>
              </w:rPr>
              <w:t>该</w:t>
            </w:r>
            <w:r>
              <w:rPr>
                <w:bCs/>
                <w:color w:val="auto"/>
                <w:sz w:val="18"/>
                <w:szCs w:val="18"/>
                <w:highlight w:val="none"/>
              </w:rPr>
              <w:t>项最高得1分。</w:t>
            </w:r>
          </w:p>
          <w:p>
            <w:pPr>
              <w:adjustRightInd w:val="0"/>
              <w:snapToGrid w:val="0"/>
              <w:spacing w:line="276" w:lineRule="auto"/>
              <w:rPr>
                <w:bCs/>
                <w:color w:val="auto"/>
                <w:sz w:val="18"/>
                <w:szCs w:val="18"/>
                <w:highlight w:val="none"/>
              </w:rPr>
            </w:pPr>
            <w:r>
              <w:rPr>
                <w:rFonts w:hint="eastAsia"/>
                <w:b/>
                <w:bCs/>
                <w:color w:val="auto"/>
                <w:sz w:val="18"/>
                <w:szCs w:val="18"/>
                <w:highlight w:val="none"/>
              </w:rPr>
              <w:t>本小项最高得14分</w:t>
            </w:r>
            <w:r>
              <w:rPr>
                <w:rFonts w:hint="eastAsia"/>
                <w:bCs/>
                <w:color w:val="auto"/>
                <w:sz w:val="18"/>
                <w:szCs w:val="18"/>
                <w:highlight w:val="none"/>
              </w:rPr>
              <w:t>。</w:t>
            </w:r>
          </w:p>
          <w:p>
            <w:pPr>
              <w:pStyle w:val="2"/>
              <w:ind w:left="480" w:firstLine="480"/>
              <w:rPr>
                <w:color w:val="auto"/>
                <w:highlight w:val="none"/>
              </w:rPr>
            </w:pPr>
          </w:p>
          <w:p>
            <w:pPr>
              <w:adjustRightInd w:val="0"/>
              <w:snapToGrid w:val="0"/>
              <w:spacing w:line="276" w:lineRule="auto"/>
              <w:rPr>
                <w:b/>
                <w:bCs/>
                <w:color w:val="auto"/>
                <w:sz w:val="18"/>
                <w:szCs w:val="18"/>
                <w:highlight w:val="none"/>
              </w:rPr>
            </w:pPr>
            <w:r>
              <w:rPr>
                <w:rFonts w:hint="eastAsia"/>
                <w:b/>
                <w:bCs/>
                <w:color w:val="auto"/>
                <w:sz w:val="18"/>
                <w:szCs w:val="18"/>
                <w:highlight w:val="none"/>
              </w:rPr>
              <w:t>（2）设计方项目管理团队（若为联合体，指设计方）：</w:t>
            </w:r>
          </w:p>
          <w:p>
            <w:pPr>
              <w:adjustRightInd w:val="0"/>
              <w:snapToGrid w:val="0"/>
              <w:spacing w:line="276" w:lineRule="auto"/>
              <w:rPr>
                <w:bCs/>
                <w:color w:val="auto"/>
                <w:sz w:val="18"/>
                <w:szCs w:val="18"/>
                <w:highlight w:val="none"/>
              </w:rPr>
            </w:pPr>
            <w:r>
              <w:rPr>
                <w:rFonts w:hint="eastAsia"/>
                <w:bCs/>
                <w:color w:val="auto"/>
                <w:sz w:val="18"/>
                <w:szCs w:val="18"/>
                <w:highlight w:val="none"/>
              </w:rPr>
              <w:t>①设计负责人：设计经历在15年（含）以上，并具有高级工程师的，得3分；</w:t>
            </w:r>
          </w:p>
          <w:p>
            <w:pPr>
              <w:adjustRightInd w:val="0"/>
              <w:snapToGrid w:val="0"/>
              <w:spacing w:line="276" w:lineRule="auto"/>
              <w:rPr>
                <w:bCs/>
                <w:color w:val="auto"/>
                <w:sz w:val="18"/>
                <w:szCs w:val="18"/>
                <w:highlight w:val="none"/>
              </w:rPr>
            </w:pPr>
            <w:r>
              <w:rPr>
                <w:rFonts w:hint="eastAsia"/>
                <w:bCs/>
                <w:color w:val="auto"/>
                <w:sz w:val="18"/>
                <w:szCs w:val="18"/>
                <w:highlight w:val="none"/>
              </w:rPr>
              <w:t>设计经历在10年（含）至15年（不含），并具有高级工程师的，得2分；</w:t>
            </w:r>
          </w:p>
          <w:p>
            <w:pPr>
              <w:adjustRightInd w:val="0"/>
              <w:snapToGrid w:val="0"/>
              <w:spacing w:line="276" w:lineRule="auto"/>
              <w:rPr>
                <w:bCs/>
                <w:color w:val="auto"/>
                <w:sz w:val="18"/>
                <w:szCs w:val="18"/>
                <w:highlight w:val="none"/>
              </w:rPr>
            </w:pPr>
            <w:r>
              <w:rPr>
                <w:rFonts w:hint="eastAsia"/>
                <w:bCs/>
                <w:color w:val="auto"/>
                <w:sz w:val="18"/>
                <w:szCs w:val="18"/>
                <w:highlight w:val="none"/>
              </w:rPr>
              <w:t>设计经历在5年（含）至10年（不含），并具有高级工程师的，得1分；</w:t>
            </w:r>
          </w:p>
          <w:p>
            <w:pPr>
              <w:adjustRightInd w:val="0"/>
              <w:snapToGrid w:val="0"/>
              <w:spacing w:line="276" w:lineRule="auto"/>
              <w:rPr>
                <w:bCs/>
                <w:color w:val="auto"/>
                <w:sz w:val="18"/>
                <w:szCs w:val="18"/>
                <w:highlight w:val="none"/>
              </w:rPr>
            </w:pPr>
            <w:r>
              <w:rPr>
                <w:rFonts w:hint="eastAsia"/>
                <w:bCs/>
                <w:color w:val="auto"/>
                <w:sz w:val="18"/>
                <w:szCs w:val="18"/>
                <w:highlight w:val="none"/>
              </w:rPr>
              <w:t>同时具有一级注册建筑师加1分；</w:t>
            </w:r>
            <w:r>
              <w:rPr>
                <w:rFonts w:hint="eastAsia"/>
                <w:bCs/>
                <w:color w:val="auto"/>
                <w:sz w:val="18"/>
                <w:szCs w:val="18"/>
                <w:highlight w:val="none"/>
                <w:lang w:eastAsia="zh-CN"/>
              </w:rPr>
              <w:t>该</w:t>
            </w:r>
            <w:r>
              <w:rPr>
                <w:rFonts w:hint="eastAsia"/>
                <w:bCs/>
                <w:color w:val="auto"/>
                <w:sz w:val="18"/>
                <w:szCs w:val="18"/>
                <w:highlight w:val="none"/>
              </w:rPr>
              <w:t>项最高得4分。</w:t>
            </w:r>
          </w:p>
          <w:p>
            <w:pPr>
              <w:adjustRightInd w:val="0"/>
              <w:snapToGrid w:val="0"/>
              <w:spacing w:line="276" w:lineRule="auto"/>
              <w:rPr>
                <w:bCs/>
                <w:color w:val="auto"/>
                <w:sz w:val="18"/>
                <w:szCs w:val="18"/>
                <w:highlight w:val="none"/>
              </w:rPr>
            </w:pPr>
            <w:r>
              <w:rPr>
                <w:rFonts w:hint="eastAsia"/>
                <w:bCs/>
                <w:color w:val="auto"/>
                <w:sz w:val="18"/>
                <w:szCs w:val="18"/>
                <w:highlight w:val="none"/>
              </w:rPr>
              <w:t>②给排水专业设计负责人：具有中级或以上技术职称得1分，同时具有注册公用设备工程师（给水排水）加1分；</w:t>
            </w:r>
            <w:r>
              <w:rPr>
                <w:rFonts w:hint="eastAsia"/>
                <w:bCs/>
                <w:color w:val="auto"/>
                <w:sz w:val="18"/>
                <w:szCs w:val="18"/>
                <w:highlight w:val="none"/>
                <w:lang w:eastAsia="zh-CN"/>
              </w:rPr>
              <w:t>该</w:t>
            </w:r>
            <w:r>
              <w:rPr>
                <w:rFonts w:hint="eastAsia"/>
                <w:bCs/>
                <w:color w:val="auto"/>
                <w:sz w:val="18"/>
                <w:szCs w:val="18"/>
                <w:highlight w:val="none"/>
              </w:rPr>
              <w:t>项最高得2分。</w:t>
            </w:r>
          </w:p>
          <w:p>
            <w:pPr>
              <w:adjustRightInd w:val="0"/>
              <w:snapToGrid w:val="0"/>
              <w:spacing w:line="276" w:lineRule="auto"/>
              <w:rPr>
                <w:bCs/>
                <w:color w:val="auto"/>
                <w:sz w:val="18"/>
                <w:szCs w:val="18"/>
                <w:highlight w:val="none"/>
              </w:rPr>
            </w:pPr>
            <w:r>
              <w:rPr>
                <w:rFonts w:hint="eastAsia"/>
                <w:bCs/>
                <w:color w:val="auto"/>
                <w:sz w:val="18"/>
                <w:szCs w:val="18"/>
                <w:highlight w:val="none"/>
              </w:rPr>
              <w:t>③道路专业设计负责人：具有中级或以上技术职称得1分，同时具有注册土木工程师（道路工程）加1分；</w:t>
            </w:r>
            <w:r>
              <w:rPr>
                <w:rFonts w:hint="eastAsia"/>
                <w:bCs/>
                <w:color w:val="auto"/>
                <w:sz w:val="18"/>
                <w:szCs w:val="18"/>
                <w:highlight w:val="none"/>
                <w:lang w:eastAsia="zh-CN"/>
              </w:rPr>
              <w:t>该</w:t>
            </w:r>
            <w:r>
              <w:rPr>
                <w:rFonts w:hint="eastAsia"/>
                <w:bCs/>
                <w:color w:val="auto"/>
                <w:sz w:val="18"/>
                <w:szCs w:val="18"/>
                <w:highlight w:val="none"/>
              </w:rPr>
              <w:t>项最高得2分。</w:t>
            </w:r>
          </w:p>
          <w:p>
            <w:pPr>
              <w:adjustRightInd w:val="0"/>
              <w:snapToGrid w:val="0"/>
              <w:spacing w:line="276" w:lineRule="auto"/>
              <w:rPr>
                <w:bCs/>
                <w:color w:val="auto"/>
                <w:sz w:val="18"/>
                <w:szCs w:val="18"/>
                <w:highlight w:val="none"/>
              </w:rPr>
            </w:pPr>
            <w:r>
              <w:rPr>
                <w:rFonts w:hint="eastAsia"/>
                <w:bCs/>
                <w:color w:val="auto"/>
                <w:sz w:val="18"/>
                <w:szCs w:val="18"/>
                <w:highlight w:val="none"/>
              </w:rPr>
              <w:t>④园林专业设计负责人：具有高级或以上技术职称得2分；</w:t>
            </w:r>
            <w:r>
              <w:rPr>
                <w:rFonts w:hint="eastAsia"/>
                <w:bCs/>
                <w:color w:val="auto"/>
                <w:sz w:val="18"/>
                <w:szCs w:val="18"/>
                <w:highlight w:val="none"/>
                <w:lang w:eastAsia="zh-CN"/>
              </w:rPr>
              <w:t>该</w:t>
            </w:r>
            <w:r>
              <w:rPr>
                <w:rFonts w:hint="eastAsia"/>
                <w:bCs/>
                <w:color w:val="auto"/>
                <w:sz w:val="18"/>
                <w:szCs w:val="18"/>
                <w:highlight w:val="none"/>
              </w:rPr>
              <w:t>项最高得2分。</w:t>
            </w:r>
          </w:p>
          <w:p>
            <w:pPr>
              <w:adjustRightInd w:val="0"/>
              <w:snapToGrid w:val="0"/>
              <w:spacing w:line="276" w:lineRule="auto"/>
              <w:rPr>
                <w:bCs/>
                <w:color w:val="auto"/>
                <w:sz w:val="18"/>
                <w:szCs w:val="18"/>
                <w:highlight w:val="none"/>
              </w:rPr>
            </w:pPr>
            <w:r>
              <w:rPr>
                <w:rFonts w:hint="eastAsia"/>
                <w:bCs/>
                <w:color w:val="auto"/>
                <w:sz w:val="18"/>
                <w:szCs w:val="18"/>
                <w:highlight w:val="none"/>
              </w:rPr>
              <w:t>⑤造价专业负责人：具有高级或以上技术职称得1分，同时具有注册造价工程师或一级注册造价工程师证书（有效期内）加1分，</w:t>
            </w:r>
            <w:r>
              <w:rPr>
                <w:rFonts w:hint="eastAsia"/>
                <w:bCs/>
                <w:color w:val="auto"/>
                <w:sz w:val="18"/>
                <w:szCs w:val="18"/>
                <w:highlight w:val="none"/>
                <w:lang w:eastAsia="zh-CN"/>
              </w:rPr>
              <w:t>该</w:t>
            </w:r>
            <w:r>
              <w:rPr>
                <w:rFonts w:hint="eastAsia"/>
                <w:bCs/>
                <w:color w:val="auto"/>
                <w:sz w:val="18"/>
                <w:szCs w:val="18"/>
                <w:highlight w:val="none"/>
              </w:rPr>
              <w:t>项最高得2分。</w:t>
            </w:r>
          </w:p>
          <w:p>
            <w:pPr>
              <w:adjustRightInd w:val="0"/>
              <w:snapToGrid w:val="0"/>
              <w:spacing w:line="276" w:lineRule="auto"/>
              <w:rPr>
                <w:b/>
                <w:bCs/>
                <w:color w:val="auto"/>
                <w:sz w:val="18"/>
                <w:szCs w:val="18"/>
                <w:highlight w:val="none"/>
              </w:rPr>
            </w:pPr>
            <w:r>
              <w:rPr>
                <w:rFonts w:hint="eastAsia"/>
                <w:b/>
                <w:bCs/>
                <w:color w:val="auto"/>
                <w:sz w:val="18"/>
                <w:szCs w:val="18"/>
                <w:highlight w:val="none"/>
              </w:rPr>
              <w:t>本小项最高得12分。</w:t>
            </w:r>
          </w:p>
          <w:p>
            <w:pPr>
              <w:pStyle w:val="2"/>
              <w:ind w:left="480" w:firstLine="480"/>
              <w:rPr>
                <w:color w:val="auto"/>
                <w:highlight w:val="none"/>
              </w:rPr>
            </w:pPr>
          </w:p>
          <w:p>
            <w:pPr>
              <w:adjustRightInd w:val="0"/>
              <w:snapToGrid w:val="0"/>
              <w:spacing w:line="276" w:lineRule="auto"/>
              <w:rPr>
                <w:b/>
                <w:bCs/>
                <w:color w:val="auto"/>
                <w:sz w:val="18"/>
                <w:szCs w:val="18"/>
                <w:highlight w:val="none"/>
              </w:rPr>
            </w:pPr>
            <w:r>
              <w:rPr>
                <w:rFonts w:hint="eastAsia"/>
                <w:b/>
                <w:bCs/>
                <w:color w:val="auto"/>
                <w:sz w:val="18"/>
                <w:szCs w:val="18"/>
                <w:highlight w:val="none"/>
              </w:rPr>
              <w:t>（3）勘察方项目管理团队（若为联合体，指勘察方）：</w:t>
            </w:r>
          </w:p>
          <w:p>
            <w:pPr>
              <w:adjustRightInd w:val="0"/>
              <w:snapToGrid w:val="0"/>
              <w:spacing w:line="276" w:lineRule="auto"/>
              <w:rPr>
                <w:bCs/>
                <w:color w:val="auto"/>
                <w:sz w:val="18"/>
                <w:szCs w:val="18"/>
                <w:highlight w:val="none"/>
              </w:rPr>
            </w:pPr>
            <w:r>
              <w:rPr>
                <w:rFonts w:hint="eastAsia"/>
                <w:bCs/>
                <w:color w:val="auto"/>
                <w:sz w:val="18"/>
                <w:szCs w:val="18"/>
                <w:highlight w:val="none"/>
              </w:rPr>
              <w:t>①勘察专业负责人：具有高级或以上技术职称得2分，同时具有注册土木工程师（岩土）另加2分；</w:t>
            </w:r>
            <w:r>
              <w:rPr>
                <w:rFonts w:hint="eastAsia"/>
                <w:bCs/>
                <w:color w:val="auto"/>
                <w:sz w:val="18"/>
                <w:szCs w:val="18"/>
                <w:highlight w:val="none"/>
                <w:lang w:eastAsia="zh-CN"/>
              </w:rPr>
              <w:t>该</w:t>
            </w:r>
            <w:r>
              <w:rPr>
                <w:rFonts w:hint="eastAsia"/>
                <w:bCs/>
                <w:color w:val="auto"/>
                <w:sz w:val="18"/>
                <w:szCs w:val="18"/>
                <w:highlight w:val="none"/>
              </w:rPr>
              <w:t>项最高得4分；</w:t>
            </w:r>
          </w:p>
          <w:p>
            <w:pPr>
              <w:adjustRightInd w:val="0"/>
              <w:snapToGrid w:val="0"/>
              <w:spacing w:line="276" w:lineRule="auto"/>
              <w:rPr>
                <w:b/>
                <w:bCs/>
                <w:color w:val="auto"/>
                <w:sz w:val="18"/>
                <w:szCs w:val="18"/>
                <w:highlight w:val="none"/>
              </w:rPr>
            </w:pPr>
            <w:r>
              <w:rPr>
                <w:rFonts w:hint="eastAsia"/>
                <w:b/>
                <w:bCs/>
                <w:color w:val="auto"/>
                <w:sz w:val="18"/>
                <w:szCs w:val="18"/>
                <w:highlight w:val="none"/>
              </w:rPr>
              <w:t>本小项最高得4分。</w:t>
            </w:r>
          </w:p>
          <w:p>
            <w:pPr>
              <w:adjustRightInd w:val="0"/>
              <w:snapToGrid w:val="0"/>
              <w:spacing w:line="276" w:lineRule="auto"/>
              <w:rPr>
                <w:bCs/>
                <w:color w:val="auto"/>
                <w:sz w:val="18"/>
                <w:szCs w:val="18"/>
                <w:highlight w:val="none"/>
              </w:rPr>
            </w:pPr>
          </w:p>
          <w:p>
            <w:pPr>
              <w:adjustRightInd w:val="0"/>
              <w:snapToGrid w:val="0"/>
              <w:spacing w:line="276" w:lineRule="auto"/>
              <w:rPr>
                <w:rFonts w:hint="eastAsia"/>
                <w:bCs/>
                <w:color w:val="auto"/>
                <w:sz w:val="18"/>
                <w:szCs w:val="18"/>
                <w:highlight w:val="none"/>
              </w:rPr>
            </w:pPr>
            <w:r>
              <w:rPr>
                <w:rFonts w:hint="eastAsia"/>
                <w:bCs/>
                <w:color w:val="auto"/>
                <w:sz w:val="18"/>
                <w:szCs w:val="18"/>
                <w:highlight w:val="none"/>
              </w:rPr>
              <w:t>注：1、上述各方人员各个岗位均不得互相兼任。必须按要求提交相应职称证、注册证（如有）、提供扣除开始发布招标公告当月往前顺推一个月（</w:t>
            </w:r>
            <w:r>
              <w:rPr>
                <w:rFonts w:hint="eastAsia"/>
                <w:bCs/>
                <w:color w:val="auto"/>
                <w:sz w:val="18"/>
                <w:szCs w:val="18"/>
                <w:highlight w:val="none"/>
                <w:lang w:eastAsia="zh-CN"/>
              </w:rPr>
              <w:t>2023年</w:t>
            </w:r>
            <w:r>
              <w:rPr>
                <w:rFonts w:hint="eastAsia"/>
                <w:bCs/>
                <w:color w:val="auto"/>
                <w:sz w:val="18"/>
                <w:szCs w:val="18"/>
                <w:highlight w:val="none"/>
                <w:lang w:val="en-US" w:eastAsia="zh-CN"/>
              </w:rPr>
              <w:t>8</w:t>
            </w:r>
            <w:r>
              <w:rPr>
                <w:rFonts w:hint="eastAsia"/>
                <w:bCs/>
                <w:color w:val="auto"/>
                <w:sz w:val="18"/>
                <w:szCs w:val="18"/>
                <w:highlight w:val="none"/>
                <w:lang w:eastAsia="zh-CN"/>
              </w:rPr>
              <w:t>月</w:t>
            </w:r>
            <w:r>
              <w:rPr>
                <w:rFonts w:hint="eastAsia"/>
                <w:bCs/>
                <w:color w:val="auto"/>
                <w:sz w:val="18"/>
                <w:szCs w:val="18"/>
                <w:highlight w:val="none"/>
              </w:rPr>
              <w:t>）在投标人单位购买的社保缴纳证明材料（含分公司或分支机构社保缴纳记录），若当地政府部门允许企业在疫情期间缓缴社会保险费且投标人未缴纳的，投标人可提供当地政府部门允许缓缴社保的相关文件作为缴纳社保的证明。确定中标人后，招标人将核实后续中标人以上人员的社保补缴情况。2、设计方项目管理团队人员设计负责人的设计经历以毕业证书的核发时间[大学专科(或以上)学历]起计算至今。</w:t>
            </w:r>
          </w:p>
          <w:p>
            <w:pPr>
              <w:adjustRightInd w:val="0"/>
              <w:snapToGrid w:val="0"/>
              <w:spacing w:line="276" w:lineRule="auto"/>
              <w:rPr>
                <w:bCs/>
                <w:color w:val="auto"/>
                <w:sz w:val="18"/>
                <w:szCs w:val="18"/>
                <w:highlight w:val="none"/>
              </w:rPr>
            </w:pPr>
            <w:r>
              <w:rPr>
                <w:rFonts w:hint="eastAsia"/>
                <w:b/>
                <w:color w:val="auto"/>
                <w:sz w:val="18"/>
                <w:szCs w:val="18"/>
                <w:highlight w:val="none"/>
              </w:rPr>
              <w:t>本项合计最高得</w:t>
            </w:r>
            <w:r>
              <w:rPr>
                <w:rFonts w:hint="eastAsia"/>
                <w:b/>
                <w:color w:val="auto"/>
                <w:sz w:val="18"/>
                <w:szCs w:val="18"/>
                <w:highlight w:val="none"/>
                <w:lang w:val="en-US" w:eastAsia="zh-CN"/>
              </w:rPr>
              <w:t>30</w:t>
            </w:r>
            <w:r>
              <w:rPr>
                <w:b/>
                <w:color w:val="auto"/>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bCs/>
                <w:snapToGrid w:val="0"/>
                <w:color w:val="auto"/>
                <w:sz w:val="18"/>
                <w:szCs w:val="18"/>
                <w:highlight w:val="none"/>
              </w:rPr>
            </w:pPr>
            <w:r>
              <w:rPr>
                <w:rFonts w:hint="eastAsia"/>
                <w:bCs/>
                <w:snapToGrid w:val="0"/>
                <w:color w:val="auto"/>
                <w:sz w:val="18"/>
                <w:szCs w:val="18"/>
                <w:highlight w:val="none"/>
              </w:rPr>
              <w:t>2.2</w:t>
            </w:r>
          </w:p>
        </w:tc>
        <w:tc>
          <w:tcPr>
            <w:tcW w:w="946" w:type="dxa"/>
            <w:tcBorders>
              <w:top w:val="single" w:color="auto" w:sz="4" w:space="0"/>
              <w:left w:val="nil"/>
              <w:bottom w:val="single" w:color="auto" w:sz="4" w:space="0"/>
              <w:right w:val="single" w:color="auto" w:sz="4" w:space="0"/>
            </w:tcBorders>
            <w:vAlign w:val="center"/>
          </w:tcPr>
          <w:p>
            <w:pPr>
              <w:adjustRightInd w:val="0"/>
              <w:snapToGrid w:val="0"/>
              <w:jc w:val="center"/>
              <w:rPr>
                <w:color w:val="auto"/>
                <w:sz w:val="18"/>
                <w:szCs w:val="18"/>
                <w:highlight w:val="none"/>
              </w:rPr>
            </w:pPr>
            <w:r>
              <w:rPr>
                <w:rFonts w:hint="eastAsia"/>
                <w:color w:val="auto"/>
                <w:sz w:val="18"/>
                <w:szCs w:val="18"/>
                <w:highlight w:val="none"/>
              </w:rPr>
              <w:t>绿色节能控制措施</w:t>
            </w:r>
          </w:p>
        </w:tc>
        <w:tc>
          <w:tcPr>
            <w:tcW w:w="560" w:type="dxa"/>
            <w:tcBorders>
              <w:top w:val="single" w:color="auto" w:sz="4" w:space="0"/>
              <w:left w:val="nil"/>
              <w:bottom w:val="single" w:color="auto" w:sz="4" w:space="0"/>
              <w:right w:val="single" w:color="auto" w:sz="4" w:space="0"/>
            </w:tcBorders>
            <w:vAlign w:val="center"/>
          </w:tcPr>
          <w:p>
            <w:pPr>
              <w:adjustRightInd w:val="0"/>
              <w:snapToGrid w:val="0"/>
              <w:jc w:val="center"/>
              <w:rPr>
                <w:bCs/>
                <w:snapToGrid w:val="0"/>
                <w:color w:val="auto"/>
                <w:sz w:val="18"/>
                <w:szCs w:val="18"/>
                <w:highlight w:val="none"/>
              </w:rPr>
            </w:pPr>
            <w:r>
              <w:rPr>
                <w:rFonts w:hint="eastAsia"/>
                <w:bCs/>
                <w:snapToGrid w:val="0"/>
                <w:color w:val="auto"/>
                <w:sz w:val="18"/>
                <w:szCs w:val="18"/>
                <w:highlight w:val="none"/>
              </w:rPr>
              <w:t>6分</w:t>
            </w:r>
          </w:p>
        </w:tc>
        <w:tc>
          <w:tcPr>
            <w:tcW w:w="1277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bCs/>
                <w:color w:val="auto"/>
                <w:sz w:val="18"/>
                <w:szCs w:val="18"/>
                <w:highlight w:val="none"/>
              </w:rPr>
            </w:pPr>
            <w:r>
              <w:rPr>
                <w:rFonts w:hint="eastAsia"/>
                <w:bCs/>
                <w:color w:val="auto"/>
                <w:sz w:val="18"/>
                <w:szCs w:val="18"/>
                <w:highlight w:val="none"/>
              </w:rPr>
              <w:t>1）有绿色节能控制措施；并有承诺在施工过程中通过科学管理和先进的技术手段，最大限度地节约资源与减少对环境的负面影响，以达到四节一环保（节能、节地、节水、节材和环境保护）的目标；得6分。</w:t>
            </w:r>
          </w:p>
          <w:p>
            <w:pPr>
              <w:adjustRightInd w:val="0"/>
              <w:snapToGrid w:val="0"/>
              <w:spacing w:line="276" w:lineRule="auto"/>
              <w:rPr>
                <w:bCs/>
                <w:color w:val="auto"/>
                <w:sz w:val="18"/>
                <w:szCs w:val="18"/>
                <w:highlight w:val="none"/>
              </w:rPr>
            </w:pPr>
            <w:r>
              <w:rPr>
                <w:rFonts w:hint="eastAsia"/>
                <w:bCs/>
                <w:color w:val="auto"/>
                <w:sz w:val="18"/>
                <w:szCs w:val="18"/>
                <w:highlight w:val="none"/>
              </w:rPr>
              <w:t>2）无绿色节能控制措施；有承诺在施工过程中通过科学管理和先进的技术手段，最大限度地节约资源与减少对环境的负面影响，以达到四节一环保（节能、节地、节水、节材和环境保护）的目标；得4分。</w:t>
            </w:r>
          </w:p>
          <w:p>
            <w:pPr>
              <w:adjustRightInd w:val="0"/>
              <w:snapToGrid w:val="0"/>
              <w:spacing w:line="276" w:lineRule="auto"/>
              <w:rPr>
                <w:bCs/>
                <w:color w:val="auto"/>
                <w:sz w:val="18"/>
                <w:szCs w:val="18"/>
                <w:highlight w:val="none"/>
                <w:lang w:val="zh-CN"/>
              </w:rPr>
            </w:pPr>
            <w:r>
              <w:rPr>
                <w:rFonts w:hint="eastAsia"/>
                <w:bCs/>
                <w:color w:val="auto"/>
                <w:sz w:val="18"/>
                <w:szCs w:val="18"/>
                <w:highlight w:val="none"/>
              </w:rPr>
              <w:t>注：承诺函格式自拟。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bCs/>
                <w:snapToGrid w:val="0"/>
                <w:color w:val="auto"/>
                <w:sz w:val="18"/>
                <w:szCs w:val="18"/>
                <w:highlight w:val="none"/>
              </w:rPr>
            </w:pPr>
            <w:r>
              <w:rPr>
                <w:rFonts w:hint="eastAsia"/>
                <w:bCs/>
                <w:snapToGrid w:val="0"/>
                <w:color w:val="auto"/>
                <w:sz w:val="18"/>
                <w:szCs w:val="18"/>
                <w:highlight w:val="none"/>
              </w:rPr>
              <w:t>2.3</w:t>
            </w:r>
          </w:p>
        </w:tc>
        <w:tc>
          <w:tcPr>
            <w:tcW w:w="946" w:type="dxa"/>
            <w:tcBorders>
              <w:top w:val="single" w:color="auto" w:sz="4" w:space="0"/>
              <w:left w:val="nil"/>
              <w:bottom w:val="single" w:color="auto" w:sz="4" w:space="0"/>
              <w:right w:val="single" w:color="auto" w:sz="4" w:space="0"/>
            </w:tcBorders>
            <w:vAlign w:val="center"/>
          </w:tcPr>
          <w:p>
            <w:pPr>
              <w:adjustRightInd w:val="0"/>
              <w:snapToGrid w:val="0"/>
              <w:jc w:val="center"/>
              <w:rPr>
                <w:b/>
                <w:color w:val="auto"/>
                <w:sz w:val="18"/>
                <w:szCs w:val="18"/>
                <w:highlight w:val="none"/>
              </w:rPr>
            </w:pPr>
            <w:r>
              <w:rPr>
                <w:rFonts w:hint="eastAsia"/>
                <w:color w:val="auto"/>
                <w:sz w:val="18"/>
                <w:szCs w:val="18"/>
                <w:highlight w:val="none"/>
              </w:rPr>
              <w:t>安全控制措施</w:t>
            </w:r>
          </w:p>
        </w:tc>
        <w:tc>
          <w:tcPr>
            <w:tcW w:w="560" w:type="dxa"/>
            <w:tcBorders>
              <w:top w:val="single" w:color="auto" w:sz="4" w:space="0"/>
              <w:left w:val="nil"/>
              <w:bottom w:val="single" w:color="auto" w:sz="4" w:space="0"/>
              <w:right w:val="single" w:color="auto" w:sz="4" w:space="0"/>
            </w:tcBorders>
            <w:vAlign w:val="center"/>
          </w:tcPr>
          <w:p>
            <w:pPr>
              <w:adjustRightInd w:val="0"/>
              <w:snapToGrid w:val="0"/>
              <w:jc w:val="center"/>
              <w:rPr>
                <w:bCs/>
                <w:snapToGrid w:val="0"/>
                <w:color w:val="auto"/>
                <w:sz w:val="18"/>
                <w:szCs w:val="18"/>
                <w:highlight w:val="none"/>
              </w:rPr>
            </w:pPr>
            <w:r>
              <w:rPr>
                <w:rFonts w:hint="eastAsia"/>
                <w:bCs/>
                <w:snapToGrid w:val="0"/>
                <w:color w:val="auto"/>
                <w:sz w:val="18"/>
                <w:szCs w:val="18"/>
                <w:highlight w:val="none"/>
              </w:rPr>
              <w:t>6分</w:t>
            </w:r>
          </w:p>
        </w:tc>
        <w:tc>
          <w:tcPr>
            <w:tcW w:w="1277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bCs/>
                <w:color w:val="auto"/>
                <w:sz w:val="18"/>
                <w:szCs w:val="18"/>
                <w:highlight w:val="none"/>
              </w:rPr>
            </w:pPr>
            <w:r>
              <w:rPr>
                <w:rFonts w:hint="eastAsia"/>
                <w:bCs/>
                <w:color w:val="auto"/>
                <w:sz w:val="18"/>
                <w:szCs w:val="18"/>
                <w:highlight w:val="none"/>
              </w:rPr>
              <w:t>1）制定有健全的安全、文明施工保证体系，各项保证措施，且承诺具有省级双优工地奖得6分。</w:t>
            </w:r>
          </w:p>
          <w:p>
            <w:pPr>
              <w:adjustRightInd w:val="0"/>
              <w:snapToGrid w:val="0"/>
              <w:spacing w:line="276" w:lineRule="auto"/>
              <w:rPr>
                <w:bCs/>
                <w:color w:val="auto"/>
                <w:sz w:val="18"/>
                <w:szCs w:val="18"/>
                <w:highlight w:val="none"/>
              </w:rPr>
            </w:pPr>
            <w:r>
              <w:rPr>
                <w:rFonts w:hint="eastAsia"/>
                <w:bCs/>
                <w:color w:val="auto"/>
                <w:sz w:val="18"/>
                <w:szCs w:val="18"/>
                <w:highlight w:val="none"/>
              </w:rPr>
              <w:t>2）制定有健全的安全、文明施工保证体系，各项保证措施，且承诺具有市级双优工地奖得</w:t>
            </w:r>
            <w:r>
              <w:rPr>
                <w:rFonts w:hint="eastAsia"/>
                <w:bCs/>
                <w:color w:val="auto"/>
                <w:sz w:val="18"/>
                <w:szCs w:val="18"/>
                <w:highlight w:val="none"/>
                <w:lang w:val="en-US" w:eastAsia="zh-CN"/>
              </w:rPr>
              <w:t>4</w:t>
            </w:r>
            <w:r>
              <w:rPr>
                <w:rFonts w:hint="eastAsia"/>
                <w:bCs/>
                <w:color w:val="auto"/>
                <w:sz w:val="18"/>
                <w:szCs w:val="18"/>
                <w:highlight w:val="none"/>
              </w:rPr>
              <w:t>分。</w:t>
            </w:r>
          </w:p>
          <w:p>
            <w:pPr>
              <w:adjustRightInd w:val="0"/>
              <w:snapToGrid w:val="0"/>
              <w:spacing w:line="276" w:lineRule="auto"/>
              <w:rPr>
                <w:bCs/>
                <w:color w:val="auto"/>
                <w:sz w:val="18"/>
                <w:szCs w:val="18"/>
                <w:highlight w:val="none"/>
              </w:rPr>
            </w:pPr>
            <w:r>
              <w:rPr>
                <w:rFonts w:hint="eastAsia"/>
                <w:bCs/>
                <w:color w:val="auto"/>
                <w:sz w:val="18"/>
                <w:szCs w:val="18"/>
                <w:highlight w:val="none"/>
              </w:rPr>
              <w:t>3）制定有健全的安全、文明施工保证体系，各项保证措施，得</w:t>
            </w:r>
            <w:r>
              <w:rPr>
                <w:rFonts w:hint="eastAsia"/>
                <w:bCs/>
                <w:color w:val="auto"/>
                <w:sz w:val="18"/>
                <w:szCs w:val="18"/>
                <w:highlight w:val="none"/>
                <w:lang w:val="en-US" w:eastAsia="zh-CN"/>
              </w:rPr>
              <w:t>2</w:t>
            </w:r>
            <w:r>
              <w:rPr>
                <w:rFonts w:hint="eastAsia"/>
                <w:bCs/>
                <w:color w:val="auto"/>
                <w:sz w:val="18"/>
                <w:szCs w:val="18"/>
                <w:highlight w:val="none"/>
              </w:rPr>
              <w:t>分。</w:t>
            </w:r>
          </w:p>
          <w:p>
            <w:pPr>
              <w:adjustRightInd w:val="0"/>
              <w:snapToGrid w:val="0"/>
              <w:spacing w:line="276" w:lineRule="auto"/>
              <w:rPr>
                <w:bCs/>
                <w:color w:val="auto"/>
                <w:sz w:val="18"/>
                <w:szCs w:val="18"/>
                <w:highlight w:val="none"/>
                <w:lang w:val="zh-CN"/>
              </w:rPr>
            </w:pPr>
            <w:r>
              <w:rPr>
                <w:rFonts w:hint="eastAsia"/>
                <w:bCs/>
                <w:color w:val="auto"/>
                <w:sz w:val="18"/>
                <w:szCs w:val="18"/>
                <w:highlight w:val="none"/>
              </w:rPr>
              <w:t>4）未制定安全、文明施工保证体系不健全或保证措施，得0分。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bCs/>
                <w:snapToGrid w:val="0"/>
                <w:color w:val="auto"/>
                <w:sz w:val="18"/>
                <w:szCs w:val="18"/>
                <w:highlight w:val="none"/>
              </w:rPr>
            </w:pPr>
            <w:r>
              <w:rPr>
                <w:rFonts w:hint="eastAsia"/>
                <w:bCs/>
                <w:snapToGrid w:val="0"/>
                <w:color w:val="auto"/>
                <w:sz w:val="18"/>
                <w:szCs w:val="18"/>
                <w:highlight w:val="none"/>
              </w:rPr>
              <w:t>2.4</w:t>
            </w:r>
          </w:p>
        </w:tc>
        <w:tc>
          <w:tcPr>
            <w:tcW w:w="946" w:type="dxa"/>
            <w:tcBorders>
              <w:top w:val="single" w:color="auto" w:sz="4" w:space="0"/>
              <w:left w:val="nil"/>
              <w:bottom w:val="single" w:color="auto" w:sz="4" w:space="0"/>
              <w:right w:val="single" w:color="auto" w:sz="4" w:space="0"/>
            </w:tcBorders>
            <w:vAlign w:val="center"/>
          </w:tcPr>
          <w:p>
            <w:pPr>
              <w:adjustRightInd w:val="0"/>
              <w:snapToGrid w:val="0"/>
              <w:jc w:val="center"/>
              <w:rPr>
                <w:b/>
                <w:color w:val="auto"/>
                <w:sz w:val="18"/>
                <w:szCs w:val="18"/>
                <w:highlight w:val="none"/>
              </w:rPr>
            </w:pPr>
            <w:r>
              <w:rPr>
                <w:rFonts w:hint="eastAsia"/>
                <w:color w:val="auto"/>
                <w:sz w:val="18"/>
                <w:szCs w:val="18"/>
                <w:highlight w:val="none"/>
              </w:rPr>
              <w:t>资源供应措施</w:t>
            </w:r>
          </w:p>
        </w:tc>
        <w:tc>
          <w:tcPr>
            <w:tcW w:w="56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bCs/>
                <w:snapToGrid w:val="0"/>
                <w:color w:val="auto"/>
                <w:sz w:val="18"/>
                <w:szCs w:val="18"/>
                <w:highlight w:val="none"/>
              </w:rPr>
            </w:pPr>
            <w:r>
              <w:rPr>
                <w:rFonts w:hint="eastAsia"/>
                <w:bCs/>
                <w:snapToGrid w:val="0"/>
                <w:color w:val="auto"/>
                <w:sz w:val="18"/>
                <w:szCs w:val="18"/>
                <w:highlight w:val="none"/>
              </w:rPr>
              <w:t>6分</w:t>
            </w:r>
          </w:p>
        </w:tc>
        <w:tc>
          <w:tcPr>
            <w:tcW w:w="12774" w:type="dxa"/>
            <w:tcBorders>
              <w:top w:val="single" w:color="auto" w:sz="4" w:space="0"/>
              <w:left w:val="nil"/>
              <w:bottom w:val="single" w:color="auto" w:sz="4" w:space="0"/>
              <w:right w:val="single" w:color="auto" w:sz="4" w:space="0"/>
            </w:tcBorders>
            <w:vAlign w:val="center"/>
          </w:tcPr>
          <w:p>
            <w:pPr>
              <w:snapToGrid w:val="0"/>
              <w:spacing w:line="276" w:lineRule="auto"/>
              <w:rPr>
                <w:rFonts w:hint="eastAsia" w:eastAsia="宋体"/>
                <w:color w:val="auto"/>
                <w:sz w:val="18"/>
                <w:szCs w:val="18"/>
                <w:highlight w:val="none"/>
                <w:lang w:eastAsia="zh-CN"/>
              </w:rPr>
            </w:pPr>
            <w:r>
              <w:rPr>
                <w:rFonts w:hint="eastAsia"/>
                <w:color w:val="auto"/>
                <w:sz w:val="18"/>
                <w:szCs w:val="18"/>
                <w:highlight w:val="none"/>
              </w:rPr>
              <w:t>1）有劳动力需求计划及保障措施、机械设备需求计划及保障措施、材料需求计划及保障措施，得6分</w:t>
            </w:r>
            <w:r>
              <w:rPr>
                <w:rFonts w:hint="eastAsia"/>
                <w:color w:val="auto"/>
                <w:sz w:val="18"/>
                <w:szCs w:val="18"/>
                <w:highlight w:val="none"/>
                <w:lang w:eastAsia="zh-CN"/>
              </w:rPr>
              <w:t>。</w:t>
            </w:r>
          </w:p>
          <w:p>
            <w:pPr>
              <w:snapToGrid w:val="0"/>
              <w:spacing w:line="276" w:lineRule="auto"/>
              <w:rPr>
                <w:rFonts w:hint="eastAsia" w:eastAsia="宋体"/>
                <w:color w:val="auto"/>
                <w:sz w:val="18"/>
                <w:szCs w:val="18"/>
                <w:highlight w:val="none"/>
                <w:lang w:eastAsia="zh-CN"/>
              </w:rPr>
            </w:pPr>
            <w:r>
              <w:rPr>
                <w:rFonts w:hint="eastAsia"/>
                <w:color w:val="auto"/>
                <w:sz w:val="18"/>
                <w:szCs w:val="18"/>
                <w:highlight w:val="none"/>
              </w:rPr>
              <w:t>2）有劳动力需求计划及保障措施/机械设备需求计划及保障措施/材料需求计划及保障措施当中两项，得</w:t>
            </w:r>
            <w:r>
              <w:rPr>
                <w:rFonts w:hint="eastAsia"/>
                <w:color w:val="auto"/>
                <w:sz w:val="18"/>
                <w:szCs w:val="18"/>
                <w:highlight w:val="none"/>
                <w:lang w:val="en-US" w:eastAsia="zh-CN"/>
              </w:rPr>
              <w:t>4</w:t>
            </w:r>
            <w:r>
              <w:rPr>
                <w:rFonts w:hint="eastAsia"/>
                <w:color w:val="auto"/>
                <w:sz w:val="18"/>
                <w:szCs w:val="18"/>
                <w:highlight w:val="none"/>
              </w:rPr>
              <w:t>分</w:t>
            </w:r>
            <w:r>
              <w:rPr>
                <w:rFonts w:hint="eastAsia"/>
                <w:color w:val="auto"/>
                <w:sz w:val="18"/>
                <w:szCs w:val="18"/>
                <w:highlight w:val="none"/>
                <w:lang w:eastAsia="zh-CN"/>
              </w:rPr>
              <w:t>。</w:t>
            </w:r>
          </w:p>
          <w:p>
            <w:pPr>
              <w:snapToGrid w:val="0"/>
              <w:spacing w:line="276" w:lineRule="auto"/>
              <w:rPr>
                <w:rFonts w:hint="eastAsia" w:eastAsia="宋体"/>
                <w:color w:val="auto"/>
                <w:sz w:val="18"/>
                <w:szCs w:val="18"/>
                <w:highlight w:val="none"/>
                <w:lang w:eastAsia="zh-CN"/>
              </w:rPr>
            </w:pPr>
            <w:r>
              <w:rPr>
                <w:rFonts w:hint="eastAsia"/>
                <w:color w:val="auto"/>
                <w:sz w:val="18"/>
                <w:szCs w:val="18"/>
                <w:highlight w:val="none"/>
              </w:rPr>
              <w:t>3）仅有劳动力需求计划及保障措施/机械设备需求计划及保障措施/材料需求计划及保障措施当中一项，得</w:t>
            </w:r>
            <w:r>
              <w:rPr>
                <w:rFonts w:hint="eastAsia"/>
                <w:color w:val="auto"/>
                <w:sz w:val="18"/>
                <w:szCs w:val="18"/>
                <w:highlight w:val="none"/>
                <w:lang w:val="en-US" w:eastAsia="zh-CN"/>
              </w:rPr>
              <w:t>2</w:t>
            </w:r>
            <w:r>
              <w:rPr>
                <w:rFonts w:hint="eastAsia"/>
                <w:color w:val="auto"/>
                <w:sz w:val="18"/>
                <w:szCs w:val="18"/>
                <w:highlight w:val="none"/>
              </w:rPr>
              <w:t>分</w:t>
            </w:r>
            <w:r>
              <w:rPr>
                <w:rFonts w:hint="eastAsia"/>
                <w:color w:val="auto"/>
                <w:sz w:val="18"/>
                <w:szCs w:val="18"/>
                <w:highlight w:val="none"/>
                <w:lang w:eastAsia="zh-CN"/>
              </w:rPr>
              <w:t>。</w:t>
            </w:r>
          </w:p>
          <w:p>
            <w:pPr>
              <w:adjustRightInd w:val="0"/>
              <w:snapToGrid w:val="0"/>
              <w:spacing w:line="276" w:lineRule="auto"/>
              <w:rPr>
                <w:bCs/>
                <w:color w:val="auto"/>
                <w:sz w:val="18"/>
                <w:szCs w:val="18"/>
                <w:highlight w:val="none"/>
              </w:rPr>
            </w:pPr>
            <w:r>
              <w:rPr>
                <w:rFonts w:hint="eastAsia"/>
                <w:color w:val="auto"/>
                <w:sz w:val="18"/>
                <w:szCs w:val="18"/>
                <w:highlight w:val="none"/>
              </w:rPr>
              <w:t>4）不满足上述要求的，不得分。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bCs/>
                <w:snapToGrid w:val="0"/>
                <w:color w:val="auto"/>
                <w:sz w:val="18"/>
                <w:szCs w:val="18"/>
                <w:highlight w:val="none"/>
              </w:rPr>
            </w:pPr>
            <w:r>
              <w:rPr>
                <w:rFonts w:hint="eastAsia"/>
                <w:bCs/>
                <w:snapToGrid w:val="0"/>
                <w:color w:val="auto"/>
                <w:sz w:val="18"/>
                <w:szCs w:val="18"/>
                <w:highlight w:val="none"/>
              </w:rPr>
              <w:t>2.5</w:t>
            </w:r>
          </w:p>
        </w:tc>
        <w:tc>
          <w:tcPr>
            <w:tcW w:w="946" w:type="dxa"/>
            <w:tcBorders>
              <w:top w:val="single" w:color="auto" w:sz="4" w:space="0"/>
              <w:left w:val="nil"/>
              <w:bottom w:val="single" w:color="auto" w:sz="4" w:space="0"/>
              <w:right w:val="single" w:color="auto" w:sz="4" w:space="0"/>
            </w:tcBorders>
            <w:vAlign w:val="center"/>
          </w:tcPr>
          <w:p>
            <w:pPr>
              <w:adjustRightInd w:val="0"/>
              <w:snapToGrid w:val="0"/>
              <w:jc w:val="center"/>
              <w:rPr>
                <w:b/>
                <w:color w:val="auto"/>
                <w:sz w:val="18"/>
                <w:szCs w:val="18"/>
                <w:highlight w:val="none"/>
              </w:rPr>
            </w:pPr>
            <w:r>
              <w:rPr>
                <w:rFonts w:hint="eastAsia"/>
                <w:color w:val="auto"/>
                <w:sz w:val="18"/>
                <w:szCs w:val="18"/>
                <w:highlight w:val="none"/>
              </w:rPr>
              <w:t>进度控制措施</w:t>
            </w:r>
          </w:p>
        </w:tc>
        <w:tc>
          <w:tcPr>
            <w:tcW w:w="56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bCs/>
                <w:snapToGrid w:val="0"/>
                <w:color w:val="auto"/>
                <w:sz w:val="18"/>
                <w:szCs w:val="18"/>
                <w:highlight w:val="none"/>
              </w:rPr>
            </w:pPr>
            <w:r>
              <w:rPr>
                <w:rFonts w:hint="eastAsia"/>
                <w:bCs/>
                <w:snapToGrid w:val="0"/>
                <w:color w:val="auto"/>
                <w:sz w:val="18"/>
                <w:szCs w:val="18"/>
                <w:highlight w:val="none"/>
              </w:rPr>
              <w:t>6分</w:t>
            </w:r>
          </w:p>
        </w:tc>
        <w:tc>
          <w:tcPr>
            <w:tcW w:w="1277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bCs/>
                <w:color w:val="auto"/>
                <w:sz w:val="18"/>
                <w:szCs w:val="18"/>
                <w:highlight w:val="none"/>
              </w:rPr>
            </w:pPr>
            <w:r>
              <w:rPr>
                <w:rFonts w:hint="eastAsia"/>
                <w:bCs/>
                <w:color w:val="auto"/>
                <w:sz w:val="18"/>
                <w:szCs w:val="18"/>
                <w:highlight w:val="none"/>
              </w:rPr>
              <w:t>1）制定有项目整体进度计划，有保证措施，</w:t>
            </w:r>
            <w:r>
              <w:rPr>
                <w:rFonts w:hint="eastAsia"/>
                <w:bCs/>
                <w:color w:val="auto"/>
                <w:sz w:val="18"/>
                <w:szCs w:val="18"/>
                <w:highlight w:val="none"/>
                <w:lang w:eastAsia="zh-CN"/>
              </w:rPr>
              <w:t>项目总</w:t>
            </w:r>
            <w:r>
              <w:rPr>
                <w:rFonts w:hint="eastAsia"/>
                <w:bCs/>
                <w:color w:val="auto"/>
                <w:sz w:val="18"/>
                <w:szCs w:val="18"/>
                <w:highlight w:val="none"/>
              </w:rPr>
              <w:t>工期计划目标对比招标文件要求提前1</w:t>
            </w:r>
            <w:r>
              <w:rPr>
                <w:rFonts w:hint="eastAsia"/>
                <w:bCs/>
                <w:color w:val="auto"/>
                <w:sz w:val="18"/>
                <w:szCs w:val="18"/>
                <w:highlight w:val="none"/>
                <w:lang w:val="en-US" w:eastAsia="zh-CN"/>
              </w:rPr>
              <w:t>5</w:t>
            </w:r>
            <w:r>
              <w:rPr>
                <w:rFonts w:hint="eastAsia"/>
                <w:bCs/>
                <w:color w:val="auto"/>
                <w:sz w:val="18"/>
                <w:szCs w:val="18"/>
                <w:highlight w:val="none"/>
              </w:rPr>
              <w:t>天或以上完工，得6分。</w:t>
            </w:r>
          </w:p>
          <w:p>
            <w:pPr>
              <w:adjustRightInd w:val="0"/>
              <w:snapToGrid w:val="0"/>
              <w:spacing w:line="276" w:lineRule="auto"/>
              <w:rPr>
                <w:bCs/>
                <w:color w:val="auto"/>
                <w:sz w:val="18"/>
                <w:szCs w:val="18"/>
                <w:highlight w:val="none"/>
              </w:rPr>
            </w:pPr>
            <w:r>
              <w:rPr>
                <w:rFonts w:hint="eastAsia"/>
                <w:bCs/>
                <w:color w:val="auto"/>
                <w:sz w:val="18"/>
                <w:szCs w:val="18"/>
                <w:highlight w:val="none"/>
              </w:rPr>
              <w:t>2）制定有项目整体进度计划，有保证措施，</w:t>
            </w:r>
            <w:r>
              <w:rPr>
                <w:rFonts w:hint="eastAsia"/>
                <w:bCs/>
                <w:color w:val="auto"/>
                <w:sz w:val="18"/>
                <w:szCs w:val="18"/>
                <w:highlight w:val="none"/>
                <w:lang w:eastAsia="zh-CN"/>
              </w:rPr>
              <w:t>项目总</w:t>
            </w:r>
            <w:r>
              <w:rPr>
                <w:rFonts w:hint="eastAsia"/>
                <w:bCs/>
                <w:color w:val="auto"/>
                <w:sz w:val="18"/>
                <w:szCs w:val="18"/>
                <w:highlight w:val="none"/>
              </w:rPr>
              <w:t>工期计划目标对比招标文件要求提前</w:t>
            </w:r>
            <w:r>
              <w:rPr>
                <w:rFonts w:hint="eastAsia"/>
                <w:bCs/>
                <w:color w:val="auto"/>
                <w:sz w:val="18"/>
                <w:szCs w:val="18"/>
                <w:highlight w:val="none"/>
                <w:lang w:val="en-US" w:eastAsia="zh-CN"/>
              </w:rPr>
              <w:t>10</w:t>
            </w:r>
            <w:r>
              <w:rPr>
                <w:rFonts w:hint="eastAsia"/>
                <w:bCs/>
                <w:color w:val="auto"/>
                <w:sz w:val="18"/>
                <w:szCs w:val="18"/>
                <w:highlight w:val="none"/>
              </w:rPr>
              <w:t>至</w:t>
            </w:r>
            <w:r>
              <w:rPr>
                <w:rFonts w:hint="eastAsia"/>
                <w:bCs/>
                <w:color w:val="auto"/>
                <w:sz w:val="18"/>
                <w:szCs w:val="18"/>
                <w:highlight w:val="none"/>
                <w:lang w:val="en-US" w:eastAsia="zh-CN"/>
              </w:rPr>
              <w:t>14</w:t>
            </w:r>
            <w:r>
              <w:rPr>
                <w:rFonts w:hint="eastAsia"/>
                <w:bCs/>
                <w:color w:val="auto"/>
                <w:sz w:val="18"/>
                <w:szCs w:val="18"/>
                <w:highlight w:val="none"/>
              </w:rPr>
              <w:t>天完工，得</w:t>
            </w:r>
            <w:r>
              <w:rPr>
                <w:rFonts w:hint="eastAsia"/>
                <w:bCs/>
                <w:color w:val="auto"/>
                <w:sz w:val="18"/>
                <w:szCs w:val="18"/>
                <w:highlight w:val="none"/>
                <w:lang w:val="en-US" w:eastAsia="zh-CN"/>
              </w:rPr>
              <w:t>4</w:t>
            </w:r>
            <w:r>
              <w:rPr>
                <w:rFonts w:hint="eastAsia"/>
                <w:bCs/>
                <w:color w:val="auto"/>
                <w:sz w:val="18"/>
                <w:szCs w:val="18"/>
                <w:highlight w:val="none"/>
              </w:rPr>
              <w:t>分。</w:t>
            </w:r>
          </w:p>
          <w:p>
            <w:pPr>
              <w:adjustRightInd w:val="0"/>
              <w:snapToGrid w:val="0"/>
              <w:spacing w:line="276" w:lineRule="auto"/>
              <w:rPr>
                <w:bCs/>
                <w:color w:val="auto"/>
                <w:sz w:val="18"/>
                <w:szCs w:val="18"/>
                <w:highlight w:val="none"/>
              </w:rPr>
            </w:pPr>
            <w:r>
              <w:rPr>
                <w:rFonts w:hint="eastAsia"/>
                <w:bCs/>
                <w:color w:val="auto"/>
                <w:sz w:val="18"/>
                <w:szCs w:val="18"/>
                <w:highlight w:val="none"/>
              </w:rPr>
              <w:t>3）制定有项目整体进度计划，有保证措施，</w:t>
            </w:r>
            <w:r>
              <w:rPr>
                <w:rFonts w:hint="eastAsia"/>
                <w:bCs/>
                <w:color w:val="auto"/>
                <w:sz w:val="18"/>
                <w:szCs w:val="18"/>
                <w:highlight w:val="none"/>
                <w:lang w:eastAsia="zh-CN"/>
              </w:rPr>
              <w:t>项目总</w:t>
            </w:r>
            <w:r>
              <w:rPr>
                <w:rFonts w:hint="eastAsia"/>
                <w:bCs/>
                <w:color w:val="auto"/>
                <w:sz w:val="18"/>
                <w:szCs w:val="18"/>
                <w:highlight w:val="none"/>
              </w:rPr>
              <w:t>工期符合招标文件要求，得</w:t>
            </w:r>
            <w:r>
              <w:rPr>
                <w:rFonts w:hint="eastAsia"/>
                <w:bCs/>
                <w:color w:val="auto"/>
                <w:sz w:val="18"/>
                <w:szCs w:val="18"/>
                <w:highlight w:val="none"/>
                <w:lang w:val="en-US" w:eastAsia="zh-CN"/>
              </w:rPr>
              <w:t>2</w:t>
            </w:r>
            <w:r>
              <w:rPr>
                <w:rFonts w:hint="eastAsia"/>
                <w:bCs/>
                <w:color w:val="auto"/>
                <w:sz w:val="18"/>
                <w:szCs w:val="18"/>
                <w:highlight w:val="none"/>
              </w:rPr>
              <w:t>分。</w:t>
            </w:r>
          </w:p>
          <w:p>
            <w:pPr>
              <w:adjustRightInd w:val="0"/>
              <w:snapToGrid w:val="0"/>
              <w:spacing w:line="276" w:lineRule="auto"/>
              <w:rPr>
                <w:bCs/>
                <w:color w:val="auto"/>
                <w:sz w:val="18"/>
                <w:szCs w:val="18"/>
                <w:highlight w:val="none"/>
                <w:lang w:val="zh-CN"/>
              </w:rPr>
            </w:pPr>
            <w:r>
              <w:rPr>
                <w:rFonts w:hint="eastAsia"/>
                <w:bCs/>
                <w:color w:val="auto"/>
                <w:sz w:val="18"/>
                <w:szCs w:val="18"/>
                <w:highlight w:val="none"/>
              </w:rPr>
              <w:t>4）未制定项目整体进度计划或无保证措施，得0分。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9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bCs/>
                <w:snapToGrid w:val="0"/>
                <w:color w:val="auto"/>
                <w:spacing w:val="-10"/>
                <w:sz w:val="18"/>
                <w:szCs w:val="18"/>
                <w:highlight w:val="none"/>
              </w:rPr>
            </w:pPr>
            <w:r>
              <w:rPr>
                <w:rFonts w:hint="eastAsia"/>
                <w:snapToGrid w:val="0"/>
                <w:color w:val="auto"/>
                <w:sz w:val="18"/>
                <w:szCs w:val="18"/>
                <w:highlight w:val="none"/>
              </w:rPr>
              <w:t>合计</w:t>
            </w:r>
          </w:p>
        </w:tc>
        <w:tc>
          <w:tcPr>
            <w:tcW w:w="946" w:type="dxa"/>
            <w:tcBorders>
              <w:top w:val="single" w:color="auto" w:sz="4" w:space="0"/>
              <w:left w:val="nil"/>
              <w:bottom w:val="single" w:color="auto" w:sz="4" w:space="0"/>
              <w:right w:val="single" w:color="auto" w:sz="4" w:space="0"/>
            </w:tcBorders>
            <w:vAlign w:val="center"/>
          </w:tcPr>
          <w:p>
            <w:pPr>
              <w:snapToGrid w:val="0"/>
              <w:jc w:val="center"/>
              <w:rPr>
                <w:color w:val="auto"/>
                <w:sz w:val="18"/>
                <w:szCs w:val="18"/>
                <w:highlight w:val="none"/>
              </w:rPr>
            </w:pPr>
          </w:p>
        </w:tc>
        <w:tc>
          <w:tcPr>
            <w:tcW w:w="560"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hint="eastAsia" w:eastAsia="宋体"/>
                <w:bCs/>
                <w:color w:val="auto"/>
                <w:sz w:val="18"/>
                <w:szCs w:val="18"/>
                <w:highlight w:val="none"/>
                <w:lang w:eastAsia="zh-CN"/>
              </w:rPr>
            </w:pPr>
            <w:r>
              <w:rPr>
                <w:rFonts w:hint="eastAsia"/>
                <w:snapToGrid w:val="0"/>
                <w:color w:val="auto"/>
                <w:sz w:val="18"/>
                <w:szCs w:val="18"/>
                <w:highlight w:val="none"/>
              </w:rPr>
              <w:t>100</w:t>
            </w:r>
            <w:r>
              <w:rPr>
                <w:rFonts w:hint="eastAsia"/>
                <w:snapToGrid w:val="0"/>
                <w:color w:val="auto"/>
                <w:sz w:val="18"/>
                <w:szCs w:val="18"/>
                <w:highlight w:val="none"/>
                <w:lang w:eastAsia="zh-CN"/>
              </w:rPr>
              <w:t>分</w:t>
            </w:r>
          </w:p>
        </w:tc>
        <w:tc>
          <w:tcPr>
            <w:tcW w:w="12774" w:type="dxa"/>
            <w:tcBorders>
              <w:top w:val="single" w:color="auto" w:sz="4" w:space="0"/>
              <w:left w:val="nil"/>
              <w:bottom w:val="single" w:color="auto" w:sz="4" w:space="0"/>
              <w:right w:val="single" w:color="auto" w:sz="4" w:space="0"/>
            </w:tcBorders>
          </w:tcPr>
          <w:p>
            <w:pPr>
              <w:adjustRightInd w:val="0"/>
              <w:snapToGrid w:val="0"/>
              <w:rPr>
                <w:bCs/>
                <w:color w:val="auto"/>
                <w:sz w:val="18"/>
                <w:szCs w:val="18"/>
                <w:highlight w:val="none"/>
                <w:lang w:val="zh-CN"/>
              </w:rPr>
            </w:pPr>
          </w:p>
        </w:tc>
      </w:tr>
    </w:tbl>
    <w:p>
      <w:pPr>
        <w:snapToGrid w:val="0"/>
        <w:spacing w:line="360" w:lineRule="auto"/>
        <w:rPr>
          <w:color w:val="auto"/>
          <w:szCs w:val="21"/>
          <w:highlight w:val="none"/>
        </w:rPr>
      </w:pPr>
      <w:r>
        <w:rPr>
          <w:rFonts w:hint="eastAsia"/>
          <w:color w:val="auto"/>
          <w:szCs w:val="21"/>
          <w:highlight w:val="none"/>
        </w:rPr>
        <w:t>注：1、投标人如果同时满足多个评分档次的，按所满足的最高档得分。</w:t>
      </w:r>
    </w:p>
    <w:p>
      <w:pPr>
        <w:snapToGrid w:val="0"/>
        <w:spacing w:line="360" w:lineRule="auto"/>
        <w:ind w:firstLine="420" w:firstLineChars="200"/>
        <w:rPr>
          <w:color w:val="auto"/>
          <w:szCs w:val="21"/>
          <w:highlight w:val="none"/>
        </w:rPr>
      </w:pPr>
      <w:r>
        <w:rPr>
          <w:rFonts w:hint="eastAsia"/>
          <w:color w:val="auto"/>
          <w:szCs w:val="21"/>
          <w:highlight w:val="none"/>
        </w:rPr>
        <w:t>2、投标人的</w:t>
      </w:r>
      <w:r>
        <w:rPr>
          <w:rFonts w:hint="eastAsia"/>
          <w:color w:val="auto"/>
          <w:szCs w:val="21"/>
          <w:highlight w:val="none"/>
          <w:lang w:eastAsia="zh-CN"/>
        </w:rPr>
        <w:t>勘察、设计、工程商务及实施方案</w:t>
      </w:r>
      <w:r>
        <w:rPr>
          <w:rFonts w:hint="eastAsia"/>
          <w:color w:val="auto"/>
          <w:szCs w:val="21"/>
          <w:highlight w:val="none"/>
        </w:rPr>
        <w:t>得分为各评委评分的算术平均值（若分数出现小数点时，保留小数点后二位，第三位小数四舍五入）。</w:t>
      </w:r>
    </w:p>
    <w:p>
      <w:pPr>
        <w:snapToGrid w:val="0"/>
        <w:spacing w:line="360" w:lineRule="auto"/>
        <w:ind w:firstLine="420" w:firstLineChars="200"/>
        <w:rPr>
          <w:color w:val="auto"/>
          <w:szCs w:val="21"/>
          <w:highlight w:val="none"/>
        </w:rPr>
      </w:pPr>
      <w:r>
        <w:rPr>
          <w:rFonts w:hint="eastAsia"/>
          <w:color w:val="auto"/>
          <w:szCs w:val="21"/>
          <w:highlight w:val="none"/>
        </w:rPr>
        <w:t>3、投标人提供的信息网页截图或证明材料扫描件内容必须清晰可辨，如因信息网页截图或证明材料扫描件内容模糊导致评标时无法判断的，后果由投标人自负。</w:t>
      </w:r>
    </w:p>
    <w:p>
      <w:pPr>
        <w:rPr>
          <w:color w:val="auto"/>
          <w:highlight w:val="none"/>
        </w:rPr>
      </w:pPr>
      <w:r>
        <w:rPr>
          <w:rFonts w:hint="eastAsia"/>
          <w:color w:val="auto"/>
          <w:szCs w:val="21"/>
          <w:highlight w:val="none"/>
        </w:rPr>
        <w:t>评委签名：                              日期：</w:t>
      </w:r>
    </w:p>
    <w:p>
      <w:pPr>
        <w:rPr>
          <w:color w:val="auto"/>
          <w:highlight w:val="none"/>
        </w:rPr>
      </w:pPr>
    </w:p>
    <w:p>
      <w:pPr>
        <w:spacing w:line="360" w:lineRule="auto"/>
        <w:jc w:val="left"/>
        <w:rPr>
          <w:rFonts w:ascii="宋体" w:hAnsi="宋体" w:cs="宋体"/>
          <w:b/>
          <w:color w:val="auto"/>
          <w:kern w:val="1"/>
          <w:sz w:val="24"/>
          <w:szCs w:val="24"/>
          <w:highlight w:val="none"/>
        </w:rPr>
      </w:pPr>
      <w:r>
        <w:rPr>
          <w:rFonts w:hint="eastAsia" w:ascii="宋体" w:hAnsi="宋体" w:cs="宋体"/>
          <w:b/>
          <w:color w:val="auto"/>
          <w:kern w:val="1"/>
          <w:sz w:val="24"/>
          <w:szCs w:val="24"/>
          <w:highlight w:val="none"/>
        </w:rPr>
        <w:t xml:space="preserve">              </w:t>
      </w:r>
    </w:p>
    <w:bookmarkEnd w:id="382"/>
    <w:bookmarkEnd w:id="383"/>
    <w:bookmarkEnd w:id="384"/>
    <w:p>
      <w:pPr>
        <w:rPr>
          <w:rFonts w:hint="eastAsia" w:ascii="宋体" w:hAnsi="宋体" w:cs="宋体"/>
          <w:b/>
          <w:color w:val="auto"/>
          <w:kern w:val="1"/>
          <w:sz w:val="24"/>
          <w:highlight w:val="none"/>
        </w:rPr>
        <w:sectPr>
          <w:headerReference r:id="rId13" w:type="default"/>
          <w:footerReference r:id="rId14" w:type="default"/>
          <w:pgSz w:w="16840" w:h="11907" w:orient="landscape"/>
          <w:pgMar w:top="1304" w:right="1361" w:bottom="1304" w:left="1304" w:header="851" w:footer="720" w:gutter="0"/>
          <w:cols w:space="720" w:num="1"/>
        </w:sectPr>
      </w:pPr>
    </w:p>
    <w:p>
      <w:pPr>
        <w:rPr>
          <w:rFonts w:ascii="宋体" w:hAnsi="宋体" w:cs="宋体"/>
          <w:b/>
          <w:color w:val="auto"/>
          <w:kern w:val="1"/>
          <w:sz w:val="24"/>
          <w:highlight w:val="none"/>
        </w:rPr>
      </w:pPr>
      <w:r>
        <w:rPr>
          <w:rFonts w:hint="eastAsia" w:ascii="宋体" w:hAnsi="宋体" w:cs="宋体"/>
          <w:b/>
          <w:color w:val="auto"/>
          <w:kern w:val="1"/>
          <w:sz w:val="24"/>
          <w:highlight w:val="none"/>
        </w:rPr>
        <w:t>附表4</w:t>
      </w:r>
    </w:p>
    <w:p>
      <w:pPr>
        <w:spacing w:before="120" w:line="360" w:lineRule="auto"/>
        <w:jc w:val="center"/>
        <w:rPr>
          <w:rFonts w:ascii="宋体" w:hAnsi="宋体" w:cs="宋体"/>
          <w:b/>
          <w:color w:val="auto"/>
          <w:kern w:val="1"/>
          <w:sz w:val="28"/>
          <w:szCs w:val="28"/>
          <w:highlight w:val="none"/>
        </w:rPr>
      </w:pPr>
      <w:r>
        <w:rPr>
          <w:rFonts w:hint="eastAsia" w:ascii="宋体" w:hAnsi="宋体" w:cs="宋体"/>
          <w:b/>
          <w:color w:val="auto"/>
          <w:kern w:val="1"/>
          <w:sz w:val="28"/>
          <w:szCs w:val="28"/>
          <w:highlight w:val="none"/>
        </w:rPr>
        <w:t>施工</w:t>
      </w:r>
      <w:bookmarkStart w:id="385" w:name="_Hlk69827077"/>
      <w:r>
        <w:rPr>
          <w:rFonts w:hint="eastAsia" w:ascii="宋体" w:hAnsi="宋体" w:cs="宋体"/>
          <w:b/>
          <w:color w:val="auto"/>
          <w:kern w:val="1"/>
          <w:sz w:val="28"/>
          <w:szCs w:val="28"/>
          <w:highlight w:val="none"/>
        </w:rPr>
        <w:t>费</w:t>
      </w:r>
      <w:bookmarkEnd w:id="385"/>
      <w:r>
        <w:rPr>
          <w:rFonts w:hint="eastAsia" w:ascii="宋体" w:hAnsi="宋体" w:cs="宋体"/>
          <w:b/>
          <w:color w:val="auto"/>
          <w:kern w:val="1"/>
          <w:sz w:val="28"/>
          <w:szCs w:val="28"/>
          <w:highlight w:val="none"/>
        </w:rPr>
        <w:t>投标报价评分表</w:t>
      </w:r>
    </w:p>
    <w:p>
      <w:pPr>
        <w:spacing w:line="360" w:lineRule="auto"/>
        <w:jc w:val="left"/>
        <w:rPr>
          <w:rFonts w:ascii="宋体" w:hAnsi="宋体" w:cs="宋体"/>
          <w:color w:val="auto"/>
          <w:kern w:val="1"/>
          <w:highlight w:val="none"/>
        </w:rPr>
      </w:pPr>
      <w:r>
        <w:rPr>
          <w:rFonts w:hint="eastAsia" w:ascii="宋体" w:hAnsi="宋体" w:cs="宋体"/>
          <w:color w:val="auto"/>
          <w:kern w:val="1"/>
          <w:highlight w:val="none"/>
        </w:rPr>
        <w:t>工程名称：</w:t>
      </w:r>
    </w:p>
    <w:tbl>
      <w:tblPr>
        <w:tblStyle w:val="35"/>
        <w:tblW w:w="9370" w:type="dxa"/>
        <w:tblInd w:w="0" w:type="dxa"/>
        <w:tblLayout w:type="fixed"/>
        <w:tblCellMar>
          <w:top w:w="0" w:type="dxa"/>
          <w:left w:w="108" w:type="dxa"/>
          <w:bottom w:w="0" w:type="dxa"/>
          <w:right w:w="108" w:type="dxa"/>
        </w:tblCellMar>
      </w:tblPr>
      <w:tblGrid>
        <w:gridCol w:w="3205"/>
        <w:gridCol w:w="1233"/>
        <w:gridCol w:w="1233"/>
        <w:gridCol w:w="1233"/>
        <w:gridCol w:w="1233"/>
        <w:gridCol w:w="1233"/>
      </w:tblGrid>
      <w:tr>
        <w:tblPrEx>
          <w:tblCellMar>
            <w:top w:w="0" w:type="dxa"/>
            <w:left w:w="108" w:type="dxa"/>
            <w:bottom w:w="0" w:type="dxa"/>
            <w:right w:w="108" w:type="dxa"/>
          </w:tblCellMar>
        </w:tblPrEx>
        <w:trPr>
          <w:trHeight w:val="1158"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jc w:val="center"/>
              <w:rPr>
                <w:rFonts w:ascii="宋体" w:hAnsi="宋体" w:cs="宋体"/>
                <w:color w:val="auto"/>
                <w:kern w:val="1"/>
                <w:sz w:val="24"/>
                <w:highlight w:val="none"/>
              </w:rPr>
            </w:pPr>
            <w:r>
              <w:rPr>
                <w:rFonts w:hint="eastAsia" w:ascii="宋体" w:hAnsi="宋体" w:cs="宋体"/>
                <w:color w:val="auto"/>
                <w:kern w:val="1"/>
                <w:sz w:val="24"/>
                <w:highlight w:val="none"/>
              </w:rPr>
              <w:t>投标人名称</w:t>
            </w: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r>
      <w:tr>
        <w:tblPrEx>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施工费投标报价PT（元）</w:t>
            </w: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r>
      <w:tr>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计算参考数据</w:t>
            </w:r>
          </w:p>
        </w:tc>
        <w:tc>
          <w:tcPr>
            <w:tcW w:w="6165" w:type="dxa"/>
            <w:gridSpan w:val="5"/>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jc w:val="left"/>
              <w:rPr>
                <w:rFonts w:ascii="宋体" w:hAnsi="宋体" w:cs="宋体"/>
                <w:color w:val="auto"/>
                <w:kern w:val="1"/>
                <w:sz w:val="24"/>
                <w:highlight w:val="none"/>
              </w:rPr>
            </w:pPr>
            <w:r>
              <w:rPr>
                <w:rFonts w:hint="eastAsia" w:ascii="宋体" w:hAnsi="宋体" w:cs="宋体"/>
                <w:color w:val="auto"/>
                <w:kern w:val="1"/>
                <w:sz w:val="24"/>
                <w:highlight w:val="none"/>
              </w:rPr>
              <w:t>评标基准价（PC）：</w:t>
            </w:r>
          </w:p>
        </w:tc>
      </w:tr>
      <w:tr>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rPr>
                <w:rFonts w:ascii="宋体" w:hAnsi="宋体" w:cs="宋体"/>
                <w:color w:val="auto"/>
                <w:spacing w:val="-10"/>
                <w:kern w:val="1"/>
                <w:sz w:val="24"/>
                <w:highlight w:val="none"/>
              </w:rPr>
            </w:pPr>
            <w:r>
              <w:rPr>
                <w:rFonts w:hint="eastAsia" w:ascii="宋体" w:hAnsi="宋体" w:cs="宋体"/>
                <w:color w:val="auto"/>
                <w:spacing w:val="-10"/>
                <w:kern w:val="1"/>
                <w:sz w:val="24"/>
                <w:highlight w:val="none"/>
              </w:rPr>
              <w:t>偏差（（PT-PC）/PC）（%）</w:t>
            </w: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r>
      <w:tr>
        <w:tblPrEx>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减分（A）</w:t>
            </w: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r>
      <w:tr>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经济得分(I=100-A)</w:t>
            </w: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r>
      <w:tr>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最终经济得分</w:t>
            </w: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auto"/>
                <w:kern w:val="1"/>
                <w:sz w:val="24"/>
                <w:highlight w:val="none"/>
              </w:rPr>
            </w:pPr>
          </w:p>
        </w:tc>
      </w:tr>
    </w:tbl>
    <w:p>
      <w:pPr>
        <w:spacing w:line="360" w:lineRule="auto"/>
        <w:ind w:firstLine="210" w:firstLineChars="100"/>
        <w:rPr>
          <w:rFonts w:ascii="宋体" w:hAnsi="宋体" w:cs="宋体"/>
          <w:color w:val="auto"/>
          <w:kern w:val="1"/>
          <w:szCs w:val="21"/>
          <w:highlight w:val="none"/>
        </w:rPr>
        <w:sectPr>
          <w:pgSz w:w="11907" w:h="16840"/>
          <w:pgMar w:top="1361" w:right="1304" w:bottom="1304" w:left="1304" w:header="851" w:footer="720" w:gutter="0"/>
          <w:cols w:space="720" w:num="1"/>
        </w:sectPr>
      </w:pPr>
      <w:r>
        <w:rPr>
          <w:rFonts w:hint="eastAsia" w:ascii="宋体" w:hAnsi="宋体" w:cs="宋体"/>
          <w:color w:val="auto"/>
          <w:kern w:val="1"/>
          <w:szCs w:val="21"/>
          <w:highlight w:val="none"/>
        </w:rPr>
        <w:t>评委签名：                  日期：</w:t>
      </w:r>
    </w:p>
    <w:p>
      <w:pPr>
        <w:spacing w:line="360" w:lineRule="auto"/>
        <w:rPr>
          <w:rFonts w:ascii="宋体" w:hAnsi="宋体" w:cs="宋体"/>
          <w:b/>
          <w:color w:val="auto"/>
          <w:kern w:val="1"/>
          <w:sz w:val="24"/>
          <w:highlight w:val="none"/>
        </w:rPr>
      </w:pPr>
      <w:r>
        <w:rPr>
          <w:rFonts w:hint="eastAsia" w:ascii="宋体" w:hAnsi="宋体" w:cs="宋体"/>
          <w:b/>
          <w:color w:val="auto"/>
          <w:kern w:val="1"/>
          <w:sz w:val="24"/>
          <w:highlight w:val="none"/>
        </w:rPr>
        <w:t>附表5</w:t>
      </w:r>
    </w:p>
    <w:p>
      <w:pPr>
        <w:spacing w:before="120" w:line="360" w:lineRule="auto"/>
        <w:jc w:val="center"/>
        <w:rPr>
          <w:rFonts w:ascii="宋体" w:hAnsi="宋体" w:cs="宋体"/>
          <w:b/>
          <w:color w:val="auto"/>
          <w:kern w:val="1"/>
          <w:sz w:val="28"/>
          <w:szCs w:val="28"/>
          <w:highlight w:val="none"/>
        </w:rPr>
      </w:pPr>
      <w:bookmarkStart w:id="386" w:name="_Hlk69827118"/>
      <w:r>
        <w:rPr>
          <w:rFonts w:hint="eastAsia" w:ascii="宋体" w:hAnsi="宋体" w:cs="宋体"/>
          <w:b/>
          <w:color w:val="auto"/>
          <w:kern w:val="1"/>
          <w:sz w:val="28"/>
          <w:szCs w:val="28"/>
          <w:highlight w:val="none"/>
        </w:rPr>
        <w:t>施工费投标报价</w:t>
      </w:r>
      <w:bookmarkEnd w:id="386"/>
      <w:r>
        <w:rPr>
          <w:rFonts w:hint="eastAsia" w:ascii="宋体" w:hAnsi="宋体" w:cs="宋体"/>
          <w:b/>
          <w:color w:val="auto"/>
          <w:kern w:val="1"/>
          <w:sz w:val="28"/>
          <w:szCs w:val="28"/>
          <w:highlight w:val="none"/>
        </w:rPr>
        <w:t>算术复核表</w:t>
      </w:r>
    </w:p>
    <w:p>
      <w:pPr>
        <w:spacing w:line="360" w:lineRule="auto"/>
        <w:ind w:firstLine="420" w:firstLineChars="200"/>
        <w:jc w:val="left"/>
        <w:rPr>
          <w:rFonts w:ascii="宋体" w:hAnsi="宋体" w:cs="宋体"/>
          <w:color w:val="auto"/>
          <w:kern w:val="1"/>
          <w:highlight w:val="none"/>
        </w:rPr>
      </w:pPr>
      <w:r>
        <w:rPr>
          <w:rFonts w:hint="eastAsia" w:ascii="宋体" w:hAnsi="宋体" w:cs="宋体"/>
          <w:color w:val="auto"/>
          <w:kern w:val="1"/>
          <w:highlight w:val="none"/>
        </w:rPr>
        <w:t>项目名称：</w:t>
      </w:r>
    </w:p>
    <w:tbl>
      <w:tblPr>
        <w:tblStyle w:val="35"/>
        <w:tblW w:w="14004" w:type="dxa"/>
        <w:tblInd w:w="288" w:type="dxa"/>
        <w:tblLayout w:type="fixed"/>
        <w:tblCellMar>
          <w:top w:w="0" w:type="dxa"/>
          <w:left w:w="108" w:type="dxa"/>
          <w:bottom w:w="0" w:type="dxa"/>
          <w:right w:w="108" w:type="dxa"/>
        </w:tblCellMar>
      </w:tblPr>
      <w:tblGrid>
        <w:gridCol w:w="888"/>
        <w:gridCol w:w="4440"/>
        <w:gridCol w:w="3060"/>
        <w:gridCol w:w="3240"/>
        <w:gridCol w:w="2376"/>
      </w:tblGrid>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序号</w:t>
            </w:r>
          </w:p>
        </w:tc>
        <w:tc>
          <w:tcPr>
            <w:tcW w:w="444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投标人名称</w:t>
            </w: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原施工费投标报价（A）</w:t>
            </w:r>
          </w:p>
        </w:tc>
        <w:tc>
          <w:tcPr>
            <w:tcW w:w="324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算术复核后的施工费投标报价（B）</w:t>
            </w: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误差率（r=|A-B|/A×100%）</w:t>
            </w: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szCs w:val="24"/>
                <w:highlight w:val="none"/>
              </w:rPr>
            </w:pPr>
          </w:p>
        </w:tc>
      </w:tr>
    </w:tbl>
    <w:p>
      <w:pPr>
        <w:spacing w:line="360" w:lineRule="auto"/>
        <w:rPr>
          <w:rFonts w:ascii="宋体" w:hAnsi="宋体" w:cs="宋体"/>
          <w:b/>
          <w:color w:val="auto"/>
          <w:kern w:val="1"/>
          <w:sz w:val="24"/>
          <w:szCs w:val="24"/>
          <w:highlight w:val="none"/>
        </w:rPr>
      </w:pPr>
    </w:p>
    <w:p>
      <w:pPr>
        <w:spacing w:line="360" w:lineRule="auto"/>
        <w:rPr>
          <w:rFonts w:ascii="宋体" w:hAnsi="宋体" w:cs="宋体"/>
          <w:color w:val="auto"/>
          <w:kern w:val="1"/>
          <w:szCs w:val="21"/>
          <w:highlight w:val="none"/>
        </w:rPr>
        <w:sectPr>
          <w:headerReference r:id="rId15" w:type="default"/>
          <w:footerReference r:id="rId16" w:type="default"/>
          <w:pgSz w:w="16840" w:h="11907" w:orient="landscape"/>
          <w:pgMar w:top="1304" w:right="1361" w:bottom="1304" w:left="1304" w:header="851" w:footer="720" w:gutter="0"/>
          <w:cols w:space="720" w:num="1"/>
        </w:sectPr>
      </w:pPr>
      <w:r>
        <w:rPr>
          <w:rFonts w:hint="eastAsia" w:ascii="宋体" w:hAnsi="宋体" w:cs="宋体"/>
          <w:color w:val="auto"/>
          <w:kern w:val="1"/>
          <w:sz w:val="24"/>
          <w:szCs w:val="24"/>
          <w:highlight w:val="none"/>
        </w:rPr>
        <w:t xml:space="preserve">评委签名：                                                 </w:t>
      </w:r>
      <w:r>
        <w:rPr>
          <w:rFonts w:hint="eastAsia" w:ascii="宋体" w:hAnsi="宋体" w:cs="宋体"/>
          <w:color w:val="auto"/>
          <w:kern w:val="1"/>
          <w:sz w:val="24"/>
          <w:highlight w:val="none"/>
        </w:rPr>
        <w:t>日期：</w:t>
      </w:r>
    </w:p>
    <w:p>
      <w:pPr>
        <w:pStyle w:val="4"/>
        <w:spacing w:line="360" w:lineRule="auto"/>
        <w:jc w:val="both"/>
        <w:rPr>
          <w:rFonts w:ascii="宋体" w:hAnsi="宋体" w:cs="宋体"/>
          <w:color w:val="auto"/>
          <w:kern w:val="1"/>
          <w:highlight w:val="none"/>
        </w:rPr>
      </w:pPr>
      <w:bookmarkStart w:id="387" w:name="_Toc25769"/>
      <w:bookmarkEnd w:id="387"/>
      <w:bookmarkStart w:id="388" w:name="_Toc5620359"/>
      <w:bookmarkStart w:id="389" w:name="_Toc16039"/>
    </w:p>
    <w:p>
      <w:pPr>
        <w:pStyle w:val="4"/>
        <w:numPr>
          <w:ilvl w:val="0"/>
          <w:numId w:val="4"/>
        </w:numPr>
        <w:spacing w:line="360" w:lineRule="auto"/>
        <w:jc w:val="center"/>
        <w:rPr>
          <w:rFonts w:ascii="宋体" w:hAnsi="宋体" w:cs="宋体"/>
          <w:color w:val="auto"/>
          <w:kern w:val="1"/>
          <w:highlight w:val="none"/>
        </w:rPr>
      </w:pPr>
      <w:r>
        <w:rPr>
          <w:rFonts w:hint="eastAsia" w:ascii="宋体" w:hAnsi="宋体" w:cs="宋体"/>
          <w:color w:val="auto"/>
          <w:kern w:val="1"/>
          <w:highlight w:val="none"/>
        </w:rPr>
        <w:t>合同条款及格式</w:t>
      </w:r>
      <w:bookmarkEnd w:id="388"/>
      <w:bookmarkEnd w:id="389"/>
    </w:p>
    <w:p>
      <w:pPr>
        <w:pStyle w:val="4"/>
        <w:numPr>
          <w:ilvl w:val="255"/>
          <w:numId w:val="0"/>
        </w:numPr>
        <w:spacing w:line="360" w:lineRule="auto"/>
        <w:ind w:firstLine="643" w:firstLineChars="200"/>
        <w:jc w:val="center"/>
        <w:rPr>
          <w:rFonts w:ascii="宋体" w:hAnsi="宋体" w:cs="宋体"/>
          <w:color w:val="auto"/>
          <w:kern w:val="1"/>
          <w:highlight w:val="none"/>
        </w:rPr>
      </w:pPr>
      <w:r>
        <w:rPr>
          <w:rFonts w:hint="eastAsia" w:ascii="宋体" w:hAnsi="宋体" w:cs="宋体"/>
          <w:color w:val="auto"/>
          <w:kern w:val="1"/>
          <w:sz w:val="32"/>
          <w:szCs w:val="32"/>
          <w:highlight w:val="none"/>
        </w:rPr>
        <w:t>（</w:t>
      </w:r>
      <w:r>
        <w:rPr>
          <w:rFonts w:hint="eastAsia" w:ascii="宋体" w:hAnsi="宋体" w:cs="宋体"/>
          <w:color w:val="auto"/>
          <w:kern w:val="1"/>
          <w:sz w:val="32"/>
          <w:szCs w:val="32"/>
          <w:highlight w:val="none"/>
          <w:lang w:eastAsia="zh-CN"/>
        </w:rPr>
        <w:t>另附</w:t>
      </w:r>
      <w:r>
        <w:rPr>
          <w:rFonts w:hint="eastAsia" w:ascii="宋体" w:hAnsi="宋体" w:cs="宋体"/>
          <w:color w:val="auto"/>
          <w:kern w:val="1"/>
          <w:sz w:val="32"/>
          <w:szCs w:val="32"/>
          <w:highlight w:val="none"/>
        </w:rPr>
        <w:t>）</w:t>
      </w:r>
    </w:p>
    <w:p>
      <w:pPr>
        <w:rPr>
          <w:color w:val="auto"/>
          <w:highlight w:val="none"/>
        </w:rPr>
      </w:pPr>
    </w:p>
    <w:p>
      <w:pPr>
        <w:tabs>
          <w:tab w:val="left" w:pos="5700"/>
          <w:tab w:val="right" w:pos="10245"/>
        </w:tabs>
        <w:wordWrap w:val="0"/>
        <w:spacing w:line="360" w:lineRule="auto"/>
        <w:ind w:firstLine="4096" w:firstLineChars="1700"/>
        <w:jc w:val="left"/>
        <w:rPr>
          <w:rFonts w:ascii="宋体" w:hAnsi="宋体" w:cs="宋体"/>
          <w:b/>
          <w:color w:val="auto"/>
          <w:kern w:val="1"/>
          <w:sz w:val="24"/>
          <w:highlight w:val="none"/>
        </w:rPr>
      </w:pPr>
      <w:r>
        <w:rPr>
          <w:rFonts w:hint="eastAsia" w:ascii="宋体" w:hAnsi="宋体" w:cs="宋体"/>
          <w:b/>
          <w:color w:val="auto"/>
          <w:kern w:val="1"/>
          <w:sz w:val="24"/>
          <w:highlight w:val="none"/>
        </w:rPr>
        <w:t xml:space="preserve"> </w:t>
      </w:r>
    </w:p>
    <w:p>
      <w:pPr>
        <w:jc w:val="left"/>
        <w:rPr>
          <w:rFonts w:ascii="宋体" w:hAnsi="宋体" w:cs="宋体"/>
          <w:b/>
          <w:color w:val="auto"/>
          <w:kern w:val="1"/>
          <w:sz w:val="24"/>
          <w:highlight w:val="none"/>
        </w:rPr>
      </w:pPr>
      <w:r>
        <w:rPr>
          <w:rFonts w:hint="eastAsia" w:ascii="宋体" w:hAnsi="宋体" w:cs="宋体"/>
          <w:b/>
          <w:color w:val="auto"/>
          <w:kern w:val="1"/>
          <w:sz w:val="24"/>
          <w:highlight w:val="none"/>
        </w:rPr>
        <w:br w:type="page"/>
      </w:r>
    </w:p>
    <w:p>
      <w:pPr>
        <w:adjustRightInd w:val="0"/>
        <w:snapToGrid w:val="0"/>
        <w:spacing w:line="360" w:lineRule="auto"/>
        <w:ind w:firstLine="480" w:firstLineChars="200"/>
        <w:rPr>
          <w:rFonts w:ascii="宋体" w:hAnsi="宋体"/>
          <w:color w:val="auto"/>
          <w:sz w:val="24"/>
          <w:szCs w:val="24"/>
          <w:highlight w:val="none"/>
        </w:rPr>
      </w:pPr>
    </w:p>
    <w:p>
      <w:pPr>
        <w:pStyle w:val="4"/>
        <w:spacing w:line="360" w:lineRule="auto"/>
        <w:jc w:val="center"/>
        <w:rPr>
          <w:color w:val="auto"/>
          <w:highlight w:val="none"/>
        </w:rPr>
      </w:pPr>
      <w:bookmarkStart w:id="390" w:name="_Toc16641"/>
      <w:r>
        <w:rPr>
          <w:rFonts w:hint="eastAsia"/>
          <w:color w:val="auto"/>
          <w:highlight w:val="none"/>
        </w:rPr>
        <w:t>第五章 招标人要求</w:t>
      </w:r>
      <w:bookmarkEnd w:id="390"/>
    </w:p>
    <w:p>
      <w:pPr>
        <w:pStyle w:val="4"/>
        <w:numPr>
          <w:ilvl w:val="255"/>
          <w:numId w:val="0"/>
        </w:numPr>
        <w:spacing w:line="360" w:lineRule="auto"/>
        <w:ind w:firstLine="643" w:firstLineChars="200"/>
        <w:jc w:val="center"/>
        <w:rPr>
          <w:rFonts w:ascii="宋体" w:hAnsi="宋体" w:cs="宋体"/>
          <w:color w:val="auto"/>
          <w:kern w:val="1"/>
          <w:highlight w:val="none"/>
        </w:rPr>
      </w:pPr>
      <w:r>
        <w:rPr>
          <w:rFonts w:hint="eastAsia" w:ascii="宋体" w:hAnsi="宋体" w:cs="宋体"/>
          <w:color w:val="auto"/>
          <w:kern w:val="1"/>
          <w:sz w:val="32"/>
          <w:szCs w:val="32"/>
          <w:highlight w:val="none"/>
        </w:rPr>
        <w:t>（</w:t>
      </w:r>
      <w:r>
        <w:rPr>
          <w:rFonts w:hint="eastAsia" w:ascii="宋体" w:hAnsi="宋体" w:cs="宋体"/>
          <w:color w:val="auto"/>
          <w:kern w:val="1"/>
          <w:sz w:val="32"/>
          <w:szCs w:val="32"/>
          <w:highlight w:val="none"/>
          <w:lang w:eastAsia="zh-CN"/>
        </w:rPr>
        <w:t>另附</w:t>
      </w:r>
      <w:r>
        <w:rPr>
          <w:rFonts w:hint="eastAsia" w:ascii="宋体" w:hAnsi="宋体" w:cs="宋体"/>
          <w:color w:val="auto"/>
          <w:kern w:val="1"/>
          <w:sz w:val="32"/>
          <w:szCs w:val="32"/>
          <w:highlight w:val="none"/>
        </w:rPr>
        <w:t>）</w:t>
      </w:r>
    </w:p>
    <w:p>
      <w:pPr>
        <w:pStyle w:val="40"/>
        <w:rPr>
          <w:rFonts w:hint="default"/>
          <w:color w:val="auto"/>
          <w:highlight w:val="none"/>
        </w:rPr>
      </w:pPr>
    </w:p>
    <w:p>
      <w:pPr>
        <w:pStyle w:val="18"/>
        <w:spacing w:line="360" w:lineRule="auto"/>
        <w:jc w:val="center"/>
        <w:rPr>
          <w:b/>
          <w:bCs/>
          <w:color w:val="auto"/>
          <w:sz w:val="44"/>
          <w:szCs w:val="44"/>
          <w:highlight w:val="none"/>
        </w:rPr>
        <w:sectPr>
          <w:footerReference r:id="rId17" w:type="default"/>
          <w:pgSz w:w="11907" w:h="16840"/>
          <w:pgMar w:top="1361" w:right="1304" w:bottom="1304" w:left="1304" w:header="851" w:footer="992" w:gutter="0"/>
          <w:cols w:space="425" w:num="1"/>
          <w:docGrid w:linePitch="312" w:charSpace="0"/>
        </w:sectPr>
      </w:pPr>
      <w:r>
        <w:rPr>
          <w:color w:val="auto"/>
          <w:highlight w:val="none"/>
        </w:rPr>
        <w:br w:type="page"/>
      </w:r>
    </w:p>
    <w:p>
      <w:pPr>
        <w:pStyle w:val="4"/>
        <w:spacing w:line="360" w:lineRule="auto"/>
        <w:jc w:val="center"/>
        <w:rPr>
          <w:color w:val="auto"/>
          <w:highlight w:val="none"/>
        </w:rPr>
      </w:pPr>
      <w:bookmarkStart w:id="391" w:name="_Toc5620360"/>
      <w:bookmarkStart w:id="392" w:name="_Toc3467"/>
      <w:r>
        <w:rPr>
          <w:rFonts w:hint="eastAsia"/>
          <w:color w:val="auto"/>
          <w:highlight w:val="none"/>
        </w:rPr>
        <w:t>第六章 招标人提供的资料</w:t>
      </w:r>
      <w:bookmarkEnd w:id="391"/>
      <w:bookmarkEnd w:id="392"/>
    </w:p>
    <w:p>
      <w:pPr>
        <w:pStyle w:val="4"/>
        <w:numPr>
          <w:ilvl w:val="255"/>
          <w:numId w:val="0"/>
        </w:numPr>
        <w:spacing w:line="360" w:lineRule="auto"/>
        <w:ind w:firstLine="643" w:firstLineChars="200"/>
        <w:jc w:val="center"/>
        <w:rPr>
          <w:rFonts w:ascii="宋体" w:hAnsi="宋体" w:cs="宋体"/>
          <w:color w:val="auto"/>
          <w:kern w:val="1"/>
          <w:highlight w:val="none"/>
        </w:rPr>
      </w:pPr>
      <w:bookmarkStart w:id="393" w:name="_Toc439240671"/>
      <w:bookmarkEnd w:id="393"/>
      <w:bookmarkStart w:id="394" w:name="_Toc439246070"/>
      <w:bookmarkEnd w:id="394"/>
      <w:bookmarkStart w:id="395" w:name="_Toc436834794"/>
      <w:bookmarkEnd w:id="395"/>
      <w:bookmarkStart w:id="396" w:name="_Toc436834201"/>
      <w:bookmarkEnd w:id="396"/>
      <w:r>
        <w:rPr>
          <w:rFonts w:hint="eastAsia" w:ascii="宋体" w:hAnsi="宋体" w:cs="宋体"/>
          <w:color w:val="auto"/>
          <w:kern w:val="1"/>
          <w:sz w:val="32"/>
          <w:szCs w:val="32"/>
          <w:highlight w:val="none"/>
        </w:rPr>
        <w:t>（</w:t>
      </w:r>
      <w:r>
        <w:rPr>
          <w:rFonts w:hint="eastAsia" w:ascii="宋体" w:hAnsi="宋体" w:cs="宋体"/>
          <w:color w:val="auto"/>
          <w:kern w:val="1"/>
          <w:sz w:val="32"/>
          <w:szCs w:val="32"/>
          <w:highlight w:val="none"/>
          <w:lang w:eastAsia="zh-CN"/>
        </w:rPr>
        <w:t>另附</w:t>
      </w:r>
      <w:r>
        <w:rPr>
          <w:rFonts w:hint="eastAsia" w:ascii="宋体" w:hAnsi="宋体" w:cs="宋体"/>
          <w:color w:val="auto"/>
          <w:kern w:val="1"/>
          <w:sz w:val="32"/>
          <w:szCs w:val="32"/>
          <w:highlight w:val="none"/>
        </w:rPr>
        <w:t>）</w:t>
      </w:r>
    </w:p>
    <w:p>
      <w:pPr>
        <w:spacing w:line="360" w:lineRule="auto"/>
        <w:jc w:val="center"/>
        <w:rPr>
          <w:rFonts w:ascii="宋体" w:hAnsi="宋体" w:cs="宋体"/>
          <w:color w:val="auto"/>
          <w:kern w:val="1"/>
          <w:sz w:val="24"/>
          <w:szCs w:val="28"/>
          <w:highlight w:val="none"/>
        </w:rPr>
      </w:pPr>
      <w:r>
        <w:rPr>
          <w:rFonts w:ascii="宋体" w:hAnsi="宋体" w:cs="宋体"/>
          <w:color w:val="auto"/>
          <w:kern w:val="1"/>
          <w:sz w:val="36"/>
          <w:szCs w:val="36"/>
          <w:highlight w:val="none"/>
        </w:rPr>
        <w:br w:type="page"/>
      </w:r>
    </w:p>
    <w:p>
      <w:pPr>
        <w:pStyle w:val="4"/>
        <w:spacing w:line="360" w:lineRule="auto"/>
        <w:jc w:val="center"/>
        <w:rPr>
          <w:color w:val="auto"/>
          <w:highlight w:val="none"/>
        </w:rPr>
      </w:pPr>
      <w:bookmarkStart w:id="397" w:name="_Toc16136"/>
      <w:bookmarkEnd w:id="397"/>
      <w:bookmarkStart w:id="398" w:name="_Toc5620362"/>
      <w:bookmarkStart w:id="399" w:name="_Toc18390"/>
      <w:r>
        <w:rPr>
          <w:rFonts w:hint="eastAsia"/>
          <w:color w:val="auto"/>
          <w:highlight w:val="none"/>
        </w:rPr>
        <w:t>第七章 投标文件格式</w:t>
      </w:r>
      <w:bookmarkEnd w:id="398"/>
      <w:bookmarkEnd w:id="399"/>
    </w:p>
    <w:p>
      <w:pPr>
        <w:widowControl/>
        <w:adjustRightInd w:val="0"/>
        <w:snapToGrid w:val="0"/>
        <w:spacing w:line="360" w:lineRule="auto"/>
        <w:ind w:right="102"/>
        <w:jc w:val="center"/>
        <w:rPr>
          <w:color w:val="auto"/>
          <w:highlight w:val="none"/>
        </w:rPr>
      </w:pPr>
      <w:r>
        <w:rPr>
          <w:rFonts w:ascii="宋体" w:hAnsi="宋体" w:cs="宋体"/>
          <w:color w:val="auto"/>
          <w:kern w:val="1"/>
          <w:sz w:val="20"/>
          <w:szCs w:val="20"/>
          <w:highlight w:val="none"/>
          <w:lang w:val="zh-CN"/>
        </w:rPr>
        <w:br w:type="page"/>
      </w:r>
      <w:r>
        <w:rPr>
          <w:color w:val="auto"/>
          <w:highlight w:val="none"/>
        </w:rPr>
        <w:t xml:space="preserve"> </w:t>
      </w:r>
    </w:p>
    <w:p>
      <w:pPr>
        <w:pStyle w:val="18"/>
        <w:spacing w:line="360" w:lineRule="auto"/>
        <w:rPr>
          <w:color w:val="auto"/>
          <w:highlight w:val="none"/>
        </w:rPr>
      </w:pPr>
    </w:p>
    <w:p>
      <w:pPr>
        <w:spacing w:line="360" w:lineRule="auto"/>
        <w:jc w:val="center"/>
        <w:rPr>
          <w:rFonts w:ascii="宋体" w:hAnsi="宋体" w:cs="宋体"/>
          <w:b/>
          <w:color w:val="auto"/>
          <w:kern w:val="1"/>
          <w:sz w:val="30"/>
          <w:szCs w:val="30"/>
          <w:highlight w:val="none"/>
        </w:rPr>
      </w:pPr>
    </w:p>
    <w:p>
      <w:pPr>
        <w:pStyle w:val="18"/>
        <w:spacing w:line="360" w:lineRule="auto"/>
        <w:rPr>
          <w:rFonts w:cs="宋体"/>
          <w:b/>
          <w:color w:val="auto"/>
          <w:kern w:val="1"/>
          <w:sz w:val="30"/>
          <w:szCs w:val="30"/>
          <w:highlight w:val="none"/>
        </w:rPr>
      </w:pPr>
    </w:p>
    <w:p>
      <w:pPr>
        <w:pStyle w:val="18"/>
        <w:spacing w:line="360" w:lineRule="auto"/>
        <w:rPr>
          <w:rFonts w:cs="宋体"/>
          <w:b/>
          <w:color w:val="auto"/>
          <w:kern w:val="1"/>
          <w:sz w:val="30"/>
          <w:szCs w:val="30"/>
          <w:highlight w:val="none"/>
        </w:rPr>
      </w:pPr>
    </w:p>
    <w:p>
      <w:pPr>
        <w:pStyle w:val="18"/>
        <w:spacing w:line="360" w:lineRule="auto"/>
        <w:rPr>
          <w:rFonts w:cs="宋体"/>
          <w:b/>
          <w:color w:val="auto"/>
          <w:kern w:val="1"/>
          <w:sz w:val="30"/>
          <w:szCs w:val="30"/>
          <w:highlight w:val="none"/>
        </w:rPr>
      </w:pPr>
    </w:p>
    <w:p>
      <w:pPr>
        <w:spacing w:line="360" w:lineRule="auto"/>
        <w:jc w:val="center"/>
        <w:rPr>
          <w:rFonts w:ascii="宋体" w:hAnsi="宋体" w:cs="宋体"/>
          <w:b/>
          <w:color w:val="auto"/>
          <w:kern w:val="1"/>
          <w:sz w:val="30"/>
          <w:szCs w:val="30"/>
          <w:highlight w:val="none"/>
        </w:rPr>
      </w:pPr>
    </w:p>
    <w:p>
      <w:pPr>
        <w:spacing w:line="360" w:lineRule="auto"/>
        <w:jc w:val="center"/>
        <w:rPr>
          <w:rFonts w:ascii="宋体" w:hAnsi="宋体" w:cs="宋体"/>
          <w:b/>
          <w:color w:val="auto"/>
          <w:kern w:val="1"/>
          <w:sz w:val="30"/>
          <w:szCs w:val="30"/>
          <w:highlight w:val="none"/>
        </w:rPr>
      </w:pPr>
    </w:p>
    <w:p>
      <w:pPr>
        <w:spacing w:line="360" w:lineRule="auto"/>
        <w:jc w:val="center"/>
        <w:rPr>
          <w:rFonts w:ascii="宋体" w:hAnsi="宋体" w:cs="宋体"/>
          <w:b/>
          <w:color w:val="auto"/>
          <w:kern w:val="1"/>
          <w:sz w:val="30"/>
          <w:szCs w:val="30"/>
          <w:highlight w:val="none"/>
        </w:rPr>
      </w:pPr>
    </w:p>
    <w:p>
      <w:pPr>
        <w:spacing w:line="360" w:lineRule="auto"/>
        <w:jc w:val="center"/>
        <w:rPr>
          <w:rFonts w:ascii="宋体" w:hAnsi="宋体" w:cs="宋体"/>
          <w:b/>
          <w:color w:val="auto"/>
          <w:kern w:val="1"/>
          <w:sz w:val="30"/>
          <w:szCs w:val="30"/>
          <w:highlight w:val="none"/>
        </w:rPr>
      </w:pPr>
    </w:p>
    <w:p>
      <w:pPr>
        <w:spacing w:line="360" w:lineRule="auto"/>
        <w:jc w:val="center"/>
        <w:rPr>
          <w:rFonts w:ascii="宋体" w:hAnsi="宋体" w:cs="宋体"/>
          <w:b/>
          <w:color w:val="auto"/>
          <w:kern w:val="1"/>
          <w:sz w:val="30"/>
          <w:szCs w:val="30"/>
          <w:highlight w:val="none"/>
        </w:rPr>
      </w:pPr>
    </w:p>
    <w:p>
      <w:pPr>
        <w:spacing w:line="360" w:lineRule="auto"/>
        <w:jc w:val="center"/>
        <w:rPr>
          <w:rFonts w:ascii="宋体" w:hAnsi="宋体" w:cs="宋体"/>
          <w:b/>
          <w:color w:val="auto"/>
          <w:kern w:val="1"/>
          <w:sz w:val="36"/>
          <w:szCs w:val="36"/>
          <w:highlight w:val="none"/>
        </w:rPr>
      </w:pPr>
      <w:r>
        <w:rPr>
          <w:rFonts w:hint="eastAsia" w:ascii="宋体" w:hAnsi="宋体" w:cs="宋体"/>
          <w:b/>
          <w:color w:val="auto"/>
          <w:kern w:val="1"/>
          <w:sz w:val="36"/>
          <w:szCs w:val="36"/>
          <w:highlight w:val="none"/>
        </w:rPr>
        <w:t xml:space="preserve">第一部分  </w:t>
      </w:r>
      <w:r>
        <w:rPr>
          <w:rFonts w:hint="eastAsia" w:ascii="宋体" w:hAnsi="宋体" w:cs="宋体"/>
          <w:b/>
          <w:color w:val="auto"/>
          <w:kern w:val="1"/>
          <w:sz w:val="36"/>
          <w:szCs w:val="36"/>
          <w:highlight w:val="none"/>
          <w:lang w:eastAsia="zh-CN"/>
        </w:rPr>
        <w:t>勘察、设计、工程商务及实施方案</w:t>
      </w:r>
      <w:r>
        <w:rPr>
          <w:rFonts w:hint="eastAsia" w:ascii="宋体" w:hAnsi="宋体" w:cs="宋体"/>
          <w:b/>
          <w:color w:val="auto"/>
          <w:kern w:val="1"/>
          <w:sz w:val="36"/>
          <w:szCs w:val="36"/>
          <w:highlight w:val="none"/>
        </w:rPr>
        <w:t>技术投标文件格式</w:t>
      </w:r>
    </w:p>
    <w:p>
      <w:pPr>
        <w:spacing w:line="360" w:lineRule="auto"/>
        <w:jc w:val="center"/>
        <w:rPr>
          <w:rFonts w:ascii="宋体" w:hAnsi="宋体" w:cs="宋体"/>
          <w:b/>
          <w:color w:val="auto"/>
          <w:kern w:val="1"/>
          <w:sz w:val="30"/>
          <w:szCs w:val="30"/>
          <w:highlight w:val="none"/>
        </w:rPr>
      </w:pPr>
    </w:p>
    <w:p>
      <w:pPr>
        <w:spacing w:line="360" w:lineRule="auto"/>
        <w:jc w:val="center"/>
        <w:rPr>
          <w:rFonts w:ascii="宋体" w:hAnsi="宋体" w:cs="宋体"/>
          <w:b/>
          <w:color w:val="auto"/>
          <w:kern w:val="1"/>
          <w:sz w:val="30"/>
          <w:szCs w:val="30"/>
          <w:highlight w:val="none"/>
        </w:rPr>
      </w:pPr>
    </w:p>
    <w:p>
      <w:pPr>
        <w:spacing w:line="360" w:lineRule="auto"/>
        <w:jc w:val="center"/>
        <w:rPr>
          <w:rFonts w:ascii="宋体" w:hAnsi="宋体" w:cs="宋体"/>
          <w:b/>
          <w:color w:val="auto"/>
          <w:kern w:val="1"/>
          <w:sz w:val="30"/>
          <w:szCs w:val="30"/>
          <w:highlight w:val="none"/>
        </w:rPr>
        <w:sectPr>
          <w:headerReference r:id="rId18" w:type="default"/>
          <w:footerReference r:id="rId19" w:type="default"/>
          <w:pgSz w:w="11907" w:h="16840"/>
          <w:pgMar w:top="1361" w:right="1304" w:bottom="1304" w:left="1304" w:header="851" w:footer="720" w:gutter="0"/>
          <w:cols w:space="720" w:num="1"/>
        </w:sectPr>
      </w:pPr>
    </w:p>
    <w:p>
      <w:pPr>
        <w:widowControl/>
        <w:adjustRightInd w:val="0"/>
        <w:snapToGrid w:val="0"/>
        <w:spacing w:line="360" w:lineRule="auto"/>
        <w:ind w:right="102"/>
        <w:jc w:val="left"/>
        <w:rPr>
          <w:rFonts w:ascii="宋体" w:hAnsi="宋体" w:cs="宋体"/>
          <w:b/>
          <w:bCs/>
          <w:color w:val="auto"/>
          <w:kern w:val="1"/>
          <w:sz w:val="44"/>
          <w:szCs w:val="44"/>
          <w:highlight w:val="none"/>
          <w:lang w:val="zh-CN"/>
        </w:rPr>
      </w:pPr>
      <w:r>
        <w:rPr>
          <w:rFonts w:hint="eastAsia" w:ascii="宋体" w:hAnsi="宋体" w:cs="宋体"/>
          <w:b/>
          <w:color w:val="auto"/>
          <w:kern w:val="1"/>
          <w:sz w:val="24"/>
          <w:highlight w:val="none"/>
        </w:rPr>
        <w:t>格式1：</w:t>
      </w:r>
    </w:p>
    <w:p>
      <w:pPr>
        <w:widowControl/>
        <w:adjustRightInd w:val="0"/>
        <w:snapToGrid w:val="0"/>
        <w:spacing w:line="360" w:lineRule="auto"/>
        <w:ind w:right="102"/>
        <w:jc w:val="center"/>
        <w:rPr>
          <w:rFonts w:ascii="宋体" w:hAnsi="宋体" w:cs="宋体"/>
          <w:b/>
          <w:bCs/>
          <w:color w:val="auto"/>
          <w:kern w:val="1"/>
          <w:sz w:val="44"/>
          <w:szCs w:val="44"/>
          <w:highlight w:val="none"/>
          <w:lang w:val="zh-CN"/>
        </w:rPr>
      </w:pPr>
      <w:r>
        <w:rPr>
          <w:rFonts w:hint="eastAsia" w:ascii="宋体" w:hAnsi="宋体" w:cs="宋体"/>
          <w:b/>
          <w:bCs/>
          <w:color w:val="auto"/>
          <w:kern w:val="1"/>
          <w:sz w:val="44"/>
          <w:szCs w:val="44"/>
          <w:highlight w:val="none"/>
          <w:lang w:val="zh-CN"/>
        </w:rPr>
        <w:t>投标函</w:t>
      </w:r>
    </w:p>
    <w:p>
      <w:pPr>
        <w:widowControl/>
        <w:adjustRightInd w:val="0"/>
        <w:snapToGrid w:val="0"/>
        <w:spacing w:line="360" w:lineRule="auto"/>
        <w:ind w:right="102"/>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致:</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p>
    <w:p>
      <w:pPr>
        <w:pStyle w:val="18"/>
        <w:adjustRightInd w:val="0"/>
        <w:snapToGrid w:val="0"/>
        <w:spacing w:line="360" w:lineRule="auto"/>
        <w:ind w:firstLine="420"/>
        <w:rPr>
          <w:rFonts w:cs="宋体"/>
          <w:color w:val="auto"/>
          <w:sz w:val="21"/>
          <w:szCs w:val="21"/>
          <w:highlight w:val="none"/>
        </w:rPr>
      </w:pPr>
      <w:r>
        <w:rPr>
          <w:rFonts w:hint="eastAsia" w:cs="宋体"/>
          <w:color w:val="auto"/>
          <w:sz w:val="21"/>
          <w:szCs w:val="21"/>
          <w:highlight w:val="none"/>
        </w:rPr>
        <w:t>我方确认收到贵方提供的</w:t>
      </w:r>
      <w:r>
        <w:rPr>
          <w:rFonts w:hint="eastAsia" w:cs="宋体"/>
          <w:color w:val="auto"/>
          <w:sz w:val="21"/>
          <w:szCs w:val="21"/>
          <w:highlight w:val="none"/>
          <w:u w:val="single"/>
        </w:rPr>
        <w:t xml:space="preserve"> </w:t>
      </w:r>
      <w:r>
        <w:rPr>
          <w:rFonts w:cs="宋体"/>
          <w:color w:val="auto"/>
          <w:sz w:val="21"/>
          <w:szCs w:val="21"/>
          <w:highlight w:val="none"/>
          <w:u w:val="single"/>
        </w:rPr>
        <w:t xml:space="preserve">     </w:t>
      </w:r>
      <w:r>
        <w:rPr>
          <w:rFonts w:hint="eastAsia" w:cs="宋体"/>
          <w:color w:val="auto"/>
          <w:sz w:val="21"/>
          <w:szCs w:val="21"/>
          <w:highlight w:val="none"/>
          <w:u w:val="single"/>
        </w:rPr>
        <w:t xml:space="preserve"> </w:t>
      </w:r>
      <w:r>
        <w:rPr>
          <w:rFonts w:cs="宋体"/>
          <w:color w:val="auto"/>
          <w:sz w:val="21"/>
          <w:szCs w:val="21"/>
          <w:highlight w:val="none"/>
          <w:u w:val="single"/>
        </w:rPr>
        <w:t xml:space="preserve">      </w:t>
      </w:r>
      <w:r>
        <w:rPr>
          <w:rFonts w:hint="eastAsia" w:cs="宋体"/>
          <w:color w:val="auto"/>
          <w:sz w:val="21"/>
          <w:szCs w:val="21"/>
          <w:highlight w:val="none"/>
        </w:rPr>
        <w:t>招标文件的全部内容，我方：</w:t>
      </w:r>
      <w:r>
        <w:rPr>
          <w:rFonts w:hint="eastAsia" w:cs="宋体"/>
          <w:color w:val="auto"/>
          <w:sz w:val="21"/>
          <w:szCs w:val="21"/>
          <w:highlight w:val="none"/>
          <w:u w:val="single"/>
        </w:rPr>
        <w:t xml:space="preserve">             （投标人名称）</w:t>
      </w:r>
      <w:r>
        <w:rPr>
          <w:rFonts w:hint="eastAsia" w:cs="宋体"/>
          <w:color w:val="auto"/>
          <w:sz w:val="21"/>
          <w:szCs w:val="21"/>
          <w:highlight w:val="none"/>
        </w:rPr>
        <w:t>已理解招标文件的全部内容，我方作为投标人正式授权</w:t>
      </w:r>
      <w:r>
        <w:rPr>
          <w:rFonts w:hint="eastAsia" w:cs="宋体"/>
          <w:color w:val="auto"/>
          <w:sz w:val="21"/>
          <w:szCs w:val="21"/>
          <w:highlight w:val="none"/>
          <w:u w:val="single"/>
          <w:lang w:val="en-US"/>
        </w:rPr>
        <w:t xml:space="preserve">        </w:t>
      </w:r>
      <w:r>
        <w:rPr>
          <w:rFonts w:hint="eastAsia" w:cs="宋体"/>
          <w:color w:val="auto"/>
          <w:sz w:val="21"/>
          <w:szCs w:val="21"/>
          <w:highlight w:val="none"/>
          <w:u w:val="single"/>
        </w:rPr>
        <w:t>（授权代表全名, 职务</w:t>
      </w:r>
      <w:r>
        <w:rPr>
          <w:rFonts w:hint="eastAsia" w:cs="宋体"/>
          <w:color w:val="auto"/>
          <w:sz w:val="21"/>
          <w:szCs w:val="21"/>
          <w:highlight w:val="none"/>
        </w:rPr>
        <w:t>）代表我方进行有关本投标活动的一切事宜，考虑本企业自身的实力及特点，做出如下承诺：</w:t>
      </w:r>
    </w:p>
    <w:p>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1、我方已详细研究了本项目招标文件的所有内容包括修正文（如果有）和所有已提供的参考资料以及合同条款和有关附件，并完全明白, 我方放弃在此方面提出含糊意见或误解的一切权力。</w:t>
      </w:r>
    </w:p>
    <w:p>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3、我方同意按照贵方可能提出的要求，提供与我方投标有关的任何其它数据或信息。</w:t>
      </w:r>
    </w:p>
    <w:p>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4、本投标文件的有效期至投标截止日后</w:t>
      </w:r>
      <w:r>
        <w:rPr>
          <w:rFonts w:hint="eastAsia" w:ascii="宋体" w:hAnsi="宋体" w:cs="宋体"/>
          <w:color w:val="auto"/>
          <w:kern w:val="1"/>
          <w:szCs w:val="21"/>
          <w:highlight w:val="none"/>
          <w:u w:val="single"/>
          <w:lang w:val="zh-CN"/>
        </w:rPr>
        <w:t>120</w:t>
      </w:r>
      <w:r>
        <w:rPr>
          <w:rFonts w:hint="eastAsia" w:ascii="宋体" w:hAnsi="宋体" w:cs="宋体"/>
          <w:color w:val="auto"/>
          <w:kern w:val="1"/>
          <w:szCs w:val="21"/>
          <w:highlight w:val="none"/>
          <w:lang w:val="zh-CN"/>
        </w:rPr>
        <w:t>日历天内有效，如中标，有效期将自动延至勘察设计施工总承包合同终止日为止。</w:t>
      </w:r>
    </w:p>
    <w:p>
      <w:pPr>
        <w:widowControl/>
        <w:adjustRightInd w:val="0"/>
        <w:snapToGrid w:val="0"/>
        <w:spacing w:line="360" w:lineRule="auto"/>
        <w:ind w:right="102" w:firstLine="420"/>
        <w:jc w:val="left"/>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5、我方的</w:t>
      </w:r>
      <w:r>
        <w:rPr>
          <w:rFonts w:hint="eastAsia" w:ascii="宋体" w:hAnsi="宋体" w:cs="宋体"/>
          <w:color w:val="auto"/>
          <w:kern w:val="1"/>
          <w:szCs w:val="21"/>
          <w:highlight w:val="none"/>
        </w:rPr>
        <w:t>投标</w:t>
      </w:r>
      <w:r>
        <w:rPr>
          <w:rFonts w:hint="eastAsia" w:ascii="宋体" w:hAnsi="宋体" w:cs="宋体"/>
          <w:b/>
          <w:color w:val="auto"/>
          <w:kern w:val="1"/>
          <w:szCs w:val="21"/>
          <w:highlight w:val="none"/>
        </w:rPr>
        <w:t>总报价为人民币</w:t>
      </w:r>
      <w:r>
        <w:rPr>
          <w:rFonts w:hint="eastAsia" w:ascii="宋体" w:hAnsi="宋体" w:cs="宋体"/>
          <w:b/>
          <w:color w:val="auto"/>
          <w:kern w:val="1"/>
          <w:szCs w:val="21"/>
          <w:highlight w:val="none"/>
          <w:u w:val="single"/>
          <w:lang w:bidi="ar"/>
        </w:rPr>
        <w:t xml:space="preserve">    万</w:t>
      </w:r>
      <w:r>
        <w:rPr>
          <w:rFonts w:hint="eastAsia" w:ascii="宋体" w:hAnsi="宋体" w:cs="宋体"/>
          <w:b/>
          <w:color w:val="auto"/>
          <w:kern w:val="1"/>
          <w:szCs w:val="21"/>
          <w:highlight w:val="none"/>
        </w:rPr>
        <w:t>元（大写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）【其中：勘察费投标报价为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lang w:bidi="ar"/>
        </w:rPr>
        <w:t>万</w:t>
      </w:r>
      <w:r>
        <w:rPr>
          <w:rFonts w:hint="eastAsia" w:ascii="宋体" w:hAnsi="宋体" w:cs="宋体"/>
          <w:b/>
          <w:color w:val="auto"/>
          <w:kern w:val="1"/>
          <w:szCs w:val="21"/>
          <w:highlight w:val="none"/>
        </w:rPr>
        <w:t>元，勘察费下浮率为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%，设计费投标报价为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lang w:bidi="ar"/>
        </w:rPr>
        <w:t>万</w:t>
      </w:r>
      <w:r>
        <w:rPr>
          <w:rFonts w:hint="eastAsia" w:ascii="宋体" w:hAnsi="宋体" w:cs="宋体"/>
          <w:b/>
          <w:color w:val="auto"/>
          <w:kern w:val="1"/>
          <w:szCs w:val="21"/>
          <w:highlight w:val="none"/>
        </w:rPr>
        <w:t>元，设计费下浮率为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w:t>
      </w:r>
      <w:r>
        <w:rPr>
          <w:rFonts w:hint="eastAsia" w:ascii="宋体" w:hAnsi="宋体" w:cs="宋体"/>
          <w:b/>
          <w:bCs/>
          <w:color w:val="auto"/>
          <w:kern w:val="1"/>
          <w:szCs w:val="21"/>
          <w:highlight w:val="none"/>
        </w:rPr>
        <w:t>施工费投标报价</w:t>
      </w:r>
      <w:r>
        <w:rPr>
          <w:rFonts w:hint="eastAsia" w:ascii="宋体" w:hAnsi="宋体" w:cs="宋体"/>
          <w:b/>
          <w:color w:val="auto"/>
          <w:kern w:val="1"/>
          <w:szCs w:val="21"/>
          <w:highlight w:val="none"/>
        </w:rPr>
        <w:t>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lang w:bidi="ar"/>
        </w:rPr>
        <w:t>万</w:t>
      </w:r>
      <w:r>
        <w:rPr>
          <w:rFonts w:hint="eastAsia" w:ascii="宋体" w:hAnsi="宋体" w:cs="宋体"/>
          <w:b/>
          <w:color w:val="auto"/>
          <w:kern w:val="1"/>
          <w:szCs w:val="21"/>
          <w:highlight w:val="none"/>
        </w:rPr>
        <w:t>元，</w:t>
      </w:r>
      <w:r>
        <w:rPr>
          <w:rFonts w:hint="eastAsia" w:ascii="宋体" w:hAnsi="宋体" w:cs="宋体"/>
          <w:b/>
          <w:bCs/>
          <w:color w:val="auto"/>
          <w:kern w:val="1"/>
          <w:szCs w:val="21"/>
          <w:highlight w:val="none"/>
        </w:rPr>
        <w:t>施工费</w:t>
      </w:r>
      <w:r>
        <w:rPr>
          <w:rFonts w:hint="eastAsia" w:ascii="宋体" w:hAnsi="宋体" w:cs="宋体"/>
          <w:b/>
          <w:color w:val="auto"/>
          <w:kern w:val="1"/>
          <w:szCs w:val="21"/>
          <w:highlight w:val="none"/>
        </w:rPr>
        <w:t>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w:t>
      </w:r>
      <w:r>
        <w:rPr>
          <w:rFonts w:hint="eastAsia" w:ascii="宋体" w:hAnsi="宋体" w:cs="宋体"/>
          <w:color w:val="auto"/>
          <w:kern w:val="1"/>
          <w:szCs w:val="21"/>
          <w:highlight w:val="none"/>
          <w:lang w:val="zh-CN"/>
        </w:rPr>
        <w:t>。</w:t>
      </w:r>
      <w:r>
        <w:rPr>
          <w:rFonts w:hint="eastAsia" w:ascii="宋体" w:hAnsi="宋体" w:cs="宋体"/>
          <w:color w:val="auto"/>
          <w:kern w:val="1"/>
          <w:szCs w:val="21"/>
          <w:highlight w:val="none"/>
          <w:u w:val="single"/>
          <w:lang w:val="zh-CN"/>
        </w:rPr>
        <w:t>我方承诺以上报价不低于我方成本价，</w:t>
      </w:r>
      <w:r>
        <w:rPr>
          <w:rFonts w:hint="eastAsia" w:ascii="宋体" w:hAnsi="宋体" w:cs="宋体"/>
          <w:color w:val="auto"/>
          <w:kern w:val="1"/>
          <w:szCs w:val="21"/>
          <w:highlight w:val="none"/>
          <w:lang w:val="zh-CN"/>
        </w:rPr>
        <w:t>并且已包括完成本项目招标公告第2点所述招标内容和服务范围所包含全部工作的费用。（注：报价以万元为单位，小数点后保留二位小数，第三位小数四舍五入。）</w:t>
      </w:r>
    </w:p>
    <w:p>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6、我方如果中标，将按招标文件合同条款以及我方在投标文件中的承诺签订合同。</w:t>
      </w:r>
    </w:p>
    <w:p>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7、我方完全接受招标人对本项目功能需求和相关建设标准的要求。如果中标，我方保证本工程的投资、工期、质量、安全、绿色等级等控制目标按照招标文件要求完成。</w:t>
      </w:r>
    </w:p>
    <w:p>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8、我方拟委派</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）为项目负责人、</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）为设计负责人、</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）为项目技术负责人。我方承诺中标后上述人员及其他我方投标文件中提供的主要项目管理人员，未经招标人同意，不得更换。否则，我方愿意按招标文件合同条款中的有关规定给予违约赔偿。</w:t>
      </w:r>
    </w:p>
    <w:p>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9、我方如果中标，承诺在中标通知书发出后20个日历天内按招标文件的规定向贵方提交银行履约保函，承诺在中标通知书发出后30个日历天内与贵方签署项目合同。</w:t>
      </w:r>
    </w:p>
    <w:p>
      <w:pPr>
        <w:widowControl/>
        <w:adjustRightInd w:val="0"/>
        <w:snapToGrid w:val="0"/>
        <w:spacing w:line="360" w:lineRule="auto"/>
        <w:ind w:right="102" w:firstLine="420"/>
        <w:jc w:val="left"/>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如我方违背上述承诺，我方愿意接受公开通报，放弃中标资格，承担由此带来的法律后果。</w:t>
      </w:r>
    </w:p>
    <w:p>
      <w:pPr>
        <w:widowControl/>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投标人（盖章）：</w:t>
      </w:r>
      <w:r>
        <w:rPr>
          <w:rFonts w:hint="eastAsia" w:ascii="宋体" w:hAnsi="宋体" w:cs="宋体"/>
          <w:color w:val="auto"/>
          <w:kern w:val="1"/>
          <w:szCs w:val="21"/>
          <w:highlight w:val="none"/>
          <w:u w:val="single"/>
        </w:rPr>
        <w:t xml:space="preserve">                   </w:t>
      </w:r>
    </w:p>
    <w:p>
      <w:pPr>
        <w:widowControl/>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法定代表人或授权代表（签字或盖章）：</w:t>
      </w:r>
      <w:r>
        <w:rPr>
          <w:rFonts w:hint="eastAsia" w:ascii="宋体" w:hAnsi="宋体" w:cs="宋体"/>
          <w:color w:val="auto"/>
          <w:kern w:val="1"/>
          <w:szCs w:val="21"/>
          <w:highlight w:val="none"/>
          <w:u w:val="single"/>
        </w:rPr>
        <w:t xml:space="preserve">                   </w:t>
      </w:r>
    </w:p>
    <w:p>
      <w:pPr>
        <w:widowControl/>
        <w:wordWrap w:val="0"/>
        <w:adjustRightInd w:val="0"/>
        <w:snapToGrid w:val="0"/>
        <w:spacing w:line="360" w:lineRule="auto"/>
        <w:ind w:right="102"/>
        <w:jc w:val="right"/>
        <w:rPr>
          <w:rFonts w:ascii="宋体" w:hAnsi="宋体" w:cs="宋体"/>
          <w:color w:val="auto"/>
          <w:kern w:val="1"/>
          <w:szCs w:val="21"/>
          <w:highlight w:val="none"/>
          <w:u w:val="single"/>
        </w:rPr>
      </w:pPr>
      <w:r>
        <w:rPr>
          <w:rFonts w:hint="eastAsia" w:ascii="宋体" w:hAnsi="宋体" w:cs="宋体"/>
          <w:color w:val="auto"/>
          <w:kern w:val="1"/>
          <w:szCs w:val="21"/>
          <w:highlight w:val="none"/>
        </w:rPr>
        <w:t>项目负责人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p>
    <w:p>
      <w:pPr>
        <w:widowControl/>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rPr>
        <w:t>设计负责人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p>
    <w:p>
      <w:pPr>
        <w:widowControl/>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rPr>
        <w:t>项目技术负责人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pPr>
        <w:widowControl/>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地址：</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zh-CN"/>
        </w:rPr>
        <w:t>邮政编码：</w:t>
      </w:r>
      <w:r>
        <w:rPr>
          <w:rFonts w:hint="eastAsia" w:ascii="宋体" w:hAnsi="宋体" w:cs="宋体"/>
          <w:color w:val="auto"/>
          <w:kern w:val="1"/>
          <w:szCs w:val="21"/>
          <w:highlight w:val="none"/>
          <w:u w:val="single"/>
        </w:rPr>
        <w:t xml:space="preserve">         </w:t>
      </w:r>
    </w:p>
    <w:p>
      <w:pPr>
        <w:widowControl/>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电话：</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zh-CN"/>
        </w:rPr>
        <w:t>传真：</w:t>
      </w:r>
      <w:r>
        <w:rPr>
          <w:rFonts w:hint="eastAsia" w:ascii="宋体" w:hAnsi="宋体" w:cs="宋体"/>
          <w:color w:val="auto"/>
          <w:kern w:val="1"/>
          <w:szCs w:val="21"/>
          <w:highlight w:val="none"/>
          <w:u w:val="single"/>
        </w:rPr>
        <w:t xml:space="preserve">             </w:t>
      </w:r>
    </w:p>
    <w:p>
      <w:pPr>
        <w:spacing w:line="360" w:lineRule="auto"/>
        <w:ind w:firstLine="5250" w:firstLineChars="2500"/>
        <w:rPr>
          <w:rFonts w:ascii="宋体" w:hAnsi="宋体" w:cs="宋体"/>
          <w:b/>
          <w:color w:val="auto"/>
          <w:kern w:val="1"/>
          <w:sz w:val="24"/>
          <w:highlight w:val="none"/>
        </w:rPr>
      </w:pPr>
      <w:r>
        <w:rPr>
          <w:rFonts w:hint="eastAsia" w:ascii="宋体" w:hAnsi="宋体" w:cs="宋体"/>
          <w:color w:val="auto"/>
          <w:kern w:val="1"/>
          <w:szCs w:val="21"/>
          <w:highlight w:val="none"/>
          <w:lang w:val="zh-CN"/>
        </w:rPr>
        <w:t>日期：______年_______月______日</w:t>
      </w:r>
    </w:p>
    <w:p>
      <w:pPr>
        <w:spacing w:line="360" w:lineRule="auto"/>
        <w:rPr>
          <w:rFonts w:ascii="宋体" w:hAnsi="宋体" w:cs="宋体"/>
          <w:b/>
          <w:color w:val="auto"/>
          <w:kern w:val="1"/>
          <w:sz w:val="24"/>
          <w:highlight w:val="none"/>
        </w:rPr>
      </w:pPr>
      <w:r>
        <w:rPr>
          <w:rFonts w:ascii="宋体" w:hAnsi="宋体" w:cs="宋体"/>
          <w:b/>
          <w:color w:val="auto"/>
          <w:kern w:val="1"/>
          <w:sz w:val="24"/>
          <w:highlight w:val="none"/>
        </w:rPr>
        <w:br w:type="page"/>
      </w:r>
      <w:r>
        <w:rPr>
          <w:rFonts w:hint="eastAsia" w:ascii="宋体" w:hAnsi="宋体" w:cs="宋体"/>
          <w:b/>
          <w:color w:val="auto"/>
          <w:kern w:val="1"/>
          <w:sz w:val="24"/>
          <w:highlight w:val="none"/>
        </w:rPr>
        <w:t>格式</w:t>
      </w:r>
      <w:r>
        <w:rPr>
          <w:rFonts w:ascii="宋体" w:hAnsi="宋体" w:cs="宋体"/>
          <w:b/>
          <w:color w:val="auto"/>
          <w:kern w:val="1"/>
          <w:sz w:val="24"/>
          <w:highlight w:val="none"/>
        </w:rPr>
        <w:t>2</w:t>
      </w:r>
      <w:r>
        <w:rPr>
          <w:rFonts w:hint="eastAsia" w:ascii="宋体" w:hAnsi="宋体" w:cs="宋体"/>
          <w:b/>
          <w:color w:val="auto"/>
          <w:kern w:val="1"/>
          <w:sz w:val="24"/>
          <w:highlight w:val="none"/>
        </w:rPr>
        <w:t>：</w:t>
      </w:r>
    </w:p>
    <w:p>
      <w:pPr>
        <w:spacing w:line="360" w:lineRule="auto"/>
        <w:jc w:val="center"/>
        <w:rPr>
          <w:rFonts w:ascii="宋体" w:hAnsi="宋体" w:cs="宋体"/>
          <w:b/>
          <w:color w:val="auto"/>
          <w:kern w:val="1"/>
          <w:sz w:val="28"/>
          <w:szCs w:val="28"/>
          <w:highlight w:val="none"/>
          <w:lang w:val="zh-CN"/>
        </w:rPr>
      </w:pPr>
      <w:r>
        <w:rPr>
          <w:rFonts w:hint="eastAsia" w:ascii="宋体" w:hAnsi="宋体" w:cs="宋体"/>
          <w:b/>
          <w:color w:val="auto"/>
          <w:kern w:val="1"/>
          <w:sz w:val="28"/>
          <w:szCs w:val="28"/>
          <w:highlight w:val="none"/>
          <w:lang w:val="zh-CN"/>
        </w:rPr>
        <w:t>勘察设计投标书</w:t>
      </w:r>
    </w:p>
    <w:p>
      <w:pPr>
        <w:spacing w:line="360" w:lineRule="auto"/>
        <w:jc w:val="left"/>
        <w:rPr>
          <w:rFonts w:ascii="宋体" w:hAnsi="宋体" w:cs="宋体"/>
          <w:color w:val="auto"/>
          <w:kern w:val="1"/>
          <w:szCs w:val="20"/>
          <w:highlight w:val="none"/>
        </w:rPr>
      </w:pPr>
      <w:r>
        <w:rPr>
          <w:rFonts w:hint="eastAsia" w:ascii="宋体" w:hAnsi="宋体" w:cs="宋体"/>
          <w:color w:val="auto"/>
          <w:kern w:val="1"/>
          <w:szCs w:val="20"/>
          <w:highlight w:val="none"/>
        </w:rPr>
        <w:t>项目名称：</w:t>
      </w:r>
      <w:r>
        <w:rPr>
          <w:rFonts w:hint="eastAsia" w:ascii="宋体" w:hAnsi="宋体" w:cs="宋体"/>
          <w:color w:val="auto"/>
          <w:kern w:val="1"/>
          <w:szCs w:val="20"/>
          <w:highlight w:val="none"/>
          <w:u w:val="single"/>
        </w:rPr>
        <w:t xml:space="preserve">                                           </w:t>
      </w:r>
      <w:r>
        <w:rPr>
          <w:rFonts w:hint="eastAsia" w:ascii="宋体" w:hAnsi="宋体" w:cs="宋体"/>
          <w:color w:val="auto"/>
          <w:kern w:val="1"/>
          <w:szCs w:val="20"/>
          <w:highlight w:val="none"/>
        </w:rPr>
        <w:t>。</w:t>
      </w:r>
    </w:p>
    <w:p>
      <w:pPr>
        <w:pStyle w:val="18"/>
        <w:spacing w:line="360" w:lineRule="auto"/>
        <w:rPr>
          <w:rFonts w:cs="宋体"/>
          <w:color w:val="auto"/>
          <w:sz w:val="21"/>
          <w:szCs w:val="21"/>
          <w:highlight w:val="none"/>
        </w:rPr>
      </w:pPr>
    </w:p>
    <w:p>
      <w:pPr>
        <w:pStyle w:val="18"/>
        <w:spacing w:line="360" w:lineRule="auto"/>
        <w:rPr>
          <w:rFonts w:cs="宋体"/>
          <w:color w:val="auto"/>
          <w:sz w:val="21"/>
          <w:szCs w:val="21"/>
          <w:highlight w:val="none"/>
        </w:rPr>
      </w:pPr>
      <w:r>
        <w:rPr>
          <w:rFonts w:hint="eastAsia" w:cs="宋体"/>
          <w:color w:val="auto"/>
          <w:sz w:val="21"/>
          <w:szCs w:val="21"/>
          <w:highlight w:val="none"/>
        </w:rPr>
        <w:t>致：</w:t>
      </w:r>
      <w:r>
        <w:rPr>
          <w:rFonts w:hint="eastAsia" w:cs="宋体"/>
          <w:color w:val="auto"/>
          <w:sz w:val="21"/>
          <w:szCs w:val="21"/>
          <w:highlight w:val="none"/>
          <w:u w:val="single"/>
        </w:rPr>
        <w:t xml:space="preserve">                                    </w:t>
      </w:r>
      <w:r>
        <w:rPr>
          <w:rFonts w:hint="eastAsia" w:cs="宋体"/>
          <w:color w:val="auto"/>
          <w:sz w:val="21"/>
          <w:szCs w:val="21"/>
          <w:highlight w:val="none"/>
        </w:rPr>
        <w:t>（招标人名称）</w:t>
      </w:r>
    </w:p>
    <w:p>
      <w:pPr>
        <w:spacing w:line="360" w:lineRule="auto"/>
        <w:jc w:val="left"/>
        <w:rPr>
          <w:rFonts w:ascii="宋体" w:hAnsi="宋体" w:cs="宋体"/>
          <w:color w:val="auto"/>
          <w:kern w:val="1"/>
          <w:szCs w:val="20"/>
          <w:highlight w:val="none"/>
        </w:rPr>
      </w:pPr>
    </w:p>
    <w:p>
      <w:pPr>
        <w:pStyle w:val="18"/>
        <w:spacing w:line="360" w:lineRule="auto"/>
        <w:ind w:firstLine="480"/>
        <w:rPr>
          <w:rFonts w:cs="宋体"/>
          <w:color w:val="auto"/>
          <w:sz w:val="21"/>
          <w:szCs w:val="21"/>
          <w:highlight w:val="none"/>
        </w:rPr>
      </w:pPr>
      <w:r>
        <w:rPr>
          <w:rFonts w:hint="eastAsia" w:cs="宋体"/>
          <w:color w:val="auto"/>
          <w:sz w:val="21"/>
          <w:szCs w:val="21"/>
          <w:highlight w:val="none"/>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pPr>
        <w:pStyle w:val="18"/>
        <w:spacing w:line="360" w:lineRule="auto"/>
        <w:ind w:firstLine="480"/>
        <w:rPr>
          <w:rFonts w:cs="宋体"/>
          <w:color w:val="auto"/>
          <w:sz w:val="21"/>
          <w:szCs w:val="21"/>
          <w:highlight w:val="none"/>
        </w:rPr>
      </w:pPr>
      <w:r>
        <w:rPr>
          <w:rFonts w:hint="eastAsia" w:cs="宋体"/>
          <w:color w:val="auto"/>
          <w:sz w:val="21"/>
          <w:szCs w:val="21"/>
          <w:highlight w:val="none"/>
        </w:rPr>
        <w:t>我方遵守本投标书直至投标有效期满，在该日期前，本投标书对我方一直具有约束力，随时可接受中标。我方承认所附设计文件资料为本投标书的一部分。如果我方投标书含有不符合招标文件规定的内容，我方同意按招标文件规定予以修正。我方接受你方关于任命争端裁决委员会的建议。</w:t>
      </w:r>
    </w:p>
    <w:p>
      <w:pPr>
        <w:pStyle w:val="18"/>
        <w:spacing w:line="360" w:lineRule="auto"/>
        <w:ind w:firstLine="480"/>
        <w:rPr>
          <w:rFonts w:cs="宋体"/>
          <w:color w:val="auto"/>
          <w:sz w:val="21"/>
          <w:szCs w:val="21"/>
          <w:highlight w:val="none"/>
        </w:rPr>
      </w:pPr>
      <w:r>
        <w:rPr>
          <w:rFonts w:hint="eastAsia" w:cs="宋体"/>
          <w:color w:val="auto"/>
          <w:sz w:val="21"/>
          <w:szCs w:val="21"/>
          <w:highlight w:val="none"/>
        </w:rPr>
        <w:t>我方认同招标文件规定的评审规则，遵守评标委员会的裁决结果，并且不会采取妨碍项目进展的行为。</w:t>
      </w:r>
    </w:p>
    <w:p>
      <w:pPr>
        <w:pStyle w:val="18"/>
        <w:spacing w:line="360" w:lineRule="auto"/>
        <w:ind w:firstLine="480"/>
        <w:rPr>
          <w:rFonts w:cs="宋体"/>
          <w:color w:val="auto"/>
          <w:sz w:val="21"/>
          <w:szCs w:val="21"/>
          <w:highlight w:val="none"/>
        </w:rPr>
      </w:pPr>
      <w:r>
        <w:rPr>
          <w:rFonts w:hint="eastAsia" w:cs="宋体"/>
          <w:color w:val="auto"/>
          <w:sz w:val="21"/>
          <w:szCs w:val="21"/>
          <w:highlight w:val="none"/>
        </w:rPr>
        <w:t>除非制订正式合同协议书并生效，本投标书以及你方中标通知书，应构成你我双方间具有约束力的合同。</w:t>
      </w:r>
    </w:p>
    <w:p>
      <w:pPr>
        <w:spacing w:line="360" w:lineRule="auto"/>
        <w:ind w:firstLine="480"/>
        <w:rPr>
          <w:rFonts w:ascii="宋体" w:hAnsi="宋体" w:cs="宋体"/>
          <w:color w:val="auto"/>
          <w:kern w:val="1"/>
          <w:szCs w:val="20"/>
          <w:highlight w:val="none"/>
        </w:rPr>
      </w:pPr>
      <w:r>
        <w:rPr>
          <w:rFonts w:hint="eastAsia" w:ascii="宋体" w:hAnsi="宋体" w:cs="宋体"/>
          <w:color w:val="auto"/>
          <w:kern w:val="1"/>
          <w:szCs w:val="20"/>
          <w:highlight w:val="none"/>
        </w:rPr>
        <w:t>本投标书同时作为法人证明书或法人授权委托书。</w:t>
      </w:r>
    </w:p>
    <w:p>
      <w:pPr>
        <w:spacing w:line="360" w:lineRule="auto"/>
        <w:rPr>
          <w:rFonts w:ascii="宋体" w:hAnsi="宋体" w:cs="宋体"/>
          <w:color w:val="auto"/>
          <w:kern w:val="1"/>
          <w:szCs w:val="21"/>
          <w:highlight w:val="none"/>
        </w:rPr>
      </w:pPr>
    </w:p>
    <w:p>
      <w:pPr>
        <w:spacing w:line="600" w:lineRule="auto"/>
        <w:ind w:firstLine="3840"/>
        <w:rPr>
          <w:rFonts w:ascii="宋体" w:hAnsi="宋体" w:cs="宋体"/>
          <w:color w:val="auto"/>
          <w:kern w:val="1"/>
          <w:szCs w:val="21"/>
          <w:highlight w:val="none"/>
        </w:rPr>
      </w:pPr>
      <w:r>
        <w:rPr>
          <w:rFonts w:hint="eastAsia" w:ascii="宋体" w:hAnsi="宋体" w:cs="宋体"/>
          <w:color w:val="auto"/>
          <w:kern w:val="1"/>
          <w:szCs w:val="21"/>
          <w:highlight w:val="none"/>
        </w:rPr>
        <w:t>投标人：</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 xml:space="preserve"> （盖章）</w:t>
      </w:r>
    </w:p>
    <w:p>
      <w:pPr>
        <w:spacing w:line="600" w:lineRule="auto"/>
        <w:ind w:firstLine="3840"/>
        <w:rPr>
          <w:rFonts w:ascii="宋体" w:hAnsi="宋体" w:cs="宋体"/>
          <w:color w:val="auto"/>
          <w:kern w:val="1"/>
          <w:szCs w:val="21"/>
          <w:highlight w:val="none"/>
        </w:rPr>
      </w:pPr>
      <w:r>
        <w:rPr>
          <w:rFonts w:hint="eastAsia" w:ascii="宋体" w:hAnsi="宋体" w:cs="宋体"/>
          <w:color w:val="auto"/>
          <w:kern w:val="1"/>
          <w:szCs w:val="21"/>
          <w:highlight w:val="none"/>
        </w:rPr>
        <w:t>法定代表人或其授权代理人(签名或盖章)：</w:t>
      </w:r>
      <w:r>
        <w:rPr>
          <w:rFonts w:hint="eastAsia" w:ascii="宋体" w:hAnsi="宋体" w:cs="宋体"/>
          <w:color w:val="auto"/>
          <w:kern w:val="1"/>
          <w:szCs w:val="21"/>
          <w:highlight w:val="none"/>
          <w:u w:val="single"/>
        </w:rPr>
        <w:t xml:space="preserve">     </w:t>
      </w:r>
    </w:p>
    <w:p>
      <w:pPr>
        <w:spacing w:line="600" w:lineRule="auto"/>
        <w:ind w:firstLine="3840"/>
        <w:rPr>
          <w:rFonts w:ascii="宋体" w:hAnsi="宋体" w:cs="宋体"/>
          <w:color w:val="auto"/>
          <w:kern w:val="1"/>
          <w:szCs w:val="21"/>
          <w:highlight w:val="none"/>
        </w:rPr>
      </w:pPr>
      <w:r>
        <w:rPr>
          <w:rFonts w:hint="eastAsia" w:ascii="宋体" w:hAnsi="宋体" w:cs="宋体"/>
          <w:color w:val="auto"/>
          <w:kern w:val="1"/>
          <w:szCs w:val="21"/>
          <w:highlight w:val="none"/>
        </w:rPr>
        <w:t>日期：    年    月    日</w:t>
      </w:r>
    </w:p>
    <w:p>
      <w:pPr>
        <w:spacing w:line="360" w:lineRule="auto"/>
        <w:rPr>
          <w:rFonts w:ascii="宋体" w:hAnsi="宋体" w:cs="宋体"/>
          <w:b/>
          <w:color w:val="auto"/>
          <w:kern w:val="1"/>
          <w:sz w:val="24"/>
          <w:highlight w:val="none"/>
          <w:lang w:val="zh-CN"/>
        </w:rPr>
      </w:pPr>
      <w:r>
        <w:rPr>
          <w:rFonts w:ascii="宋体" w:hAnsi="宋体" w:cs="宋体"/>
          <w:b/>
          <w:color w:val="auto"/>
          <w:kern w:val="1"/>
          <w:sz w:val="24"/>
          <w:szCs w:val="20"/>
          <w:highlight w:val="none"/>
          <w:lang w:val="zh-CN"/>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3</w:t>
      </w:r>
      <w:r>
        <w:rPr>
          <w:rFonts w:hint="eastAsia" w:ascii="宋体" w:hAnsi="宋体" w:cs="宋体"/>
          <w:b/>
          <w:color w:val="auto"/>
          <w:kern w:val="1"/>
          <w:sz w:val="24"/>
          <w:highlight w:val="none"/>
          <w:lang w:val="zh-CN"/>
        </w:rPr>
        <w:t>：</w:t>
      </w:r>
    </w:p>
    <w:p>
      <w:pPr>
        <w:spacing w:line="360" w:lineRule="auto"/>
        <w:jc w:val="center"/>
        <w:rPr>
          <w:rFonts w:ascii="宋体" w:hAnsi="宋体" w:cs="宋体"/>
          <w:b/>
          <w:color w:val="auto"/>
          <w:kern w:val="1"/>
          <w:sz w:val="36"/>
          <w:szCs w:val="36"/>
          <w:highlight w:val="none"/>
          <w:lang w:val="zh-CN"/>
        </w:rPr>
      </w:pPr>
      <w:bookmarkStart w:id="400" w:name="_Hlk61429714"/>
      <w:r>
        <w:rPr>
          <w:rFonts w:hint="eastAsia" w:ascii="宋体" w:hAnsi="宋体" w:cs="宋体"/>
          <w:b/>
          <w:color w:val="auto"/>
          <w:kern w:val="1"/>
          <w:sz w:val="36"/>
          <w:szCs w:val="36"/>
          <w:highlight w:val="none"/>
          <w:lang w:val="zh-CN"/>
        </w:rPr>
        <w:t>技术</w:t>
      </w:r>
      <w:bookmarkEnd w:id="400"/>
      <w:r>
        <w:rPr>
          <w:rFonts w:hint="eastAsia" w:ascii="宋体" w:hAnsi="宋体" w:cs="宋体"/>
          <w:b/>
          <w:color w:val="auto"/>
          <w:kern w:val="1"/>
          <w:sz w:val="36"/>
          <w:szCs w:val="36"/>
          <w:highlight w:val="none"/>
          <w:lang w:val="zh-CN"/>
        </w:rPr>
        <w:t>投标书</w:t>
      </w:r>
    </w:p>
    <w:p>
      <w:pPr>
        <w:spacing w:line="360" w:lineRule="auto"/>
        <w:jc w:val="center"/>
        <w:rPr>
          <w:rFonts w:ascii="宋体" w:hAnsi="宋体" w:cs="宋体"/>
          <w:b/>
          <w:color w:val="auto"/>
          <w:kern w:val="1"/>
          <w:sz w:val="32"/>
          <w:szCs w:val="32"/>
          <w:highlight w:val="none"/>
          <w:lang w:val="zh-CN"/>
        </w:rPr>
      </w:pPr>
    </w:p>
    <w:p>
      <w:pPr>
        <w:spacing w:line="360" w:lineRule="auto"/>
        <w:jc w:val="right"/>
        <w:rPr>
          <w:rFonts w:ascii="宋体" w:hAnsi="宋体" w:cs="宋体"/>
          <w:b/>
          <w:color w:val="auto"/>
          <w:kern w:val="1"/>
          <w:sz w:val="32"/>
          <w:szCs w:val="32"/>
          <w:highlight w:val="none"/>
          <w:lang w:val="zh-CN"/>
        </w:rPr>
      </w:pPr>
      <w:r>
        <w:rPr>
          <w:rFonts w:hint="eastAsia" w:ascii="宋体" w:hAnsi="宋体" w:cs="宋体"/>
          <w:b/>
          <w:color w:val="auto"/>
          <w:kern w:val="1"/>
          <w:sz w:val="24"/>
          <w:highlight w:val="none"/>
          <w:lang w:val="zh-CN"/>
        </w:rPr>
        <w:t>投标日期：   年  月  日</w:t>
      </w:r>
    </w:p>
    <w:tbl>
      <w:tblPr>
        <w:tblStyle w:val="35"/>
        <w:tblW w:w="9275" w:type="dxa"/>
        <w:tblInd w:w="0" w:type="dxa"/>
        <w:tblLayout w:type="fixed"/>
        <w:tblCellMar>
          <w:top w:w="0" w:type="dxa"/>
          <w:left w:w="108" w:type="dxa"/>
          <w:bottom w:w="0" w:type="dxa"/>
          <w:right w:w="108" w:type="dxa"/>
        </w:tblCellMar>
      </w:tblPr>
      <w:tblGrid>
        <w:gridCol w:w="3048"/>
        <w:gridCol w:w="2294"/>
        <w:gridCol w:w="3933"/>
      </w:tblGrid>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工 程 名 称</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投 标 总 工 期</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left="236" w:hanging="236"/>
              <w:rPr>
                <w:rFonts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auto"/>
                <w:kern w:val="1"/>
                <w:sz w:val="24"/>
                <w:highlight w:val="none"/>
                <w:lang w:val="zh-CN"/>
              </w:rPr>
            </w:pPr>
            <w:r>
              <w:rPr>
                <w:rFonts w:hint="eastAsia" w:ascii="宋体" w:hAnsi="宋体" w:cs="宋体"/>
                <w:b/>
                <w:bCs/>
                <w:color w:val="auto"/>
                <w:kern w:val="1"/>
                <w:sz w:val="24"/>
                <w:highlight w:val="none"/>
                <w:lang w:val="zh-CN"/>
              </w:rPr>
              <w:t>质量标准</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完全响应招标文件及合同条款要求</w:t>
            </w:r>
          </w:p>
        </w:tc>
      </w:tr>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保修期限</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完全响应招标文件及合同条款要求</w:t>
            </w:r>
          </w:p>
        </w:tc>
      </w:tr>
      <w:tr>
        <w:tblPrEx>
          <w:tblCellMar>
            <w:top w:w="0" w:type="dxa"/>
            <w:left w:w="108" w:type="dxa"/>
            <w:bottom w:w="0" w:type="dxa"/>
            <w:right w:w="108" w:type="dxa"/>
          </w:tblCellMar>
        </w:tblPrEx>
        <w:trPr>
          <w:trHeight w:val="51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委派的项目负责人</w:t>
            </w:r>
          </w:p>
        </w:tc>
        <w:tc>
          <w:tcPr>
            <w:tcW w:w="229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auto"/>
                <w:kern w:val="1"/>
                <w:sz w:val="24"/>
                <w:highlight w:val="none"/>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555" w:hRule="atLeast"/>
        </w:trPr>
        <w:tc>
          <w:tcPr>
            <w:tcW w:w="3048" w:type="dxa"/>
            <w:tcBorders>
              <w:top w:val="single" w:color="000000" w:sz="4" w:space="0"/>
              <w:left w:val="single" w:color="000000" w:sz="4" w:space="0"/>
              <w:right w:val="single" w:color="000000" w:sz="4" w:space="0"/>
            </w:tcBorders>
            <w:vAlign w:val="center"/>
          </w:tcPr>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委派的技术负责人</w:t>
            </w:r>
          </w:p>
        </w:tc>
        <w:tc>
          <w:tcPr>
            <w:tcW w:w="229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 w:val="24"/>
                <w:szCs w:val="24"/>
                <w:highlight w:val="none"/>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49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委派的安全员</w:t>
            </w:r>
          </w:p>
        </w:tc>
        <w:tc>
          <w:tcPr>
            <w:tcW w:w="229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469"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委派的设计负责人</w:t>
            </w:r>
          </w:p>
        </w:tc>
        <w:tc>
          <w:tcPr>
            <w:tcW w:w="229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法 定 代 表 人</w:t>
            </w:r>
          </w:p>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授 权 委 托 人</w:t>
            </w:r>
          </w:p>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投  标  单  位</w:t>
            </w:r>
          </w:p>
          <w:p>
            <w:pPr>
              <w:spacing w:line="360" w:lineRule="auto"/>
              <w:ind w:firstLine="239"/>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（企业公章）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kern w:val="1"/>
                <w:sz w:val="24"/>
                <w:highlight w:val="none"/>
                <w:lang w:val="zh-CN"/>
              </w:rPr>
            </w:pPr>
          </w:p>
        </w:tc>
      </w:tr>
    </w:tbl>
    <w:p>
      <w:pPr>
        <w:pStyle w:val="18"/>
        <w:spacing w:line="360" w:lineRule="auto"/>
        <w:rPr>
          <w:rFonts w:cs="宋体"/>
          <w:b/>
          <w:color w:val="auto"/>
          <w:kern w:val="1"/>
          <w:szCs w:val="21"/>
          <w:highlight w:val="none"/>
        </w:rPr>
      </w:pPr>
      <w:r>
        <w:rPr>
          <w:rFonts w:hint="eastAsia" w:cs="宋体"/>
          <w:b/>
          <w:color w:val="auto"/>
          <w:kern w:val="1"/>
          <w:szCs w:val="21"/>
          <w:highlight w:val="none"/>
        </w:rPr>
        <w:t>注：联合体投标的，“投标单位”一栏需书写所有联合体成员的单位全称，可由</w:t>
      </w:r>
      <w:r>
        <w:rPr>
          <w:rFonts w:hint="eastAsia" w:cs="宋体"/>
          <w:b/>
          <w:color w:val="auto"/>
          <w:kern w:val="1"/>
          <w:szCs w:val="21"/>
          <w:highlight w:val="none"/>
          <w:lang w:eastAsia="zh-CN"/>
        </w:rPr>
        <w:t>主办方</w:t>
      </w:r>
      <w:r>
        <w:rPr>
          <w:rFonts w:hint="eastAsia" w:cs="宋体"/>
          <w:b/>
          <w:color w:val="auto"/>
          <w:kern w:val="1"/>
          <w:szCs w:val="21"/>
          <w:highlight w:val="none"/>
        </w:rPr>
        <w:t>签署、盖章。</w:t>
      </w:r>
    </w:p>
    <w:p>
      <w:pPr>
        <w:snapToGrid w:val="0"/>
        <w:spacing w:line="360" w:lineRule="auto"/>
        <w:ind w:firstLine="420" w:firstLineChars="200"/>
        <w:rPr>
          <w:rFonts w:ascii="宋体" w:hAnsi="宋体"/>
          <w:color w:val="auto"/>
          <w:highlight w:val="none"/>
        </w:rPr>
      </w:pPr>
      <w:r>
        <w:rPr>
          <w:color w:val="auto"/>
          <w:highlight w:val="none"/>
        </w:rPr>
        <w:br w:type="page"/>
      </w:r>
      <w:bookmarkStart w:id="401" w:name="_Hlk69827517"/>
      <w:r>
        <w:rPr>
          <w:rFonts w:hint="eastAsia"/>
          <w:color w:val="auto"/>
          <w:highlight w:val="none"/>
        </w:rPr>
        <w:t>技术</w:t>
      </w:r>
      <w:r>
        <w:rPr>
          <w:rFonts w:hint="eastAsia" w:ascii="宋体" w:hAnsi="宋体"/>
          <w:color w:val="auto"/>
          <w:highlight w:val="none"/>
        </w:rPr>
        <w:t>投标书附表：</w:t>
      </w:r>
    </w:p>
    <w:tbl>
      <w:tblPr>
        <w:tblStyle w:val="35"/>
        <w:tblW w:w="9329" w:type="dxa"/>
        <w:tblInd w:w="0" w:type="dxa"/>
        <w:tblLayout w:type="fixed"/>
        <w:tblCellMar>
          <w:top w:w="0" w:type="dxa"/>
          <w:left w:w="0" w:type="dxa"/>
          <w:bottom w:w="0" w:type="dxa"/>
          <w:right w:w="0" w:type="dxa"/>
        </w:tblCellMar>
      </w:tblPr>
      <w:tblGrid>
        <w:gridCol w:w="590"/>
        <w:gridCol w:w="1071"/>
        <w:gridCol w:w="2608"/>
        <w:gridCol w:w="1633"/>
        <w:gridCol w:w="3427"/>
      </w:tblGrid>
      <w:tr>
        <w:tblPrEx>
          <w:tblCellMar>
            <w:top w:w="0" w:type="dxa"/>
            <w:left w:w="0" w:type="dxa"/>
            <w:bottom w:w="0" w:type="dxa"/>
            <w:right w:w="0" w:type="dxa"/>
          </w:tblCellMar>
        </w:tblPrEx>
        <w:trPr>
          <w:trHeight w:val="1160" w:hRule="atLeast"/>
        </w:trPr>
        <w:tc>
          <w:tcPr>
            <w:tcW w:w="9329" w:type="dxa"/>
            <w:gridSpan w:val="5"/>
            <w:tcBorders>
              <w:top w:val="nil"/>
              <w:left w:val="nil"/>
              <w:bottom w:val="single" w:color="000000" w:sz="4" w:space="0"/>
              <w:right w:val="nil"/>
            </w:tcBorders>
            <w:tcMar>
              <w:top w:w="15" w:type="dxa"/>
              <w:left w:w="15" w:type="dxa"/>
              <w:right w:w="15" w:type="dxa"/>
            </w:tcMar>
            <w:vAlign w:val="center"/>
          </w:tcPr>
          <w:p>
            <w:pPr>
              <w:widowControl/>
              <w:spacing w:line="360" w:lineRule="auto"/>
              <w:jc w:val="center"/>
              <w:textAlignment w:val="center"/>
              <w:rPr>
                <w:rFonts w:ascii="宋体" w:hAnsi="宋体" w:cs="方正大标宋简体"/>
                <w:b/>
                <w:color w:val="auto"/>
                <w:sz w:val="32"/>
                <w:szCs w:val="32"/>
                <w:highlight w:val="none"/>
              </w:rPr>
            </w:pPr>
            <w:bookmarkStart w:id="402" w:name="_Hlk61431754"/>
            <w:r>
              <w:rPr>
                <w:rFonts w:hint="eastAsia" w:ascii="宋体" w:hAnsi="宋体" w:cs="方正大标宋简体"/>
                <w:b/>
                <w:color w:val="auto"/>
                <w:sz w:val="32"/>
                <w:szCs w:val="32"/>
                <w:highlight w:val="none"/>
                <w:lang w:bidi="ar"/>
              </w:rPr>
              <w:t>工程总承包</w:t>
            </w:r>
            <w:r>
              <w:rPr>
                <w:rFonts w:ascii="宋体" w:hAnsi="宋体" w:cs="方正大标宋简体"/>
                <w:b/>
                <w:color w:val="auto"/>
                <w:sz w:val="32"/>
                <w:szCs w:val="32"/>
                <w:highlight w:val="none"/>
                <w:lang w:bidi="ar"/>
              </w:rPr>
              <w:t>项目管理团队人员信息表</w:t>
            </w:r>
            <w:bookmarkEnd w:id="402"/>
          </w:p>
        </w:tc>
      </w:tr>
      <w:tr>
        <w:tblPrEx>
          <w:tblCellMar>
            <w:top w:w="0" w:type="dxa"/>
            <w:left w:w="0" w:type="dxa"/>
            <w:bottom w:w="0" w:type="dxa"/>
            <w:right w:w="0" w:type="dxa"/>
          </w:tblCellMar>
        </w:tblPrEx>
        <w:trPr>
          <w:trHeight w:val="975" w:hRule="atLeast"/>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仿宋"/>
                <w:b/>
                <w:color w:val="auto"/>
                <w:szCs w:val="21"/>
                <w:highlight w:val="none"/>
              </w:rPr>
            </w:pPr>
            <w:r>
              <w:rPr>
                <w:rFonts w:hint="eastAsia" w:ascii="宋体" w:hAnsi="宋体" w:cs="仿宋"/>
                <w:b/>
                <w:color w:val="auto"/>
                <w:szCs w:val="21"/>
                <w:highlight w:val="none"/>
                <w:lang w:bidi="ar"/>
              </w:rPr>
              <w:t>序号</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仿宋"/>
                <w:b/>
                <w:color w:val="auto"/>
                <w:szCs w:val="21"/>
                <w:highlight w:val="none"/>
              </w:rPr>
            </w:pPr>
            <w:r>
              <w:rPr>
                <w:rFonts w:hint="eastAsia" w:ascii="宋体" w:hAnsi="宋体" w:cs="仿宋"/>
                <w:b/>
                <w:color w:val="auto"/>
                <w:szCs w:val="21"/>
                <w:highlight w:val="none"/>
                <w:lang w:bidi="ar"/>
              </w:rPr>
              <w:t>姓名</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仿宋"/>
                <w:b/>
                <w:color w:val="auto"/>
                <w:szCs w:val="21"/>
                <w:highlight w:val="none"/>
              </w:rPr>
            </w:pPr>
            <w:r>
              <w:rPr>
                <w:rFonts w:hint="eastAsia" w:ascii="宋体" w:hAnsi="宋体" w:cs="仿宋"/>
                <w:b/>
                <w:color w:val="auto"/>
                <w:szCs w:val="21"/>
                <w:highlight w:val="none"/>
                <w:lang w:bidi="ar"/>
              </w:rPr>
              <w:t>岗位</w:t>
            </w:r>
          </w:p>
        </w:tc>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仿宋"/>
                <w:b/>
                <w:color w:val="auto"/>
                <w:szCs w:val="21"/>
                <w:highlight w:val="none"/>
              </w:rPr>
            </w:pPr>
            <w:r>
              <w:rPr>
                <w:rFonts w:hint="eastAsia" w:ascii="宋体" w:hAnsi="宋体" w:cs="仿宋"/>
                <w:b/>
                <w:color w:val="auto"/>
                <w:szCs w:val="21"/>
                <w:highlight w:val="none"/>
                <w:lang w:bidi="ar"/>
              </w:rPr>
              <w:t>职称</w:t>
            </w:r>
          </w:p>
        </w:tc>
        <w:tc>
          <w:tcPr>
            <w:tcW w:w="3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仿宋"/>
                <w:b/>
                <w:color w:val="auto"/>
                <w:szCs w:val="21"/>
                <w:highlight w:val="none"/>
              </w:rPr>
            </w:pPr>
            <w:r>
              <w:rPr>
                <w:rFonts w:hint="eastAsia" w:ascii="宋体" w:hAnsi="宋体" w:cs="仿宋"/>
                <w:b/>
                <w:color w:val="auto"/>
                <w:szCs w:val="21"/>
                <w:highlight w:val="none"/>
                <w:lang w:bidi="ar"/>
              </w:rPr>
              <w:t>职称证书或资格证书编号</w:t>
            </w:r>
          </w:p>
        </w:tc>
      </w:tr>
      <w:tr>
        <w:tblPrEx>
          <w:tblCellMar>
            <w:top w:w="0" w:type="dxa"/>
            <w:left w:w="0" w:type="dxa"/>
            <w:bottom w:w="0" w:type="dxa"/>
            <w:right w:w="0" w:type="dxa"/>
          </w:tblCellMar>
        </w:tblPrEx>
        <w:trPr>
          <w:trHeight w:val="357" w:hRule="atLeast"/>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仿宋"/>
                <w:color w:val="auto"/>
                <w:szCs w:val="21"/>
                <w:highlight w:val="none"/>
              </w:rPr>
            </w:pPr>
            <w:r>
              <w:rPr>
                <w:rFonts w:hint="eastAsia" w:ascii="宋体" w:hAnsi="宋体" w:cs="仿宋"/>
                <w:color w:val="auto"/>
                <w:szCs w:val="21"/>
                <w:highlight w:val="none"/>
                <w:lang w:bidi="ar"/>
              </w:rPr>
              <w:t>1</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3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r>
      <w:tr>
        <w:tblPrEx>
          <w:tblCellMar>
            <w:top w:w="0" w:type="dxa"/>
            <w:left w:w="0" w:type="dxa"/>
            <w:bottom w:w="0" w:type="dxa"/>
            <w:right w:w="0" w:type="dxa"/>
          </w:tblCellMar>
        </w:tblPrEx>
        <w:trPr>
          <w:trHeight w:val="406" w:hRule="atLeast"/>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仿宋"/>
                <w:color w:val="auto"/>
                <w:szCs w:val="21"/>
                <w:highlight w:val="none"/>
              </w:rPr>
            </w:pPr>
            <w:r>
              <w:rPr>
                <w:rFonts w:hint="eastAsia" w:ascii="宋体" w:hAnsi="宋体" w:cs="仿宋"/>
                <w:color w:val="auto"/>
                <w:szCs w:val="21"/>
                <w:highlight w:val="none"/>
                <w:lang w:bidi="ar"/>
              </w:rPr>
              <w:t>2</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3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r>
      <w:tr>
        <w:tblPrEx>
          <w:tblCellMar>
            <w:top w:w="0" w:type="dxa"/>
            <w:left w:w="0" w:type="dxa"/>
            <w:bottom w:w="0" w:type="dxa"/>
            <w:right w:w="0" w:type="dxa"/>
          </w:tblCellMar>
        </w:tblPrEx>
        <w:trPr>
          <w:trHeight w:val="398" w:hRule="atLeast"/>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仿宋"/>
                <w:color w:val="auto"/>
                <w:szCs w:val="21"/>
                <w:highlight w:val="none"/>
              </w:rPr>
            </w:pPr>
            <w:r>
              <w:rPr>
                <w:rFonts w:hint="eastAsia" w:ascii="宋体" w:hAnsi="宋体" w:cs="仿宋"/>
                <w:color w:val="auto"/>
                <w:szCs w:val="21"/>
                <w:highlight w:val="none"/>
                <w:lang w:bidi="ar"/>
              </w:rPr>
              <w:t>3</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3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r>
      <w:tr>
        <w:tblPrEx>
          <w:tblCellMar>
            <w:top w:w="0" w:type="dxa"/>
            <w:left w:w="0" w:type="dxa"/>
            <w:bottom w:w="0" w:type="dxa"/>
            <w:right w:w="0" w:type="dxa"/>
          </w:tblCellMar>
        </w:tblPrEx>
        <w:trPr>
          <w:trHeight w:val="403" w:hRule="atLeast"/>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仿宋"/>
                <w:color w:val="auto"/>
                <w:szCs w:val="21"/>
                <w:highlight w:val="none"/>
              </w:rPr>
            </w:pPr>
            <w:r>
              <w:rPr>
                <w:rFonts w:hint="eastAsia" w:ascii="宋体" w:hAnsi="宋体" w:cs="仿宋"/>
                <w:color w:val="auto"/>
                <w:szCs w:val="21"/>
                <w:highlight w:val="none"/>
                <w:lang w:bidi="ar"/>
              </w:rPr>
              <w:t>4</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3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r>
      <w:tr>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仿宋"/>
                <w:color w:val="auto"/>
                <w:szCs w:val="21"/>
                <w:highlight w:val="none"/>
              </w:rPr>
            </w:pPr>
            <w:r>
              <w:rPr>
                <w:rFonts w:hint="eastAsia" w:ascii="宋体" w:hAnsi="宋体" w:cs="仿宋"/>
                <w:color w:val="auto"/>
                <w:szCs w:val="21"/>
                <w:highlight w:val="none"/>
                <w:lang w:bidi="ar"/>
              </w:rPr>
              <w:t>5</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3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r>
      <w:tr>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仿宋"/>
                <w:color w:val="auto"/>
                <w:szCs w:val="21"/>
                <w:highlight w:val="none"/>
              </w:rPr>
            </w:pPr>
            <w:r>
              <w:rPr>
                <w:rFonts w:hint="eastAsia" w:ascii="宋体" w:hAnsi="宋体" w:cs="仿宋"/>
                <w:color w:val="auto"/>
                <w:szCs w:val="21"/>
                <w:highlight w:val="none"/>
                <w:lang w:bidi="ar"/>
              </w:rPr>
              <w:t>6</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3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r>
      <w:tr>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仿宋"/>
                <w:color w:val="auto"/>
                <w:szCs w:val="21"/>
                <w:highlight w:val="none"/>
                <w:lang w:bidi="ar"/>
              </w:rPr>
            </w:pPr>
            <w:r>
              <w:rPr>
                <w:rFonts w:ascii="宋体" w:hAnsi="宋体" w:cs="仿宋"/>
                <w:color w:val="auto"/>
                <w:szCs w:val="21"/>
                <w:highlight w:val="none"/>
                <w:lang w:bidi="ar"/>
              </w:rPr>
              <w:t>7</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3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r>
      <w:tr>
        <w:tblPrEx>
          <w:tblCellMar>
            <w:top w:w="0" w:type="dxa"/>
            <w:left w:w="0" w:type="dxa"/>
            <w:bottom w:w="0" w:type="dxa"/>
            <w:right w:w="0" w:type="dxa"/>
          </w:tblCellMar>
        </w:tblPrEx>
        <w:trPr>
          <w:trHeight w:val="408" w:hRule="atLeast"/>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仿宋"/>
                <w:color w:val="auto"/>
                <w:szCs w:val="21"/>
                <w:highlight w:val="none"/>
                <w:lang w:bidi="ar"/>
              </w:rPr>
            </w:pPr>
            <w:r>
              <w:rPr>
                <w:rFonts w:hint="eastAsia" w:ascii="宋体" w:hAnsi="宋体" w:cs="仿宋"/>
                <w:color w:val="auto"/>
                <w:szCs w:val="21"/>
                <w:highlight w:val="none"/>
                <w:lang w:bidi="ar"/>
              </w:rPr>
              <w:t>8</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3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r>
      <w:tr>
        <w:tblPrEx>
          <w:tblCellMar>
            <w:top w:w="0" w:type="dxa"/>
            <w:left w:w="0" w:type="dxa"/>
            <w:bottom w:w="0" w:type="dxa"/>
            <w:right w:w="0" w:type="dxa"/>
          </w:tblCellMar>
        </w:tblPrEx>
        <w:trPr>
          <w:trHeight w:val="390" w:hRule="atLeast"/>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仿宋"/>
                <w:color w:val="auto"/>
                <w:szCs w:val="21"/>
                <w:highlight w:val="none"/>
              </w:rPr>
            </w:pPr>
            <w:r>
              <w:rPr>
                <w:rFonts w:ascii="宋体" w:hAnsi="宋体" w:cs="仿宋"/>
                <w:color w:val="auto"/>
                <w:szCs w:val="21"/>
                <w:highlight w:val="none"/>
              </w:rPr>
              <w:t>9</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3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r>
      <w:tr>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r>
              <w:rPr>
                <w:rFonts w:ascii="宋体" w:hAnsi="宋体" w:cs="仿宋"/>
                <w:color w:val="auto"/>
                <w:szCs w:val="21"/>
                <w:highlight w:val="none"/>
              </w:rPr>
              <w:t>10</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3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r>
      <w:tr>
        <w:tblPrEx>
          <w:tblCellMar>
            <w:top w:w="0" w:type="dxa"/>
            <w:left w:w="0" w:type="dxa"/>
            <w:bottom w:w="0" w:type="dxa"/>
            <w:right w:w="0" w:type="dxa"/>
          </w:tblCellMar>
        </w:tblPrEx>
        <w:trPr>
          <w:trHeight w:val="401" w:hRule="atLeast"/>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r>
              <w:rPr>
                <w:rFonts w:ascii="宋体" w:hAnsi="宋体" w:cs="仿宋"/>
                <w:color w:val="auto"/>
                <w:szCs w:val="21"/>
                <w:highlight w:val="none"/>
              </w:rPr>
              <w:t>11</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3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r>
      <w:tr>
        <w:tblPrEx>
          <w:tblCellMar>
            <w:top w:w="0" w:type="dxa"/>
            <w:left w:w="0" w:type="dxa"/>
            <w:bottom w:w="0" w:type="dxa"/>
            <w:right w:w="0" w:type="dxa"/>
          </w:tblCellMar>
        </w:tblPrEx>
        <w:trPr>
          <w:trHeight w:val="394" w:hRule="atLeast"/>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r>
              <w:rPr>
                <w:rFonts w:ascii="宋体" w:hAnsi="宋体" w:cs="仿宋"/>
                <w:color w:val="auto"/>
                <w:szCs w:val="21"/>
                <w:highlight w:val="none"/>
              </w:rPr>
              <w:t>……</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r>
              <w:rPr>
                <w:rFonts w:hint="eastAsia" w:ascii="宋体" w:hAnsi="宋体" w:cs="仿宋"/>
                <w:color w:val="auto"/>
                <w:szCs w:val="21"/>
                <w:highlight w:val="none"/>
                <w:lang w:bidi="ar"/>
              </w:rPr>
              <w:t>……</w:t>
            </w:r>
          </w:p>
        </w:tc>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p>
        </w:tc>
        <w:tc>
          <w:tcPr>
            <w:tcW w:w="3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宋体" w:hAnsi="宋体" w:cs="仿宋"/>
                <w:color w:val="auto"/>
                <w:szCs w:val="21"/>
                <w:highlight w:val="none"/>
              </w:rPr>
            </w:pPr>
            <w:r>
              <w:rPr>
                <w:rFonts w:hint="eastAsia" w:ascii="宋体" w:hAnsi="宋体" w:cs="仿宋"/>
                <w:color w:val="auto"/>
                <w:szCs w:val="21"/>
                <w:highlight w:val="none"/>
                <w:lang w:bidi="ar"/>
              </w:rPr>
              <w:t>…</w:t>
            </w:r>
          </w:p>
        </w:tc>
      </w:tr>
      <w:tr>
        <w:tblPrEx>
          <w:tblCellMar>
            <w:top w:w="0" w:type="dxa"/>
            <w:left w:w="0" w:type="dxa"/>
            <w:bottom w:w="0" w:type="dxa"/>
            <w:right w:w="0" w:type="dxa"/>
          </w:tblCellMar>
        </w:tblPrEx>
        <w:trPr>
          <w:trHeight w:val="1393" w:hRule="atLeast"/>
        </w:trPr>
        <w:tc>
          <w:tcPr>
            <w:tcW w:w="932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ascii="宋体" w:hAnsi="宋体" w:cs="仿宋"/>
                <w:color w:val="auto"/>
                <w:szCs w:val="21"/>
                <w:highlight w:val="none"/>
              </w:rPr>
            </w:pPr>
            <w:r>
              <w:rPr>
                <w:rStyle w:val="91"/>
                <w:rFonts w:hint="default" w:ascii="宋体" w:hAnsi="宋体" w:eastAsia="宋体"/>
                <w:color w:val="auto"/>
                <w:sz w:val="21"/>
                <w:szCs w:val="21"/>
                <w:highlight w:val="none"/>
                <w:lang w:bidi="ar"/>
              </w:rPr>
              <w:t>备注：</w:t>
            </w:r>
            <w:r>
              <w:rPr>
                <w:rStyle w:val="91"/>
                <w:rFonts w:hint="default" w:ascii="宋体" w:hAnsi="宋体" w:eastAsia="宋体"/>
                <w:color w:val="auto"/>
                <w:sz w:val="21"/>
                <w:szCs w:val="21"/>
                <w:highlight w:val="none"/>
                <w:lang w:bidi="ar"/>
              </w:rPr>
              <w:br w:type="textWrapping"/>
            </w:r>
            <w:r>
              <w:rPr>
                <w:rStyle w:val="91"/>
                <w:rFonts w:hint="default" w:ascii="宋体" w:hAnsi="宋体" w:eastAsia="宋体"/>
                <w:color w:val="auto"/>
                <w:sz w:val="21"/>
                <w:szCs w:val="21"/>
                <w:highlight w:val="none"/>
                <w:lang w:bidi="ar"/>
              </w:rPr>
              <w:t>1、“岗位”要求</w:t>
            </w:r>
            <w:r>
              <w:rPr>
                <w:rStyle w:val="55"/>
                <w:rFonts w:hint="eastAsia"/>
                <w:b/>
                <w:bCs/>
                <w:color w:val="auto"/>
                <w:sz w:val="21"/>
                <w:szCs w:val="21"/>
                <w:highlight w:val="none"/>
                <w:lang w:bidi="ar"/>
              </w:rPr>
              <w:t>[</w:t>
            </w:r>
            <w:r>
              <w:rPr>
                <w:rStyle w:val="55"/>
                <w:b/>
                <w:bCs/>
                <w:color w:val="auto"/>
                <w:sz w:val="21"/>
                <w:szCs w:val="21"/>
                <w:highlight w:val="none"/>
                <w:lang w:bidi="ar"/>
              </w:rPr>
              <w:t>除项目负责人</w:t>
            </w:r>
            <w:r>
              <w:rPr>
                <w:rStyle w:val="55"/>
                <w:rFonts w:hint="eastAsia"/>
                <w:b/>
                <w:bCs/>
                <w:color w:val="auto"/>
                <w:sz w:val="21"/>
                <w:szCs w:val="21"/>
                <w:highlight w:val="none"/>
                <w:lang w:bidi="ar"/>
              </w:rPr>
              <w:t>（兼施工项目负责人）、设计负责人</w:t>
            </w:r>
            <w:r>
              <w:rPr>
                <w:rStyle w:val="55"/>
                <w:b/>
                <w:bCs/>
                <w:color w:val="auto"/>
                <w:sz w:val="21"/>
                <w:szCs w:val="21"/>
                <w:highlight w:val="none"/>
                <w:lang w:bidi="ar"/>
              </w:rPr>
              <w:t>和专职安全员外</w:t>
            </w:r>
            <w:r>
              <w:rPr>
                <w:rStyle w:val="55"/>
                <w:rFonts w:hint="eastAsia"/>
                <w:b/>
                <w:bCs/>
                <w:color w:val="auto"/>
                <w:sz w:val="21"/>
                <w:szCs w:val="21"/>
                <w:highlight w:val="none"/>
                <w:lang w:bidi="ar"/>
              </w:rPr>
              <w:t>]</w:t>
            </w:r>
            <w:r>
              <w:rPr>
                <w:rStyle w:val="91"/>
                <w:rFonts w:hint="default" w:ascii="宋体" w:hAnsi="宋体" w:eastAsia="宋体"/>
                <w:color w:val="auto"/>
                <w:sz w:val="21"/>
                <w:szCs w:val="21"/>
                <w:highlight w:val="none"/>
                <w:lang w:bidi="ar"/>
              </w:rPr>
              <w:t>：拟派技术负责人、质量负责人、安全负责人、造价负责人、各专业设计负责人、施工员、质量员、资料员等。投标登记时，投标人应按本表内容在交易系统中填写《工程总承包项目管理团队人员信息表》，表中的项目管理团队人员信息作为投标文件的一部分，将由交易系统提取后供各相关单位在履约时比对、查核。</w:t>
            </w:r>
            <w:r>
              <w:rPr>
                <w:rStyle w:val="91"/>
                <w:rFonts w:hint="default" w:ascii="宋体" w:hAnsi="宋体" w:eastAsia="宋体"/>
                <w:color w:val="auto"/>
                <w:sz w:val="21"/>
                <w:szCs w:val="21"/>
                <w:highlight w:val="none"/>
                <w:lang w:bidi="ar"/>
              </w:rPr>
              <w:br w:type="textWrapping"/>
            </w:r>
            <w:r>
              <w:rPr>
                <w:rStyle w:val="91"/>
                <w:rFonts w:hint="default" w:ascii="宋体" w:hAnsi="宋体" w:eastAsia="宋体"/>
                <w:color w:val="auto"/>
                <w:sz w:val="21"/>
                <w:szCs w:val="21"/>
                <w:highlight w:val="none"/>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Pr>
                <w:rStyle w:val="91"/>
                <w:rFonts w:hint="default" w:ascii="宋体" w:hAnsi="宋体" w:eastAsia="宋体"/>
                <w:color w:val="auto"/>
                <w:sz w:val="21"/>
                <w:szCs w:val="21"/>
                <w:highlight w:val="none"/>
                <w:lang w:bidi="ar"/>
              </w:rPr>
              <w:br w:type="textWrapping"/>
            </w:r>
            <w:r>
              <w:rPr>
                <w:rStyle w:val="91"/>
                <w:rFonts w:hint="default" w:ascii="宋体" w:hAnsi="宋体" w:eastAsia="宋体"/>
                <w:color w:val="auto"/>
                <w:sz w:val="21"/>
                <w:szCs w:val="21"/>
                <w:highlight w:val="none"/>
                <w:lang w:bidi="ar"/>
              </w:rPr>
              <w:t>3、如评标办法对投标人拟投入的项目管理团队进行评审的，</w:t>
            </w:r>
            <w:bookmarkStart w:id="403" w:name="_Hlk61431742"/>
            <w:r>
              <w:rPr>
                <w:rStyle w:val="91"/>
                <w:rFonts w:hint="default" w:ascii="宋体" w:hAnsi="宋体" w:eastAsia="宋体"/>
                <w:color w:val="auto"/>
                <w:sz w:val="21"/>
                <w:szCs w:val="21"/>
                <w:highlight w:val="none"/>
                <w:lang w:bidi="ar"/>
              </w:rPr>
              <w:t>如相同岗位投入人员姓名与本表不一致的，以本表中姓名为准；投标人提供的团队人员职称或资格（含证书编号）情况与本表不一致的，以投标人提供的相关证明材料为准。</w:t>
            </w:r>
            <w:bookmarkEnd w:id="403"/>
          </w:p>
        </w:tc>
      </w:tr>
      <w:bookmarkEnd w:id="401"/>
    </w:tbl>
    <w:p>
      <w:pPr>
        <w:pStyle w:val="18"/>
        <w:spacing w:line="360" w:lineRule="auto"/>
        <w:rPr>
          <w:color w:val="auto"/>
          <w:sz w:val="24"/>
          <w:highlight w:val="none"/>
          <w:lang w:val="en-US"/>
        </w:rPr>
      </w:pPr>
    </w:p>
    <w:p>
      <w:pPr>
        <w:spacing w:line="360" w:lineRule="auto"/>
        <w:rPr>
          <w:rFonts w:ascii="宋体" w:hAnsi="宋体" w:cs="宋体"/>
          <w:b/>
          <w:color w:val="auto"/>
          <w:kern w:val="1"/>
          <w:sz w:val="24"/>
          <w:highlight w:val="none"/>
          <w:lang w:val="zh-CN"/>
        </w:rPr>
      </w:pPr>
      <w:r>
        <w:rPr>
          <w:rFonts w:cs="宋体"/>
          <w:b/>
          <w:color w:val="auto"/>
          <w:kern w:val="1"/>
          <w:sz w:val="24"/>
          <w:highlight w:val="none"/>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4</w:t>
      </w:r>
      <w:r>
        <w:rPr>
          <w:rFonts w:hint="eastAsia" w:ascii="宋体" w:hAnsi="宋体" w:cs="宋体"/>
          <w:b/>
          <w:color w:val="auto"/>
          <w:kern w:val="1"/>
          <w:sz w:val="24"/>
          <w:highlight w:val="none"/>
          <w:lang w:val="zh-CN"/>
        </w:rPr>
        <w:t>：</w:t>
      </w:r>
    </w:p>
    <w:p>
      <w:pPr>
        <w:pStyle w:val="34"/>
        <w:spacing w:line="360" w:lineRule="auto"/>
        <w:ind w:left="-2" w:firstLine="632"/>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投标承诺书</w:t>
      </w:r>
    </w:p>
    <w:p>
      <w:pPr>
        <w:spacing w:line="360" w:lineRule="auto"/>
        <w:jc w:val="center"/>
        <w:rPr>
          <w:rFonts w:ascii="宋体" w:hAnsi="宋体" w:cs="宋体"/>
          <w:b/>
          <w:color w:val="auto"/>
          <w:kern w:val="1"/>
          <w:sz w:val="24"/>
          <w:highlight w:val="none"/>
        </w:rPr>
      </w:pPr>
    </w:p>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致：</w:t>
      </w:r>
      <w:r>
        <w:rPr>
          <w:rFonts w:hint="eastAsia" w:ascii="宋体" w:hAnsi="宋体" w:cs="宋体"/>
          <w:color w:val="auto"/>
          <w:kern w:val="1"/>
          <w:szCs w:val="21"/>
          <w:highlight w:val="none"/>
          <w:u w:val="single"/>
        </w:rPr>
        <w:t xml:space="preserve">     （招标人名称）       </w:t>
      </w:r>
    </w:p>
    <w:p>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我司确认收到贵司提供的</w:t>
      </w:r>
      <w:r>
        <w:rPr>
          <w:rFonts w:hint="eastAsia" w:ascii="宋体" w:hAnsi="宋体" w:cs="宋体"/>
          <w:color w:val="auto"/>
          <w:kern w:val="1"/>
          <w:szCs w:val="21"/>
          <w:highlight w:val="none"/>
          <w:u w:val="single"/>
        </w:rPr>
        <w:t xml:space="preserve">      （项目名称）      </w:t>
      </w:r>
      <w:r>
        <w:rPr>
          <w:rFonts w:hint="eastAsia" w:ascii="宋体" w:hAnsi="宋体" w:cs="宋体"/>
          <w:color w:val="auto"/>
          <w:kern w:val="1"/>
          <w:szCs w:val="21"/>
          <w:highlight w:val="none"/>
        </w:rPr>
        <w:t>招标文件的全部内容，我司：</w:t>
      </w:r>
      <w:r>
        <w:rPr>
          <w:rFonts w:hint="eastAsia" w:ascii="宋体" w:hAnsi="宋体" w:cs="宋体"/>
          <w:color w:val="auto"/>
          <w:kern w:val="1"/>
          <w:szCs w:val="21"/>
          <w:highlight w:val="none"/>
          <w:u w:val="single"/>
        </w:rPr>
        <w:t xml:space="preserve">       (投标人名称)      </w:t>
      </w:r>
      <w:r>
        <w:rPr>
          <w:rFonts w:hint="eastAsia" w:ascii="宋体" w:hAnsi="宋体" w:cs="宋体"/>
          <w:color w:val="auto"/>
          <w:kern w:val="1"/>
          <w:szCs w:val="21"/>
          <w:highlight w:val="none"/>
        </w:rPr>
        <w:t>已作为投标人正式授权</w:t>
      </w:r>
      <w:r>
        <w:rPr>
          <w:rFonts w:hint="eastAsia" w:ascii="宋体" w:hAnsi="宋体" w:cs="宋体"/>
          <w:color w:val="auto"/>
          <w:kern w:val="1"/>
          <w:szCs w:val="21"/>
          <w:highlight w:val="none"/>
          <w:u w:val="single"/>
        </w:rPr>
        <w:t xml:space="preserve">         (授权代表全名，职务)    </w:t>
      </w:r>
      <w:r>
        <w:rPr>
          <w:rFonts w:hint="eastAsia" w:ascii="宋体" w:hAnsi="宋体" w:cs="宋体"/>
          <w:color w:val="auto"/>
          <w:kern w:val="1"/>
          <w:szCs w:val="21"/>
          <w:highlight w:val="none"/>
        </w:rPr>
        <w:t>代表我司进行有关本投标的一切事宜。</w:t>
      </w:r>
    </w:p>
    <w:p>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我司已完全明白和接受招标文件的所有条款要求，并重申以下几点：</w:t>
      </w:r>
    </w:p>
    <w:p>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 我司已充分阅读了本项目招标文件并充分了解有关报价方式及变更、结算方式，我司完全响应招标文件的规定。</w:t>
      </w:r>
    </w:p>
    <w:p>
      <w:pPr>
        <w:spacing w:line="360" w:lineRule="auto"/>
        <w:ind w:firstLine="420"/>
        <w:rPr>
          <w:rFonts w:hint="eastAsia" w:ascii="宋体" w:hAnsi="宋体" w:eastAsia="宋体" w:cs="宋体"/>
          <w:color w:val="auto"/>
          <w:kern w:val="1"/>
          <w:szCs w:val="21"/>
          <w:highlight w:val="none"/>
          <w:lang w:eastAsia="zh-CN"/>
        </w:rPr>
      </w:pPr>
      <w:r>
        <w:rPr>
          <w:rFonts w:hint="eastAsia" w:ascii="宋体" w:hAnsi="宋体" w:cs="宋体"/>
          <w:color w:val="auto"/>
          <w:kern w:val="1"/>
          <w:szCs w:val="21"/>
          <w:highlight w:val="none"/>
        </w:rPr>
        <w:t>3．本投标文件的有效期为投标截止日后120天内有效</w:t>
      </w:r>
      <w:r>
        <w:rPr>
          <w:rFonts w:hint="eastAsia" w:ascii="宋体" w:hAnsi="宋体" w:cs="宋体"/>
          <w:color w:val="auto"/>
          <w:kern w:val="1"/>
          <w:szCs w:val="21"/>
          <w:highlight w:val="none"/>
          <w:lang w:eastAsia="zh-CN"/>
        </w:rPr>
        <w:t>。</w:t>
      </w:r>
    </w:p>
    <w:p>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4．我司承诺投标文件中的一切资料、数据是真实的，并承担由此引起的一切责任。</w:t>
      </w:r>
    </w:p>
    <w:p>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5．我司明白并愿意若在规定的投标截止时间之后至投标有效期之内撤回投标，则招标人有权就其撤回行为报告政府主管部门载入不良信用记录。</w:t>
      </w:r>
    </w:p>
    <w:p>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6．我司同意按照贵司可能提出的要求而提供与投标有关的任何其它数据或信息。</w:t>
      </w:r>
    </w:p>
    <w:p>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7．我司如果中标，我司保证：</w:t>
      </w:r>
    </w:p>
    <w:p>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7.1保证履行招标文件以及招标文件修改书(如有)中的全部责任和义务，在中标通知书规定的时间内签订合同，并严格按国家有关法规履行我司的全部责任，按质、按量、按期完成合同约定的全部任务。</w:t>
      </w:r>
    </w:p>
    <w:p>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7.3保证所完成的设计将完全符合国家相关规范要求，符合或优于招标文件、技术条件、合同条款的要求。若我司完成的勘察设计方案未能达到招标人（或相关政府部门）的要求，我司将无条件根据要求进行修改勘察设计方案，直至得到招标人（及相关政府部门）的认可为止。</w:t>
      </w:r>
    </w:p>
    <w:p>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7.4保证尽一切力量确保投标承诺的竣工日期，若我司未能按投标承诺的工期完成本项目，除承担合同约定的违约责任外，招标人有权解除合同，我司承担由于违约解除合同退场造成的对招标人的一切损失。</w:t>
      </w:r>
    </w:p>
    <w:p>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7.5保证投标所报的项目负责人、设计负责人在本项目合同签订后7日内到职，全过程服务于本项目，在过程中非不可抗力或招标人要求不得更换。我司违反以上承诺的，同意按合同条款的规定承担违约责任。</w:t>
      </w:r>
    </w:p>
    <w:p>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7.6保证所投入本项目的主要材料、设备质量符合或优于招标文件要求，所投入本项目的辅助设备、材料与主主要材料、设备质量一致并有良好的配套性。</w:t>
      </w:r>
    </w:p>
    <w:p>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7.7保证按照招标文件的要求确保安全生产及文明施工，如有违反，我司愿意按合同约定承担违约责任，并为此负相关的法律责任。</w:t>
      </w:r>
    </w:p>
    <w:p>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7.8保证按国家的有关规定制订保证民工工资支付的方案及保证措施，否则，我司愿按合同条款规定承担违约责任并赔偿招标人的全部损失。</w:t>
      </w:r>
    </w:p>
    <w:p>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7.9保证按施工期间做好安全文明和交通保证措施，施工区全封闭围挡，根据工程进度计划分段施工分期围挡。最大限度满足交通和市民出行方便，施工行为做到便民，不扰民。</w:t>
      </w:r>
    </w:p>
    <w:p>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7.10保证按发包方工期要求编制施工进度计划，计划内容全面详实，根据项目特点合理组织分段施工，分段逐步移交。</w:t>
      </w:r>
    </w:p>
    <w:p>
      <w:pPr>
        <w:spacing w:line="360" w:lineRule="auto"/>
        <w:ind w:firstLine="3360"/>
        <w:rPr>
          <w:rFonts w:ascii="宋体" w:hAnsi="宋体" w:cs="宋体"/>
          <w:color w:val="auto"/>
          <w:kern w:val="1"/>
          <w:szCs w:val="21"/>
          <w:highlight w:val="none"/>
        </w:rPr>
      </w:pPr>
    </w:p>
    <w:p>
      <w:pPr>
        <w:spacing w:line="360" w:lineRule="auto"/>
        <w:ind w:firstLine="3360"/>
        <w:jc w:val="right"/>
        <w:rPr>
          <w:rFonts w:ascii="宋体" w:hAnsi="宋体" w:cs="宋体"/>
          <w:color w:val="auto"/>
          <w:kern w:val="1"/>
          <w:szCs w:val="21"/>
          <w:highlight w:val="none"/>
        </w:rPr>
      </w:pPr>
      <w:r>
        <w:rPr>
          <w:rFonts w:hint="eastAsia" w:ascii="宋体" w:hAnsi="宋体" w:cs="宋体"/>
          <w:color w:val="auto"/>
          <w:kern w:val="1"/>
          <w:szCs w:val="21"/>
          <w:highlight w:val="none"/>
        </w:rPr>
        <w:t>投标人：</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（盖章）</w:t>
      </w:r>
    </w:p>
    <w:p>
      <w:pPr>
        <w:wordWrap w:val="0"/>
        <w:spacing w:line="360" w:lineRule="auto"/>
        <w:ind w:firstLine="3360"/>
        <w:jc w:val="right"/>
        <w:rPr>
          <w:rFonts w:ascii="宋体" w:hAnsi="宋体" w:cs="宋体"/>
          <w:color w:val="auto"/>
          <w:kern w:val="1"/>
          <w:szCs w:val="21"/>
          <w:highlight w:val="none"/>
        </w:rPr>
      </w:pPr>
      <w:r>
        <w:rPr>
          <w:rFonts w:hint="eastAsia" w:ascii="宋体" w:hAnsi="宋体" w:cs="宋体"/>
          <w:color w:val="auto"/>
          <w:kern w:val="1"/>
          <w:szCs w:val="21"/>
          <w:highlight w:val="none"/>
        </w:rPr>
        <w:t>法定代表人或其授权代理人(签名或盖章)：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项目负责人（签名或盖章）：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rPr>
        <w:t xml:space="preserve"> </w:t>
      </w:r>
    </w:p>
    <w:p>
      <w:pPr>
        <w:spacing w:line="360" w:lineRule="auto"/>
        <w:ind w:firstLine="4830" w:firstLineChars="2300"/>
        <w:rPr>
          <w:rFonts w:ascii="宋体" w:hAnsi="宋体" w:cs="宋体"/>
          <w:color w:val="auto"/>
          <w:kern w:val="1"/>
          <w:szCs w:val="21"/>
          <w:highlight w:val="none"/>
          <w:u w:val="single"/>
        </w:rPr>
      </w:pPr>
      <w:r>
        <w:rPr>
          <w:rFonts w:hint="eastAsia" w:ascii="宋体" w:hAnsi="宋体" w:cs="宋体"/>
          <w:color w:val="auto"/>
          <w:kern w:val="1"/>
          <w:szCs w:val="21"/>
          <w:highlight w:val="none"/>
        </w:rPr>
        <w:t>设计负责人（签名或盖章）：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pPr>
        <w:spacing w:line="360" w:lineRule="auto"/>
        <w:ind w:firstLine="4410" w:firstLineChars="2100"/>
        <w:rPr>
          <w:rFonts w:ascii="宋体" w:hAnsi="宋体" w:cs="宋体"/>
          <w:color w:val="auto"/>
          <w:kern w:val="1"/>
          <w:szCs w:val="21"/>
          <w:highlight w:val="none"/>
          <w:u w:val="single"/>
        </w:rPr>
      </w:pPr>
      <w:r>
        <w:rPr>
          <w:rFonts w:hint="eastAsia" w:ascii="宋体" w:hAnsi="宋体" w:cs="宋体"/>
          <w:color w:val="auto"/>
          <w:kern w:val="1"/>
          <w:szCs w:val="21"/>
          <w:highlight w:val="none"/>
        </w:rPr>
        <w:t>项目技术负责人（签名或盖章）：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pPr>
        <w:spacing w:line="360" w:lineRule="auto"/>
        <w:ind w:firstLine="3360"/>
        <w:jc w:val="right"/>
        <w:rPr>
          <w:rFonts w:ascii="宋体" w:hAnsi="宋体" w:cs="宋体"/>
          <w:color w:val="auto"/>
          <w:kern w:val="1"/>
          <w:szCs w:val="21"/>
          <w:highlight w:val="none"/>
        </w:rPr>
      </w:pPr>
      <w:r>
        <w:rPr>
          <w:rFonts w:hint="eastAsia" w:ascii="宋体" w:hAnsi="宋体" w:cs="宋体"/>
          <w:color w:val="auto"/>
          <w:kern w:val="1"/>
          <w:szCs w:val="21"/>
          <w:highlight w:val="none"/>
        </w:rPr>
        <w:t>日   期：</w:t>
      </w:r>
      <w:r>
        <w:rPr>
          <w:rFonts w:hint="eastAsia" w:ascii="宋体" w:hAnsi="宋体" w:cs="宋体"/>
          <w:color w:val="auto"/>
          <w:kern w:val="1"/>
          <w:szCs w:val="21"/>
          <w:highlight w:val="none"/>
          <w:u w:val="single"/>
        </w:rPr>
        <w:t xml:space="preserve">    年    月    日</w:t>
      </w:r>
    </w:p>
    <w:p>
      <w:pPr>
        <w:pStyle w:val="18"/>
        <w:spacing w:line="360" w:lineRule="auto"/>
        <w:rPr>
          <w:rFonts w:cs="宋体"/>
          <w:b/>
          <w:color w:val="auto"/>
          <w:kern w:val="1"/>
          <w:sz w:val="24"/>
          <w:highlight w:val="none"/>
        </w:rPr>
      </w:pPr>
    </w:p>
    <w:p>
      <w:pPr>
        <w:spacing w:line="360" w:lineRule="auto"/>
        <w:ind w:firstLine="420"/>
        <w:rPr>
          <w:rFonts w:ascii="宋体" w:hAnsi="宋体" w:cs="宋体"/>
          <w:color w:val="auto"/>
          <w:kern w:val="1"/>
          <w:szCs w:val="21"/>
          <w:highlight w:val="none"/>
        </w:rPr>
      </w:pPr>
    </w:p>
    <w:p>
      <w:pPr>
        <w:spacing w:line="360" w:lineRule="auto"/>
        <w:rPr>
          <w:rFonts w:ascii="宋体" w:hAnsi="宋体" w:cs="宋体"/>
          <w:b/>
          <w:color w:val="auto"/>
          <w:kern w:val="1"/>
          <w:sz w:val="24"/>
          <w:highlight w:val="none"/>
          <w:lang w:val="zh-CN"/>
        </w:rPr>
      </w:pPr>
      <w:r>
        <w:rPr>
          <w:color w:val="auto"/>
          <w:highlight w:val="none"/>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rPr>
        <w:t>5</w:t>
      </w:r>
      <w:r>
        <w:rPr>
          <w:rFonts w:hint="eastAsia" w:ascii="宋体" w:hAnsi="宋体" w:cs="宋体"/>
          <w:b/>
          <w:color w:val="auto"/>
          <w:kern w:val="1"/>
          <w:sz w:val="24"/>
          <w:highlight w:val="none"/>
          <w:lang w:val="zh-CN"/>
        </w:rPr>
        <w:t>：</w:t>
      </w:r>
    </w:p>
    <w:p>
      <w:pPr>
        <w:pStyle w:val="34"/>
        <w:spacing w:line="360" w:lineRule="auto"/>
        <w:ind w:left="-2" w:firstLine="632"/>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法定代表人证明书、授权委托书</w:t>
      </w:r>
    </w:p>
    <w:p>
      <w:pPr>
        <w:spacing w:line="360" w:lineRule="auto"/>
        <w:jc w:val="center"/>
        <w:rPr>
          <w:rFonts w:ascii="宋体" w:hAnsi="宋体" w:cs="宋体"/>
          <w:b/>
          <w:color w:val="auto"/>
          <w:kern w:val="1"/>
          <w:sz w:val="28"/>
          <w:highlight w:val="none"/>
        </w:rPr>
      </w:pPr>
      <w:r>
        <w:rPr>
          <w:rFonts w:hint="eastAsia" w:ascii="宋体" w:hAnsi="宋体" w:cs="宋体"/>
          <w:b/>
          <w:color w:val="auto"/>
          <w:kern w:val="1"/>
          <w:sz w:val="28"/>
          <w:highlight w:val="none"/>
        </w:rPr>
        <w:t>法定代表人证明书</w:t>
      </w:r>
    </w:p>
    <w:p>
      <w:pPr>
        <w:spacing w:line="360" w:lineRule="auto"/>
        <w:jc w:val="right"/>
        <w:rPr>
          <w:rFonts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35"/>
        <w:tblW w:w="9455" w:type="dxa"/>
        <w:tblInd w:w="0" w:type="dxa"/>
        <w:tblLayout w:type="fixed"/>
        <w:tblCellMar>
          <w:top w:w="0" w:type="dxa"/>
          <w:left w:w="108" w:type="dxa"/>
          <w:bottom w:w="0" w:type="dxa"/>
          <w:right w:w="108" w:type="dxa"/>
        </w:tblCellMar>
      </w:tblPr>
      <w:tblGrid>
        <w:gridCol w:w="9455"/>
      </w:tblGrid>
      <w:tr>
        <w:tc>
          <w:tcPr>
            <w:tcW w:w="9455"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auto"/>
                <w:kern w:val="1"/>
                <w:szCs w:val="21"/>
                <w:highlight w:val="none"/>
                <w:u w:val="single"/>
              </w:rPr>
            </w:pPr>
          </w:p>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 xml:space="preserve"> 　　</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现任我单位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职务，为法定代表人，特此证明。</w:t>
            </w:r>
          </w:p>
          <w:p>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 xml:space="preserve">有效期限： </w:t>
            </w:r>
            <w:r>
              <w:rPr>
                <w:rFonts w:hint="eastAsia" w:ascii="宋体" w:hAnsi="宋体" w:cs="宋体"/>
                <w:color w:val="auto"/>
                <w:kern w:val="1"/>
                <w:szCs w:val="21"/>
                <w:highlight w:val="none"/>
                <w:u w:val="single"/>
              </w:rPr>
              <w:t>　　　　　　　　　　</w:t>
            </w:r>
          </w:p>
          <w:p>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附：法定代表人性别：</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年龄：</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xml:space="preserve"> 身份证号码：</w:t>
            </w:r>
            <w:r>
              <w:rPr>
                <w:rFonts w:hint="eastAsia" w:ascii="宋体" w:hAnsi="宋体" w:cs="宋体"/>
                <w:color w:val="auto"/>
                <w:kern w:val="1"/>
                <w:szCs w:val="21"/>
                <w:highlight w:val="none"/>
                <w:u w:val="single"/>
              </w:rPr>
              <w:t>　　　　　　　　　　</w:t>
            </w:r>
          </w:p>
          <w:p>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注册号码：</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企业类型：</w:t>
            </w:r>
            <w:r>
              <w:rPr>
                <w:rFonts w:hint="eastAsia" w:ascii="宋体" w:hAnsi="宋体" w:cs="宋体"/>
                <w:color w:val="auto"/>
                <w:kern w:val="1"/>
                <w:szCs w:val="21"/>
                <w:highlight w:val="none"/>
                <w:u w:val="single"/>
              </w:rPr>
              <w:t>　　　　　　　　　　</w:t>
            </w:r>
          </w:p>
          <w:p>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经营范围：</w:t>
            </w:r>
            <w:r>
              <w:rPr>
                <w:rFonts w:hint="eastAsia" w:ascii="宋体" w:hAnsi="宋体" w:cs="宋体"/>
                <w:color w:val="auto"/>
                <w:kern w:val="1"/>
                <w:szCs w:val="21"/>
                <w:highlight w:val="none"/>
                <w:u w:val="single"/>
              </w:rPr>
              <w:t xml:space="preserve">　　　　　　　　　　                                                 </w:t>
            </w:r>
          </w:p>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（盖章）</w:t>
            </w:r>
          </w:p>
          <w:p>
            <w:pPr>
              <w:spacing w:line="360" w:lineRule="auto"/>
              <w:ind w:firstLine="3360" w:firstLineChars="1600"/>
              <w:rPr>
                <w:rFonts w:ascii="宋体" w:hAnsi="宋体" w:cs="宋体"/>
                <w:color w:val="auto"/>
                <w:kern w:val="1"/>
                <w:szCs w:val="21"/>
                <w:highlight w:val="none"/>
                <w:u w:val="single"/>
              </w:rPr>
            </w:pPr>
            <w:r>
              <w:rPr>
                <w:rFonts w:hint="eastAsia" w:ascii="宋体" w:hAnsi="宋体" w:cs="宋体"/>
                <w:color w:val="auto"/>
                <w:kern w:val="1"/>
                <w:szCs w:val="21"/>
                <w:highlight w:val="none"/>
              </w:rPr>
              <w:t>　　　　　    年　 月　　日</w:t>
            </w:r>
          </w:p>
        </w:tc>
      </w:tr>
    </w:tbl>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注：1、法定代表人证明书也可以采用工商行政管理局统一印制的格式。</w:t>
      </w:r>
    </w:p>
    <w:p>
      <w:pPr>
        <w:spacing w:line="360" w:lineRule="auto"/>
        <w:ind w:firstLine="424" w:firstLineChars="202"/>
        <w:rPr>
          <w:rFonts w:ascii="宋体" w:hAnsi="宋体" w:cs="宋体"/>
          <w:color w:val="auto"/>
          <w:kern w:val="1"/>
          <w:szCs w:val="21"/>
          <w:highlight w:val="none"/>
        </w:rPr>
      </w:pPr>
      <w:r>
        <w:rPr>
          <w:rFonts w:hint="eastAsia" w:ascii="宋体" w:hAnsi="宋体" w:cs="宋体"/>
          <w:color w:val="auto"/>
          <w:kern w:val="1"/>
          <w:szCs w:val="21"/>
          <w:highlight w:val="none"/>
        </w:rPr>
        <w:t>2、联合体投标的，本证明书由联合体</w:t>
      </w:r>
      <w:r>
        <w:rPr>
          <w:rFonts w:hint="eastAsia" w:ascii="宋体" w:hAnsi="宋体" w:cs="宋体"/>
          <w:color w:val="auto"/>
          <w:kern w:val="1"/>
          <w:szCs w:val="21"/>
          <w:highlight w:val="none"/>
          <w:lang w:eastAsia="zh-CN"/>
        </w:rPr>
        <w:t>主办方</w:t>
      </w:r>
      <w:r>
        <w:rPr>
          <w:rFonts w:hint="eastAsia" w:ascii="宋体" w:hAnsi="宋体" w:cs="宋体"/>
          <w:color w:val="auto"/>
          <w:kern w:val="1"/>
          <w:szCs w:val="21"/>
          <w:highlight w:val="none"/>
        </w:rPr>
        <w:t>出具。</w:t>
      </w:r>
    </w:p>
    <w:p>
      <w:pPr>
        <w:spacing w:line="360" w:lineRule="auto"/>
        <w:ind w:firstLine="424" w:firstLineChars="202"/>
        <w:rPr>
          <w:rFonts w:ascii="宋体" w:hAnsi="宋体" w:cs="宋体"/>
          <w:color w:val="auto"/>
          <w:kern w:val="1"/>
          <w:szCs w:val="21"/>
          <w:highlight w:val="none"/>
        </w:rPr>
      </w:pPr>
      <w:r>
        <w:rPr>
          <w:rFonts w:hint="eastAsia" w:ascii="宋体" w:hAnsi="宋体" w:cs="宋体"/>
          <w:color w:val="auto"/>
          <w:kern w:val="1"/>
          <w:szCs w:val="21"/>
          <w:highlight w:val="none"/>
        </w:rPr>
        <w:t>3、附法定代表人身份证原件扫描件。</w:t>
      </w:r>
    </w:p>
    <w:p>
      <w:pPr>
        <w:spacing w:line="360" w:lineRule="auto"/>
        <w:jc w:val="center"/>
        <w:rPr>
          <w:rFonts w:ascii="宋体" w:hAnsi="宋体" w:cs="宋体"/>
          <w:b/>
          <w:color w:val="auto"/>
          <w:kern w:val="1"/>
          <w:sz w:val="24"/>
          <w:highlight w:val="none"/>
        </w:rPr>
      </w:pPr>
      <w:r>
        <w:rPr>
          <w:rFonts w:hint="eastAsia" w:ascii="宋体" w:hAnsi="宋体" w:cs="宋体"/>
          <w:b/>
          <w:color w:val="auto"/>
          <w:kern w:val="1"/>
          <w:sz w:val="24"/>
          <w:highlight w:val="none"/>
        </w:rPr>
        <w:t>法定代表人授权委托书</w:t>
      </w:r>
    </w:p>
    <w:p>
      <w:pPr>
        <w:spacing w:line="360" w:lineRule="auto"/>
        <w:jc w:val="right"/>
        <w:rPr>
          <w:rFonts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35"/>
        <w:tblW w:w="9243" w:type="dxa"/>
        <w:tblInd w:w="0" w:type="dxa"/>
        <w:tblLayout w:type="fixed"/>
        <w:tblCellMar>
          <w:top w:w="0" w:type="dxa"/>
          <w:left w:w="108" w:type="dxa"/>
          <w:bottom w:w="0" w:type="dxa"/>
          <w:right w:w="108" w:type="dxa"/>
        </w:tblCellMar>
      </w:tblPr>
      <w:tblGrid>
        <w:gridCol w:w="9243"/>
      </w:tblGrid>
      <w:tr>
        <w:tc>
          <w:tcPr>
            <w:tcW w:w="9243" w:type="dxa"/>
            <w:tcBorders>
              <w:top w:val="single" w:color="000000" w:sz="4" w:space="0"/>
              <w:left w:val="single" w:color="000000" w:sz="4" w:space="0"/>
              <w:bottom w:val="single" w:color="000000" w:sz="4" w:space="0"/>
              <w:right w:val="single" w:color="000000" w:sz="4" w:space="0"/>
            </w:tcBorders>
          </w:tcPr>
          <w:p>
            <w:pPr>
              <w:spacing w:line="360" w:lineRule="auto"/>
              <w:ind w:firstLine="480"/>
              <w:rPr>
                <w:rFonts w:ascii="宋体" w:hAnsi="宋体" w:cs="宋体"/>
                <w:color w:val="auto"/>
                <w:kern w:val="1"/>
                <w:szCs w:val="21"/>
                <w:highlight w:val="none"/>
                <w:u w:val="single"/>
              </w:rPr>
            </w:pPr>
            <w:r>
              <w:rPr>
                <w:rFonts w:hint="eastAsia" w:ascii="宋体" w:hAnsi="宋体" w:cs="宋体"/>
                <w:color w:val="auto"/>
                <w:kern w:val="1"/>
                <w:szCs w:val="21"/>
                <w:highlight w:val="none"/>
              </w:rPr>
              <w:t>兹授权</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rPr>
              <w:t>为我方委托代理人，其权限是：</w:t>
            </w:r>
            <w:r>
              <w:rPr>
                <w:rFonts w:hint="eastAsia" w:ascii="宋体" w:hAnsi="宋体" w:cs="宋体"/>
                <w:color w:val="auto"/>
                <w:kern w:val="1"/>
                <w:szCs w:val="21"/>
                <w:highlight w:val="none"/>
                <w:u w:val="single"/>
              </w:rPr>
              <w:t>　　　　                        　　　　　　</w:t>
            </w:r>
          </w:p>
          <w:p>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　　　　　　　                                                               　　　</w:t>
            </w:r>
          </w:p>
          <w:p>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有效期限：</w:t>
            </w:r>
            <w:r>
              <w:rPr>
                <w:rFonts w:hint="eastAsia" w:ascii="宋体" w:hAnsi="宋体" w:cs="宋体"/>
                <w:color w:val="auto"/>
                <w:kern w:val="1"/>
                <w:szCs w:val="21"/>
                <w:highlight w:val="none"/>
                <w:u w:val="single"/>
              </w:rPr>
              <w:t>　　　　　　　　　　</w:t>
            </w:r>
          </w:p>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附：代理人性别：</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年龄：</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 xml:space="preserve"> 身份证号码：</w:t>
            </w:r>
            <w:r>
              <w:rPr>
                <w:rFonts w:hint="eastAsia" w:ascii="宋体" w:hAnsi="宋体" w:cs="宋体"/>
                <w:color w:val="auto"/>
                <w:kern w:val="1"/>
                <w:szCs w:val="21"/>
                <w:highlight w:val="none"/>
                <w:u w:val="single"/>
              </w:rPr>
              <w:t>　　　　　　　　　　</w:t>
            </w:r>
          </w:p>
          <w:p>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 xml:space="preserve">注册号码： </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xml:space="preserve">  企业类型：</w:t>
            </w:r>
            <w:r>
              <w:rPr>
                <w:rFonts w:hint="eastAsia" w:ascii="宋体" w:hAnsi="宋体" w:cs="宋体"/>
                <w:color w:val="auto"/>
                <w:kern w:val="1"/>
                <w:szCs w:val="21"/>
                <w:highlight w:val="none"/>
                <w:u w:val="single"/>
              </w:rPr>
              <w:t>　　　　　　　　　　</w:t>
            </w:r>
          </w:p>
          <w:p>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经营范围：</w:t>
            </w:r>
            <w:r>
              <w:rPr>
                <w:rFonts w:hint="eastAsia" w:ascii="宋体" w:hAnsi="宋体" w:cs="宋体"/>
                <w:color w:val="auto"/>
                <w:kern w:val="1"/>
                <w:szCs w:val="21"/>
                <w:highlight w:val="none"/>
                <w:u w:val="single"/>
              </w:rPr>
              <w:t>　　　　　　　　                                        　　</w:t>
            </w:r>
          </w:p>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法定代表人：</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（签名或盖章）</w:t>
            </w:r>
          </w:p>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授权单位：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（盖章）</w:t>
            </w:r>
          </w:p>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 xml:space="preserve">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 xml:space="preserve">年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月   日</w:t>
            </w:r>
          </w:p>
        </w:tc>
      </w:tr>
    </w:tbl>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注：1、法定代表人授权委托书也可以采用工商行政管理局统一印制的格式。</w:t>
      </w:r>
    </w:p>
    <w:p>
      <w:pPr>
        <w:numPr>
          <w:ilvl w:val="0"/>
          <w:numId w:val="5"/>
        </w:numPr>
        <w:spacing w:line="360" w:lineRule="auto"/>
        <w:ind w:firstLine="426"/>
        <w:rPr>
          <w:rFonts w:ascii="宋体" w:hAnsi="宋体" w:cs="宋体"/>
          <w:color w:val="auto"/>
          <w:kern w:val="1"/>
          <w:szCs w:val="21"/>
          <w:highlight w:val="none"/>
        </w:rPr>
      </w:pPr>
      <w:r>
        <w:rPr>
          <w:rFonts w:hint="eastAsia" w:ascii="宋体" w:hAnsi="宋体" w:cs="宋体"/>
          <w:color w:val="auto"/>
          <w:kern w:val="1"/>
          <w:szCs w:val="21"/>
          <w:highlight w:val="none"/>
        </w:rPr>
        <w:t>联合体投标的，本授权书由联合体</w:t>
      </w:r>
      <w:r>
        <w:rPr>
          <w:rFonts w:hint="eastAsia" w:ascii="宋体" w:hAnsi="宋体" w:cs="宋体"/>
          <w:color w:val="auto"/>
          <w:kern w:val="1"/>
          <w:szCs w:val="21"/>
          <w:highlight w:val="none"/>
          <w:lang w:eastAsia="zh-CN"/>
        </w:rPr>
        <w:t>主办方</w:t>
      </w:r>
      <w:r>
        <w:rPr>
          <w:rFonts w:hint="eastAsia" w:ascii="宋体" w:hAnsi="宋体" w:cs="宋体"/>
          <w:color w:val="auto"/>
          <w:kern w:val="1"/>
          <w:szCs w:val="21"/>
          <w:highlight w:val="none"/>
        </w:rPr>
        <w:t>出具，并由联合体</w:t>
      </w:r>
      <w:r>
        <w:rPr>
          <w:rFonts w:hint="eastAsia" w:ascii="宋体" w:hAnsi="宋体" w:cs="宋体"/>
          <w:color w:val="auto"/>
          <w:kern w:val="1"/>
          <w:szCs w:val="21"/>
          <w:highlight w:val="none"/>
          <w:lang w:eastAsia="zh-CN"/>
        </w:rPr>
        <w:t>主办方</w:t>
      </w:r>
      <w:r>
        <w:rPr>
          <w:rFonts w:hint="eastAsia" w:ascii="宋体" w:hAnsi="宋体" w:cs="宋体"/>
          <w:color w:val="auto"/>
          <w:kern w:val="1"/>
          <w:szCs w:val="21"/>
          <w:highlight w:val="none"/>
        </w:rPr>
        <w:t>签字、盖章即可。</w:t>
      </w:r>
    </w:p>
    <w:p>
      <w:pPr>
        <w:pStyle w:val="18"/>
        <w:spacing w:line="360" w:lineRule="auto"/>
        <w:ind w:firstLine="420" w:firstLineChars="200"/>
        <w:rPr>
          <w:color w:val="auto"/>
          <w:highlight w:val="none"/>
        </w:rPr>
      </w:pPr>
      <w:r>
        <w:rPr>
          <w:rFonts w:hint="eastAsia" w:cs="宋体"/>
          <w:color w:val="auto"/>
          <w:kern w:val="1"/>
          <w:sz w:val="21"/>
          <w:szCs w:val="21"/>
          <w:highlight w:val="none"/>
          <w:lang w:val="en-US"/>
        </w:rPr>
        <w:t>3、附委托代理人身份证原件扫描件。</w:t>
      </w:r>
    </w:p>
    <w:p>
      <w:pPr>
        <w:spacing w:line="360" w:lineRule="auto"/>
        <w:rPr>
          <w:rFonts w:ascii="宋体" w:hAnsi="宋体" w:cs="宋体"/>
          <w:b/>
          <w:color w:val="auto"/>
          <w:kern w:val="1"/>
          <w:sz w:val="24"/>
          <w:highlight w:val="none"/>
        </w:rPr>
      </w:pPr>
      <w:r>
        <w:rPr>
          <w:rFonts w:ascii="宋体" w:hAnsi="宋体" w:cs="宋体"/>
          <w:b/>
          <w:color w:val="auto"/>
          <w:kern w:val="1"/>
          <w:sz w:val="24"/>
          <w:highlight w:val="none"/>
        </w:rPr>
        <w:br w:type="page"/>
      </w:r>
      <w:r>
        <w:rPr>
          <w:rFonts w:hint="eastAsia" w:ascii="宋体" w:hAnsi="宋体" w:cs="宋体"/>
          <w:b/>
          <w:color w:val="auto"/>
          <w:kern w:val="1"/>
          <w:sz w:val="24"/>
          <w:highlight w:val="none"/>
        </w:rPr>
        <w:t xml:space="preserve"> 格式</w:t>
      </w:r>
      <w:r>
        <w:rPr>
          <w:rFonts w:ascii="宋体" w:hAnsi="宋体" w:cs="宋体"/>
          <w:b/>
          <w:color w:val="auto"/>
          <w:kern w:val="1"/>
          <w:sz w:val="24"/>
          <w:highlight w:val="none"/>
        </w:rPr>
        <w:t>6</w:t>
      </w:r>
      <w:r>
        <w:rPr>
          <w:rFonts w:hint="eastAsia" w:ascii="宋体" w:hAnsi="宋体" w:cs="宋体"/>
          <w:b/>
          <w:color w:val="auto"/>
          <w:kern w:val="1"/>
          <w:sz w:val="24"/>
          <w:highlight w:val="none"/>
        </w:rPr>
        <w:t>：</w:t>
      </w:r>
    </w:p>
    <w:p>
      <w:pPr>
        <w:spacing w:line="360" w:lineRule="auto"/>
        <w:jc w:val="center"/>
        <w:rPr>
          <w:rFonts w:ascii="宋体" w:hAnsi="宋体" w:cs="宋体"/>
          <w:b/>
          <w:color w:val="auto"/>
          <w:kern w:val="1"/>
          <w:sz w:val="28"/>
          <w:szCs w:val="28"/>
          <w:highlight w:val="none"/>
          <w:lang w:val="zh-CN"/>
        </w:rPr>
      </w:pPr>
      <w:bookmarkStart w:id="404" w:name="_Toc31552"/>
      <w:bookmarkEnd w:id="404"/>
      <w:bookmarkStart w:id="405" w:name="_Toc17417"/>
      <w:bookmarkEnd w:id="405"/>
      <w:bookmarkStart w:id="406" w:name="_Toc5620363"/>
      <w:r>
        <w:rPr>
          <w:rFonts w:hint="eastAsia" w:ascii="宋体" w:hAnsi="宋体" w:cs="宋体"/>
          <w:b/>
          <w:color w:val="auto"/>
          <w:kern w:val="1"/>
          <w:sz w:val="28"/>
          <w:szCs w:val="28"/>
          <w:highlight w:val="none"/>
          <w:lang w:val="zh-CN"/>
        </w:rPr>
        <w:t>设计主要负责人配备</w:t>
      </w:r>
      <w:bookmarkEnd w:id="406"/>
      <w:r>
        <w:rPr>
          <w:rFonts w:hint="eastAsia" w:ascii="宋体" w:hAnsi="宋体" w:cs="宋体"/>
          <w:b/>
          <w:color w:val="auto"/>
          <w:kern w:val="1"/>
          <w:sz w:val="28"/>
          <w:szCs w:val="28"/>
          <w:highlight w:val="none"/>
          <w:lang w:val="zh-CN"/>
        </w:rPr>
        <w:t>表</w:t>
      </w:r>
    </w:p>
    <w:tbl>
      <w:tblPr>
        <w:tblStyle w:val="35"/>
        <w:tblW w:w="9420" w:type="dxa"/>
        <w:jc w:val="center"/>
        <w:tblLayout w:type="fixed"/>
        <w:tblCellMar>
          <w:top w:w="0" w:type="dxa"/>
          <w:left w:w="108" w:type="dxa"/>
          <w:bottom w:w="0" w:type="dxa"/>
          <w:right w:w="108" w:type="dxa"/>
        </w:tblCellMar>
      </w:tblPr>
      <w:tblGrid>
        <w:gridCol w:w="1242"/>
        <w:gridCol w:w="1134"/>
        <w:gridCol w:w="1276"/>
        <w:gridCol w:w="1418"/>
        <w:gridCol w:w="1275"/>
        <w:gridCol w:w="3075"/>
      </w:tblGrid>
      <w:tr>
        <w:tblPrEx>
          <w:tblCellMar>
            <w:top w:w="0" w:type="dxa"/>
            <w:left w:w="108" w:type="dxa"/>
            <w:bottom w:w="0" w:type="dxa"/>
            <w:right w:w="108" w:type="dxa"/>
          </w:tblCellMar>
        </w:tblPrEx>
        <w:trPr>
          <w:trHeight w:val="1082"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highlight w:val="none"/>
              </w:rPr>
            </w:pPr>
            <w:r>
              <w:rPr>
                <w:rFonts w:hint="eastAsia" w:ascii="宋体" w:hAnsi="宋体" w:cs="宋体"/>
                <w:color w:val="auto"/>
                <w:kern w:val="1"/>
                <w:highlight w:val="none"/>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highlight w:val="none"/>
              </w:rPr>
            </w:pPr>
            <w:r>
              <w:rPr>
                <w:rFonts w:hint="eastAsia" w:ascii="宋体" w:hAnsi="宋体" w:cs="宋体"/>
                <w:color w:val="auto"/>
                <w:kern w:val="1"/>
                <w:highlight w:val="none"/>
              </w:rPr>
              <w:t>专业分工</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highlight w:val="none"/>
              </w:rPr>
            </w:pPr>
            <w:r>
              <w:rPr>
                <w:rFonts w:hint="eastAsia" w:ascii="宋体" w:hAnsi="宋体" w:cs="宋体"/>
                <w:color w:val="auto"/>
                <w:kern w:val="1"/>
                <w:highlight w:val="none"/>
              </w:rPr>
              <w:t>本项目拟任职务</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highlight w:val="none"/>
              </w:rPr>
            </w:pPr>
            <w:r>
              <w:rPr>
                <w:rFonts w:hint="eastAsia" w:ascii="宋体" w:hAnsi="宋体" w:cs="宋体"/>
                <w:color w:val="auto"/>
                <w:kern w:val="1"/>
                <w:highlight w:val="none"/>
              </w:rPr>
              <w:t>专业职称</w:t>
            </w: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highlight w:val="none"/>
              </w:rPr>
            </w:pPr>
            <w:r>
              <w:rPr>
                <w:rFonts w:hint="eastAsia" w:ascii="宋体" w:hAnsi="宋体" w:cs="宋体"/>
                <w:color w:val="auto"/>
                <w:kern w:val="1"/>
                <w:highlight w:val="none"/>
              </w:rPr>
              <w:t>执业资格</w:t>
            </w: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highlight w:val="none"/>
              </w:rPr>
            </w:pPr>
            <w:r>
              <w:rPr>
                <w:rFonts w:hint="eastAsia" w:ascii="宋体" w:hAnsi="宋体" w:cs="宋体"/>
                <w:color w:val="auto"/>
                <w:kern w:val="1"/>
                <w:highlight w:val="none"/>
              </w:rPr>
              <w:t>获奖奖项</w:t>
            </w: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ascii="宋体" w:hAnsi="宋体" w:cs="宋体"/>
                <w:color w:val="auto"/>
                <w:kern w:val="1"/>
                <w:szCs w:val="21"/>
                <w:highlight w:val="none"/>
              </w:rPr>
              <w:t>……</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r>
    </w:tbl>
    <w:p>
      <w:pPr>
        <w:pStyle w:val="18"/>
        <w:spacing w:line="360" w:lineRule="auto"/>
        <w:rPr>
          <w:rFonts w:cs="宋体"/>
          <w:color w:val="auto"/>
          <w:kern w:val="1"/>
          <w:sz w:val="18"/>
          <w:szCs w:val="18"/>
          <w:highlight w:val="none"/>
        </w:rPr>
      </w:pPr>
      <w:r>
        <w:rPr>
          <w:rFonts w:hint="eastAsia" w:cs="宋体"/>
          <w:color w:val="auto"/>
          <w:kern w:val="1"/>
          <w:sz w:val="18"/>
          <w:szCs w:val="18"/>
          <w:highlight w:val="none"/>
        </w:rPr>
        <w:t>注：投标人应根据招标文件第三章《评标办法》“</w:t>
      </w:r>
      <w:r>
        <w:rPr>
          <w:rFonts w:hint="eastAsia" w:cs="宋体"/>
          <w:color w:val="auto"/>
          <w:kern w:val="1"/>
          <w:sz w:val="18"/>
          <w:szCs w:val="18"/>
          <w:highlight w:val="none"/>
          <w:lang w:eastAsia="zh-CN"/>
        </w:rPr>
        <w:t>勘察、设计、工程商务及实施方案投标文件详细审查评分表</w:t>
      </w:r>
      <w:r>
        <w:rPr>
          <w:rFonts w:hint="eastAsia" w:cs="宋体"/>
          <w:color w:val="auto"/>
          <w:kern w:val="1"/>
          <w:sz w:val="18"/>
          <w:szCs w:val="18"/>
          <w:highlight w:val="none"/>
        </w:rPr>
        <w:t>”要求在本表后附对应的相关证明材料。</w:t>
      </w:r>
    </w:p>
    <w:p>
      <w:pPr>
        <w:pStyle w:val="18"/>
        <w:spacing w:line="360" w:lineRule="auto"/>
        <w:jc w:val="right"/>
        <w:rPr>
          <w:rFonts w:cs="宋体"/>
          <w:color w:val="auto"/>
          <w:kern w:val="1"/>
          <w:sz w:val="21"/>
          <w:szCs w:val="21"/>
          <w:highlight w:val="none"/>
        </w:rPr>
      </w:pPr>
      <w:r>
        <w:rPr>
          <w:rFonts w:hint="eastAsia" w:cs="宋体"/>
          <w:color w:val="auto"/>
          <w:spacing w:val="18"/>
          <w:kern w:val="1"/>
          <w:sz w:val="21"/>
          <w:szCs w:val="21"/>
          <w:highlight w:val="none"/>
        </w:rPr>
        <w:t>投标人：</w:t>
      </w:r>
      <w:r>
        <w:rPr>
          <w:rFonts w:hint="eastAsia" w:cs="宋体"/>
          <w:color w:val="auto"/>
          <w:spacing w:val="18"/>
          <w:kern w:val="1"/>
          <w:sz w:val="21"/>
          <w:szCs w:val="21"/>
          <w:highlight w:val="none"/>
          <w:u w:val="single"/>
          <w:lang w:val="en-US"/>
        </w:rPr>
        <w:t xml:space="preserve">      </w:t>
      </w:r>
      <w:r>
        <w:rPr>
          <w:rFonts w:hint="eastAsia" w:cs="宋体"/>
          <w:color w:val="auto"/>
          <w:spacing w:val="18"/>
          <w:kern w:val="1"/>
          <w:sz w:val="21"/>
          <w:szCs w:val="21"/>
          <w:highlight w:val="none"/>
        </w:rPr>
        <w:t xml:space="preserve">(盖章)  </w:t>
      </w:r>
    </w:p>
    <w:p>
      <w:pPr>
        <w:spacing w:line="360" w:lineRule="auto"/>
        <w:jc w:val="right"/>
        <w:rPr>
          <w:rFonts w:ascii="宋体" w:hAnsi="宋体" w:cs="宋体"/>
          <w:color w:val="auto"/>
          <w:kern w:val="1"/>
          <w:szCs w:val="21"/>
          <w:highlight w:val="none"/>
        </w:rPr>
      </w:pPr>
      <w:r>
        <w:rPr>
          <w:rFonts w:hint="eastAsia" w:ascii="宋体" w:hAnsi="宋体" w:cs="宋体"/>
          <w:color w:val="auto"/>
          <w:kern w:val="1"/>
          <w:szCs w:val="21"/>
          <w:highlight w:val="none"/>
        </w:rPr>
        <w:t xml:space="preserve">               日期：   年   月   日</w:t>
      </w:r>
    </w:p>
    <w:p>
      <w:pPr>
        <w:pStyle w:val="18"/>
        <w:rPr>
          <w:color w:val="auto"/>
          <w:highlight w:val="none"/>
        </w:rPr>
      </w:pPr>
      <w:r>
        <w:rPr>
          <w:color w:val="auto"/>
          <w:highlight w:val="none"/>
        </w:rPr>
        <w:br w:type="page"/>
      </w:r>
    </w:p>
    <w:p>
      <w:pPr>
        <w:tabs>
          <w:tab w:val="left" w:pos="7655"/>
        </w:tabs>
        <w:spacing w:line="360" w:lineRule="auto"/>
        <w:rPr>
          <w:rFonts w:ascii="宋体" w:hAnsi="宋体" w:cs="宋体"/>
          <w:b/>
          <w:bCs/>
          <w:color w:val="auto"/>
          <w:spacing w:val="4"/>
          <w:sz w:val="24"/>
          <w:szCs w:val="24"/>
          <w:highlight w:val="none"/>
          <w:lang w:val="zh-CN"/>
        </w:rPr>
      </w:pPr>
      <w:r>
        <w:rPr>
          <w:rFonts w:hint="eastAsia" w:ascii="宋体" w:hAnsi="宋体" w:cs="宋体"/>
          <w:b/>
          <w:color w:val="auto"/>
          <w:kern w:val="1"/>
          <w:sz w:val="24"/>
          <w:highlight w:val="none"/>
        </w:rPr>
        <w:t>格式</w:t>
      </w:r>
      <w:r>
        <w:rPr>
          <w:rFonts w:ascii="宋体" w:hAnsi="宋体" w:cs="宋体"/>
          <w:b/>
          <w:color w:val="auto"/>
          <w:kern w:val="1"/>
          <w:sz w:val="24"/>
          <w:highlight w:val="none"/>
        </w:rPr>
        <w:t>7</w:t>
      </w:r>
      <w:r>
        <w:rPr>
          <w:rFonts w:hint="eastAsia" w:ascii="宋体" w:hAnsi="宋体" w:cs="宋体"/>
          <w:b/>
          <w:color w:val="auto"/>
          <w:kern w:val="1"/>
          <w:sz w:val="24"/>
          <w:highlight w:val="none"/>
        </w:rPr>
        <w:t>：</w:t>
      </w:r>
    </w:p>
    <w:p>
      <w:pPr>
        <w:tabs>
          <w:tab w:val="left" w:pos="7655"/>
        </w:tabs>
        <w:spacing w:line="360" w:lineRule="auto"/>
        <w:jc w:val="center"/>
        <w:rPr>
          <w:rFonts w:ascii="宋体" w:hAnsi="宋体" w:cs="宋体"/>
          <w:b/>
          <w:color w:val="auto"/>
          <w:spacing w:val="20"/>
          <w:kern w:val="1"/>
          <w:sz w:val="36"/>
          <w:szCs w:val="36"/>
          <w:highlight w:val="none"/>
        </w:rPr>
      </w:pPr>
      <w:r>
        <w:rPr>
          <w:rFonts w:hint="eastAsia" w:ascii="宋体" w:hAnsi="宋体" w:cs="宋体"/>
          <w:b/>
          <w:bCs/>
          <w:color w:val="auto"/>
          <w:spacing w:val="4"/>
          <w:sz w:val="32"/>
          <w:szCs w:val="32"/>
          <w:highlight w:val="none"/>
          <w:lang w:val="zh-CN"/>
        </w:rPr>
        <w:t>拟投入本项目施工主要负责人员简历表</w:t>
      </w:r>
    </w:p>
    <w:tbl>
      <w:tblPr>
        <w:tblStyle w:val="35"/>
        <w:tblW w:w="9663" w:type="dxa"/>
        <w:tblInd w:w="0" w:type="dxa"/>
        <w:tblLayout w:type="fixed"/>
        <w:tblCellMar>
          <w:top w:w="0" w:type="dxa"/>
          <w:left w:w="108" w:type="dxa"/>
          <w:bottom w:w="0" w:type="dxa"/>
          <w:right w:w="108" w:type="dxa"/>
        </w:tblCellMar>
      </w:tblPr>
      <w:tblGrid>
        <w:gridCol w:w="1576"/>
        <w:gridCol w:w="1469"/>
        <w:gridCol w:w="1316"/>
        <w:gridCol w:w="869"/>
        <w:gridCol w:w="19"/>
        <w:gridCol w:w="832"/>
        <w:gridCol w:w="708"/>
        <w:gridCol w:w="1134"/>
        <w:gridCol w:w="900"/>
        <w:gridCol w:w="840"/>
      </w:tblGrid>
      <w:tr>
        <w:tblPrEx>
          <w:tblCellMar>
            <w:top w:w="0" w:type="dxa"/>
            <w:left w:w="108" w:type="dxa"/>
            <w:bottom w:w="0" w:type="dxa"/>
            <w:right w:w="108" w:type="dxa"/>
          </w:tblCellMar>
        </w:tblPrEx>
        <w:trPr>
          <w:trHeight w:val="749" w:hRule="exact"/>
        </w:trPr>
        <w:tc>
          <w:tcPr>
            <w:tcW w:w="1576" w:type="dxa"/>
            <w:tcBorders>
              <w:top w:val="single" w:color="000000" w:sz="12" w:space="0"/>
              <w:left w:val="single" w:color="000000" w:sz="12" w:space="0"/>
              <w:bottom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姓名</w:t>
            </w:r>
          </w:p>
        </w:tc>
        <w:tc>
          <w:tcPr>
            <w:tcW w:w="1469" w:type="dxa"/>
            <w:tcBorders>
              <w:top w:val="single" w:color="000000" w:sz="12" w:space="0"/>
              <w:left w:val="single" w:color="000000" w:sz="6" w:space="0"/>
              <w:bottom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1316" w:type="dxa"/>
            <w:tcBorders>
              <w:top w:val="single" w:color="000000" w:sz="12" w:space="0"/>
              <w:left w:val="single" w:color="000000" w:sz="6" w:space="0"/>
              <w:bottom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性别</w:t>
            </w:r>
          </w:p>
        </w:tc>
        <w:tc>
          <w:tcPr>
            <w:tcW w:w="888" w:type="dxa"/>
            <w:gridSpan w:val="2"/>
            <w:tcBorders>
              <w:top w:val="single" w:color="000000" w:sz="12" w:space="0"/>
              <w:left w:val="single" w:color="000000" w:sz="6" w:space="0"/>
              <w:bottom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p>
        </w:tc>
        <w:tc>
          <w:tcPr>
            <w:tcW w:w="832" w:type="dxa"/>
            <w:tcBorders>
              <w:top w:val="single" w:color="000000" w:sz="12" w:space="0"/>
              <w:left w:val="single" w:color="000000" w:sz="6" w:space="0"/>
              <w:bottom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出生年月</w:t>
            </w:r>
          </w:p>
        </w:tc>
        <w:tc>
          <w:tcPr>
            <w:tcW w:w="1842" w:type="dxa"/>
            <w:gridSpan w:val="2"/>
            <w:tcBorders>
              <w:top w:val="single" w:color="000000" w:sz="12" w:space="0"/>
              <w:left w:val="single" w:color="000000" w:sz="6" w:space="0"/>
              <w:bottom w:val="single" w:color="000000" w:sz="6"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900" w:type="dxa"/>
            <w:tcBorders>
              <w:top w:val="single" w:color="000000" w:sz="12" w:space="0"/>
              <w:left w:val="single" w:color="000000" w:sz="4" w:space="0"/>
              <w:bottom w:val="single" w:color="000000" w:sz="6" w:space="0"/>
              <w:right w:val="single" w:color="000000" w:sz="4" w:space="0"/>
            </w:tcBorders>
            <w:vAlign w:val="center"/>
          </w:tcPr>
          <w:p>
            <w:pPr>
              <w:spacing w:line="360" w:lineRule="auto"/>
              <w:jc w:val="center"/>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文化</w:t>
            </w:r>
          </w:p>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程度</w:t>
            </w:r>
          </w:p>
        </w:tc>
        <w:tc>
          <w:tcPr>
            <w:tcW w:w="840" w:type="dxa"/>
            <w:tcBorders>
              <w:top w:val="single" w:color="000000" w:sz="12" w:space="0"/>
              <w:left w:val="single" w:color="000000" w:sz="4" w:space="0"/>
              <w:bottom w:val="single" w:color="000000" w:sz="6" w:space="0"/>
              <w:right w:val="single" w:color="000000" w:sz="12" w:space="0"/>
            </w:tcBorders>
            <w:vAlign w:val="center"/>
          </w:tcPr>
          <w:p>
            <w:pPr>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757" w:hRule="exact"/>
        </w:trPr>
        <w:tc>
          <w:tcPr>
            <w:tcW w:w="1576"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毕业院校</w:t>
            </w:r>
          </w:p>
        </w:tc>
        <w:tc>
          <w:tcPr>
            <w:tcW w:w="1469"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ascii="宋体" w:hAnsi="宋体" w:cs="宋体"/>
                <w:color w:val="auto"/>
                <w:kern w:val="1"/>
                <w:szCs w:val="21"/>
                <w:highlight w:val="none"/>
              </w:rPr>
            </w:pPr>
          </w:p>
        </w:tc>
        <w:tc>
          <w:tcPr>
            <w:tcW w:w="131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专业</w:t>
            </w:r>
          </w:p>
        </w:tc>
        <w:tc>
          <w:tcPr>
            <w:tcW w:w="1720" w:type="dxa"/>
            <w:gridSpan w:val="3"/>
            <w:tcBorders>
              <w:top w:val="single" w:color="000000" w:sz="6" w:space="0"/>
              <w:left w:val="single" w:color="000000" w:sz="6" w:space="0"/>
              <w:bottom w:val="single" w:color="000000" w:sz="6" w:space="0"/>
              <w:right w:val="single" w:color="000000" w:sz="4" w:space="0"/>
            </w:tcBorders>
            <w:vAlign w:val="center"/>
          </w:tcPr>
          <w:p>
            <w:pPr>
              <w:spacing w:line="360" w:lineRule="auto"/>
              <w:rPr>
                <w:rFonts w:ascii="宋体" w:hAnsi="宋体" w:cs="宋体"/>
                <w:color w:val="auto"/>
                <w:kern w:val="1"/>
                <w:szCs w:val="21"/>
                <w:highlight w:val="none"/>
              </w:rPr>
            </w:pPr>
          </w:p>
        </w:tc>
        <w:tc>
          <w:tcPr>
            <w:tcW w:w="708" w:type="dxa"/>
            <w:tcBorders>
              <w:top w:val="single" w:color="000000" w:sz="6" w:space="0"/>
              <w:left w:val="single" w:color="000000" w:sz="4" w:space="0"/>
              <w:bottom w:val="single" w:color="000000" w:sz="6" w:space="0"/>
              <w:right w:val="single" w:color="000000" w:sz="4" w:space="0"/>
            </w:tcBorders>
            <w:vAlign w:val="center"/>
          </w:tcPr>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lang w:val="zh-CN"/>
              </w:rPr>
              <w:t>毕业</w:t>
            </w:r>
          </w:p>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lang w:val="zh-CN"/>
              </w:rPr>
              <w:t>时间</w:t>
            </w:r>
          </w:p>
        </w:tc>
        <w:tc>
          <w:tcPr>
            <w:tcW w:w="1134" w:type="dxa"/>
            <w:tcBorders>
              <w:top w:val="single" w:color="000000" w:sz="6" w:space="0"/>
              <w:left w:val="single" w:color="000000" w:sz="4" w:space="0"/>
              <w:bottom w:val="single" w:color="000000" w:sz="6" w:space="0"/>
              <w:right w:val="single" w:color="000000" w:sz="6" w:space="0"/>
            </w:tcBorders>
            <w:vAlign w:val="center"/>
          </w:tcPr>
          <w:p>
            <w:pPr>
              <w:spacing w:line="360" w:lineRule="auto"/>
              <w:rPr>
                <w:rFonts w:ascii="宋体" w:hAnsi="宋体" w:cs="宋体"/>
                <w:color w:val="auto"/>
                <w:kern w:val="1"/>
                <w:szCs w:val="21"/>
                <w:highlight w:val="none"/>
              </w:rPr>
            </w:pPr>
          </w:p>
        </w:tc>
        <w:tc>
          <w:tcPr>
            <w:tcW w:w="900" w:type="dxa"/>
            <w:tcBorders>
              <w:top w:val="single" w:color="000000" w:sz="6" w:space="0"/>
              <w:left w:val="single" w:color="000000" w:sz="6" w:space="0"/>
              <w:bottom w:val="single" w:color="000000" w:sz="6"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技术</w:t>
            </w:r>
          </w:p>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职称</w:t>
            </w:r>
          </w:p>
        </w:tc>
        <w:tc>
          <w:tcPr>
            <w:tcW w:w="840" w:type="dxa"/>
            <w:tcBorders>
              <w:top w:val="single" w:color="000000" w:sz="6" w:space="0"/>
              <w:left w:val="single" w:color="000000" w:sz="4" w:space="0"/>
              <w:bottom w:val="single" w:color="000000" w:sz="6" w:space="0"/>
              <w:right w:val="single" w:color="000000" w:sz="12" w:space="0"/>
            </w:tcBorders>
            <w:vAlign w:val="center"/>
          </w:tcPr>
          <w:p>
            <w:pPr>
              <w:spacing w:line="360" w:lineRule="auto"/>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2324" w:hRule="exact"/>
        </w:trPr>
        <w:tc>
          <w:tcPr>
            <w:tcW w:w="1576"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拟在本项目担任的职务</w:t>
            </w:r>
          </w:p>
        </w:tc>
        <w:tc>
          <w:tcPr>
            <w:tcW w:w="1469"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ascii="宋体" w:hAnsi="宋体" w:cs="宋体"/>
                <w:color w:val="auto"/>
                <w:kern w:val="1"/>
                <w:szCs w:val="21"/>
                <w:highlight w:val="none"/>
              </w:rPr>
            </w:pPr>
          </w:p>
        </w:tc>
        <w:tc>
          <w:tcPr>
            <w:tcW w:w="1316" w:type="dxa"/>
            <w:tcBorders>
              <w:top w:val="single" w:color="000000" w:sz="6" w:space="0"/>
              <w:left w:val="single" w:color="000000" w:sz="6" w:space="0"/>
              <w:bottom w:val="single" w:color="000000" w:sz="6" w:space="0"/>
              <w:right w:val="single" w:color="000000" w:sz="6" w:space="0"/>
            </w:tcBorders>
            <w:vAlign w:val="center"/>
          </w:tcPr>
          <w:p>
            <w:pPr>
              <w:spacing w:line="360" w:lineRule="auto"/>
              <w:ind w:left="-80" w:right="-116"/>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取得职称或资格证年限</w:t>
            </w:r>
          </w:p>
        </w:tc>
        <w:tc>
          <w:tcPr>
            <w:tcW w:w="869"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ascii="宋体" w:hAnsi="宋体" w:cs="宋体"/>
                <w:color w:val="auto"/>
                <w:kern w:val="1"/>
                <w:szCs w:val="21"/>
                <w:highlight w:val="none"/>
              </w:rPr>
            </w:pPr>
          </w:p>
        </w:tc>
        <w:tc>
          <w:tcPr>
            <w:tcW w:w="851" w:type="dxa"/>
            <w:gridSpan w:val="2"/>
            <w:tcBorders>
              <w:top w:val="single" w:color="000000" w:sz="6" w:space="0"/>
              <w:left w:val="single" w:color="000000" w:sz="6" w:space="0"/>
              <w:bottom w:val="single" w:color="000000" w:sz="6"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现任</w:t>
            </w:r>
          </w:p>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职务</w:t>
            </w:r>
          </w:p>
        </w:tc>
        <w:tc>
          <w:tcPr>
            <w:tcW w:w="1842" w:type="dxa"/>
            <w:gridSpan w:val="2"/>
            <w:tcBorders>
              <w:top w:val="single" w:color="000000" w:sz="6" w:space="0"/>
              <w:left w:val="single" w:color="000000" w:sz="4" w:space="0"/>
              <w:bottom w:val="single" w:color="000000" w:sz="6"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900" w:type="dxa"/>
            <w:tcBorders>
              <w:top w:val="single" w:color="000000" w:sz="6" w:space="0"/>
              <w:left w:val="single" w:color="000000" w:sz="4" w:space="0"/>
              <w:bottom w:val="single" w:color="000000" w:sz="6"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联系</w:t>
            </w:r>
          </w:p>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电话</w:t>
            </w:r>
          </w:p>
        </w:tc>
        <w:tc>
          <w:tcPr>
            <w:tcW w:w="840" w:type="dxa"/>
            <w:tcBorders>
              <w:top w:val="single" w:color="000000" w:sz="6" w:space="0"/>
              <w:left w:val="single" w:color="000000" w:sz="4" w:space="0"/>
              <w:bottom w:val="single" w:color="000000" w:sz="6" w:space="0"/>
              <w:right w:val="single" w:color="000000" w:sz="12" w:space="0"/>
            </w:tcBorders>
            <w:vAlign w:val="center"/>
          </w:tcPr>
          <w:p>
            <w:pPr>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1289" w:hRule="exact"/>
        </w:trPr>
        <w:tc>
          <w:tcPr>
            <w:tcW w:w="1576"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资格证号</w:t>
            </w:r>
          </w:p>
        </w:tc>
        <w:tc>
          <w:tcPr>
            <w:tcW w:w="6347" w:type="dxa"/>
            <w:gridSpan w:val="7"/>
            <w:tcBorders>
              <w:top w:val="single" w:color="000000" w:sz="6" w:space="0"/>
              <w:left w:val="single" w:color="000000" w:sz="6" w:space="0"/>
              <w:bottom w:val="single" w:color="000000" w:sz="6"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900" w:type="dxa"/>
            <w:tcBorders>
              <w:top w:val="single" w:color="000000" w:sz="6" w:space="0"/>
              <w:left w:val="single" w:color="000000" w:sz="4" w:space="0"/>
              <w:bottom w:val="single" w:color="000000" w:sz="6"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在册/外聘</w:t>
            </w:r>
          </w:p>
        </w:tc>
        <w:tc>
          <w:tcPr>
            <w:tcW w:w="840" w:type="dxa"/>
            <w:tcBorders>
              <w:top w:val="single" w:color="000000" w:sz="6" w:space="0"/>
              <w:left w:val="single" w:color="000000" w:sz="4" w:space="0"/>
              <w:bottom w:val="single" w:color="000000" w:sz="6" w:space="0"/>
              <w:right w:val="single" w:color="000000" w:sz="12" w:space="0"/>
            </w:tcBorders>
            <w:vAlign w:val="center"/>
          </w:tcPr>
          <w:p>
            <w:pPr>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618" w:hRule="exact"/>
        </w:trPr>
        <w:tc>
          <w:tcPr>
            <w:tcW w:w="1576" w:type="dxa"/>
            <w:vMerge w:val="restart"/>
            <w:tcBorders>
              <w:top w:val="single" w:color="000000" w:sz="6" w:space="0"/>
              <w:left w:val="single" w:color="000000" w:sz="12" w:space="0"/>
              <w:bottom w:val="single" w:color="000000" w:sz="12" w:space="0"/>
              <w:right w:val="single" w:color="000000" w:sz="6"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主要</w:t>
            </w:r>
          </w:p>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获奖</w:t>
            </w:r>
          </w:p>
        </w:tc>
        <w:tc>
          <w:tcPr>
            <w:tcW w:w="1469" w:type="dxa"/>
            <w:tcBorders>
              <w:top w:val="single" w:color="000000" w:sz="6" w:space="0"/>
              <w:left w:val="single" w:color="000000" w:sz="6"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时间</w:t>
            </w:r>
          </w:p>
        </w:tc>
        <w:tc>
          <w:tcPr>
            <w:tcW w:w="3744" w:type="dxa"/>
            <w:gridSpan w:val="5"/>
            <w:tcBorders>
              <w:top w:val="single" w:color="000000" w:sz="6"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1134" w:type="dxa"/>
            <w:tcBorders>
              <w:top w:val="single" w:color="000000" w:sz="6"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任职</w:t>
            </w:r>
          </w:p>
        </w:tc>
        <w:tc>
          <w:tcPr>
            <w:tcW w:w="1740" w:type="dxa"/>
            <w:gridSpan w:val="2"/>
            <w:tcBorders>
              <w:top w:val="single" w:color="000000" w:sz="6" w:space="0"/>
              <w:left w:val="single" w:color="000000" w:sz="4" w:space="0"/>
              <w:bottom w:val="single" w:color="000000" w:sz="4" w:space="0"/>
              <w:right w:val="single" w:color="000000" w:sz="12"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奖项类型</w:t>
            </w:r>
          </w:p>
        </w:tc>
      </w:tr>
      <w:tr>
        <w:tblPrEx>
          <w:tblCellMar>
            <w:top w:w="0" w:type="dxa"/>
            <w:left w:w="108" w:type="dxa"/>
            <w:bottom w:w="0" w:type="dxa"/>
            <w:right w:w="108" w:type="dxa"/>
          </w:tblCellMar>
        </w:tblPrEx>
        <w:trPr>
          <w:trHeight w:val="1913" w:hRule="atLeast"/>
        </w:trPr>
        <w:tc>
          <w:tcPr>
            <w:tcW w:w="1576" w:type="dxa"/>
            <w:vMerge w:val="continue"/>
            <w:tcBorders>
              <w:top w:val="single" w:color="000000" w:sz="6" w:space="0"/>
              <w:left w:val="single" w:color="000000" w:sz="12" w:space="0"/>
              <w:bottom w:val="single" w:color="000000" w:sz="12" w:space="0"/>
              <w:right w:val="single" w:color="000000" w:sz="6" w:space="0"/>
            </w:tcBorders>
            <w:vAlign w:val="center"/>
          </w:tcPr>
          <w:p>
            <w:pPr>
              <w:spacing w:line="360" w:lineRule="auto"/>
              <w:jc w:val="left"/>
              <w:rPr>
                <w:rFonts w:ascii="宋体" w:hAnsi="宋体" w:cs="宋体"/>
                <w:color w:val="auto"/>
                <w:kern w:val="1"/>
                <w:szCs w:val="21"/>
                <w:highlight w:val="none"/>
              </w:rPr>
            </w:pPr>
          </w:p>
        </w:tc>
        <w:tc>
          <w:tcPr>
            <w:tcW w:w="1469" w:type="dxa"/>
            <w:tcBorders>
              <w:top w:val="single" w:color="000000" w:sz="6" w:space="0"/>
              <w:left w:val="single" w:color="000000" w:sz="6" w:space="0"/>
              <w:bottom w:val="single" w:color="000000" w:sz="12"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3744" w:type="dxa"/>
            <w:gridSpan w:val="5"/>
            <w:tcBorders>
              <w:top w:val="single" w:color="000000" w:sz="6" w:space="0"/>
              <w:bottom w:val="single" w:color="000000" w:sz="12"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134" w:type="dxa"/>
            <w:tcBorders>
              <w:top w:val="single" w:color="000000" w:sz="6" w:space="0"/>
              <w:bottom w:val="single" w:color="000000" w:sz="12"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740" w:type="dxa"/>
            <w:gridSpan w:val="2"/>
            <w:tcBorders>
              <w:top w:val="single" w:color="000000" w:sz="6" w:space="0"/>
              <w:left w:val="single" w:color="000000" w:sz="4" w:space="0"/>
              <w:bottom w:val="single" w:color="000000" w:sz="12" w:space="0"/>
              <w:right w:val="single" w:color="000000" w:sz="12" w:space="0"/>
            </w:tcBorders>
            <w:vAlign w:val="center"/>
          </w:tcPr>
          <w:p>
            <w:pPr>
              <w:spacing w:line="360" w:lineRule="auto"/>
              <w:jc w:val="center"/>
              <w:rPr>
                <w:rFonts w:ascii="宋体" w:hAnsi="宋体" w:cs="宋体"/>
                <w:color w:val="auto"/>
                <w:kern w:val="1"/>
                <w:szCs w:val="21"/>
                <w:highlight w:val="none"/>
              </w:rPr>
            </w:pPr>
          </w:p>
        </w:tc>
      </w:tr>
    </w:tbl>
    <w:p>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备注：</w:t>
      </w:r>
    </w:p>
    <w:p>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1、项目负责人、技术负责人应附本简历表，其余人员无需本表。</w:t>
      </w:r>
    </w:p>
    <w:p>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2、投标人应根据招标文件第三章《评标办法》“勘察、设计、工程商务及实施方案投标文件详细审查评分表”要求在本表后附对应的相关证明材料。</w:t>
      </w:r>
    </w:p>
    <w:p>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3、所报人员在获得资格证后，技术职称有变化的，应附相应证明文件。</w:t>
      </w:r>
    </w:p>
    <w:p>
      <w:pPr>
        <w:spacing w:line="360" w:lineRule="auto"/>
        <w:ind w:right="-624" w:firstLine="520"/>
        <w:rPr>
          <w:rFonts w:ascii="宋体" w:hAnsi="宋体" w:cs="宋体"/>
          <w:color w:val="auto"/>
          <w:spacing w:val="-10"/>
          <w:kern w:val="1"/>
          <w:szCs w:val="21"/>
          <w:highlight w:val="none"/>
        </w:rPr>
      </w:pPr>
    </w:p>
    <w:p>
      <w:pPr>
        <w:pStyle w:val="18"/>
        <w:spacing w:line="360" w:lineRule="auto"/>
        <w:rPr>
          <w:color w:val="auto"/>
          <w:highlight w:val="none"/>
        </w:rPr>
      </w:pPr>
    </w:p>
    <w:p>
      <w:pPr>
        <w:tabs>
          <w:tab w:val="left" w:pos="7655"/>
        </w:tabs>
        <w:spacing w:line="600" w:lineRule="auto"/>
        <w:ind w:right="492"/>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pPr>
        <w:tabs>
          <w:tab w:val="left" w:pos="7655"/>
        </w:tabs>
        <w:spacing w:line="600" w:lineRule="auto"/>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pPr>
        <w:spacing w:line="600" w:lineRule="auto"/>
        <w:ind w:firstLine="6888" w:firstLineChars="2800"/>
        <w:rPr>
          <w:rFonts w:ascii="宋体" w:hAnsi="宋体" w:cs="宋体"/>
          <w:color w:val="auto"/>
          <w:kern w:val="1"/>
          <w:szCs w:val="21"/>
          <w:highlight w:val="none"/>
        </w:rPr>
      </w:pP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pPr>
        <w:spacing w:line="360" w:lineRule="auto"/>
        <w:jc w:val="right"/>
        <w:rPr>
          <w:rFonts w:ascii="宋体" w:hAnsi="宋体" w:cs="宋体"/>
          <w:color w:val="auto"/>
          <w:kern w:val="1"/>
          <w:szCs w:val="21"/>
          <w:highlight w:val="none"/>
        </w:rPr>
      </w:pPr>
    </w:p>
    <w:p>
      <w:pPr>
        <w:pStyle w:val="68"/>
        <w:ind w:firstLine="0"/>
        <w:rPr>
          <w:rFonts w:ascii="宋体" w:hAnsi="宋体" w:cs="宋体"/>
          <w:b/>
          <w:color w:val="auto"/>
          <w:kern w:val="1"/>
          <w:highlight w:val="none"/>
        </w:rPr>
      </w:pPr>
      <w:r>
        <w:rPr>
          <w:color w:val="auto"/>
          <w:highlight w:val="none"/>
        </w:rPr>
        <w:br w:type="page"/>
      </w:r>
      <w:r>
        <w:rPr>
          <w:rFonts w:hint="eastAsia" w:ascii="宋体" w:hAnsi="宋体" w:cs="宋体"/>
          <w:b/>
          <w:color w:val="auto"/>
          <w:kern w:val="1"/>
          <w:highlight w:val="none"/>
        </w:rPr>
        <w:t>格式</w:t>
      </w:r>
      <w:r>
        <w:rPr>
          <w:rFonts w:ascii="宋体" w:hAnsi="宋体" w:cs="宋体"/>
          <w:b/>
          <w:color w:val="auto"/>
          <w:kern w:val="1"/>
          <w:highlight w:val="none"/>
        </w:rPr>
        <w:t>8</w:t>
      </w:r>
      <w:r>
        <w:rPr>
          <w:rFonts w:hint="eastAsia" w:ascii="宋体" w:hAnsi="宋体" w:cs="宋体"/>
          <w:b/>
          <w:color w:val="auto"/>
          <w:kern w:val="1"/>
          <w:highlight w:val="none"/>
        </w:rPr>
        <w:t>：</w:t>
      </w:r>
    </w:p>
    <w:p>
      <w:pPr>
        <w:pStyle w:val="68"/>
        <w:ind w:firstLine="198"/>
        <w:jc w:val="center"/>
        <w:rPr>
          <w:rFonts w:ascii="宋体" w:hAnsi="宋体" w:cs="宋体"/>
          <w:b/>
          <w:bCs/>
          <w:color w:val="auto"/>
          <w:highlight w:val="none"/>
        </w:rPr>
      </w:pPr>
      <w:bookmarkStart w:id="407" w:name="_Hlk55921181"/>
      <w:r>
        <w:rPr>
          <w:rFonts w:hint="eastAsia" w:ascii="宋体" w:hAnsi="宋体" w:cs="宋体"/>
          <w:b/>
          <w:bCs/>
          <w:color w:val="auto"/>
          <w:sz w:val="32"/>
          <w:szCs w:val="32"/>
          <w:highlight w:val="none"/>
          <w:lang w:val="zh-CN"/>
        </w:rPr>
        <w:t>拟投入本项目施工人员一览表</w:t>
      </w:r>
      <w:bookmarkEnd w:id="407"/>
    </w:p>
    <w:tbl>
      <w:tblPr>
        <w:tblStyle w:val="35"/>
        <w:tblW w:w="9514" w:type="dxa"/>
        <w:tblInd w:w="0" w:type="dxa"/>
        <w:tblLayout w:type="fixed"/>
        <w:tblCellMar>
          <w:top w:w="0" w:type="dxa"/>
          <w:left w:w="108" w:type="dxa"/>
          <w:bottom w:w="0" w:type="dxa"/>
          <w:right w:w="108" w:type="dxa"/>
        </w:tblCellMar>
      </w:tblPr>
      <w:tblGrid>
        <w:gridCol w:w="599"/>
        <w:gridCol w:w="600"/>
        <w:gridCol w:w="600"/>
        <w:gridCol w:w="600"/>
        <w:gridCol w:w="801"/>
        <w:gridCol w:w="717"/>
        <w:gridCol w:w="684"/>
        <w:gridCol w:w="600"/>
        <w:gridCol w:w="1103"/>
        <w:gridCol w:w="1003"/>
        <w:gridCol w:w="1607"/>
        <w:gridCol w:w="600"/>
      </w:tblGrid>
      <w:tr>
        <w:tblPrEx>
          <w:tblCellMar>
            <w:top w:w="0" w:type="dxa"/>
            <w:left w:w="108" w:type="dxa"/>
            <w:bottom w:w="0" w:type="dxa"/>
            <w:right w:w="108" w:type="dxa"/>
          </w:tblCellMar>
        </w:tblPrEx>
        <w:trPr>
          <w:trHeight w:val="76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序号</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姓名</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性别</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年龄</w:t>
            </w: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技术职称</w:t>
            </w: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所在</w:t>
            </w:r>
          </w:p>
          <w:p>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单位</w:t>
            </w:r>
          </w:p>
        </w:tc>
        <w:tc>
          <w:tcPr>
            <w:tcW w:w="684"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单位职务</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专业</w:t>
            </w: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本项目拟任职务</w:t>
            </w:r>
          </w:p>
        </w:tc>
        <w:tc>
          <w:tcPr>
            <w:tcW w:w="10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资格证书证号</w:t>
            </w:r>
          </w:p>
        </w:tc>
        <w:tc>
          <w:tcPr>
            <w:tcW w:w="160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目前正承担的其它项目情况</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备注</w:t>
            </w:r>
          </w:p>
        </w:tc>
      </w:tr>
      <w:tr>
        <w:tblPrEx>
          <w:tblCellMar>
            <w:top w:w="0" w:type="dxa"/>
            <w:left w:w="108" w:type="dxa"/>
            <w:bottom w:w="0" w:type="dxa"/>
            <w:right w:w="108" w:type="dxa"/>
          </w:tblCellMar>
        </w:tblPrEx>
        <w:trPr>
          <w:trHeight w:val="43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1</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r>
      <w:tr>
        <w:tblPrEx>
          <w:tblCellMar>
            <w:top w:w="0" w:type="dxa"/>
            <w:left w:w="108" w:type="dxa"/>
            <w:bottom w:w="0" w:type="dxa"/>
            <w:right w:w="108" w:type="dxa"/>
          </w:tblCellMar>
        </w:tblPrEx>
        <w:trPr>
          <w:trHeight w:val="453"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2</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r>
      <w:tr>
        <w:tblPrEx>
          <w:tblCellMar>
            <w:top w:w="0" w:type="dxa"/>
            <w:left w:w="108" w:type="dxa"/>
            <w:bottom w:w="0" w:type="dxa"/>
            <w:right w:w="108" w:type="dxa"/>
          </w:tblCellMar>
        </w:tblPrEx>
        <w:trPr>
          <w:trHeight w:val="458"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3</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r>
      <w:tr>
        <w:tblPrEx>
          <w:tblCellMar>
            <w:top w:w="0" w:type="dxa"/>
            <w:left w:w="108" w:type="dxa"/>
            <w:bottom w:w="0" w:type="dxa"/>
            <w:right w:w="108" w:type="dxa"/>
          </w:tblCellMar>
        </w:tblPrEx>
        <w:trPr>
          <w:trHeight w:val="450"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4</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r>
      <w:tr>
        <w:tblPrEx>
          <w:tblCellMar>
            <w:top w:w="0" w:type="dxa"/>
            <w:left w:w="108" w:type="dxa"/>
            <w:bottom w:w="0" w:type="dxa"/>
            <w:right w:w="108" w:type="dxa"/>
          </w:tblCellMar>
        </w:tblPrEx>
        <w:trPr>
          <w:trHeight w:val="442"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5</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r>
      <w:tr>
        <w:tblPrEx>
          <w:tblCellMar>
            <w:top w:w="0" w:type="dxa"/>
            <w:left w:w="108" w:type="dxa"/>
            <w:bottom w:w="0" w:type="dxa"/>
            <w:right w:w="108" w:type="dxa"/>
          </w:tblCellMar>
        </w:tblPrEx>
        <w:trPr>
          <w:trHeight w:val="462"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6</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r>
      <w:tr>
        <w:tblPrEx>
          <w:tblCellMar>
            <w:top w:w="0" w:type="dxa"/>
            <w:left w:w="108" w:type="dxa"/>
            <w:bottom w:w="0" w:type="dxa"/>
            <w:right w:w="108" w:type="dxa"/>
          </w:tblCellMar>
        </w:tblPrEx>
        <w:trPr>
          <w:trHeight w:val="45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7</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r>
      <w:tr>
        <w:tblPrEx>
          <w:tblCellMar>
            <w:top w:w="0" w:type="dxa"/>
            <w:left w:w="108" w:type="dxa"/>
            <w:bottom w:w="0" w:type="dxa"/>
            <w:right w:w="108" w:type="dxa"/>
          </w:tblCellMar>
        </w:tblPrEx>
        <w:trPr>
          <w:trHeight w:val="446"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8</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r>
      <w:tr>
        <w:tblPrEx>
          <w:tblCellMar>
            <w:top w:w="0" w:type="dxa"/>
            <w:left w:w="108" w:type="dxa"/>
            <w:bottom w:w="0" w:type="dxa"/>
            <w:right w:w="108" w:type="dxa"/>
          </w:tblCellMar>
        </w:tblPrEx>
        <w:trPr>
          <w:trHeight w:val="452"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9</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r>
      <w:tr>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10</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r>
      <w:tr>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lang w:val="zh-CN"/>
              </w:rPr>
            </w:pPr>
            <w:r>
              <w:rPr>
                <w:rFonts w:ascii="宋体" w:hAnsi="宋体" w:cs="宋体"/>
                <w:color w:val="auto"/>
                <w:kern w:val="1"/>
                <w:szCs w:val="21"/>
                <w:highlight w:val="none"/>
                <w:lang w:val="zh-CN"/>
              </w:rPr>
              <w:t>…</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auto"/>
                <w:kern w:val="1"/>
                <w:sz w:val="28"/>
                <w:szCs w:val="28"/>
                <w:highlight w:val="none"/>
              </w:rPr>
            </w:pPr>
          </w:p>
        </w:tc>
      </w:tr>
    </w:tbl>
    <w:p>
      <w:pPr>
        <w:spacing w:line="360" w:lineRule="auto"/>
        <w:rPr>
          <w:rFonts w:ascii="宋体" w:hAnsi="宋体" w:cs="宋体"/>
          <w:color w:val="auto"/>
          <w:kern w:val="1"/>
          <w:sz w:val="28"/>
          <w:szCs w:val="28"/>
          <w:highlight w:val="none"/>
        </w:rPr>
      </w:pPr>
      <w:r>
        <w:rPr>
          <w:rFonts w:hint="eastAsia" w:ascii="宋体" w:hAnsi="宋体" w:cs="宋体"/>
          <w:color w:val="auto"/>
          <w:kern w:val="1"/>
          <w:sz w:val="18"/>
          <w:szCs w:val="18"/>
          <w:highlight w:val="none"/>
        </w:rPr>
        <w:t>注：表中人员为项目施工团队所有人员。</w:t>
      </w:r>
    </w:p>
    <w:p>
      <w:pPr>
        <w:spacing w:line="360" w:lineRule="auto"/>
        <w:ind w:firstLine="3600"/>
        <w:rPr>
          <w:rFonts w:ascii="宋体" w:hAnsi="宋体" w:cs="宋体"/>
          <w:color w:val="auto"/>
          <w:kern w:val="1"/>
          <w:sz w:val="28"/>
          <w:szCs w:val="28"/>
          <w:highlight w:val="none"/>
        </w:rPr>
      </w:pPr>
    </w:p>
    <w:p>
      <w:pPr>
        <w:tabs>
          <w:tab w:val="left" w:pos="7655"/>
        </w:tabs>
        <w:spacing w:line="600" w:lineRule="auto"/>
        <w:ind w:right="492"/>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pPr>
        <w:tabs>
          <w:tab w:val="left" w:pos="7655"/>
        </w:tabs>
        <w:spacing w:line="600" w:lineRule="auto"/>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pPr>
        <w:spacing w:line="600" w:lineRule="auto"/>
        <w:ind w:firstLine="6888" w:firstLineChars="2800"/>
        <w:rPr>
          <w:rFonts w:ascii="宋体" w:hAnsi="宋体" w:cs="宋体"/>
          <w:color w:val="auto"/>
          <w:kern w:val="1"/>
          <w:szCs w:val="21"/>
          <w:highlight w:val="none"/>
        </w:rPr>
      </w:pP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pPr>
        <w:tabs>
          <w:tab w:val="left" w:pos="7655"/>
        </w:tabs>
        <w:spacing w:line="360" w:lineRule="auto"/>
        <w:rPr>
          <w:rFonts w:ascii="宋体" w:hAnsi="宋体" w:cs="宋体"/>
          <w:b/>
          <w:color w:val="auto"/>
          <w:kern w:val="1"/>
          <w:sz w:val="24"/>
          <w:highlight w:val="none"/>
        </w:rPr>
      </w:pPr>
      <w:r>
        <w:rPr>
          <w:rFonts w:hint="eastAsia" w:ascii="宋体" w:hAnsi="宋体" w:cs="宋体"/>
          <w:color w:val="auto"/>
          <w:spacing w:val="18"/>
          <w:kern w:val="1"/>
          <w:sz w:val="28"/>
          <w:szCs w:val="28"/>
          <w:highlight w:val="none"/>
          <w:lang w:val="zh-CN"/>
        </w:rPr>
        <w:br w:type="page"/>
      </w:r>
      <w:r>
        <w:rPr>
          <w:rFonts w:hint="eastAsia" w:ascii="宋体" w:hAnsi="宋体" w:cs="宋体"/>
          <w:b/>
          <w:color w:val="auto"/>
          <w:kern w:val="1"/>
          <w:sz w:val="24"/>
          <w:highlight w:val="none"/>
        </w:rPr>
        <w:t>格式</w:t>
      </w:r>
      <w:r>
        <w:rPr>
          <w:rFonts w:ascii="宋体" w:hAnsi="宋体" w:cs="宋体"/>
          <w:b/>
          <w:color w:val="auto"/>
          <w:kern w:val="1"/>
          <w:sz w:val="24"/>
          <w:highlight w:val="none"/>
        </w:rPr>
        <w:t>9</w:t>
      </w:r>
      <w:r>
        <w:rPr>
          <w:rFonts w:hint="eastAsia" w:ascii="宋体" w:hAnsi="宋体" w:cs="宋体"/>
          <w:b/>
          <w:color w:val="auto"/>
          <w:kern w:val="1"/>
          <w:sz w:val="24"/>
          <w:highlight w:val="none"/>
        </w:rPr>
        <w:t>：</w:t>
      </w:r>
    </w:p>
    <w:p>
      <w:pPr>
        <w:pStyle w:val="84"/>
        <w:rPr>
          <w:rFonts w:ascii="宋体" w:hAnsi="宋体" w:eastAsia="宋体" w:cs="宋体"/>
          <w:color w:val="auto"/>
          <w:sz w:val="32"/>
          <w:szCs w:val="32"/>
          <w:highlight w:val="none"/>
        </w:rPr>
      </w:pPr>
      <w:bookmarkStart w:id="408" w:name="_Hlk49259541"/>
      <w:r>
        <w:rPr>
          <w:rFonts w:hint="eastAsia" w:ascii="宋体" w:hAnsi="宋体" w:eastAsia="宋体" w:cs="宋体"/>
          <w:color w:val="auto"/>
          <w:sz w:val="32"/>
          <w:szCs w:val="32"/>
          <w:highlight w:val="none"/>
        </w:rPr>
        <w:t>设计工程业绩</w:t>
      </w:r>
      <w:bookmarkEnd w:id="408"/>
      <w:r>
        <w:rPr>
          <w:rFonts w:hint="eastAsia" w:ascii="宋体" w:hAnsi="宋体" w:eastAsia="宋体" w:cs="宋体"/>
          <w:color w:val="auto"/>
          <w:sz w:val="32"/>
          <w:szCs w:val="32"/>
          <w:highlight w:val="none"/>
        </w:rPr>
        <w:t>表（如有）</w:t>
      </w:r>
    </w:p>
    <w:tbl>
      <w:tblPr>
        <w:tblStyle w:val="35"/>
        <w:tblW w:w="9380" w:type="dxa"/>
        <w:tblInd w:w="0" w:type="dxa"/>
        <w:tblLayout w:type="fixed"/>
        <w:tblCellMar>
          <w:top w:w="0" w:type="dxa"/>
          <w:left w:w="108" w:type="dxa"/>
          <w:bottom w:w="0" w:type="dxa"/>
          <w:right w:w="108" w:type="dxa"/>
        </w:tblCellMar>
      </w:tblPr>
      <w:tblGrid>
        <w:gridCol w:w="905"/>
        <w:gridCol w:w="904"/>
        <w:gridCol w:w="2722"/>
        <w:gridCol w:w="1134"/>
        <w:gridCol w:w="1134"/>
        <w:gridCol w:w="1276"/>
        <w:gridCol w:w="1305"/>
      </w:tblGrid>
      <w:tr>
        <w:tblPrEx>
          <w:tblCellMar>
            <w:top w:w="0" w:type="dxa"/>
            <w:left w:w="108" w:type="dxa"/>
            <w:bottom w:w="0" w:type="dxa"/>
            <w:right w:w="108" w:type="dxa"/>
          </w:tblCellMar>
        </w:tblPrEx>
        <w:trPr>
          <w:trHeight w:val="881"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序号</w:t>
            </w:r>
          </w:p>
        </w:tc>
        <w:tc>
          <w:tcPr>
            <w:tcW w:w="90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w:t>
            </w:r>
          </w:p>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类别</w:t>
            </w:r>
          </w:p>
        </w:tc>
        <w:tc>
          <w:tcPr>
            <w:tcW w:w="27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w:t>
            </w:r>
          </w:p>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地址</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建设</w:t>
            </w:r>
          </w:p>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单位</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建筑面积</w:t>
            </w:r>
          </w:p>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w:t>
            </w:r>
          </w:p>
        </w:tc>
        <w:tc>
          <w:tcPr>
            <w:tcW w:w="13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备注</w:t>
            </w:r>
          </w:p>
        </w:tc>
      </w:tr>
      <w:tr>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r>
      <w:tr>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r>
      <w:tr>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r>
      <w:tr>
        <w:tblPrEx>
          <w:tblCellMar>
            <w:top w:w="0" w:type="dxa"/>
            <w:left w:w="108" w:type="dxa"/>
            <w:bottom w:w="0" w:type="dxa"/>
            <w:right w:w="108" w:type="dxa"/>
          </w:tblCellMar>
        </w:tblPrEx>
        <w:trPr>
          <w:trHeight w:val="689"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 w:val="24"/>
                <w:szCs w:val="24"/>
                <w:highlight w:val="none"/>
              </w:rPr>
            </w:pPr>
          </w:p>
        </w:tc>
      </w:tr>
    </w:tbl>
    <w:p>
      <w:pPr>
        <w:spacing w:line="360" w:lineRule="auto"/>
        <w:rPr>
          <w:rFonts w:ascii="宋体" w:hAnsi="宋体" w:cs="宋体"/>
          <w:color w:val="auto"/>
          <w:kern w:val="1"/>
          <w:sz w:val="24"/>
          <w:szCs w:val="24"/>
          <w:highlight w:val="none"/>
        </w:rPr>
      </w:pPr>
      <w:r>
        <w:rPr>
          <w:rFonts w:hint="eastAsia" w:ascii="宋体" w:hAnsi="宋体" w:cs="宋体"/>
          <w:color w:val="auto"/>
          <w:kern w:val="1"/>
          <w:sz w:val="18"/>
          <w:szCs w:val="18"/>
          <w:highlight w:val="none"/>
          <w:lang w:val="zh-CN"/>
        </w:rPr>
        <w:t>注：</w:t>
      </w:r>
      <w:r>
        <w:rPr>
          <w:rFonts w:hint="eastAsia" w:ascii="宋体" w:hAnsi="宋体" w:cs="宋体"/>
          <w:color w:val="auto"/>
          <w:kern w:val="1"/>
          <w:sz w:val="18"/>
          <w:szCs w:val="18"/>
          <w:highlight w:val="none"/>
        </w:rPr>
        <w:t>投标人应根据招标文件第三章《评标办法》“</w:t>
      </w:r>
      <w:r>
        <w:rPr>
          <w:rFonts w:hint="eastAsia" w:ascii="宋体" w:hAnsi="宋体" w:cs="宋体"/>
          <w:color w:val="auto"/>
          <w:kern w:val="1"/>
          <w:sz w:val="18"/>
          <w:szCs w:val="18"/>
          <w:highlight w:val="none"/>
          <w:lang w:eastAsia="zh-CN"/>
        </w:rPr>
        <w:t>勘察、设计、工程商务及实施方案投标文件详细审查评分表</w:t>
      </w:r>
      <w:r>
        <w:rPr>
          <w:rFonts w:hint="eastAsia" w:ascii="宋体" w:hAnsi="宋体" w:cs="宋体"/>
          <w:color w:val="auto"/>
          <w:kern w:val="1"/>
          <w:sz w:val="18"/>
          <w:szCs w:val="18"/>
          <w:highlight w:val="none"/>
        </w:rPr>
        <w:t>”要求在本表后附</w:t>
      </w:r>
      <w:r>
        <w:rPr>
          <w:rFonts w:hint="eastAsia" w:cs="宋体"/>
          <w:color w:val="auto"/>
          <w:kern w:val="1"/>
          <w:sz w:val="18"/>
          <w:szCs w:val="18"/>
          <w:highlight w:val="none"/>
        </w:rPr>
        <w:t>对应的</w:t>
      </w:r>
      <w:r>
        <w:rPr>
          <w:rFonts w:hint="eastAsia" w:ascii="宋体" w:hAnsi="宋体" w:cs="宋体"/>
          <w:color w:val="auto"/>
          <w:kern w:val="1"/>
          <w:sz w:val="18"/>
          <w:szCs w:val="18"/>
          <w:highlight w:val="none"/>
        </w:rPr>
        <w:t>相关证明材料。</w:t>
      </w:r>
    </w:p>
    <w:p>
      <w:pPr>
        <w:tabs>
          <w:tab w:val="left" w:pos="7655"/>
        </w:tabs>
        <w:spacing w:line="600" w:lineRule="auto"/>
        <w:ind w:right="492"/>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pPr>
        <w:tabs>
          <w:tab w:val="left" w:pos="7655"/>
        </w:tabs>
        <w:spacing w:line="600" w:lineRule="auto"/>
        <w:jc w:val="right"/>
        <w:rPr>
          <w:rFonts w:ascii="宋体" w:hAnsi="宋体" w:cs="宋体"/>
          <w:color w:val="auto"/>
          <w:spacing w:val="18"/>
          <w:kern w:val="1"/>
          <w:sz w:val="28"/>
          <w:szCs w:val="28"/>
          <w:highlight w:val="none"/>
          <w:lang w:val="zh-CN"/>
        </w:rPr>
      </w:pPr>
      <w:r>
        <w:rPr>
          <w:rFonts w:hint="eastAsia" w:ascii="宋体" w:hAnsi="宋体" w:cs="宋体"/>
          <w:color w:val="auto"/>
          <w:spacing w:val="18"/>
          <w:kern w:val="1"/>
          <w:szCs w:val="21"/>
          <w:highlight w:val="none"/>
          <w:lang w:val="zh-CN"/>
        </w:rPr>
        <w:t xml:space="preserve"> 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pPr>
        <w:spacing w:line="600" w:lineRule="auto"/>
        <w:jc w:val="center"/>
        <w:rPr>
          <w:rFonts w:ascii="宋体" w:hAnsi="宋体" w:cs="宋体"/>
          <w:color w:val="auto"/>
          <w:spacing w:val="18"/>
          <w:kern w:val="1"/>
          <w:szCs w:val="21"/>
          <w:highlight w:val="none"/>
          <w:lang w:val="zh-CN"/>
        </w:rPr>
      </w:pPr>
      <w:r>
        <w:rPr>
          <w:rFonts w:hint="eastAsia" w:ascii="宋体" w:hAnsi="宋体" w:cs="宋体"/>
          <w:color w:val="auto"/>
          <w:spacing w:val="18"/>
          <w:kern w:val="1"/>
          <w:szCs w:val="21"/>
          <w:highlight w:val="none"/>
          <w:lang w:val="zh-CN"/>
        </w:rPr>
        <w:t xml:space="preserve"> </w:t>
      </w:r>
      <w:r>
        <w:rPr>
          <w:rFonts w:ascii="宋体" w:hAnsi="宋体" w:cs="宋体"/>
          <w:color w:val="auto"/>
          <w:spacing w:val="18"/>
          <w:kern w:val="1"/>
          <w:szCs w:val="21"/>
          <w:highlight w:val="none"/>
          <w:lang w:val="zh-CN"/>
        </w:rPr>
        <w:t xml:space="preserve">                                     </w:t>
      </w: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pPr>
        <w:spacing w:line="360" w:lineRule="auto"/>
        <w:jc w:val="center"/>
        <w:rPr>
          <w:rFonts w:ascii="宋体" w:hAnsi="宋体" w:cs="宋体"/>
          <w:b/>
          <w:bCs/>
          <w:color w:val="auto"/>
          <w:kern w:val="1"/>
          <w:sz w:val="28"/>
          <w:szCs w:val="28"/>
          <w:highlight w:val="none"/>
          <w:lang w:val="zh-CN"/>
        </w:rPr>
      </w:pPr>
      <w:bookmarkStart w:id="409" w:name="_Hlk56526643"/>
    </w:p>
    <w:p>
      <w:pPr>
        <w:widowControl/>
        <w:jc w:val="left"/>
        <w:rPr>
          <w:rFonts w:ascii="宋体" w:hAnsi="宋体" w:cs="宋体"/>
          <w:b/>
          <w:bCs/>
          <w:color w:val="auto"/>
          <w:kern w:val="1"/>
          <w:sz w:val="28"/>
          <w:szCs w:val="28"/>
          <w:highlight w:val="none"/>
          <w:lang w:val="zh-CN"/>
        </w:rPr>
      </w:pPr>
      <w:r>
        <w:rPr>
          <w:rFonts w:ascii="宋体" w:hAnsi="宋体" w:cs="宋体"/>
          <w:b/>
          <w:bCs/>
          <w:color w:val="auto"/>
          <w:kern w:val="1"/>
          <w:sz w:val="28"/>
          <w:szCs w:val="28"/>
          <w:highlight w:val="none"/>
          <w:lang w:val="zh-CN"/>
        </w:rPr>
        <w:br w:type="page"/>
      </w:r>
    </w:p>
    <w:p>
      <w:pPr>
        <w:spacing w:line="360" w:lineRule="auto"/>
        <w:jc w:val="center"/>
        <w:rPr>
          <w:rFonts w:ascii="宋体" w:hAnsi="宋体" w:cs="宋体"/>
          <w:color w:val="auto"/>
          <w:kern w:val="1"/>
          <w:sz w:val="28"/>
          <w:szCs w:val="28"/>
          <w:highlight w:val="none"/>
        </w:rPr>
      </w:pPr>
      <w:r>
        <w:rPr>
          <w:rFonts w:hint="eastAsia" w:ascii="宋体" w:hAnsi="宋体" w:cs="宋体"/>
          <w:b/>
          <w:bCs/>
          <w:color w:val="auto"/>
          <w:kern w:val="1"/>
          <w:sz w:val="28"/>
          <w:szCs w:val="28"/>
          <w:highlight w:val="none"/>
          <w:lang w:val="zh-CN"/>
        </w:rPr>
        <w:t>投标人设计工程业绩获奖情况表</w:t>
      </w:r>
      <w:bookmarkEnd w:id="409"/>
    </w:p>
    <w:tbl>
      <w:tblPr>
        <w:tblStyle w:val="35"/>
        <w:tblW w:w="9515" w:type="dxa"/>
        <w:tblInd w:w="0" w:type="dxa"/>
        <w:tblLayout w:type="fixed"/>
        <w:tblCellMar>
          <w:top w:w="0" w:type="dxa"/>
          <w:left w:w="108" w:type="dxa"/>
          <w:bottom w:w="0" w:type="dxa"/>
          <w:right w:w="108" w:type="dxa"/>
        </w:tblCellMar>
      </w:tblPr>
      <w:tblGrid>
        <w:gridCol w:w="936"/>
        <w:gridCol w:w="936"/>
        <w:gridCol w:w="936"/>
        <w:gridCol w:w="1538"/>
        <w:gridCol w:w="1538"/>
        <w:gridCol w:w="1595"/>
        <w:gridCol w:w="2036"/>
      </w:tblGrid>
      <w:tr>
        <w:tblPrEx>
          <w:tblCellMar>
            <w:top w:w="0" w:type="dxa"/>
            <w:left w:w="108" w:type="dxa"/>
            <w:bottom w:w="0" w:type="dxa"/>
            <w:right w:w="108" w:type="dxa"/>
          </w:tblCellMar>
        </w:tblPrEx>
        <w:trPr>
          <w:trHeight w:val="130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序号</w:t>
            </w:r>
          </w:p>
        </w:tc>
        <w:tc>
          <w:tcPr>
            <w:tcW w:w="93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w:t>
            </w:r>
          </w:p>
          <w:p>
            <w:pP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类别</w:t>
            </w:r>
          </w:p>
        </w:tc>
        <w:tc>
          <w:tcPr>
            <w:tcW w:w="93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w:t>
            </w:r>
          </w:p>
          <w:p>
            <w:pP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名称</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工程地址</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建设单位</w:t>
            </w:r>
          </w:p>
        </w:tc>
        <w:tc>
          <w:tcPr>
            <w:tcW w:w="15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投资额</w:t>
            </w:r>
          </w:p>
          <w:p>
            <w:pPr>
              <w:spacing w:line="440" w:lineRule="exact"/>
              <w:rPr>
                <w:rFonts w:ascii="宋体" w:hAnsi="宋体" w:cs="宋体"/>
                <w:color w:val="auto"/>
                <w:kern w:val="1"/>
                <w:szCs w:val="21"/>
                <w:highlight w:val="none"/>
              </w:rPr>
            </w:pPr>
            <w:r>
              <w:rPr>
                <w:rFonts w:hint="eastAsia" w:ascii="宋体" w:hAnsi="宋体" w:cs="宋体"/>
                <w:color w:val="auto"/>
                <w:kern w:val="1"/>
                <w:szCs w:val="21"/>
                <w:highlight w:val="none"/>
                <w:lang w:val="zh-CN"/>
              </w:rPr>
              <w:t>（万元）</w:t>
            </w:r>
          </w:p>
        </w:tc>
        <w:tc>
          <w:tcPr>
            <w:tcW w:w="203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获奖情况</w:t>
            </w:r>
          </w:p>
        </w:tc>
      </w:tr>
      <w:tr>
        <w:tblPrEx>
          <w:tblCellMar>
            <w:top w:w="0" w:type="dxa"/>
            <w:left w:w="108" w:type="dxa"/>
            <w:bottom w:w="0" w:type="dxa"/>
            <w:right w:w="108" w:type="dxa"/>
          </w:tblCellMar>
        </w:tblPrEx>
        <w:trPr>
          <w:trHeight w:val="60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Cs w:val="21"/>
                <w:highlight w:val="none"/>
              </w:rPr>
            </w:pP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Cs w:val="21"/>
                <w:highlight w:val="none"/>
              </w:rPr>
            </w:pP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Cs w:val="21"/>
                <w:highlight w:val="none"/>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Cs w:val="21"/>
                <w:highlight w:val="none"/>
              </w:rPr>
            </w:pPr>
          </w:p>
        </w:tc>
        <w:tc>
          <w:tcPr>
            <w:tcW w:w="2036" w:type="dxa"/>
            <w:tcBorders>
              <w:top w:val="single" w:color="000000" w:sz="4" w:space="0"/>
              <w:left w:val="single" w:color="000000" w:sz="4" w:space="0"/>
              <w:bottom w:val="single" w:color="000000" w:sz="4" w:space="0"/>
              <w:right w:val="single" w:color="000000" w:sz="4" w:space="0"/>
            </w:tcBorders>
          </w:tcPr>
          <w:p>
            <w:pPr>
              <w:spacing w:line="48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60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Cs w:val="21"/>
                <w:highlight w:val="none"/>
              </w:rPr>
            </w:pP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Cs w:val="21"/>
                <w:highlight w:val="none"/>
              </w:rPr>
            </w:pP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Cs w:val="21"/>
                <w:highlight w:val="none"/>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Cs w:val="21"/>
                <w:highlight w:val="none"/>
              </w:rPr>
            </w:pPr>
          </w:p>
        </w:tc>
        <w:tc>
          <w:tcPr>
            <w:tcW w:w="2036" w:type="dxa"/>
            <w:tcBorders>
              <w:top w:val="single" w:color="000000" w:sz="4" w:space="0"/>
              <w:left w:val="single" w:color="000000" w:sz="4" w:space="0"/>
              <w:bottom w:val="single" w:color="000000" w:sz="4" w:space="0"/>
              <w:right w:val="single" w:color="000000" w:sz="4" w:space="0"/>
            </w:tcBorders>
          </w:tcPr>
          <w:p>
            <w:pPr>
              <w:spacing w:line="48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60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Cs w:val="21"/>
                <w:highlight w:val="none"/>
              </w:rPr>
            </w:pP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Cs w:val="21"/>
                <w:highlight w:val="none"/>
              </w:rPr>
            </w:pP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Cs w:val="21"/>
                <w:highlight w:val="none"/>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Cs w:val="21"/>
                <w:highlight w:val="none"/>
              </w:rPr>
            </w:pPr>
          </w:p>
        </w:tc>
        <w:tc>
          <w:tcPr>
            <w:tcW w:w="2036" w:type="dxa"/>
            <w:tcBorders>
              <w:top w:val="single" w:color="000000" w:sz="4" w:space="0"/>
              <w:left w:val="single" w:color="000000" w:sz="4" w:space="0"/>
              <w:bottom w:val="single" w:color="000000" w:sz="4" w:space="0"/>
              <w:right w:val="single" w:color="000000" w:sz="4" w:space="0"/>
            </w:tcBorders>
          </w:tcPr>
          <w:p>
            <w:pPr>
              <w:spacing w:line="48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613"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Cs w:val="21"/>
                <w:highlight w:val="none"/>
              </w:rPr>
            </w:pP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Cs w:val="21"/>
                <w:highlight w:val="none"/>
              </w:rPr>
            </w:pP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Cs w:val="21"/>
                <w:highlight w:val="none"/>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Cs w:val="21"/>
                <w:highlight w:val="none"/>
              </w:rPr>
            </w:pPr>
          </w:p>
        </w:tc>
        <w:tc>
          <w:tcPr>
            <w:tcW w:w="2036" w:type="dxa"/>
            <w:tcBorders>
              <w:top w:val="single" w:color="000000" w:sz="4" w:space="0"/>
              <w:left w:val="single" w:color="000000" w:sz="4" w:space="0"/>
              <w:bottom w:val="single" w:color="000000" w:sz="4" w:space="0"/>
              <w:right w:val="single" w:color="000000" w:sz="4" w:space="0"/>
            </w:tcBorders>
          </w:tcPr>
          <w:p>
            <w:pPr>
              <w:spacing w:line="480" w:lineRule="auto"/>
              <w:jc w:val="center"/>
              <w:rPr>
                <w:rFonts w:ascii="宋体" w:hAnsi="宋体" w:cs="宋体"/>
                <w:color w:val="auto"/>
                <w:kern w:val="1"/>
                <w:szCs w:val="21"/>
                <w:highlight w:val="none"/>
              </w:rPr>
            </w:pPr>
          </w:p>
        </w:tc>
      </w:tr>
    </w:tbl>
    <w:p>
      <w:pPr>
        <w:rPr>
          <w:rFonts w:ascii="宋体" w:hAnsi="宋体" w:cs="宋体"/>
          <w:color w:val="auto"/>
          <w:kern w:val="1"/>
          <w:szCs w:val="21"/>
          <w:highlight w:val="none"/>
          <w:lang w:val="zh-CN"/>
        </w:rPr>
      </w:pPr>
      <w:r>
        <w:rPr>
          <w:rFonts w:hint="eastAsia" w:ascii="宋体" w:hAnsi="宋体" w:cs="宋体"/>
          <w:color w:val="auto"/>
          <w:kern w:val="1"/>
          <w:sz w:val="18"/>
          <w:szCs w:val="18"/>
          <w:highlight w:val="none"/>
          <w:lang w:val="zh-CN"/>
        </w:rPr>
        <w:t xml:space="preserve">注： </w:t>
      </w:r>
      <w:r>
        <w:rPr>
          <w:rFonts w:hint="eastAsia" w:ascii="宋体" w:hAnsi="宋体" w:cs="宋体"/>
          <w:color w:val="auto"/>
          <w:kern w:val="1"/>
          <w:sz w:val="18"/>
          <w:szCs w:val="18"/>
          <w:highlight w:val="none"/>
        </w:rPr>
        <w:t>投标人应根据招标文件第三章《评标办法》“</w:t>
      </w:r>
      <w:r>
        <w:rPr>
          <w:rFonts w:hint="eastAsia" w:ascii="宋体" w:hAnsi="宋体" w:cs="宋体"/>
          <w:color w:val="auto"/>
          <w:kern w:val="1"/>
          <w:sz w:val="18"/>
          <w:szCs w:val="18"/>
          <w:highlight w:val="none"/>
          <w:lang w:eastAsia="zh-CN"/>
        </w:rPr>
        <w:t>勘察、设计、工程商务及实施方案投标文件详细审查评分表</w:t>
      </w:r>
      <w:r>
        <w:rPr>
          <w:rFonts w:hint="eastAsia" w:ascii="宋体" w:hAnsi="宋体" w:cs="宋体"/>
          <w:color w:val="auto"/>
          <w:kern w:val="1"/>
          <w:sz w:val="18"/>
          <w:szCs w:val="18"/>
          <w:highlight w:val="none"/>
        </w:rPr>
        <w:t>”要求在本表后附</w:t>
      </w:r>
      <w:r>
        <w:rPr>
          <w:rFonts w:hint="eastAsia" w:cs="宋体"/>
          <w:color w:val="auto"/>
          <w:kern w:val="1"/>
          <w:sz w:val="18"/>
          <w:szCs w:val="18"/>
          <w:highlight w:val="none"/>
        </w:rPr>
        <w:t>对应的</w:t>
      </w:r>
      <w:r>
        <w:rPr>
          <w:rFonts w:hint="eastAsia" w:ascii="宋体" w:hAnsi="宋体" w:cs="宋体"/>
          <w:color w:val="auto"/>
          <w:kern w:val="1"/>
          <w:sz w:val="18"/>
          <w:szCs w:val="18"/>
          <w:highlight w:val="none"/>
        </w:rPr>
        <w:t>相关证明材料。</w:t>
      </w:r>
    </w:p>
    <w:p>
      <w:pPr>
        <w:pStyle w:val="18"/>
        <w:rPr>
          <w:color w:val="auto"/>
          <w:highlight w:val="none"/>
        </w:rPr>
      </w:pPr>
    </w:p>
    <w:p>
      <w:pPr>
        <w:pStyle w:val="18"/>
        <w:rPr>
          <w:color w:val="auto"/>
          <w:highlight w:val="none"/>
        </w:rPr>
      </w:pPr>
    </w:p>
    <w:p>
      <w:pPr>
        <w:tabs>
          <w:tab w:val="left" w:pos="7655"/>
        </w:tabs>
        <w:spacing w:line="600" w:lineRule="auto"/>
        <w:ind w:right="492"/>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pPr>
        <w:tabs>
          <w:tab w:val="left" w:pos="7655"/>
        </w:tabs>
        <w:spacing w:line="600" w:lineRule="auto"/>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 xml:space="preserve"> </w:t>
      </w:r>
      <w:r>
        <w:rPr>
          <w:rFonts w:ascii="宋体" w:hAnsi="宋体" w:cs="宋体"/>
          <w:color w:val="auto"/>
          <w:spacing w:val="18"/>
          <w:kern w:val="1"/>
          <w:szCs w:val="21"/>
          <w:highlight w:val="none"/>
          <w:lang w:val="zh-CN"/>
        </w:rPr>
        <w:t xml:space="preserve">    </w:t>
      </w: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pPr>
        <w:tabs>
          <w:tab w:val="left" w:pos="7655"/>
        </w:tabs>
        <w:spacing w:line="600" w:lineRule="auto"/>
        <w:ind w:right="492"/>
        <w:jc w:val="right"/>
        <w:rPr>
          <w:rFonts w:ascii="宋体" w:hAnsi="宋体" w:cs="宋体"/>
          <w:color w:val="auto"/>
          <w:spacing w:val="18"/>
          <w:kern w:val="1"/>
          <w:szCs w:val="21"/>
          <w:highlight w:val="none"/>
          <w:lang w:val="zh-CN"/>
        </w:rPr>
      </w:pPr>
      <w:r>
        <w:rPr>
          <w:rFonts w:hint="eastAsia" w:ascii="宋体" w:hAnsi="宋体" w:cs="宋体"/>
          <w:color w:val="auto"/>
          <w:spacing w:val="18"/>
          <w:kern w:val="1"/>
          <w:szCs w:val="21"/>
          <w:highlight w:val="none"/>
          <w:lang w:val="zh-CN"/>
        </w:rPr>
        <w:t>日期：  年  月  日</w:t>
      </w:r>
    </w:p>
    <w:p>
      <w:pPr>
        <w:spacing w:line="360" w:lineRule="auto"/>
        <w:jc w:val="center"/>
        <w:rPr>
          <w:rFonts w:ascii="宋体" w:hAnsi="宋体" w:cs="宋体"/>
          <w:color w:val="auto"/>
          <w:spacing w:val="18"/>
          <w:kern w:val="1"/>
          <w:szCs w:val="21"/>
          <w:highlight w:val="none"/>
          <w:lang w:val="zh-CN"/>
        </w:rPr>
      </w:pPr>
      <w:r>
        <w:rPr>
          <w:color w:val="auto"/>
          <w:highlight w:val="none"/>
        </w:rPr>
        <w:br w:type="page"/>
      </w:r>
    </w:p>
    <w:p>
      <w:pPr>
        <w:pStyle w:val="18"/>
        <w:spacing w:line="360" w:lineRule="auto"/>
        <w:rPr>
          <w:rFonts w:cs="宋体"/>
          <w:b/>
          <w:color w:val="auto"/>
          <w:kern w:val="1"/>
          <w:sz w:val="24"/>
          <w:highlight w:val="none"/>
        </w:rPr>
      </w:pPr>
      <w:r>
        <w:rPr>
          <w:rFonts w:hint="eastAsia" w:cs="宋体"/>
          <w:b/>
          <w:color w:val="auto"/>
          <w:kern w:val="1"/>
          <w:sz w:val="24"/>
          <w:highlight w:val="none"/>
        </w:rPr>
        <w:t>格式</w:t>
      </w:r>
      <w:r>
        <w:rPr>
          <w:rFonts w:cs="宋体"/>
          <w:b/>
          <w:color w:val="auto"/>
          <w:kern w:val="1"/>
          <w:sz w:val="24"/>
          <w:highlight w:val="none"/>
        </w:rPr>
        <w:t>10</w:t>
      </w:r>
      <w:r>
        <w:rPr>
          <w:rFonts w:hint="eastAsia" w:cs="宋体"/>
          <w:b/>
          <w:color w:val="auto"/>
          <w:kern w:val="1"/>
          <w:sz w:val="24"/>
          <w:highlight w:val="none"/>
        </w:rPr>
        <w:t>：</w:t>
      </w:r>
    </w:p>
    <w:p>
      <w:pPr>
        <w:spacing w:line="360" w:lineRule="auto"/>
        <w:jc w:val="center"/>
        <w:rPr>
          <w:rFonts w:ascii="宋体" w:hAnsi="宋体" w:cs="宋体"/>
          <w:b/>
          <w:color w:val="auto"/>
          <w:spacing w:val="4"/>
          <w:sz w:val="32"/>
          <w:szCs w:val="32"/>
          <w:highlight w:val="none"/>
        </w:rPr>
      </w:pPr>
      <w:r>
        <w:rPr>
          <w:rFonts w:hint="eastAsia" w:ascii="宋体" w:hAnsi="宋体" w:cs="宋体"/>
          <w:b/>
          <w:color w:val="auto"/>
          <w:spacing w:val="4"/>
          <w:sz w:val="32"/>
          <w:szCs w:val="32"/>
          <w:highlight w:val="none"/>
        </w:rPr>
        <w:t>施工工程业绩表</w:t>
      </w:r>
    </w:p>
    <w:tbl>
      <w:tblPr>
        <w:tblStyle w:val="35"/>
        <w:tblW w:w="9453" w:type="dxa"/>
        <w:tblInd w:w="0" w:type="dxa"/>
        <w:tblLayout w:type="fixed"/>
        <w:tblCellMar>
          <w:top w:w="0" w:type="dxa"/>
          <w:left w:w="108" w:type="dxa"/>
          <w:bottom w:w="0" w:type="dxa"/>
          <w:right w:w="108" w:type="dxa"/>
        </w:tblCellMar>
      </w:tblPr>
      <w:tblGrid>
        <w:gridCol w:w="1683"/>
        <w:gridCol w:w="45"/>
        <w:gridCol w:w="1425"/>
        <w:gridCol w:w="2205"/>
        <w:gridCol w:w="2100"/>
        <w:gridCol w:w="1995"/>
      </w:tblGrid>
      <w:tr>
        <w:tblPrEx>
          <w:tblCellMar>
            <w:top w:w="0" w:type="dxa"/>
            <w:left w:w="108" w:type="dxa"/>
            <w:bottom w:w="0" w:type="dxa"/>
            <w:right w:w="108" w:type="dxa"/>
          </w:tblCellMar>
        </w:tblPrEx>
        <w:trPr>
          <w:cantSplit/>
          <w:trHeight w:val="540" w:hRule="atLeast"/>
        </w:trPr>
        <w:tc>
          <w:tcPr>
            <w:tcW w:w="3153" w:type="dxa"/>
            <w:gridSpan w:val="3"/>
            <w:tcBorders>
              <w:top w:val="single" w:color="000000" w:sz="4" w:space="0"/>
              <w:left w:val="single" w:color="000000" w:sz="4" w:space="0"/>
              <w:bottom w:val="single" w:color="000000" w:sz="4" w:space="0"/>
              <w:right w:val="single" w:color="000000" w:sz="4" w:space="0"/>
            </w:tcBorders>
            <w:vAlign w:val="center"/>
          </w:tcPr>
          <w:p>
            <w:pPr>
              <w:pStyle w:val="81"/>
              <w:spacing w:line="360" w:lineRule="auto"/>
              <w:jc w:val="center"/>
              <w:rPr>
                <w:color w:val="auto"/>
                <w:highlight w:val="none"/>
              </w:rPr>
            </w:pPr>
            <w:r>
              <w:rPr>
                <w:rFonts w:hint="eastAsia"/>
                <w:color w:val="auto"/>
                <w:highlight w:val="none"/>
              </w:rPr>
              <w:t>项目</w:t>
            </w:r>
          </w:p>
        </w:tc>
        <w:tc>
          <w:tcPr>
            <w:tcW w:w="2205" w:type="dxa"/>
            <w:tcBorders>
              <w:top w:val="single" w:color="000000" w:sz="4" w:space="0"/>
              <w:left w:val="single" w:color="000000" w:sz="4" w:space="0"/>
              <w:bottom w:val="single" w:color="000000" w:sz="4" w:space="0"/>
              <w:right w:val="single" w:color="000000" w:sz="4" w:space="0"/>
            </w:tcBorders>
            <w:vAlign w:val="center"/>
          </w:tcPr>
          <w:p>
            <w:pPr>
              <w:pStyle w:val="81"/>
              <w:spacing w:line="360" w:lineRule="auto"/>
              <w:jc w:val="center"/>
              <w:rPr>
                <w:color w:val="auto"/>
                <w:highlight w:val="none"/>
              </w:rPr>
            </w:pPr>
            <w:r>
              <w:rPr>
                <w:rFonts w:hint="eastAsia"/>
                <w:color w:val="auto"/>
                <w:highlight w:val="none"/>
              </w:rPr>
              <w:t>1</w:t>
            </w:r>
          </w:p>
        </w:tc>
        <w:tc>
          <w:tcPr>
            <w:tcW w:w="2100" w:type="dxa"/>
            <w:tcBorders>
              <w:top w:val="single" w:color="000000" w:sz="4" w:space="0"/>
              <w:left w:val="single" w:color="000000" w:sz="4" w:space="0"/>
              <w:bottom w:val="single" w:color="000000" w:sz="4" w:space="0"/>
              <w:right w:val="single" w:color="000000" w:sz="4" w:space="0"/>
            </w:tcBorders>
            <w:vAlign w:val="center"/>
          </w:tcPr>
          <w:p>
            <w:pPr>
              <w:pStyle w:val="81"/>
              <w:spacing w:line="360" w:lineRule="auto"/>
              <w:jc w:val="center"/>
              <w:rPr>
                <w:color w:val="auto"/>
                <w:highlight w:val="none"/>
              </w:rPr>
            </w:pPr>
            <w:r>
              <w:rPr>
                <w:rFonts w:hint="eastAsia"/>
                <w:color w:val="auto"/>
                <w:highlight w:val="none"/>
              </w:rPr>
              <w:t>2</w:t>
            </w: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81"/>
              <w:spacing w:line="360" w:lineRule="auto"/>
              <w:jc w:val="center"/>
              <w:rPr>
                <w:color w:val="auto"/>
                <w:highlight w:val="none"/>
              </w:rPr>
            </w:pPr>
            <w:r>
              <w:rPr>
                <w:rFonts w:hint="eastAsia"/>
                <w:color w:val="auto"/>
                <w:highlight w:val="none"/>
              </w:rPr>
              <w:t>……</w:t>
            </w:r>
          </w:p>
        </w:tc>
      </w:tr>
      <w:tr>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r>
              <w:rPr>
                <w:rFonts w:hint="eastAsia"/>
                <w:color w:val="auto"/>
                <w:highlight w:val="none"/>
              </w:rPr>
              <w:t>工程名称</w:t>
            </w:r>
          </w:p>
        </w:tc>
        <w:tc>
          <w:tcPr>
            <w:tcW w:w="220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r>
      <w:tr>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r>
              <w:rPr>
                <w:rFonts w:hint="eastAsia"/>
                <w:color w:val="auto"/>
                <w:highlight w:val="none"/>
              </w:rPr>
              <w:t>企业库中项目编号（如有）</w:t>
            </w:r>
          </w:p>
        </w:tc>
        <w:tc>
          <w:tcPr>
            <w:tcW w:w="220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r>
      <w:tr>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r>
              <w:rPr>
                <w:rFonts w:hint="eastAsia"/>
                <w:color w:val="auto"/>
                <w:highlight w:val="none"/>
              </w:rPr>
              <w:t>工程对应的企业资质</w:t>
            </w:r>
          </w:p>
        </w:tc>
        <w:tc>
          <w:tcPr>
            <w:tcW w:w="220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r>
      <w:tr>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r>
              <w:rPr>
                <w:rFonts w:hint="eastAsia"/>
                <w:color w:val="auto"/>
                <w:highlight w:val="none"/>
              </w:rPr>
              <w:t>项目地点</w:t>
            </w:r>
          </w:p>
        </w:tc>
        <w:tc>
          <w:tcPr>
            <w:tcW w:w="220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r>
      <w:tr>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r>
              <w:rPr>
                <w:rFonts w:hint="eastAsia"/>
                <w:color w:val="auto"/>
                <w:highlight w:val="none"/>
              </w:rPr>
              <w:t>所包含的子项内容</w:t>
            </w:r>
          </w:p>
        </w:tc>
        <w:tc>
          <w:tcPr>
            <w:tcW w:w="220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r>
      <w:tr>
        <w:tblPrEx>
          <w:tblCellMar>
            <w:top w:w="0" w:type="dxa"/>
            <w:left w:w="108" w:type="dxa"/>
            <w:bottom w:w="0" w:type="dxa"/>
            <w:right w:w="108" w:type="dxa"/>
          </w:tblCellMar>
        </w:tblPrEx>
        <w:trPr>
          <w:cantSplit/>
        </w:trPr>
        <w:tc>
          <w:tcPr>
            <w:tcW w:w="1683" w:type="dxa"/>
            <w:vMerge w:val="restart"/>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r>
              <w:rPr>
                <w:rFonts w:hint="eastAsia"/>
                <w:color w:val="auto"/>
                <w:highlight w:val="none"/>
              </w:rPr>
              <w:t>总价(人民币：万元)</w:t>
            </w:r>
          </w:p>
        </w:tc>
        <w:tc>
          <w:tcPr>
            <w:tcW w:w="1470" w:type="dxa"/>
            <w:gridSpan w:val="2"/>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r>
              <w:rPr>
                <w:rFonts w:hint="eastAsia"/>
                <w:color w:val="auto"/>
                <w:highlight w:val="none"/>
              </w:rPr>
              <w:t>合同造价</w:t>
            </w:r>
          </w:p>
        </w:tc>
        <w:tc>
          <w:tcPr>
            <w:tcW w:w="220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r>
      <w:tr>
        <w:tblPrEx>
          <w:tblCellMar>
            <w:top w:w="0" w:type="dxa"/>
            <w:left w:w="108" w:type="dxa"/>
            <w:bottom w:w="0" w:type="dxa"/>
            <w:right w:w="108" w:type="dxa"/>
          </w:tblCellMar>
        </w:tblPrEx>
        <w:trPr>
          <w:cantSplit/>
        </w:trPr>
        <w:tc>
          <w:tcPr>
            <w:tcW w:w="1683" w:type="dxa"/>
            <w:vMerge w:val="continue"/>
            <w:tcBorders>
              <w:top w:val="single" w:color="000000" w:sz="4" w:space="0"/>
              <w:left w:val="single" w:color="000000" w:sz="4" w:space="0"/>
              <w:bottom w:val="single" w:color="000000" w:sz="4" w:space="0"/>
              <w:right w:val="single" w:color="000000" w:sz="4" w:space="0"/>
            </w:tcBorders>
          </w:tcPr>
          <w:p>
            <w:pPr>
              <w:spacing w:line="360" w:lineRule="auto"/>
              <w:jc w:val="left"/>
              <w:rPr>
                <w:rFonts w:ascii="宋体" w:hAnsi="宋体" w:cs="宋体"/>
                <w:color w:val="auto"/>
                <w:szCs w:val="21"/>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r>
              <w:rPr>
                <w:rFonts w:hint="eastAsia"/>
                <w:color w:val="auto"/>
                <w:highlight w:val="none"/>
              </w:rPr>
              <w:t>结算造价</w:t>
            </w:r>
          </w:p>
        </w:tc>
        <w:tc>
          <w:tcPr>
            <w:tcW w:w="220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r>
      <w:tr>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r>
              <w:rPr>
                <w:rFonts w:hint="eastAsia"/>
                <w:color w:val="auto"/>
                <w:highlight w:val="none"/>
              </w:rPr>
              <w:t>竣工日期（如竣工则填写）</w:t>
            </w:r>
          </w:p>
        </w:tc>
        <w:tc>
          <w:tcPr>
            <w:tcW w:w="220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r>
      <w:tr>
        <w:tblPrEx>
          <w:tblCellMar>
            <w:top w:w="0" w:type="dxa"/>
            <w:left w:w="108" w:type="dxa"/>
            <w:bottom w:w="0" w:type="dxa"/>
            <w:right w:w="108" w:type="dxa"/>
          </w:tblCellMar>
        </w:tblPrEx>
        <w:trPr>
          <w:cantSplit/>
        </w:trPr>
        <w:tc>
          <w:tcPr>
            <w:tcW w:w="1728"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81"/>
              <w:spacing w:line="360" w:lineRule="auto"/>
              <w:rPr>
                <w:color w:val="auto"/>
                <w:highlight w:val="none"/>
              </w:rPr>
            </w:pPr>
            <w:r>
              <w:rPr>
                <w:rFonts w:hint="eastAsia"/>
                <w:color w:val="auto"/>
                <w:highlight w:val="none"/>
              </w:rPr>
              <w:t>工期(月)</w:t>
            </w:r>
          </w:p>
        </w:tc>
        <w:tc>
          <w:tcPr>
            <w:tcW w:w="142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r>
              <w:rPr>
                <w:rFonts w:hint="eastAsia"/>
                <w:color w:val="auto"/>
                <w:highlight w:val="none"/>
              </w:rPr>
              <w:t>合同</w:t>
            </w:r>
          </w:p>
        </w:tc>
        <w:tc>
          <w:tcPr>
            <w:tcW w:w="220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r>
      <w:tr>
        <w:tblPrEx>
          <w:tblCellMar>
            <w:top w:w="0" w:type="dxa"/>
            <w:left w:w="108" w:type="dxa"/>
            <w:bottom w:w="0" w:type="dxa"/>
            <w:right w:w="108" w:type="dxa"/>
          </w:tblCellMar>
        </w:tblPrEx>
        <w:trPr>
          <w:cantSplit/>
        </w:trPr>
        <w:tc>
          <w:tcPr>
            <w:tcW w:w="1728" w:type="dxa"/>
            <w:gridSpan w:val="2"/>
            <w:vMerge w:val="continue"/>
            <w:tcBorders>
              <w:top w:val="single" w:color="000000" w:sz="4" w:space="0"/>
              <w:left w:val="single" w:color="000000" w:sz="4" w:space="0"/>
              <w:bottom w:val="single" w:color="000000" w:sz="4" w:space="0"/>
              <w:right w:val="single" w:color="000000" w:sz="4" w:space="0"/>
            </w:tcBorders>
          </w:tcPr>
          <w:p>
            <w:pPr>
              <w:spacing w:line="360" w:lineRule="auto"/>
              <w:jc w:val="left"/>
              <w:rPr>
                <w:rFonts w:ascii="宋体" w:hAnsi="宋体" w:cs="宋体"/>
                <w:color w:val="auto"/>
                <w:szCs w:val="21"/>
                <w:highlight w:val="none"/>
              </w:rPr>
            </w:pPr>
          </w:p>
        </w:tc>
        <w:tc>
          <w:tcPr>
            <w:tcW w:w="142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r>
              <w:rPr>
                <w:rFonts w:hint="eastAsia"/>
                <w:color w:val="auto"/>
                <w:highlight w:val="none"/>
              </w:rPr>
              <w:t>实际</w:t>
            </w:r>
          </w:p>
        </w:tc>
        <w:tc>
          <w:tcPr>
            <w:tcW w:w="220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r>
      <w:tr>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r>
              <w:rPr>
                <w:rFonts w:hint="eastAsia"/>
                <w:color w:val="auto"/>
                <w:highlight w:val="none"/>
              </w:rPr>
              <w:t>贵公司所占比例</w:t>
            </w:r>
          </w:p>
        </w:tc>
        <w:tc>
          <w:tcPr>
            <w:tcW w:w="220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r>
      <w:tr>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r>
              <w:rPr>
                <w:rFonts w:hint="eastAsia"/>
                <w:color w:val="auto"/>
                <w:highlight w:val="none"/>
              </w:rPr>
              <w:t>项目负责人姓名</w:t>
            </w:r>
          </w:p>
        </w:tc>
        <w:tc>
          <w:tcPr>
            <w:tcW w:w="220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r>
      <w:tr>
        <w:tblPrEx>
          <w:tblCellMar>
            <w:top w:w="0" w:type="dxa"/>
            <w:left w:w="108" w:type="dxa"/>
            <w:bottom w:w="0" w:type="dxa"/>
            <w:right w:w="108" w:type="dxa"/>
          </w:tblCellMar>
        </w:tblPrEx>
        <w:trPr>
          <w:trHeight w:val="276" w:hRule="atLeast"/>
        </w:trPr>
        <w:tc>
          <w:tcPr>
            <w:tcW w:w="3153" w:type="dxa"/>
            <w:gridSpan w:val="3"/>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r>
              <w:rPr>
                <w:rFonts w:hint="eastAsia"/>
                <w:color w:val="auto"/>
                <w:highlight w:val="none"/>
              </w:rPr>
              <w:t>项目业主名称</w:t>
            </w:r>
          </w:p>
        </w:tc>
        <w:tc>
          <w:tcPr>
            <w:tcW w:w="220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r>
      <w:tr>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r>
              <w:rPr>
                <w:rFonts w:hint="eastAsia"/>
                <w:color w:val="auto"/>
                <w:highlight w:val="none"/>
              </w:rPr>
              <w:t>项目监理名称</w:t>
            </w:r>
          </w:p>
        </w:tc>
        <w:tc>
          <w:tcPr>
            <w:tcW w:w="220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r>
      <w:tr>
        <w:tblPrEx>
          <w:tblCellMar>
            <w:top w:w="0" w:type="dxa"/>
            <w:left w:w="108" w:type="dxa"/>
            <w:bottom w:w="0" w:type="dxa"/>
            <w:right w:w="108" w:type="dxa"/>
          </w:tblCellMar>
        </w:tblPrEx>
        <w:trPr>
          <w:cantSplit/>
        </w:trPr>
        <w:tc>
          <w:tcPr>
            <w:tcW w:w="3153" w:type="dxa"/>
            <w:gridSpan w:val="3"/>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r>
              <w:rPr>
                <w:rFonts w:hint="eastAsia"/>
                <w:color w:val="auto"/>
                <w:highlight w:val="none"/>
              </w:rPr>
              <w:t>工程获奖情况</w:t>
            </w:r>
          </w:p>
        </w:tc>
        <w:tc>
          <w:tcPr>
            <w:tcW w:w="220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r>
      <w:tr>
        <w:tblPrEx>
          <w:tblCellMar>
            <w:top w:w="0" w:type="dxa"/>
            <w:left w:w="108" w:type="dxa"/>
            <w:bottom w:w="0" w:type="dxa"/>
            <w:right w:w="108" w:type="dxa"/>
          </w:tblCellMar>
        </w:tblPrEx>
        <w:trPr>
          <w:cantSplit/>
        </w:trPr>
        <w:tc>
          <w:tcPr>
            <w:tcW w:w="3153" w:type="dxa"/>
            <w:gridSpan w:val="3"/>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r>
              <w:rPr>
                <w:rFonts w:hint="eastAsia"/>
                <w:color w:val="auto"/>
                <w:highlight w:val="none"/>
              </w:rPr>
              <w:t>项目业主联系地址</w:t>
            </w:r>
          </w:p>
        </w:tc>
        <w:tc>
          <w:tcPr>
            <w:tcW w:w="220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r>
      <w:tr>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r>
              <w:rPr>
                <w:rFonts w:hint="eastAsia"/>
                <w:color w:val="auto"/>
                <w:highlight w:val="none"/>
              </w:rPr>
              <w:t>项目业主联系人姓名</w:t>
            </w:r>
          </w:p>
        </w:tc>
        <w:tc>
          <w:tcPr>
            <w:tcW w:w="220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r>
      <w:tr>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r>
              <w:rPr>
                <w:rFonts w:hint="eastAsia"/>
                <w:color w:val="auto"/>
                <w:highlight w:val="none"/>
              </w:rPr>
              <w:t>项目业主联系电话</w:t>
            </w:r>
          </w:p>
        </w:tc>
        <w:tc>
          <w:tcPr>
            <w:tcW w:w="220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r>
      <w:tr>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r>
              <w:rPr>
                <w:rFonts w:hint="eastAsia"/>
                <w:color w:val="auto"/>
                <w:highlight w:val="none"/>
              </w:rPr>
              <w:t>项目业主传真电话</w:t>
            </w:r>
          </w:p>
        </w:tc>
        <w:tc>
          <w:tcPr>
            <w:tcW w:w="220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r>
      <w:tr>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r>
              <w:rPr>
                <w:rFonts w:hint="eastAsia"/>
                <w:color w:val="auto"/>
                <w:highlight w:val="none"/>
              </w:rPr>
              <w:t>项目业主邮政编码</w:t>
            </w:r>
          </w:p>
        </w:tc>
        <w:tc>
          <w:tcPr>
            <w:tcW w:w="220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1"/>
              <w:spacing w:line="360" w:lineRule="auto"/>
              <w:rPr>
                <w:color w:val="auto"/>
                <w:highlight w:val="none"/>
              </w:rPr>
            </w:pPr>
          </w:p>
        </w:tc>
      </w:tr>
    </w:tbl>
    <w:p>
      <w:pPr>
        <w:pStyle w:val="18"/>
        <w:spacing w:line="360" w:lineRule="auto"/>
        <w:rPr>
          <w:b/>
          <w:color w:val="auto"/>
          <w:highlight w:val="none"/>
          <w:lang w:val="en-US"/>
        </w:rPr>
      </w:pPr>
      <w:r>
        <w:rPr>
          <w:rFonts w:hint="eastAsia"/>
          <w:color w:val="auto"/>
          <w:sz w:val="18"/>
          <w:szCs w:val="18"/>
          <w:highlight w:val="none"/>
        </w:rPr>
        <w:t>注：</w:t>
      </w:r>
      <w:r>
        <w:rPr>
          <w:rFonts w:hint="eastAsia" w:cs="宋体"/>
          <w:color w:val="auto"/>
          <w:kern w:val="1"/>
          <w:sz w:val="18"/>
          <w:szCs w:val="18"/>
          <w:highlight w:val="none"/>
        </w:rPr>
        <w:t>投标人应根据招标文件第三章《评标办法》“</w:t>
      </w:r>
      <w:r>
        <w:rPr>
          <w:rFonts w:hint="eastAsia" w:cs="宋体"/>
          <w:color w:val="auto"/>
          <w:kern w:val="1"/>
          <w:sz w:val="18"/>
          <w:szCs w:val="18"/>
          <w:highlight w:val="none"/>
          <w:lang w:eastAsia="zh-CN"/>
        </w:rPr>
        <w:t>勘察、设计、工程商务及实施方案投标文件详细审查评分表</w:t>
      </w:r>
      <w:r>
        <w:rPr>
          <w:rFonts w:hint="eastAsia" w:cs="宋体"/>
          <w:color w:val="auto"/>
          <w:kern w:val="1"/>
          <w:sz w:val="18"/>
          <w:szCs w:val="18"/>
          <w:highlight w:val="none"/>
        </w:rPr>
        <w:t>”要求在本表后附对应的相关证明材料。</w:t>
      </w:r>
    </w:p>
    <w:p>
      <w:pPr>
        <w:pStyle w:val="81"/>
        <w:spacing w:line="360" w:lineRule="auto"/>
        <w:rPr>
          <w:color w:val="auto"/>
          <w:highlight w:val="none"/>
        </w:rPr>
      </w:pPr>
    </w:p>
    <w:p>
      <w:pPr>
        <w:pStyle w:val="68"/>
        <w:spacing w:line="480" w:lineRule="auto"/>
        <w:ind w:firstLine="5166" w:firstLineChars="2100"/>
        <w:rPr>
          <w:rFonts w:ascii="宋体" w:hAnsi="宋体" w:cs="宋体"/>
          <w:color w:val="auto"/>
          <w:spacing w:val="18"/>
          <w:kern w:val="1"/>
          <w:sz w:val="21"/>
          <w:szCs w:val="21"/>
          <w:highlight w:val="none"/>
          <w:lang w:val="zh-CN"/>
        </w:rPr>
      </w:pPr>
      <w:r>
        <w:rPr>
          <w:rFonts w:hint="eastAsia" w:ascii="宋体" w:hAnsi="宋体" w:cs="宋体"/>
          <w:color w:val="auto"/>
          <w:spacing w:val="18"/>
          <w:kern w:val="1"/>
          <w:sz w:val="21"/>
          <w:szCs w:val="21"/>
          <w:highlight w:val="none"/>
          <w:lang w:val="zh-CN"/>
        </w:rPr>
        <w:t>投标人：</w:t>
      </w:r>
      <w:r>
        <w:rPr>
          <w:rFonts w:hint="eastAsia" w:ascii="宋体" w:hAnsi="宋体" w:cs="宋体"/>
          <w:color w:val="auto"/>
          <w:spacing w:val="18"/>
          <w:kern w:val="1"/>
          <w:sz w:val="21"/>
          <w:szCs w:val="21"/>
          <w:highlight w:val="none"/>
          <w:u w:val="single"/>
          <w:lang w:val="zh-CN"/>
        </w:rPr>
        <w:t xml:space="preserve">　　 </w:t>
      </w:r>
      <w:r>
        <w:rPr>
          <w:rFonts w:ascii="宋体" w:hAnsi="宋体" w:cs="宋体"/>
          <w:color w:val="auto"/>
          <w:spacing w:val="18"/>
          <w:kern w:val="1"/>
          <w:sz w:val="21"/>
          <w:szCs w:val="21"/>
          <w:highlight w:val="none"/>
          <w:u w:val="single"/>
          <w:lang w:val="zh-CN"/>
        </w:rPr>
        <w:t xml:space="preserve">         </w:t>
      </w:r>
      <w:r>
        <w:rPr>
          <w:rFonts w:hint="eastAsia" w:ascii="宋体" w:hAnsi="宋体" w:cs="宋体"/>
          <w:color w:val="auto"/>
          <w:spacing w:val="18"/>
          <w:kern w:val="1"/>
          <w:sz w:val="21"/>
          <w:szCs w:val="21"/>
          <w:highlight w:val="none"/>
          <w:lang w:val="zh-CN"/>
        </w:rPr>
        <w:t>（盖章）</w:t>
      </w:r>
    </w:p>
    <w:p>
      <w:pPr>
        <w:pStyle w:val="68"/>
        <w:spacing w:line="480" w:lineRule="auto"/>
        <w:ind w:firstLine="3198" w:firstLineChars="1300"/>
        <w:rPr>
          <w:rFonts w:ascii="宋体" w:hAnsi="宋体" w:cs="宋体"/>
          <w:color w:val="auto"/>
          <w:spacing w:val="18"/>
          <w:kern w:val="1"/>
          <w:sz w:val="21"/>
          <w:szCs w:val="21"/>
          <w:highlight w:val="none"/>
          <w:lang w:val="zh-CN"/>
        </w:rPr>
      </w:pPr>
      <w:r>
        <w:rPr>
          <w:rFonts w:hint="eastAsia" w:ascii="宋体" w:hAnsi="宋体" w:cs="宋体"/>
          <w:color w:val="auto"/>
          <w:spacing w:val="18"/>
          <w:kern w:val="1"/>
          <w:sz w:val="21"/>
          <w:szCs w:val="21"/>
          <w:highlight w:val="none"/>
          <w:lang w:val="zh-CN"/>
        </w:rPr>
        <w:t>法定代表人或授权代理人：</w:t>
      </w:r>
      <w:r>
        <w:rPr>
          <w:rFonts w:hint="eastAsia" w:ascii="宋体" w:hAnsi="宋体" w:cs="宋体"/>
          <w:color w:val="auto"/>
          <w:spacing w:val="18"/>
          <w:kern w:val="1"/>
          <w:sz w:val="21"/>
          <w:szCs w:val="21"/>
          <w:highlight w:val="none"/>
          <w:u w:val="single"/>
          <w:lang w:val="zh-CN"/>
        </w:rPr>
        <w:t xml:space="preserve"> </w:t>
      </w:r>
      <w:r>
        <w:rPr>
          <w:rFonts w:ascii="宋体" w:hAnsi="宋体" w:cs="宋体"/>
          <w:color w:val="auto"/>
          <w:spacing w:val="18"/>
          <w:kern w:val="1"/>
          <w:sz w:val="21"/>
          <w:szCs w:val="21"/>
          <w:highlight w:val="none"/>
          <w:u w:val="single"/>
          <w:lang w:val="zh-CN"/>
        </w:rPr>
        <w:t xml:space="preserve">      </w:t>
      </w:r>
      <w:r>
        <w:rPr>
          <w:rFonts w:hint="eastAsia" w:ascii="宋体" w:hAnsi="宋体" w:cs="宋体"/>
          <w:color w:val="auto"/>
          <w:spacing w:val="18"/>
          <w:kern w:val="1"/>
          <w:sz w:val="21"/>
          <w:szCs w:val="21"/>
          <w:highlight w:val="none"/>
          <w:lang w:val="zh-CN"/>
        </w:rPr>
        <w:t>(签字或盖章)</w:t>
      </w:r>
      <w:r>
        <w:rPr>
          <w:rFonts w:ascii="宋体" w:hAnsi="宋体" w:cs="宋体"/>
          <w:color w:val="auto"/>
          <w:spacing w:val="18"/>
          <w:kern w:val="1"/>
          <w:sz w:val="21"/>
          <w:szCs w:val="21"/>
          <w:highlight w:val="none"/>
          <w:lang w:val="zh-CN"/>
        </w:rPr>
        <w:t xml:space="preserve"> </w:t>
      </w:r>
    </w:p>
    <w:p>
      <w:pPr>
        <w:pStyle w:val="18"/>
        <w:spacing w:line="480" w:lineRule="auto"/>
        <w:ind w:firstLine="4920" w:firstLineChars="2000"/>
        <w:rPr>
          <w:rFonts w:cs="宋体"/>
          <w:color w:val="auto"/>
          <w:spacing w:val="18"/>
          <w:kern w:val="1"/>
          <w:sz w:val="21"/>
          <w:szCs w:val="21"/>
          <w:highlight w:val="none"/>
        </w:rPr>
      </w:pPr>
      <w:r>
        <w:rPr>
          <w:rFonts w:hint="eastAsia" w:cs="宋体"/>
          <w:color w:val="auto"/>
          <w:spacing w:val="18"/>
          <w:kern w:val="1"/>
          <w:sz w:val="21"/>
          <w:szCs w:val="21"/>
          <w:highlight w:val="none"/>
        </w:rPr>
        <w:t>日   期：    年    月    日</w:t>
      </w:r>
    </w:p>
    <w:p>
      <w:pPr>
        <w:spacing w:line="360" w:lineRule="auto"/>
        <w:jc w:val="center"/>
        <w:rPr>
          <w:rFonts w:ascii="宋体" w:hAnsi="宋体" w:cs="宋体"/>
          <w:color w:val="auto"/>
          <w:kern w:val="1"/>
          <w:sz w:val="28"/>
          <w:szCs w:val="28"/>
          <w:highlight w:val="none"/>
        </w:rPr>
      </w:pPr>
      <w:r>
        <w:rPr>
          <w:color w:val="auto"/>
          <w:highlight w:val="none"/>
        </w:rPr>
        <w:br w:type="page"/>
      </w:r>
      <w:bookmarkStart w:id="410" w:name="_Hlk56526665"/>
      <w:r>
        <w:rPr>
          <w:rFonts w:hint="eastAsia" w:ascii="宋体" w:hAnsi="宋体" w:cs="宋体"/>
          <w:b/>
          <w:bCs/>
          <w:color w:val="auto"/>
          <w:kern w:val="1"/>
          <w:sz w:val="28"/>
          <w:szCs w:val="28"/>
          <w:highlight w:val="none"/>
          <w:lang w:val="zh-CN"/>
        </w:rPr>
        <w:t>投标人施工工程业绩获奖情况表</w:t>
      </w:r>
      <w:bookmarkEnd w:id="410"/>
    </w:p>
    <w:tbl>
      <w:tblPr>
        <w:tblStyle w:val="35"/>
        <w:tblW w:w="9360" w:type="dxa"/>
        <w:tblInd w:w="0" w:type="dxa"/>
        <w:tblLayout w:type="fixed"/>
        <w:tblCellMar>
          <w:top w:w="0" w:type="dxa"/>
          <w:left w:w="108" w:type="dxa"/>
          <w:bottom w:w="0" w:type="dxa"/>
          <w:right w:w="108" w:type="dxa"/>
        </w:tblCellMar>
      </w:tblPr>
      <w:tblGrid>
        <w:gridCol w:w="806"/>
        <w:gridCol w:w="807"/>
        <w:gridCol w:w="1926"/>
        <w:gridCol w:w="1134"/>
        <w:gridCol w:w="1134"/>
        <w:gridCol w:w="1134"/>
        <w:gridCol w:w="1134"/>
        <w:gridCol w:w="1285"/>
      </w:tblGrid>
      <w:tr>
        <w:tblPrEx>
          <w:tblCellMar>
            <w:top w:w="0" w:type="dxa"/>
            <w:left w:w="108" w:type="dxa"/>
            <w:bottom w:w="0" w:type="dxa"/>
            <w:right w:w="108" w:type="dxa"/>
          </w:tblCellMar>
        </w:tblPrEx>
        <w:trPr>
          <w:trHeight w:val="1304" w:hRule="atLeast"/>
        </w:trPr>
        <w:tc>
          <w:tcPr>
            <w:tcW w:w="80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序号</w:t>
            </w: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工程类别</w:t>
            </w:r>
          </w:p>
        </w:tc>
        <w:tc>
          <w:tcPr>
            <w:tcW w:w="192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工程地址</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建设单位</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奖项类型</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投资额</w:t>
            </w:r>
          </w:p>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（万元）</w:t>
            </w:r>
          </w:p>
        </w:tc>
        <w:tc>
          <w:tcPr>
            <w:tcW w:w="12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获奖情况</w:t>
            </w:r>
          </w:p>
        </w:tc>
      </w:tr>
      <w:tr>
        <w:tblPrEx>
          <w:tblCellMar>
            <w:top w:w="0" w:type="dxa"/>
            <w:left w:w="108" w:type="dxa"/>
            <w:bottom w:w="0" w:type="dxa"/>
            <w:right w:w="108" w:type="dxa"/>
          </w:tblCellMar>
        </w:tblPrEx>
        <w:trPr>
          <w:trHeight w:val="604" w:hRule="atLeast"/>
        </w:trPr>
        <w:tc>
          <w:tcPr>
            <w:tcW w:w="80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92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28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604" w:hRule="atLeast"/>
        </w:trPr>
        <w:tc>
          <w:tcPr>
            <w:tcW w:w="80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92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28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604" w:hRule="atLeast"/>
        </w:trPr>
        <w:tc>
          <w:tcPr>
            <w:tcW w:w="80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92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28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613" w:hRule="atLeast"/>
        </w:trPr>
        <w:tc>
          <w:tcPr>
            <w:tcW w:w="80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92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1"/>
                <w:szCs w:val="21"/>
                <w:highlight w:val="none"/>
              </w:rPr>
            </w:pPr>
          </w:p>
        </w:tc>
        <w:tc>
          <w:tcPr>
            <w:tcW w:w="128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kern w:val="1"/>
                <w:szCs w:val="21"/>
                <w:highlight w:val="none"/>
              </w:rPr>
            </w:pPr>
          </w:p>
        </w:tc>
      </w:tr>
    </w:tbl>
    <w:p>
      <w:pPr>
        <w:pStyle w:val="18"/>
        <w:spacing w:line="360" w:lineRule="auto"/>
        <w:rPr>
          <w:color w:val="auto"/>
          <w:highlight w:val="none"/>
          <w:lang w:val="en-US"/>
        </w:rPr>
      </w:pPr>
      <w:r>
        <w:rPr>
          <w:rFonts w:hint="eastAsia" w:cs="宋体"/>
          <w:color w:val="auto"/>
          <w:kern w:val="1"/>
          <w:sz w:val="18"/>
          <w:szCs w:val="18"/>
          <w:highlight w:val="none"/>
        </w:rPr>
        <w:t>注： 投标人应根据招标文件第三章《评标办法》“</w:t>
      </w:r>
      <w:r>
        <w:rPr>
          <w:rFonts w:hint="eastAsia" w:cs="宋体"/>
          <w:color w:val="auto"/>
          <w:kern w:val="1"/>
          <w:sz w:val="18"/>
          <w:szCs w:val="18"/>
          <w:highlight w:val="none"/>
          <w:lang w:eastAsia="zh-CN"/>
        </w:rPr>
        <w:t>勘察、设计、工程商务及实施方案投标文件详细审查评分表</w:t>
      </w:r>
      <w:r>
        <w:rPr>
          <w:rFonts w:hint="eastAsia" w:cs="宋体"/>
          <w:color w:val="auto"/>
          <w:kern w:val="1"/>
          <w:sz w:val="18"/>
          <w:szCs w:val="18"/>
          <w:highlight w:val="none"/>
        </w:rPr>
        <w:t>”要求在本表后附对应的相关证明材料。</w:t>
      </w:r>
    </w:p>
    <w:p>
      <w:pPr>
        <w:pStyle w:val="18"/>
        <w:spacing w:line="360" w:lineRule="auto"/>
        <w:rPr>
          <w:rFonts w:cs="宋体"/>
          <w:b/>
          <w:color w:val="auto"/>
          <w:kern w:val="1"/>
          <w:sz w:val="24"/>
          <w:highlight w:val="none"/>
        </w:rPr>
      </w:pPr>
      <w:r>
        <w:rPr>
          <w:rFonts w:cs="宋体"/>
          <w:b/>
          <w:color w:val="auto"/>
          <w:sz w:val="28"/>
          <w:szCs w:val="28"/>
          <w:highlight w:val="none"/>
        </w:rPr>
        <w:br w:type="page"/>
      </w:r>
      <w:r>
        <w:rPr>
          <w:rFonts w:hint="eastAsia" w:cs="宋体"/>
          <w:b/>
          <w:color w:val="auto"/>
          <w:kern w:val="1"/>
          <w:sz w:val="24"/>
          <w:highlight w:val="none"/>
        </w:rPr>
        <w:t>格式</w:t>
      </w:r>
      <w:r>
        <w:rPr>
          <w:rFonts w:cs="宋体"/>
          <w:b/>
          <w:color w:val="auto"/>
          <w:kern w:val="1"/>
          <w:sz w:val="24"/>
          <w:highlight w:val="none"/>
        </w:rPr>
        <w:t>11</w:t>
      </w:r>
      <w:r>
        <w:rPr>
          <w:rFonts w:hint="eastAsia" w:cs="宋体"/>
          <w:b/>
          <w:color w:val="auto"/>
          <w:kern w:val="1"/>
          <w:sz w:val="24"/>
          <w:highlight w:val="none"/>
        </w:rPr>
        <w:t>：</w:t>
      </w:r>
    </w:p>
    <w:p>
      <w:pPr>
        <w:spacing w:line="360" w:lineRule="auto"/>
        <w:jc w:val="center"/>
        <w:rPr>
          <w:rFonts w:ascii="宋体" w:hAnsi="宋体" w:cs="宋体"/>
          <w:b/>
          <w:color w:val="auto"/>
          <w:kern w:val="1"/>
          <w:sz w:val="28"/>
          <w:szCs w:val="28"/>
          <w:highlight w:val="none"/>
          <w:lang w:val="zh-CN"/>
        </w:rPr>
      </w:pPr>
      <w:r>
        <w:rPr>
          <w:rFonts w:hint="eastAsia" w:ascii="宋体" w:hAnsi="宋体" w:cs="宋体"/>
          <w:b/>
          <w:color w:val="auto"/>
          <w:spacing w:val="4"/>
          <w:sz w:val="32"/>
          <w:szCs w:val="32"/>
          <w:highlight w:val="none"/>
        </w:rPr>
        <w:t>施工组织设计方案</w:t>
      </w:r>
    </w:p>
    <w:p>
      <w:pPr>
        <w:pStyle w:val="18"/>
        <w:spacing w:line="360" w:lineRule="auto"/>
        <w:jc w:val="center"/>
        <w:rPr>
          <w:color w:val="auto"/>
          <w:highlight w:val="none"/>
        </w:rPr>
      </w:pPr>
      <w:r>
        <w:rPr>
          <w:rFonts w:hint="eastAsia"/>
          <w:color w:val="auto"/>
          <w:sz w:val="24"/>
          <w:szCs w:val="24"/>
          <w:highlight w:val="none"/>
        </w:rPr>
        <w:t>注：按照《</w:t>
      </w:r>
      <w:r>
        <w:rPr>
          <w:rFonts w:hint="eastAsia"/>
          <w:color w:val="auto"/>
          <w:sz w:val="24"/>
          <w:szCs w:val="24"/>
          <w:highlight w:val="none"/>
          <w:lang w:eastAsia="zh-CN"/>
        </w:rPr>
        <w:t>勘察、设计、工程商务及实施方案投标文件详细审查评分表</w:t>
      </w:r>
      <w:r>
        <w:rPr>
          <w:rFonts w:hint="eastAsia"/>
          <w:color w:val="auto"/>
          <w:sz w:val="24"/>
          <w:szCs w:val="24"/>
          <w:highlight w:val="none"/>
        </w:rPr>
        <w:t>》评审内容提交，格式自拟。</w:t>
      </w:r>
    </w:p>
    <w:p>
      <w:pPr>
        <w:pStyle w:val="34"/>
        <w:spacing w:line="360" w:lineRule="auto"/>
        <w:ind w:firstLine="0"/>
        <w:rPr>
          <w:rFonts w:ascii="宋体" w:hAnsi="宋体" w:cs="宋体"/>
          <w:b/>
          <w:color w:val="auto"/>
          <w:kern w:val="0"/>
          <w:sz w:val="28"/>
          <w:szCs w:val="28"/>
          <w:highlight w:val="none"/>
        </w:rPr>
      </w:pPr>
    </w:p>
    <w:p>
      <w:pPr>
        <w:spacing w:line="360" w:lineRule="auto"/>
        <w:rPr>
          <w:rFonts w:ascii="宋体" w:hAnsi="宋体" w:cs="宋体"/>
          <w:color w:val="auto"/>
          <w:kern w:val="1"/>
          <w:szCs w:val="21"/>
          <w:highlight w:val="none"/>
        </w:rPr>
      </w:pPr>
      <w:r>
        <w:rPr>
          <w:rFonts w:hint="eastAsia" w:ascii="宋体" w:hAnsi="宋体" w:cs="宋体"/>
          <w:b/>
          <w:color w:val="auto"/>
          <w:kern w:val="1"/>
          <w:sz w:val="30"/>
          <w:szCs w:val="30"/>
          <w:highlight w:val="none"/>
        </w:rPr>
        <w:br w:type="page"/>
      </w:r>
    </w:p>
    <w:p>
      <w:pPr>
        <w:spacing w:line="360" w:lineRule="auto"/>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12</w:t>
      </w:r>
      <w:r>
        <w:rPr>
          <w:rFonts w:hint="eastAsia" w:ascii="宋体" w:hAnsi="宋体" w:cs="宋体"/>
          <w:b/>
          <w:color w:val="auto"/>
          <w:kern w:val="1"/>
          <w:sz w:val="24"/>
          <w:highlight w:val="none"/>
          <w:lang w:val="zh-CN"/>
        </w:rPr>
        <w:t>：</w:t>
      </w:r>
    </w:p>
    <w:p>
      <w:pPr>
        <w:pStyle w:val="34"/>
        <w:spacing w:line="360" w:lineRule="auto"/>
        <w:ind w:left="-2" w:firstLine="632"/>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参与编制</w:t>
      </w:r>
      <w:bookmarkStart w:id="411" w:name="_Hlk56417686"/>
      <w:bookmarkStart w:id="412" w:name="_Hlk56417741"/>
      <w:r>
        <w:rPr>
          <w:rFonts w:hint="eastAsia" w:ascii="宋体" w:hAnsi="宋体" w:cs="宋体"/>
          <w:b/>
          <w:bCs/>
          <w:color w:val="auto"/>
          <w:sz w:val="28"/>
          <w:szCs w:val="28"/>
          <w:highlight w:val="none"/>
          <w:lang w:val="zh-CN"/>
        </w:rPr>
        <w:t>勘察、设计、工程商务及实施方案技术投标文件</w:t>
      </w:r>
      <w:bookmarkEnd w:id="411"/>
      <w:bookmarkEnd w:id="412"/>
      <w:r>
        <w:rPr>
          <w:rFonts w:hint="eastAsia" w:ascii="宋体" w:hAnsi="宋体" w:cs="宋体"/>
          <w:b/>
          <w:bCs/>
          <w:color w:val="auto"/>
          <w:sz w:val="28"/>
          <w:szCs w:val="28"/>
          <w:highlight w:val="none"/>
          <w:lang w:val="zh-CN"/>
        </w:rPr>
        <w:t>人员名单</w:t>
      </w:r>
    </w:p>
    <w:tbl>
      <w:tblPr>
        <w:tblStyle w:val="35"/>
        <w:tblW w:w="9385" w:type="dxa"/>
        <w:tblInd w:w="0" w:type="dxa"/>
        <w:tblLayout w:type="fixed"/>
        <w:tblCellMar>
          <w:top w:w="0" w:type="dxa"/>
          <w:left w:w="108" w:type="dxa"/>
          <w:bottom w:w="0" w:type="dxa"/>
          <w:right w:w="108" w:type="dxa"/>
        </w:tblCellMar>
      </w:tblPr>
      <w:tblGrid>
        <w:gridCol w:w="1621"/>
        <w:gridCol w:w="1311"/>
        <w:gridCol w:w="2320"/>
        <w:gridCol w:w="2449"/>
        <w:gridCol w:w="1684"/>
      </w:tblGrid>
      <w:tr>
        <w:tblPrEx>
          <w:tblCellMar>
            <w:top w:w="0" w:type="dxa"/>
            <w:left w:w="108" w:type="dxa"/>
            <w:bottom w:w="0" w:type="dxa"/>
            <w:right w:w="108" w:type="dxa"/>
          </w:tblCellMar>
        </w:tblPrEx>
        <w:trPr>
          <w:trHeight w:val="462" w:hRule="atLeast"/>
        </w:trPr>
        <w:tc>
          <w:tcPr>
            <w:tcW w:w="1621" w:type="dxa"/>
            <w:tcBorders>
              <w:top w:val="single" w:color="000000" w:sz="4"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姓名</w:t>
            </w:r>
          </w:p>
        </w:tc>
        <w:tc>
          <w:tcPr>
            <w:tcW w:w="1311" w:type="dxa"/>
            <w:tcBorders>
              <w:top w:val="single" w:color="000000" w:sz="4"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职务</w:t>
            </w:r>
          </w:p>
        </w:tc>
        <w:tc>
          <w:tcPr>
            <w:tcW w:w="2320" w:type="dxa"/>
            <w:tcBorders>
              <w:top w:val="single" w:color="000000" w:sz="4"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所承担工作</w:t>
            </w:r>
          </w:p>
        </w:tc>
        <w:tc>
          <w:tcPr>
            <w:tcW w:w="2449" w:type="dxa"/>
            <w:tcBorders>
              <w:top w:val="single" w:color="000000" w:sz="4"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身份证号码</w:t>
            </w:r>
          </w:p>
        </w:tc>
        <w:tc>
          <w:tcPr>
            <w:tcW w:w="1684" w:type="dxa"/>
            <w:tcBorders>
              <w:top w:val="single" w:color="000000" w:sz="4"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本人签名栏</w:t>
            </w:r>
          </w:p>
        </w:tc>
      </w:tr>
      <w:tr>
        <w:tblPrEx>
          <w:tblCellMar>
            <w:top w:w="0" w:type="dxa"/>
            <w:left w:w="108" w:type="dxa"/>
            <w:bottom w:w="0" w:type="dxa"/>
            <w:right w:w="108" w:type="dxa"/>
          </w:tblCellMar>
        </w:tblPrEx>
        <w:trPr>
          <w:trHeight w:val="468"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r>
    </w:tbl>
    <w:p>
      <w:pPr>
        <w:spacing w:line="360" w:lineRule="auto"/>
        <w:ind w:left="1" w:right="-191"/>
        <w:rPr>
          <w:rFonts w:ascii="宋体" w:hAnsi="宋体" w:cs="宋体"/>
          <w:color w:val="auto"/>
          <w:kern w:val="1"/>
          <w:sz w:val="18"/>
          <w:szCs w:val="18"/>
          <w:highlight w:val="none"/>
        </w:rPr>
      </w:pPr>
      <w:r>
        <w:rPr>
          <w:rFonts w:hint="eastAsia" w:ascii="宋体" w:hAnsi="宋体" w:cs="宋体"/>
          <w:color w:val="auto"/>
          <w:kern w:val="1"/>
          <w:sz w:val="18"/>
          <w:szCs w:val="18"/>
          <w:highlight w:val="none"/>
        </w:rPr>
        <w:t>注：参与编制文件人员名单应包括如编制</w:t>
      </w:r>
      <w:bookmarkStart w:id="413" w:name="_Hlk69827854"/>
      <w:r>
        <w:rPr>
          <w:rFonts w:hint="eastAsia" w:ascii="宋体" w:hAnsi="宋体" w:cs="宋体"/>
          <w:color w:val="auto"/>
          <w:kern w:val="1"/>
          <w:sz w:val="18"/>
          <w:szCs w:val="18"/>
          <w:highlight w:val="none"/>
          <w:lang w:eastAsia="zh-CN"/>
        </w:rPr>
        <w:t>勘察、设计、工程商务及实施方案</w:t>
      </w:r>
      <w:r>
        <w:rPr>
          <w:rFonts w:hint="eastAsia" w:ascii="宋体" w:hAnsi="宋体" w:cs="宋体"/>
          <w:color w:val="auto"/>
          <w:kern w:val="1"/>
          <w:sz w:val="18"/>
          <w:szCs w:val="18"/>
          <w:highlight w:val="none"/>
        </w:rPr>
        <w:t>技术投标文件、</w:t>
      </w:r>
      <w:bookmarkEnd w:id="413"/>
      <w:r>
        <w:rPr>
          <w:rFonts w:hint="eastAsia" w:ascii="宋体" w:hAnsi="宋体" w:cs="宋体"/>
          <w:color w:val="auto"/>
          <w:kern w:val="1"/>
          <w:sz w:val="18"/>
          <w:szCs w:val="18"/>
          <w:highlight w:val="none"/>
        </w:rPr>
        <w:t>负责清样校对、负责打印及复印等所有人员在内的人员名单。</w:t>
      </w:r>
    </w:p>
    <w:p>
      <w:pPr>
        <w:pStyle w:val="18"/>
        <w:spacing w:line="360" w:lineRule="auto"/>
        <w:rPr>
          <w:color w:val="auto"/>
          <w:highlight w:val="none"/>
          <w:lang w:val="en-US"/>
        </w:rPr>
      </w:pPr>
    </w:p>
    <w:p>
      <w:pPr>
        <w:pStyle w:val="18"/>
        <w:spacing w:line="360" w:lineRule="auto"/>
        <w:jc w:val="center"/>
        <w:rPr>
          <w:color w:val="auto"/>
          <w:highlight w:val="none"/>
          <w:lang w:val="en-US"/>
        </w:rPr>
      </w:pPr>
    </w:p>
    <w:p>
      <w:pPr>
        <w:pStyle w:val="18"/>
        <w:spacing w:line="360" w:lineRule="auto"/>
        <w:rPr>
          <w:color w:val="auto"/>
          <w:highlight w:val="none"/>
        </w:rPr>
      </w:pPr>
      <w:r>
        <w:rPr>
          <w:color w:val="auto"/>
          <w:highlight w:val="none"/>
        </w:rPr>
        <w:br w:type="page"/>
      </w:r>
    </w:p>
    <w:p>
      <w:pPr>
        <w:pStyle w:val="18"/>
        <w:spacing w:line="360" w:lineRule="auto"/>
        <w:rPr>
          <w:rFonts w:cs="宋体"/>
          <w:b/>
          <w:color w:val="auto"/>
          <w:kern w:val="1"/>
          <w:sz w:val="24"/>
          <w:highlight w:val="none"/>
        </w:rPr>
      </w:pPr>
      <w:r>
        <w:rPr>
          <w:rFonts w:hint="eastAsia" w:cs="宋体"/>
          <w:b/>
          <w:color w:val="auto"/>
          <w:kern w:val="1"/>
          <w:sz w:val="24"/>
          <w:highlight w:val="none"/>
        </w:rPr>
        <w:t>格式</w:t>
      </w:r>
      <w:r>
        <w:rPr>
          <w:rFonts w:cs="宋体"/>
          <w:b/>
          <w:color w:val="auto"/>
          <w:kern w:val="1"/>
          <w:sz w:val="24"/>
          <w:highlight w:val="none"/>
        </w:rPr>
        <w:t>13</w:t>
      </w:r>
      <w:r>
        <w:rPr>
          <w:rFonts w:hint="eastAsia" w:cs="宋体"/>
          <w:b/>
          <w:color w:val="auto"/>
          <w:kern w:val="1"/>
          <w:sz w:val="24"/>
          <w:highlight w:val="none"/>
        </w:rPr>
        <w:t>：</w:t>
      </w:r>
    </w:p>
    <w:p>
      <w:pPr>
        <w:pStyle w:val="18"/>
        <w:spacing w:line="360" w:lineRule="auto"/>
        <w:jc w:val="center"/>
        <w:rPr>
          <w:rFonts w:cs="宋体"/>
          <w:b/>
          <w:bCs/>
          <w:color w:val="auto"/>
          <w:sz w:val="28"/>
          <w:szCs w:val="28"/>
          <w:highlight w:val="none"/>
        </w:rPr>
      </w:pPr>
      <w:bookmarkStart w:id="414" w:name="_Hlk69828306"/>
      <w:r>
        <w:rPr>
          <w:rFonts w:hint="eastAsia" w:cs="宋体"/>
          <w:b/>
          <w:bCs/>
          <w:color w:val="auto"/>
          <w:sz w:val="28"/>
          <w:szCs w:val="28"/>
          <w:highlight w:val="none"/>
        </w:rPr>
        <w:t>投标保证金</w:t>
      </w:r>
    </w:p>
    <w:p>
      <w:pPr>
        <w:pStyle w:val="18"/>
        <w:spacing w:line="360" w:lineRule="auto"/>
        <w:jc w:val="left"/>
        <w:rPr>
          <w:color w:val="auto"/>
          <w:sz w:val="24"/>
          <w:szCs w:val="24"/>
          <w:highlight w:val="none"/>
        </w:rPr>
      </w:pPr>
      <w:r>
        <w:rPr>
          <w:rFonts w:hint="eastAsia"/>
          <w:color w:val="auto"/>
          <w:sz w:val="24"/>
          <w:szCs w:val="24"/>
          <w:highlight w:val="none"/>
        </w:rPr>
        <w:t>注：如采用现金或者支票形式提交由广州公共资源交易中心代收的，或采用广州公共资源交易中心电子形式的保函、担保或保证保险提交的，以投标文件递交截止时间后在广州公共资源交易中心数据库查询的投标保证金递交情况为准，投标人不需另外提供凭证；</w:t>
      </w:r>
    </w:p>
    <w:p>
      <w:pPr>
        <w:pStyle w:val="18"/>
        <w:spacing w:line="360" w:lineRule="auto"/>
        <w:ind w:firstLine="480" w:firstLineChars="200"/>
        <w:jc w:val="left"/>
        <w:rPr>
          <w:color w:val="auto"/>
          <w:sz w:val="24"/>
          <w:szCs w:val="24"/>
          <w:highlight w:val="none"/>
        </w:rPr>
      </w:pPr>
      <w:r>
        <w:rPr>
          <w:rFonts w:hint="eastAsia"/>
          <w:color w:val="auto"/>
          <w:sz w:val="24"/>
          <w:szCs w:val="24"/>
          <w:highlight w:val="none"/>
        </w:rPr>
        <w:t>如采用非电子形式的银行保函、保证保险、专业工程担保公司担保提交的，投标人应在此处提供银行保函、保证保险、专业工程担保公司担保等的原件扫描件并加盖投标人（或联合体</w:t>
      </w:r>
      <w:r>
        <w:rPr>
          <w:rFonts w:hint="eastAsia"/>
          <w:color w:val="auto"/>
          <w:sz w:val="24"/>
          <w:szCs w:val="24"/>
          <w:highlight w:val="none"/>
          <w:lang w:eastAsia="zh-CN"/>
        </w:rPr>
        <w:t>主办方</w:t>
      </w:r>
      <w:r>
        <w:rPr>
          <w:rFonts w:hint="eastAsia"/>
          <w:color w:val="auto"/>
          <w:sz w:val="24"/>
          <w:szCs w:val="24"/>
          <w:highlight w:val="none"/>
        </w:rPr>
        <w:t>）电子印章。</w:t>
      </w:r>
      <w:bookmarkEnd w:id="414"/>
    </w:p>
    <w:p>
      <w:pPr>
        <w:widowControl/>
        <w:jc w:val="left"/>
        <w:rPr>
          <w:rFonts w:ascii="宋体" w:hAnsi="宋体" w:cs="Courier New"/>
          <w:color w:val="auto"/>
          <w:sz w:val="20"/>
          <w:szCs w:val="20"/>
          <w:highlight w:val="none"/>
          <w:lang w:val="zh-CN"/>
        </w:rPr>
      </w:pPr>
      <w:r>
        <w:rPr>
          <w:color w:val="auto"/>
          <w:highlight w:val="none"/>
        </w:rPr>
        <w:br w:type="page"/>
      </w:r>
    </w:p>
    <w:p>
      <w:pPr>
        <w:pStyle w:val="18"/>
        <w:rPr>
          <w:color w:val="auto"/>
          <w:spacing w:val="2"/>
          <w:position w:val="-1"/>
          <w:sz w:val="32"/>
          <w:szCs w:val="32"/>
          <w:highlight w:val="none"/>
        </w:rPr>
      </w:pPr>
      <w:bookmarkStart w:id="415" w:name="_Toc50480839"/>
      <w:bookmarkStart w:id="416" w:name="_Toc10571"/>
      <w:r>
        <w:rPr>
          <w:rFonts w:hint="eastAsia" w:cs="宋体"/>
          <w:b/>
          <w:color w:val="auto"/>
          <w:kern w:val="1"/>
          <w:sz w:val="24"/>
          <w:highlight w:val="none"/>
        </w:rPr>
        <w:t>格式</w:t>
      </w:r>
      <w:r>
        <w:rPr>
          <w:rFonts w:cs="宋体"/>
          <w:b/>
          <w:color w:val="auto"/>
          <w:kern w:val="1"/>
          <w:sz w:val="24"/>
          <w:highlight w:val="none"/>
        </w:rPr>
        <w:t>14</w:t>
      </w:r>
      <w:r>
        <w:rPr>
          <w:rFonts w:hint="eastAsia" w:cs="宋体"/>
          <w:b/>
          <w:color w:val="auto"/>
          <w:kern w:val="1"/>
          <w:sz w:val="24"/>
          <w:highlight w:val="none"/>
        </w:rPr>
        <w:t>：合作设计协议书（适用于合作设计，否则可不提供）</w:t>
      </w:r>
      <w:bookmarkEnd w:id="415"/>
      <w:bookmarkEnd w:id="416"/>
    </w:p>
    <w:p>
      <w:pPr>
        <w:jc w:val="center"/>
        <w:rPr>
          <w:rFonts w:ascii="宋体"/>
          <w:b/>
          <w:bCs/>
          <w:color w:val="auto"/>
          <w:sz w:val="32"/>
          <w:szCs w:val="32"/>
          <w:highlight w:val="none"/>
        </w:rPr>
      </w:pPr>
    </w:p>
    <w:p>
      <w:pPr>
        <w:jc w:val="center"/>
        <w:rPr>
          <w:rFonts w:ascii="宋体"/>
          <w:b/>
          <w:bCs/>
          <w:color w:val="auto"/>
          <w:sz w:val="32"/>
          <w:szCs w:val="32"/>
          <w:highlight w:val="none"/>
        </w:rPr>
      </w:pPr>
      <w:r>
        <w:rPr>
          <w:rFonts w:hint="eastAsia" w:ascii="宋体" w:hAnsi="宋体"/>
          <w:b/>
          <w:bCs/>
          <w:color w:val="auto"/>
          <w:sz w:val="32"/>
          <w:szCs w:val="32"/>
          <w:highlight w:val="none"/>
        </w:rPr>
        <w:t>合作设计协议书</w:t>
      </w:r>
    </w:p>
    <w:p>
      <w:pPr>
        <w:rPr>
          <w:rFonts w:ascii="宋体"/>
          <w:b/>
          <w:bCs/>
          <w:color w:val="auto"/>
          <w:szCs w:val="21"/>
          <w:highlight w:val="none"/>
        </w:rPr>
      </w:pPr>
      <w:r>
        <w:rPr>
          <w:rFonts w:ascii="宋体" w:hAnsi="宋体"/>
          <w:color w:val="auto"/>
          <w:highlight w:val="none"/>
        </w:rPr>
        <w:t xml:space="preserve">                             </w:t>
      </w:r>
    </w:p>
    <w:p>
      <w:pPr>
        <w:rPr>
          <w:rFonts w:ascii="宋体" w:hAnsi="宋体"/>
          <w:color w:val="auto"/>
          <w:sz w:val="24"/>
          <w:highlight w:val="none"/>
        </w:rPr>
      </w:pPr>
      <w:r>
        <w:rPr>
          <w:rFonts w:ascii="宋体" w:hAnsi="宋体"/>
          <w:color w:val="auto"/>
          <w:sz w:val="24"/>
          <w:highlight w:val="none"/>
        </w:rPr>
        <w:t xml:space="preserve"> </w:t>
      </w:r>
    </w:p>
    <w:p>
      <w:pPr>
        <w:jc w:val="left"/>
        <w:rPr>
          <w:rFonts w:ascii="宋体"/>
          <w:color w:val="auto"/>
          <w:sz w:val="24"/>
          <w:szCs w:val="24"/>
          <w:highlight w:val="none"/>
        </w:rPr>
      </w:pPr>
      <w:r>
        <w:rPr>
          <w:rFonts w:hint="eastAsia" w:ascii="宋体" w:hAnsi="宋体"/>
          <w:color w:val="auto"/>
          <w:sz w:val="24"/>
          <w:szCs w:val="24"/>
          <w:highlight w:val="none"/>
        </w:rPr>
        <w:t>投标项目名称：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pPr>
        <w:pStyle w:val="18"/>
        <w:rPr>
          <w:color w:val="auto"/>
          <w:sz w:val="24"/>
          <w:szCs w:val="24"/>
          <w:highlight w:val="none"/>
        </w:rPr>
      </w:pPr>
      <w:r>
        <w:rPr>
          <w:color w:val="auto"/>
          <w:sz w:val="24"/>
          <w:szCs w:val="24"/>
          <w:highlight w:val="none"/>
        </w:rPr>
        <w:t xml:space="preserve"> </w:t>
      </w:r>
    </w:p>
    <w:p>
      <w:pPr>
        <w:pStyle w:val="18"/>
        <w:rPr>
          <w:color w:val="auto"/>
          <w:sz w:val="24"/>
          <w:szCs w:val="24"/>
          <w:highlight w:val="none"/>
        </w:rPr>
      </w:pPr>
      <w:r>
        <w:rPr>
          <w:rFonts w:hint="eastAsia"/>
          <w:color w:val="auto"/>
          <w:sz w:val="24"/>
          <w:szCs w:val="24"/>
          <w:highlight w:val="none"/>
        </w:rPr>
        <w:t>致：</w:t>
      </w:r>
      <w:r>
        <w:rPr>
          <w:color w:val="auto"/>
          <w:sz w:val="24"/>
          <w:szCs w:val="24"/>
          <w:highlight w:val="none"/>
          <w:u w:val="single"/>
        </w:rPr>
        <w:t xml:space="preserve">                                    </w:t>
      </w:r>
      <w:r>
        <w:rPr>
          <w:rFonts w:hint="eastAsia"/>
          <w:color w:val="auto"/>
          <w:sz w:val="24"/>
          <w:szCs w:val="24"/>
          <w:highlight w:val="none"/>
        </w:rPr>
        <w:t>（招标人、招标代理机构名称）</w:t>
      </w:r>
    </w:p>
    <w:p>
      <w:pPr>
        <w:jc w:val="left"/>
        <w:rPr>
          <w:rFonts w:ascii="宋体" w:hAnsi="宋体"/>
          <w:color w:val="auto"/>
          <w:sz w:val="24"/>
          <w:szCs w:val="24"/>
          <w:highlight w:val="none"/>
        </w:rPr>
      </w:pPr>
      <w:r>
        <w:rPr>
          <w:rFonts w:ascii="宋体" w:hAnsi="宋体"/>
          <w:color w:val="auto"/>
          <w:sz w:val="24"/>
          <w:szCs w:val="24"/>
          <w:highlight w:val="none"/>
        </w:rPr>
        <w:t xml:space="preserve"> </w:t>
      </w:r>
    </w:p>
    <w:p>
      <w:pPr>
        <w:pStyle w:val="18"/>
        <w:ind w:firstLine="420"/>
        <w:rPr>
          <w:color w:val="auto"/>
          <w:sz w:val="24"/>
          <w:szCs w:val="24"/>
          <w:highlight w:val="none"/>
        </w:rPr>
      </w:pPr>
      <w:r>
        <w:rPr>
          <w:rFonts w:hint="eastAsia"/>
          <w:color w:val="auto"/>
          <w:sz w:val="24"/>
          <w:szCs w:val="24"/>
          <w:highlight w:val="none"/>
        </w:rPr>
        <w:t>按照招标公告的规定，</w:t>
      </w:r>
      <w:r>
        <w:rPr>
          <w:color w:val="auto"/>
          <w:sz w:val="24"/>
          <w:szCs w:val="24"/>
          <w:highlight w:val="none"/>
          <w:u w:val="single"/>
        </w:rPr>
        <w:t xml:space="preserve">                         </w:t>
      </w:r>
      <w:r>
        <w:rPr>
          <w:rFonts w:hint="eastAsia"/>
          <w:color w:val="auto"/>
          <w:sz w:val="24"/>
          <w:szCs w:val="24"/>
          <w:highlight w:val="none"/>
        </w:rPr>
        <w:t>（外国或澳门、台湾的设计企业</w:t>
      </w:r>
      <w:r>
        <w:rPr>
          <w:rFonts w:hint="eastAsia"/>
          <w:color w:val="auto"/>
          <w:sz w:val="24"/>
          <w:szCs w:val="24"/>
          <w:highlight w:val="none"/>
          <w:u w:val="single"/>
        </w:rPr>
        <w:t>和香港不单独参加设计部分投标的设计企业</w:t>
      </w:r>
      <w:r>
        <w:rPr>
          <w:rFonts w:hint="eastAsia"/>
          <w:color w:val="auto"/>
          <w:sz w:val="24"/>
          <w:szCs w:val="24"/>
          <w:highlight w:val="none"/>
        </w:rPr>
        <w:t>）作为投标人（即“申请人”，下同）</w:t>
      </w:r>
      <w:r>
        <w:rPr>
          <w:color w:val="auto"/>
          <w:sz w:val="24"/>
          <w:szCs w:val="24"/>
          <w:highlight w:val="none"/>
          <w:u w:val="single"/>
        </w:rPr>
        <w:t xml:space="preserve">                       </w:t>
      </w:r>
      <w:r>
        <w:rPr>
          <w:rFonts w:hint="eastAsia"/>
          <w:color w:val="auto"/>
          <w:sz w:val="24"/>
          <w:szCs w:val="24"/>
          <w:highlight w:val="none"/>
        </w:rPr>
        <w:t>（符合招标公告第</w:t>
      </w:r>
      <w:r>
        <w:rPr>
          <w:color w:val="auto"/>
          <w:sz w:val="24"/>
          <w:szCs w:val="24"/>
          <w:highlight w:val="none"/>
        </w:rPr>
        <w:t>4.1</w:t>
      </w:r>
      <w:r>
        <w:rPr>
          <w:rFonts w:hint="eastAsia"/>
          <w:color w:val="auto"/>
          <w:sz w:val="24"/>
          <w:szCs w:val="24"/>
          <w:highlight w:val="none"/>
        </w:rPr>
        <w:t>条投标人合格条件的设计企业）的合作设计方，参与本项目进行合作设计。若中标，各成员向招标人承担连带责任。合作设计方授权委托</w:t>
      </w:r>
      <w:r>
        <w:rPr>
          <w:color w:val="auto"/>
          <w:sz w:val="24"/>
          <w:szCs w:val="24"/>
          <w:highlight w:val="none"/>
          <w:u w:val="single"/>
        </w:rPr>
        <w:t xml:space="preserve">                   </w:t>
      </w:r>
      <w:r>
        <w:rPr>
          <w:rFonts w:hint="eastAsia"/>
          <w:color w:val="auto"/>
          <w:sz w:val="24"/>
          <w:szCs w:val="24"/>
          <w:highlight w:val="none"/>
        </w:rPr>
        <w:t>（符合招标公告第</w:t>
      </w:r>
      <w:r>
        <w:rPr>
          <w:color w:val="auto"/>
          <w:sz w:val="24"/>
          <w:szCs w:val="24"/>
          <w:highlight w:val="none"/>
        </w:rPr>
        <w:t>4.1</w:t>
      </w:r>
      <w:r>
        <w:rPr>
          <w:rFonts w:hint="eastAsia"/>
          <w:color w:val="auto"/>
          <w:sz w:val="24"/>
          <w:szCs w:val="24"/>
          <w:highlight w:val="none"/>
        </w:rPr>
        <w:t>条投标人合格条件的设计企业）代表所有合作成员参加投标、提交投标文件，以及与招标人签订合同，负责整个合同实施阶段的协调工作。</w:t>
      </w:r>
    </w:p>
    <w:p>
      <w:pPr>
        <w:rPr>
          <w:rFonts w:ascii="宋体" w:hAnsi="宋体"/>
          <w:color w:val="auto"/>
          <w:sz w:val="24"/>
          <w:szCs w:val="24"/>
          <w:highlight w:val="none"/>
        </w:rPr>
      </w:pPr>
      <w:r>
        <w:rPr>
          <w:rFonts w:ascii="宋体" w:hAnsi="宋体"/>
          <w:color w:val="auto"/>
          <w:sz w:val="24"/>
          <w:szCs w:val="24"/>
          <w:highlight w:val="none"/>
        </w:rPr>
        <w:t xml:space="preserve"> </w:t>
      </w:r>
    </w:p>
    <w:p>
      <w:pPr>
        <w:pStyle w:val="18"/>
        <w:rPr>
          <w:color w:val="auto"/>
          <w:sz w:val="24"/>
          <w:szCs w:val="24"/>
          <w:highlight w:val="none"/>
        </w:rPr>
      </w:pPr>
      <w:r>
        <w:rPr>
          <w:color w:val="auto"/>
          <w:sz w:val="24"/>
          <w:szCs w:val="24"/>
          <w:highlight w:val="none"/>
        </w:rPr>
        <w:t xml:space="preserve"> </w:t>
      </w:r>
    </w:p>
    <w:p>
      <w:pPr>
        <w:pStyle w:val="18"/>
        <w:spacing w:line="360" w:lineRule="auto"/>
        <w:ind w:firstLine="240" w:firstLineChars="100"/>
        <w:rPr>
          <w:color w:val="auto"/>
          <w:sz w:val="24"/>
          <w:szCs w:val="24"/>
          <w:highlight w:val="none"/>
        </w:rPr>
      </w:pPr>
      <w:r>
        <w:rPr>
          <w:color w:val="auto"/>
          <w:sz w:val="24"/>
          <w:szCs w:val="24"/>
          <w:highlight w:val="none"/>
        </w:rPr>
        <w:t xml:space="preserve">  </w:t>
      </w:r>
      <w:r>
        <w:rPr>
          <w:rFonts w:hint="eastAsia"/>
          <w:color w:val="auto"/>
          <w:sz w:val="24"/>
          <w:szCs w:val="24"/>
          <w:highlight w:val="none"/>
        </w:rPr>
        <w:t>合作设计方：（盖章）</w:t>
      </w:r>
      <w:r>
        <w:rPr>
          <w:color w:val="auto"/>
          <w:sz w:val="24"/>
          <w:szCs w:val="24"/>
          <w:highlight w:val="none"/>
          <w:u w:val="single"/>
        </w:rPr>
        <w:t xml:space="preserve">                                         </w:t>
      </w:r>
    </w:p>
    <w:p>
      <w:pPr>
        <w:pStyle w:val="18"/>
        <w:spacing w:line="360" w:lineRule="auto"/>
        <w:ind w:firstLine="480" w:firstLineChars="200"/>
        <w:rPr>
          <w:color w:val="auto"/>
          <w:sz w:val="24"/>
          <w:szCs w:val="24"/>
          <w:highlight w:val="none"/>
          <w:u w:val="single"/>
        </w:rPr>
      </w:pPr>
      <w:r>
        <w:rPr>
          <w:rFonts w:hint="eastAsia"/>
          <w:color w:val="auto"/>
          <w:sz w:val="24"/>
          <w:szCs w:val="24"/>
          <w:highlight w:val="none"/>
        </w:rPr>
        <w:t>代表人：（签字或盖章）</w:t>
      </w:r>
      <w:r>
        <w:rPr>
          <w:color w:val="auto"/>
          <w:sz w:val="24"/>
          <w:szCs w:val="24"/>
          <w:highlight w:val="none"/>
          <w:u w:val="single"/>
        </w:rPr>
        <w:t xml:space="preserve">                                       </w:t>
      </w:r>
    </w:p>
    <w:p>
      <w:pPr>
        <w:pStyle w:val="18"/>
        <w:spacing w:line="360" w:lineRule="auto"/>
        <w:rPr>
          <w:color w:val="auto"/>
          <w:sz w:val="24"/>
          <w:szCs w:val="24"/>
          <w:highlight w:val="none"/>
        </w:rPr>
      </w:pPr>
      <w:r>
        <w:rPr>
          <w:color w:val="auto"/>
          <w:sz w:val="24"/>
          <w:szCs w:val="24"/>
          <w:highlight w:val="none"/>
        </w:rPr>
        <w:t xml:space="preserve">    </w:t>
      </w:r>
      <w:r>
        <w:rPr>
          <w:rFonts w:hint="eastAsia"/>
          <w:color w:val="auto"/>
          <w:sz w:val="24"/>
          <w:szCs w:val="24"/>
          <w:highlight w:val="none"/>
        </w:rPr>
        <w:t>分工内容：</w:t>
      </w:r>
      <w:r>
        <w:rPr>
          <w:color w:val="auto"/>
          <w:sz w:val="24"/>
          <w:szCs w:val="24"/>
          <w:highlight w:val="none"/>
          <w:u w:val="single"/>
        </w:rPr>
        <w:t xml:space="preserve">                                                  </w:t>
      </w:r>
    </w:p>
    <w:p>
      <w:pPr>
        <w:pStyle w:val="18"/>
        <w:spacing w:line="360" w:lineRule="auto"/>
        <w:rPr>
          <w:color w:val="auto"/>
          <w:sz w:val="24"/>
          <w:szCs w:val="24"/>
          <w:highlight w:val="none"/>
        </w:rPr>
      </w:pPr>
      <w:r>
        <w:rPr>
          <w:color w:val="auto"/>
          <w:sz w:val="24"/>
          <w:szCs w:val="24"/>
          <w:highlight w:val="none"/>
        </w:rPr>
        <w:t xml:space="preserve"> </w:t>
      </w:r>
    </w:p>
    <w:p>
      <w:pPr>
        <w:pStyle w:val="18"/>
        <w:spacing w:line="360" w:lineRule="auto"/>
        <w:rPr>
          <w:color w:val="auto"/>
          <w:sz w:val="24"/>
          <w:szCs w:val="24"/>
          <w:highlight w:val="none"/>
        </w:rPr>
      </w:pPr>
      <w:r>
        <w:rPr>
          <w:color w:val="auto"/>
          <w:sz w:val="24"/>
          <w:szCs w:val="24"/>
          <w:highlight w:val="none"/>
        </w:rPr>
        <w:t xml:space="preserve">    </w:t>
      </w:r>
      <w:r>
        <w:rPr>
          <w:rFonts w:hint="eastAsia"/>
          <w:color w:val="auto"/>
          <w:sz w:val="24"/>
          <w:szCs w:val="24"/>
          <w:highlight w:val="none"/>
        </w:rPr>
        <w:t>投标人：（盖章）</w:t>
      </w:r>
      <w:r>
        <w:rPr>
          <w:color w:val="auto"/>
          <w:sz w:val="24"/>
          <w:szCs w:val="24"/>
          <w:highlight w:val="none"/>
          <w:u w:val="single"/>
        </w:rPr>
        <w:t xml:space="preserve">                                             </w:t>
      </w:r>
    </w:p>
    <w:p>
      <w:pPr>
        <w:pStyle w:val="18"/>
        <w:spacing w:line="360" w:lineRule="auto"/>
        <w:ind w:firstLine="480" w:firstLineChars="200"/>
        <w:rPr>
          <w:color w:val="auto"/>
          <w:sz w:val="24"/>
          <w:szCs w:val="24"/>
          <w:highlight w:val="none"/>
          <w:u w:val="single"/>
        </w:rPr>
      </w:pPr>
      <w:r>
        <w:rPr>
          <w:rFonts w:hint="eastAsia"/>
          <w:color w:val="auto"/>
          <w:sz w:val="24"/>
          <w:szCs w:val="24"/>
          <w:highlight w:val="none"/>
        </w:rPr>
        <w:t>法定代表人：（签字或盖章）</w:t>
      </w:r>
      <w:r>
        <w:rPr>
          <w:color w:val="auto"/>
          <w:sz w:val="24"/>
          <w:szCs w:val="24"/>
          <w:highlight w:val="none"/>
          <w:u w:val="single"/>
        </w:rPr>
        <w:t xml:space="preserve">                                   </w:t>
      </w:r>
    </w:p>
    <w:p>
      <w:pPr>
        <w:pStyle w:val="18"/>
        <w:rPr>
          <w:color w:val="auto"/>
          <w:sz w:val="24"/>
          <w:szCs w:val="24"/>
          <w:highlight w:val="none"/>
        </w:rPr>
      </w:pPr>
      <w:r>
        <w:rPr>
          <w:color w:val="auto"/>
          <w:sz w:val="24"/>
          <w:szCs w:val="24"/>
          <w:highlight w:val="none"/>
        </w:rPr>
        <w:t xml:space="preserve">    </w:t>
      </w:r>
      <w:r>
        <w:rPr>
          <w:rFonts w:hint="eastAsia"/>
          <w:color w:val="auto"/>
          <w:sz w:val="24"/>
          <w:szCs w:val="24"/>
          <w:highlight w:val="none"/>
        </w:rPr>
        <w:t>分工内容：</w:t>
      </w:r>
      <w:r>
        <w:rPr>
          <w:color w:val="auto"/>
          <w:sz w:val="24"/>
          <w:szCs w:val="24"/>
          <w:highlight w:val="none"/>
          <w:u w:val="single"/>
        </w:rPr>
        <w:t xml:space="preserve">                                                  </w:t>
      </w:r>
    </w:p>
    <w:p>
      <w:pPr>
        <w:pStyle w:val="18"/>
        <w:spacing w:line="360" w:lineRule="auto"/>
        <w:rPr>
          <w:color w:val="auto"/>
          <w:highlight w:val="none"/>
        </w:rPr>
      </w:pPr>
    </w:p>
    <w:p>
      <w:pPr>
        <w:pStyle w:val="18"/>
        <w:spacing w:line="360" w:lineRule="auto"/>
        <w:rPr>
          <w:color w:val="auto"/>
          <w:highlight w:val="none"/>
        </w:rPr>
      </w:pPr>
      <w:r>
        <w:rPr>
          <w:color w:val="auto"/>
          <w:highlight w:val="none"/>
        </w:rPr>
        <w:br w:type="page"/>
      </w:r>
    </w:p>
    <w:p>
      <w:pPr>
        <w:pStyle w:val="18"/>
        <w:spacing w:line="360" w:lineRule="auto"/>
        <w:jc w:val="left"/>
        <w:rPr>
          <w:color w:val="auto"/>
          <w:sz w:val="24"/>
          <w:szCs w:val="24"/>
          <w:highlight w:val="none"/>
        </w:rPr>
      </w:pPr>
      <w:r>
        <w:rPr>
          <w:rFonts w:hint="eastAsia" w:cs="宋体"/>
          <w:b/>
          <w:color w:val="auto"/>
          <w:kern w:val="1"/>
          <w:sz w:val="24"/>
          <w:highlight w:val="none"/>
        </w:rPr>
        <w:t>格式</w:t>
      </w:r>
      <w:r>
        <w:rPr>
          <w:rFonts w:cs="宋体"/>
          <w:b/>
          <w:color w:val="auto"/>
          <w:kern w:val="1"/>
          <w:sz w:val="24"/>
          <w:highlight w:val="none"/>
        </w:rPr>
        <w:t>15</w:t>
      </w:r>
      <w:r>
        <w:rPr>
          <w:rFonts w:hint="eastAsia" w:cs="宋体"/>
          <w:b/>
          <w:color w:val="auto"/>
          <w:kern w:val="1"/>
          <w:sz w:val="24"/>
          <w:highlight w:val="none"/>
        </w:rPr>
        <w:t>：</w:t>
      </w:r>
    </w:p>
    <w:p>
      <w:pPr>
        <w:pStyle w:val="18"/>
        <w:spacing w:line="360" w:lineRule="auto"/>
        <w:jc w:val="center"/>
        <w:rPr>
          <w:rFonts w:cs="宋体"/>
          <w:b/>
          <w:bCs/>
          <w:color w:val="auto"/>
          <w:sz w:val="28"/>
          <w:szCs w:val="28"/>
          <w:highlight w:val="none"/>
        </w:rPr>
      </w:pPr>
      <w:r>
        <w:rPr>
          <w:rFonts w:hint="eastAsia" w:cs="宋体"/>
          <w:b/>
          <w:bCs/>
          <w:color w:val="auto"/>
          <w:sz w:val="28"/>
          <w:szCs w:val="28"/>
          <w:highlight w:val="none"/>
        </w:rPr>
        <w:t>投标人认为应该提供的其他资料</w:t>
      </w:r>
    </w:p>
    <w:p>
      <w:pPr>
        <w:pStyle w:val="18"/>
        <w:spacing w:line="360" w:lineRule="auto"/>
        <w:jc w:val="center"/>
        <w:rPr>
          <w:color w:val="auto"/>
          <w:highlight w:val="none"/>
        </w:rPr>
      </w:pPr>
      <w:r>
        <w:rPr>
          <w:rFonts w:hint="eastAsia" w:cs="宋体"/>
          <w:b/>
          <w:bCs/>
          <w:color w:val="auto"/>
          <w:sz w:val="28"/>
          <w:szCs w:val="28"/>
          <w:highlight w:val="none"/>
        </w:rPr>
        <w:t>（包括招标文件评审或评分要求需要提供的相关资料）</w:t>
      </w:r>
      <w:r>
        <w:rPr>
          <w:rFonts w:cs="宋体"/>
          <w:b/>
          <w:bCs/>
          <w:color w:val="auto"/>
          <w:sz w:val="28"/>
          <w:szCs w:val="28"/>
          <w:highlight w:val="none"/>
        </w:rPr>
        <w:br w:type="page"/>
      </w:r>
    </w:p>
    <w:p>
      <w:pPr>
        <w:pStyle w:val="18"/>
        <w:spacing w:line="360" w:lineRule="auto"/>
        <w:jc w:val="center"/>
        <w:rPr>
          <w:color w:val="auto"/>
          <w:highlight w:val="none"/>
          <w:lang w:val="en-US"/>
        </w:rPr>
      </w:pPr>
    </w:p>
    <w:p>
      <w:pPr>
        <w:pStyle w:val="18"/>
        <w:spacing w:line="360" w:lineRule="auto"/>
        <w:jc w:val="center"/>
        <w:rPr>
          <w:color w:val="auto"/>
          <w:highlight w:val="none"/>
          <w:lang w:val="en-US"/>
        </w:rPr>
      </w:pPr>
    </w:p>
    <w:p>
      <w:pPr>
        <w:pStyle w:val="18"/>
        <w:spacing w:line="360" w:lineRule="auto"/>
        <w:jc w:val="center"/>
        <w:rPr>
          <w:color w:val="auto"/>
          <w:highlight w:val="none"/>
          <w:lang w:val="en-US"/>
        </w:rPr>
      </w:pPr>
    </w:p>
    <w:p>
      <w:pPr>
        <w:pStyle w:val="18"/>
        <w:spacing w:line="360" w:lineRule="auto"/>
        <w:jc w:val="center"/>
        <w:rPr>
          <w:color w:val="auto"/>
          <w:highlight w:val="none"/>
          <w:lang w:val="en-US"/>
        </w:rPr>
      </w:pPr>
    </w:p>
    <w:p>
      <w:pPr>
        <w:pStyle w:val="18"/>
        <w:spacing w:line="360" w:lineRule="auto"/>
        <w:jc w:val="center"/>
        <w:rPr>
          <w:color w:val="auto"/>
          <w:highlight w:val="none"/>
          <w:lang w:val="en-US"/>
        </w:rPr>
      </w:pPr>
    </w:p>
    <w:p>
      <w:pPr>
        <w:pStyle w:val="18"/>
        <w:spacing w:line="360" w:lineRule="auto"/>
        <w:jc w:val="center"/>
        <w:rPr>
          <w:color w:val="auto"/>
          <w:highlight w:val="none"/>
          <w:lang w:val="en-US"/>
        </w:rPr>
      </w:pPr>
    </w:p>
    <w:p>
      <w:pPr>
        <w:pStyle w:val="18"/>
        <w:spacing w:line="360" w:lineRule="auto"/>
        <w:jc w:val="center"/>
        <w:rPr>
          <w:color w:val="auto"/>
          <w:highlight w:val="none"/>
          <w:lang w:val="en-US"/>
        </w:rPr>
      </w:pPr>
    </w:p>
    <w:p>
      <w:pPr>
        <w:pStyle w:val="18"/>
        <w:spacing w:line="360" w:lineRule="auto"/>
        <w:jc w:val="center"/>
        <w:rPr>
          <w:color w:val="auto"/>
          <w:highlight w:val="none"/>
          <w:lang w:val="en-US"/>
        </w:rPr>
      </w:pPr>
    </w:p>
    <w:p>
      <w:pPr>
        <w:pStyle w:val="18"/>
        <w:spacing w:line="360" w:lineRule="auto"/>
        <w:jc w:val="center"/>
        <w:rPr>
          <w:color w:val="auto"/>
          <w:highlight w:val="none"/>
          <w:lang w:val="en-US"/>
        </w:rPr>
      </w:pPr>
    </w:p>
    <w:p>
      <w:pPr>
        <w:pStyle w:val="18"/>
        <w:spacing w:line="360" w:lineRule="auto"/>
        <w:jc w:val="center"/>
        <w:rPr>
          <w:color w:val="auto"/>
          <w:highlight w:val="none"/>
          <w:lang w:val="en-US"/>
        </w:rPr>
      </w:pPr>
    </w:p>
    <w:p>
      <w:pPr>
        <w:pStyle w:val="18"/>
        <w:spacing w:line="360" w:lineRule="auto"/>
        <w:jc w:val="center"/>
        <w:rPr>
          <w:color w:val="auto"/>
          <w:highlight w:val="none"/>
          <w:lang w:val="en-US"/>
        </w:rPr>
      </w:pPr>
    </w:p>
    <w:p>
      <w:pPr>
        <w:pStyle w:val="18"/>
        <w:spacing w:line="360" w:lineRule="auto"/>
        <w:jc w:val="center"/>
        <w:rPr>
          <w:color w:val="auto"/>
          <w:highlight w:val="none"/>
          <w:lang w:val="en-US"/>
        </w:rPr>
      </w:pPr>
    </w:p>
    <w:p>
      <w:pPr>
        <w:pStyle w:val="18"/>
        <w:spacing w:line="360" w:lineRule="auto"/>
        <w:jc w:val="center"/>
        <w:rPr>
          <w:color w:val="auto"/>
          <w:highlight w:val="none"/>
          <w:lang w:val="en-US"/>
        </w:rPr>
      </w:pPr>
    </w:p>
    <w:p>
      <w:pPr>
        <w:pStyle w:val="18"/>
        <w:spacing w:line="360" w:lineRule="auto"/>
        <w:jc w:val="center"/>
        <w:rPr>
          <w:color w:val="auto"/>
          <w:highlight w:val="none"/>
          <w:lang w:val="en-US"/>
        </w:rPr>
      </w:pPr>
    </w:p>
    <w:p>
      <w:pPr>
        <w:pStyle w:val="18"/>
        <w:spacing w:line="360" w:lineRule="auto"/>
        <w:jc w:val="center"/>
        <w:rPr>
          <w:color w:val="auto"/>
          <w:highlight w:val="none"/>
          <w:lang w:val="en-US"/>
        </w:rPr>
      </w:pPr>
    </w:p>
    <w:p>
      <w:pPr>
        <w:pStyle w:val="18"/>
        <w:spacing w:line="360" w:lineRule="auto"/>
        <w:jc w:val="center"/>
        <w:rPr>
          <w:color w:val="auto"/>
          <w:highlight w:val="none"/>
          <w:lang w:val="en-US"/>
        </w:rPr>
      </w:pPr>
    </w:p>
    <w:p>
      <w:pPr>
        <w:pStyle w:val="18"/>
        <w:spacing w:line="360" w:lineRule="auto"/>
        <w:jc w:val="center"/>
        <w:rPr>
          <w:rFonts w:cs="宋体"/>
          <w:b/>
          <w:color w:val="auto"/>
          <w:kern w:val="1"/>
          <w:sz w:val="36"/>
          <w:szCs w:val="36"/>
          <w:highlight w:val="none"/>
        </w:rPr>
      </w:pPr>
      <w:r>
        <w:rPr>
          <w:rFonts w:hint="eastAsia" w:cs="宋体"/>
          <w:b/>
          <w:color w:val="auto"/>
          <w:kern w:val="1"/>
          <w:sz w:val="36"/>
          <w:szCs w:val="36"/>
          <w:highlight w:val="none"/>
        </w:rPr>
        <w:t xml:space="preserve">第二部分  </w:t>
      </w:r>
      <w:bookmarkStart w:id="417" w:name="_Hlk69828514"/>
      <w:r>
        <w:rPr>
          <w:rFonts w:hint="eastAsia" w:cs="宋体"/>
          <w:b/>
          <w:color w:val="auto"/>
          <w:kern w:val="1"/>
          <w:sz w:val="36"/>
          <w:szCs w:val="36"/>
          <w:highlight w:val="none"/>
          <w:lang w:eastAsia="zh-CN"/>
        </w:rPr>
        <w:t>勘察、设计、工程商务及实施方案</w:t>
      </w:r>
      <w:r>
        <w:rPr>
          <w:rFonts w:hint="eastAsia" w:cs="宋体"/>
          <w:b/>
          <w:color w:val="auto"/>
          <w:kern w:val="1"/>
          <w:sz w:val="36"/>
          <w:szCs w:val="36"/>
          <w:highlight w:val="none"/>
        </w:rPr>
        <w:t>经济投标文件格式</w:t>
      </w:r>
      <w:bookmarkEnd w:id="417"/>
    </w:p>
    <w:p>
      <w:pPr>
        <w:spacing w:line="360" w:lineRule="auto"/>
        <w:jc w:val="center"/>
        <w:rPr>
          <w:rFonts w:ascii="宋体" w:hAnsi="宋体" w:cs="宋体"/>
          <w:b/>
          <w:color w:val="auto"/>
          <w:kern w:val="1"/>
          <w:sz w:val="30"/>
          <w:szCs w:val="30"/>
          <w:highlight w:val="none"/>
        </w:rPr>
      </w:pPr>
    </w:p>
    <w:p>
      <w:pPr>
        <w:spacing w:line="360" w:lineRule="auto"/>
        <w:rPr>
          <w:rFonts w:ascii="宋体" w:hAnsi="宋体" w:cs="宋体"/>
          <w:b/>
          <w:color w:val="auto"/>
          <w:kern w:val="1"/>
          <w:sz w:val="24"/>
          <w:highlight w:val="none"/>
          <w:lang w:val="zh-CN"/>
        </w:rPr>
      </w:pPr>
      <w:r>
        <w:rPr>
          <w:rFonts w:ascii="宋体" w:hAnsi="宋体" w:cs="Courier New"/>
          <w:color w:val="auto"/>
          <w:sz w:val="20"/>
          <w:szCs w:val="20"/>
          <w:highlight w:val="none"/>
          <w:lang w:val="zh-CN"/>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1</w:t>
      </w:r>
      <w:r>
        <w:rPr>
          <w:rFonts w:hint="eastAsia" w:ascii="宋体" w:hAnsi="宋体" w:cs="宋体"/>
          <w:b/>
          <w:color w:val="auto"/>
          <w:kern w:val="1"/>
          <w:sz w:val="24"/>
          <w:highlight w:val="none"/>
          <w:lang w:val="zh-CN"/>
        </w:rPr>
        <w:t>：</w:t>
      </w:r>
    </w:p>
    <w:p>
      <w:pPr>
        <w:pStyle w:val="34"/>
        <w:spacing w:line="360" w:lineRule="auto"/>
        <w:ind w:left="-2" w:firstLine="3830"/>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经济标投标书</w:t>
      </w:r>
    </w:p>
    <w:p>
      <w:pPr>
        <w:spacing w:line="360" w:lineRule="auto"/>
        <w:jc w:val="right"/>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 xml:space="preserve"> 投标日期：   年  月  日</w:t>
      </w:r>
    </w:p>
    <w:tbl>
      <w:tblPr>
        <w:tblStyle w:val="35"/>
        <w:tblW w:w="9257" w:type="dxa"/>
        <w:tblInd w:w="0" w:type="dxa"/>
        <w:tblLayout w:type="fixed"/>
        <w:tblCellMar>
          <w:top w:w="0" w:type="dxa"/>
          <w:left w:w="108" w:type="dxa"/>
          <w:bottom w:w="0" w:type="dxa"/>
          <w:right w:w="108" w:type="dxa"/>
        </w:tblCellMar>
      </w:tblPr>
      <w:tblGrid>
        <w:gridCol w:w="2307"/>
        <w:gridCol w:w="6950"/>
      </w:tblGrid>
      <w:tr>
        <w:tblPrEx>
          <w:tblCellMar>
            <w:top w:w="0" w:type="dxa"/>
            <w:left w:w="108" w:type="dxa"/>
            <w:bottom w:w="0" w:type="dxa"/>
            <w:right w:w="108" w:type="dxa"/>
          </w:tblCellMar>
        </w:tblPrEx>
        <w:trPr>
          <w:trHeight w:val="567"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lang w:val="zh-CN"/>
              </w:rPr>
              <w:t>项 目 名 称</w:t>
            </w:r>
          </w:p>
        </w:tc>
        <w:tc>
          <w:tcPr>
            <w:tcW w:w="69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b/>
                <w:color w:val="auto"/>
                <w:kern w:val="1"/>
                <w:szCs w:val="21"/>
                <w:highlight w:val="none"/>
              </w:rPr>
            </w:pPr>
          </w:p>
        </w:tc>
      </w:tr>
      <w:tr>
        <w:tblPrEx>
          <w:tblCellMar>
            <w:top w:w="0" w:type="dxa"/>
            <w:left w:w="108" w:type="dxa"/>
            <w:bottom w:w="0" w:type="dxa"/>
            <w:right w:w="108" w:type="dxa"/>
          </w:tblCellMar>
        </w:tblPrEx>
        <w:trPr>
          <w:trHeight w:val="796"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lang w:val="zh-CN"/>
              </w:rPr>
              <w:t>投标总报价</w:t>
            </w:r>
          </w:p>
        </w:tc>
        <w:tc>
          <w:tcPr>
            <w:tcW w:w="69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b/>
                <w:color w:val="auto"/>
                <w:kern w:val="1"/>
                <w:szCs w:val="21"/>
                <w:highlight w:val="none"/>
                <w:u w:val="single"/>
              </w:rPr>
            </w:pPr>
            <w:r>
              <w:rPr>
                <w:rFonts w:hint="eastAsia" w:ascii="宋体" w:hAnsi="宋体" w:cs="宋体"/>
                <w:b/>
                <w:color w:val="auto"/>
                <w:kern w:val="1"/>
                <w:szCs w:val="21"/>
                <w:highlight w:val="none"/>
              </w:rPr>
              <w:t>大写：</w:t>
            </w:r>
            <w:r>
              <w:rPr>
                <w:rFonts w:hint="eastAsia" w:ascii="宋体" w:hAnsi="宋体" w:cs="宋体"/>
                <w:b/>
                <w:color w:val="auto"/>
                <w:kern w:val="1"/>
                <w:szCs w:val="21"/>
                <w:highlight w:val="none"/>
                <w:u w:val="single"/>
              </w:rPr>
              <w:t xml:space="preserve">                     </w:t>
            </w:r>
          </w:p>
          <w:p>
            <w:pPr>
              <w:spacing w:line="360" w:lineRule="auto"/>
              <w:jc w:val="left"/>
              <w:rPr>
                <w:rFonts w:ascii="宋体" w:hAnsi="宋体" w:cs="宋体"/>
                <w:b/>
                <w:color w:val="auto"/>
                <w:kern w:val="1"/>
                <w:szCs w:val="21"/>
                <w:highlight w:val="none"/>
              </w:rPr>
            </w:pPr>
          </w:p>
          <w:p>
            <w:pPr>
              <w:spacing w:line="360" w:lineRule="auto"/>
              <w:jc w:val="left"/>
              <w:rPr>
                <w:rFonts w:ascii="宋体" w:hAnsi="宋体" w:cs="宋体"/>
                <w:b/>
                <w:color w:val="auto"/>
                <w:kern w:val="1"/>
                <w:szCs w:val="21"/>
                <w:highlight w:val="none"/>
              </w:rPr>
            </w:pPr>
            <w:r>
              <w:rPr>
                <w:rFonts w:hint="eastAsia" w:ascii="宋体" w:hAnsi="宋体" w:cs="宋体"/>
                <w:b/>
                <w:color w:val="auto"/>
                <w:kern w:val="1"/>
                <w:szCs w:val="21"/>
                <w:highlight w:val="none"/>
              </w:rPr>
              <w:t>小写：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w:t>
            </w:r>
            <w:r>
              <w:rPr>
                <w:rFonts w:hint="eastAsia" w:ascii="宋体" w:hAnsi="宋体" w:cs="宋体"/>
                <w:b/>
                <w:color w:val="auto"/>
                <w:kern w:val="1"/>
                <w:szCs w:val="21"/>
                <w:highlight w:val="none"/>
                <w:lang w:val="zh-CN"/>
              </w:rPr>
              <w:t>元</w:t>
            </w:r>
            <w:r>
              <w:rPr>
                <w:rFonts w:hint="eastAsia" w:ascii="宋体" w:hAnsi="宋体" w:cs="宋体"/>
                <w:b/>
                <w:color w:val="auto"/>
                <w:kern w:val="1"/>
                <w:szCs w:val="21"/>
                <w:highlight w:val="none"/>
              </w:rPr>
              <w:t xml:space="preserve">                </w:t>
            </w:r>
          </w:p>
          <w:p>
            <w:pPr>
              <w:spacing w:line="360" w:lineRule="auto"/>
              <w:jc w:val="left"/>
              <w:rPr>
                <w:rFonts w:ascii="宋体" w:hAnsi="宋体" w:cs="宋体"/>
                <w:b/>
                <w:color w:val="auto"/>
                <w:kern w:val="1"/>
                <w:szCs w:val="21"/>
                <w:highlight w:val="none"/>
              </w:rPr>
            </w:pPr>
          </w:p>
        </w:tc>
      </w:tr>
      <w:tr>
        <w:tblPrEx>
          <w:tblCellMar>
            <w:top w:w="0" w:type="dxa"/>
            <w:left w:w="108" w:type="dxa"/>
            <w:bottom w:w="0" w:type="dxa"/>
            <w:right w:w="108" w:type="dxa"/>
          </w:tblCellMar>
        </w:tblPrEx>
        <w:trPr>
          <w:trHeight w:val="796"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lang w:val="zh-CN"/>
              </w:rPr>
              <w:t>其中：勘察费</w:t>
            </w:r>
            <w:r>
              <w:rPr>
                <w:rFonts w:hint="eastAsia" w:ascii="宋体" w:hAnsi="宋体" w:cs="宋体"/>
                <w:b/>
                <w:color w:val="auto"/>
                <w:kern w:val="1"/>
                <w:szCs w:val="21"/>
                <w:highlight w:val="none"/>
              </w:rPr>
              <w:t>报价</w:t>
            </w:r>
          </w:p>
        </w:tc>
        <w:tc>
          <w:tcPr>
            <w:tcW w:w="69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b/>
                <w:color w:val="auto"/>
                <w:kern w:val="1"/>
                <w:szCs w:val="21"/>
                <w:highlight w:val="none"/>
              </w:rPr>
            </w:pPr>
            <w:r>
              <w:rPr>
                <w:rFonts w:hint="eastAsia" w:ascii="宋体" w:hAnsi="宋体" w:cs="宋体"/>
                <w:b/>
                <w:color w:val="auto"/>
                <w:kern w:val="1"/>
                <w:szCs w:val="21"/>
                <w:highlight w:val="none"/>
              </w:rPr>
              <w:t>勘察费投标报价</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万元</w:t>
            </w:r>
          </w:p>
          <w:p>
            <w:pPr>
              <w:spacing w:line="360" w:lineRule="auto"/>
              <w:ind w:left="207" w:hanging="207"/>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pPr>
              <w:spacing w:line="360" w:lineRule="auto"/>
              <w:jc w:val="left"/>
              <w:rPr>
                <w:rFonts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注：下浮率=【1-（勘察费投标报价/勘察费最高投标限价）】</w:t>
            </w:r>
            <w:r>
              <w:rPr>
                <w:rFonts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p>
        </w:tc>
      </w:tr>
      <w:tr>
        <w:tblPrEx>
          <w:tblCellMar>
            <w:top w:w="0" w:type="dxa"/>
            <w:left w:w="108" w:type="dxa"/>
            <w:bottom w:w="0" w:type="dxa"/>
            <w:right w:w="108" w:type="dxa"/>
          </w:tblCellMar>
        </w:tblPrEx>
        <w:trPr>
          <w:trHeight w:val="499"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lang w:val="zh-CN"/>
              </w:rPr>
              <w:t>其中：设计费</w:t>
            </w:r>
            <w:r>
              <w:rPr>
                <w:rFonts w:hint="eastAsia" w:ascii="宋体" w:hAnsi="宋体" w:cs="宋体"/>
                <w:b/>
                <w:color w:val="auto"/>
                <w:kern w:val="1"/>
                <w:szCs w:val="21"/>
                <w:highlight w:val="none"/>
              </w:rPr>
              <w:t>报价</w:t>
            </w:r>
          </w:p>
        </w:tc>
        <w:tc>
          <w:tcPr>
            <w:tcW w:w="69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b/>
                <w:color w:val="auto"/>
                <w:kern w:val="1"/>
                <w:szCs w:val="21"/>
                <w:highlight w:val="none"/>
              </w:rPr>
            </w:pPr>
            <w:r>
              <w:rPr>
                <w:rFonts w:hint="eastAsia" w:ascii="宋体" w:hAnsi="宋体" w:cs="宋体"/>
                <w:b/>
                <w:color w:val="auto"/>
                <w:kern w:val="1"/>
                <w:szCs w:val="21"/>
                <w:highlight w:val="none"/>
              </w:rPr>
              <w:t>设计费投标报价：</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万元</w:t>
            </w:r>
          </w:p>
          <w:p>
            <w:pPr>
              <w:spacing w:line="360" w:lineRule="auto"/>
              <w:ind w:left="207" w:hanging="207"/>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pPr>
              <w:spacing w:line="360" w:lineRule="auto"/>
              <w:jc w:val="left"/>
              <w:rPr>
                <w:rFonts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注：下浮率=【1-（设计费投标报价/设计费最高投标限价）】</w:t>
            </w:r>
            <w:r>
              <w:rPr>
                <w:rFonts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p>
        </w:tc>
      </w:tr>
      <w:tr>
        <w:tblPrEx>
          <w:tblCellMar>
            <w:top w:w="0" w:type="dxa"/>
            <w:left w:w="108" w:type="dxa"/>
            <w:bottom w:w="0" w:type="dxa"/>
            <w:right w:w="108" w:type="dxa"/>
          </w:tblCellMar>
        </w:tblPrEx>
        <w:trPr>
          <w:trHeight w:val="1055"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lang w:val="zh-CN"/>
              </w:rPr>
              <w:t>其中：施工费</w:t>
            </w:r>
            <w:r>
              <w:rPr>
                <w:rFonts w:hint="eastAsia" w:ascii="宋体" w:hAnsi="宋体" w:cs="宋体"/>
                <w:b/>
                <w:color w:val="auto"/>
                <w:kern w:val="1"/>
                <w:szCs w:val="21"/>
                <w:highlight w:val="none"/>
              </w:rPr>
              <w:t>报价</w:t>
            </w:r>
          </w:p>
        </w:tc>
        <w:tc>
          <w:tcPr>
            <w:tcW w:w="69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b/>
                <w:color w:val="auto"/>
                <w:kern w:val="1"/>
                <w:szCs w:val="21"/>
                <w:highlight w:val="none"/>
              </w:rPr>
            </w:pPr>
            <w:r>
              <w:rPr>
                <w:rFonts w:hint="eastAsia" w:ascii="宋体" w:hAnsi="宋体" w:cs="宋体"/>
                <w:b/>
                <w:color w:val="auto"/>
                <w:kern w:val="1"/>
                <w:szCs w:val="21"/>
                <w:highlight w:val="none"/>
              </w:rPr>
              <w:t>施工费投标报价：</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万元</w:t>
            </w:r>
          </w:p>
          <w:p>
            <w:pPr>
              <w:spacing w:line="360" w:lineRule="auto"/>
              <w:ind w:left="207" w:hanging="207"/>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pPr>
              <w:spacing w:line="360" w:lineRule="auto"/>
              <w:jc w:val="left"/>
              <w:rPr>
                <w:rFonts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注：下浮率=【1-（施工费投标报价/施工费最高投标限价）】</w:t>
            </w:r>
            <w:r>
              <w:rPr>
                <w:rFonts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r>
              <w:rPr>
                <w:rFonts w:hint="eastAsia" w:ascii="宋体" w:hAnsi="宋体" w:cs="宋体"/>
                <w:b/>
                <w:color w:val="auto"/>
                <w:kern w:val="1"/>
                <w:szCs w:val="21"/>
                <w:highlight w:val="none"/>
              </w:rPr>
              <w:t>。</w:t>
            </w:r>
          </w:p>
        </w:tc>
      </w:tr>
      <w:tr>
        <w:tblPrEx>
          <w:tblCellMar>
            <w:top w:w="0" w:type="dxa"/>
            <w:left w:w="108" w:type="dxa"/>
            <w:bottom w:w="0" w:type="dxa"/>
            <w:right w:w="108" w:type="dxa"/>
          </w:tblCellMar>
        </w:tblPrEx>
        <w:trPr>
          <w:trHeight w:val="756"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法 定 代 表 人</w:t>
            </w:r>
          </w:p>
          <w:p>
            <w:pPr>
              <w:spacing w:line="360" w:lineRule="auto"/>
              <w:jc w:val="center"/>
              <w:rPr>
                <w:rFonts w:ascii="宋体" w:hAnsi="宋体" w:cs="宋体"/>
                <w:b/>
                <w:color w:val="auto"/>
                <w:kern w:val="1"/>
                <w:szCs w:val="21"/>
                <w:highlight w:val="none"/>
                <w:lang w:val="zh-CN"/>
              </w:rPr>
            </w:pPr>
            <w:r>
              <w:rPr>
                <w:rFonts w:hint="eastAsia" w:ascii="宋体" w:hAnsi="宋体" w:cs="宋体"/>
                <w:b/>
                <w:color w:val="auto"/>
                <w:kern w:val="1"/>
                <w:szCs w:val="21"/>
                <w:highlight w:val="none"/>
              </w:rPr>
              <w:t>（签名或盖章）</w:t>
            </w:r>
          </w:p>
        </w:tc>
        <w:tc>
          <w:tcPr>
            <w:tcW w:w="69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b/>
                <w:color w:val="auto"/>
                <w:kern w:val="1"/>
                <w:szCs w:val="21"/>
                <w:highlight w:val="none"/>
              </w:rPr>
            </w:pPr>
          </w:p>
        </w:tc>
      </w:tr>
      <w:tr>
        <w:tblPrEx>
          <w:tblCellMar>
            <w:top w:w="0" w:type="dxa"/>
            <w:left w:w="108" w:type="dxa"/>
            <w:bottom w:w="0" w:type="dxa"/>
            <w:right w:w="108" w:type="dxa"/>
          </w:tblCellMar>
        </w:tblPrEx>
        <w:trPr>
          <w:trHeight w:val="953"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授 权 委 托 人</w:t>
            </w:r>
          </w:p>
          <w:p>
            <w:pPr>
              <w:spacing w:line="360" w:lineRule="auto"/>
              <w:jc w:val="center"/>
              <w:rPr>
                <w:rFonts w:ascii="宋体" w:hAnsi="宋体" w:cs="宋体"/>
                <w:b/>
                <w:color w:val="auto"/>
                <w:kern w:val="1"/>
                <w:szCs w:val="21"/>
                <w:highlight w:val="none"/>
                <w:lang w:val="zh-CN"/>
              </w:rPr>
            </w:pPr>
            <w:r>
              <w:rPr>
                <w:rFonts w:hint="eastAsia" w:ascii="宋体" w:hAnsi="宋体" w:cs="宋体"/>
                <w:b/>
                <w:color w:val="auto"/>
                <w:kern w:val="1"/>
                <w:szCs w:val="21"/>
                <w:highlight w:val="none"/>
              </w:rPr>
              <w:t>（签名或盖章）</w:t>
            </w:r>
          </w:p>
        </w:tc>
        <w:tc>
          <w:tcPr>
            <w:tcW w:w="69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b/>
                <w:color w:val="auto"/>
                <w:kern w:val="1"/>
                <w:szCs w:val="21"/>
                <w:highlight w:val="none"/>
              </w:rPr>
            </w:pPr>
          </w:p>
        </w:tc>
      </w:tr>
      <w:tr>
        <w:tblPrEx>
          <w:tblCellMar>
            <w:top w:w="0" w:type="dxa"/>
            <w:left w:w="108" w:type="dxa"/>
            <w:bottom w:w="0" w:type="dxa"/>
            <w:right w:w="108" w:type="dxa"/>
          </w:tblCellMar>
        </w:tblPrEx>
        <w:trPr>
          <w:trHeight w:val="902"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投  标  单  位</w:t>
            </w:r>
          </w:p>
          <w:p>
            <w:pPr>
              <w:spacing w:line="360" w:lineRule="auto"/>
              <w:jc w:val="center"/>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（盖章）</w:t>
            </w:r>
          </w:p>
        </w:tc>
        <w:tc>
          <w:tcPr>
            <w:tcW w:w="69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b/>
                <w:color w:val="auto"/>
                <w:kern w:val="1"/>
                <w:szCs w:val="21"/>
                <w:highlight w:val="none"/>
              </w:rPr>
            </w:pPr>
          </w:p>
        </w:tc>
      </w:tr>
    </w:tbl>
    <w:p>
      <w:pPr>
        <w:pStyle w:val="18"/>
        <w:spacing w:line="360" w:lineRule="auto"/>
        <w:rPr>
          <w:rFonts w:cs="宋体"/>
          <w:b/>
          <w:color w:val="auto"/>
          <w:sz w:val="21"/>
          <w:szCs w:val="21"/>
          <w:highlight w:val="none"/>
        </w:rPr>
      </w:pPr>
      <w:r>
        <w:rPr>
          <w:rFonts w:hint="eastAsia" w:cs="宋体"/>
          <w:b/>
          <w:color w:val="auto"/>
          <w:sz w:val="21"/>
          <w:szCs w:val="21"/>
          <w:highlight w:val="none"/>
        </w:rPr>
        <w:t>注：</w:t>
      </w:r>
    </w:p>
    <w:p>
      <w:pPr>
        <w:pStyle w:val="18"/>
        <w:spacing w:line="360" w:lineRule="auto"/>
        <w:rPr>
          <w:rFonts w:cs="宋体"/>
          <w:b/>
          <w:color w:val="auto"/>
          <w:sz w:val="21"/>
          <w:szCs w:val="21"/>
          <w:highlight w:val="none"/>
        </w:rPr>
      </w:pPr>
      <w:r>
        <w:rPr>
          <w:rFonts w:hint="eastAsia" w:cs="宋体"/>
          <w:b/>
          <w:color w:val="auto"/>
          <w:sz w:val="21"/>
          <w:szCs w:val="21"/>
          <w:highlight w:val="none"/>
        </w:rPr>
        <w:t>（1）联合体投标的，“投标单位”一栏需书写所有联合体成员的单位全称，可由</w:t>
      </w:r>
      <w:r>
        <w:rPr>
          <w:rFonts w:hint="eastAsia" w:cs="宋体"/>
          <w:b/>
          <w:color w:val="auto"/>
          <w:sz w:val="21"/>
          <w:szCs w:val="21"/>
          <w:highlight w:val="none"/>
          <w:lang w:eastAsia="zh-CN"/>
        </w:rPr>
        <w:t>主办方</w:t>
      </w:r>
      <w:r>
        <w:rPr>
          <w:rFonts w:hint="eastAsia" w:cs="宋体"/>
          <w:b/>
          <w:color w:val="auto"/>
          <w:sz w:val="21"/>
          <w:szCs w:val="21"/>
          <w:highlight w:val="none"/>
        </w:rPr>
        <w:t>签署、盖章。</w:t>
      </w:r>
    </w:p>
    <w:p>
      <w:pPr>
        <w:pStyle w:val="18"/>
        <w:spacing w:line="360" w:lineRule="auto"/>
        <w:rPr>
          <w:rFonts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2</w:t>
      </w:r>
      <w:r>
        <w:rPr>
          <w:rFonts w:hint="eastAsia" w:cs="宋体"/>
          <w:b/>
          <w:color w:val="auto"/>
          <w:sz w:val="21"/>
          <w:szCs w:val="21"/>
          <w:highlight w:val="none"/>
        </w:rPr>
        <w:t>）投标总报价的大写金额和小写金额不一致的，以大写金额为准。</w:t>
      </w:r>
    </w:p>
    <w:p>
      <w:pPr>
        <w:pStyle w:val="18"/>
        <w:spacing w:line="360" w:lineRule="auto"/>
        <w:rPr>
          <w:rFonts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3</w:t>
      </w:r>
      <w:r>
        <w:rPr>
          <w:rFonts w:hint="eastAsia" w:cs="宋体"/>
          <w:b/>
          <w:color w:val="auto"/>
          <w:sz w:val="21"/>
          <w:szCs w:val="21"/>
          <w:highlight w:val="none"/>
        </w:rPr>
        <w:t>）</w:t>
      </w:r>
      <w:r>
        <w:rPr>
          <w:rFonts w:hint="eastAsia" w:cs="宋体"/>
          <w:b/>
          <w:color w:val="auto"/>
          <w:sz w:val="21"/>
          <w:szCs w:val="21"/>
          <w:highlight w:val="none"/>
          <w:lang w:val="en-US"/>
        </w:rPr>
        <w:t>投标总报价为</w:t>
      </w:r>
      <w:r>
        <w:rPr>
          <w:rFonts w:hint="eastAsia" w:cs="宋体"/>
          <w:b/>
          <w:color w:val="auto"/>
          <w:sz w:val="21"/>
          <w:szCs w:val="21"/>
          <w:highlight w:val="none"/>
        </w:rPr>
        <w:t>完成本次招标内容及《勘察设计任务书》内的全部内容</w:t>
      </w:r>
      <w:r>
        <w:rPr>
          <w:rFonts w:hint="eastAsia" w:cs="宋体"/>
          <w:b/>
          <w:color w:val="auto"/>
          <w:sz w:val="21"/>
          <w:szCs w:val="21"/>
          <w:highlight w:val="none"/>
          <w:lang w:val="en-US"/>
        </w:rPr>
        <w:t>的</w:t>
      </w:r>
      <w:r>
        <w:rPr>
          <w:rFonts w:hint="eastAsia" w:cs="宋体"/>
          <w:b/>
          <w:color w:val="auto"/>
          <w:sz w:val="21"/>
          <w:szCs w:val="21"/>
          <w:highlight w:val="none"/>
        </w:rPr>
        <w:t>费用。</w:t>
      </w:r>
    </w:p>
    <w:p>
      <w:pPr>
        <w:pStyle w:val="18"/>
        <w:spacing w:line="360" w:lineRule="auto"/>
        <w:rPr>
          <w:rFonts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4</w:t>
      </w:r>
      <w:r>
        <w:rPr>
          <w:rFonts w:hint="eastAsia" w:cs="宋体"/>
          <w:b/>
          <w:color w:val="auto"/>
          <w:sz w:val="21"/>
          <w:szCs w:val="21"/>
          <w:highlight w:val="none"/>
        </w:rPr>
        <w:t>）</w:t>
      </w:r>
      <w:r>
        <w:rPr>
          <w:rFonts w:hint="eastAsia" w:cs="宋体"/>
          <w:b/>
          <w:color w:val="auto"/>
          <w:sz w:val="21"/>
          <w:szCs w:val="21"/>
          <w:highlight w:val="none"/>
          <w:lang w:val="en-US"/>
        </w:rPr>
        <w:t>投标人须按招标文件要求报价，且不超过最高投标限价，</w:t>
      </w:r>
      <w:r>
        <w:rPr>
          <w:rFonts w:hint="eastAsia" w:cs="宋体"/>
          <w:b/>
          <w:color w:val="auto"/>
          <w:sz w:val="21"/>
          <w:szCs w:val="21"/>
          <w:highlight w:val="none"/>
        </w:rPr>
        <w:t>否则视为无效标。</w:t>
      </w:r>
    </w:p>
    <w:p>
      <w:pPr>
        <w:pStyle w:val="18"/>
        <w:spacing w:line="360" w:lineRule="auto"/>
        <w:rPr>
          <w:rFonts w:cs="宋体"/>
          <w:b/>
          <w:color w:val="auto"/>
          <w:sz w:val="21"/>
          <w:szCs w:val="21"/>
          <w:highlight w:val="none"/>
          <w:lang w:val="en-US"/>
        </w:rPr>
      </w:pPr>
      <w:r>
        <w:rPr>
          <w:rFonts w:hint="eastAsia" w:cs="宋体"/>
          <w:b/>
          <w:color w:val="auto"/>
          <w:sz w:val="21"/>
          <w:szCs w:val="21"/>
          <w:highlight w:val="none"/>
        </w:rPr>
        <w:t>（5）本表中的报价以万元为单位，报价下浮率以百分比计，小数点后保留二位小数，第三位小数四舍五入。</w:t>
      </w:r>
    </w:p>
    <w:p>
      <w:pPr>
        <w:spacing w:line="360" w:lineRule="auto"/>
        <w:rPr>
          <w:rFonts w:cs="宋体"/>
          <w:b/>
          <w:color w:val="auto"/>
          <w:szCs w:val="21"/>
          <w:highlight w:val="none"/>
        </w:rPr>
      </w:pPr>
      <w:r>
        <w:rPr>
          <w:color w:val="auto"/>
          <w:highlight w:val="none"/>
        </w:rPr>
        <w:br w:type="page"/>
      </w:r>
      <w:r>
        <w:rPr>
          <w:rFonts w:hint="eastAsia" w:ascii="宋体" w:hAnsi="宋体" w:cs="Cambria Math"/>
          <w:b/>
          <w:color w:val="auto"/>
          <w:kern w:val="1"/>
          <w:sz w:val="24"/>
          <w:highlight w:val="none"/>
        </w:rPr>
        <w:t>格式2：</w:t>
      </w:r>
    </w:p>
    <w:p>
      <w:pPr>
        <w:spacing w:line="480" w:lineRule="auto"/>
        <w:jc w:val="center"/>
        <w:rPr>
          <w:rFonts w:ascii="宋体" w:hAnsi="宋体" w:cs="Cambria Math"/>
          <w:b/>
          <w:color w:val="auto"/>
          <w:kern w:val="1"/>
          <w:sz w:val="28"/>
          <w:szCs w:val="28"/>
          <w:highlight w:val="none"/>
          <w:lang w:val="zh-CN"/>
        </w:rPr>
      </w:pPr>
      <w:r>
        <w:rPr>
          <w:rFonts w:hint="eastAsia" w:ascii="宋体" w:hAnsi="宋体" w:cs="Cambria Math"/>
          <w:b/>
          <w:color w:val="auto"/>
          <w:kern w:val="1"/>
          <w:sz w:val="28"/>
          <w:szCs w:val="28"/>
          <w:highlight w:val="none"/>
          <w:lang w:val="zh-CN"/>
        </w:rPr>
        <w:t>勘察费用明细表</w:t>
      </w:r>
    </w:p>
    <w:tbl>
      <w:tblPr>
        <w:tblStyle w:val="35"/>
        <w:tblW w:w="10768" w:type="dxa"/>
        <w:jc w:val="center"/>
        <w:tblLayout w:type="fixed"/>
        <w:tblCellMar>
          <w:top w:w="0" w:type="dxa"/>
          <w:left w:w="108" w:type="dxa"/>
          <w:bottom w:w="0" w:type="dxa"/>
          <w:right w:w="108" w:type="dxa"/>
        </w:tblCellMar>
      </w:tblPr>
      <w:tblGrid>
        <w:gridCol w:w="801"/>
        <w:gridCol w:w="1780"/>
        <w:gridCol w:w="1120"/>
        <w:gridCol w:w="860"/>
        <w:gridCol w:w="1080"/>
        <w:gridCol w:w="1220"/>
        <w:gridCol w:w="3907"/>
      </w:tblGrid>
      <w:tr>
        <w:tblPrEx>
          <w:tblCellMar>
            <w:top w:w="0" w:type="dxa"/>
            <w:left w:w="108" w:type="dxa"/>
            <w:bottom w:w="0" w:type="dxa"/>
            <w:right w:w="108" w:type="dxa"/>
          </w:tblCellMar>
        </w:tblPrEx>
        <w:trPr>
          <w:trHeight w:val="739" w:hRule="atLeast"/>
          <w:jc w:val="center"/>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sz w:val="22"/>
                <w:highlight w:val="none"/>
              </w:rPr>
            </w:pPr>
            <w:r>
              <w:rPr>
                <w:rFonts w:hint="eastAsia" w:ascii="宋体" w:hAnsi="宋体" w:cs="宋体"/>
                <w:b/>
                <w:bCs/>
                <w:color w:val="auto"/>
                <w:sz w:val="22"/>
                <w:highlight w:val="none"/>
              </w:rPr>
              <w:t>序号</w:t>
            </w:r>
          </w:p>
        </w:tc>
        <w:tc>
          <w:tcPr>
            <w:tcW w:w="1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sz w:val="22"/>
                <w:highlight w:val="none"/>
              </w:rPr>
            </w:pPr>
            <w:r>
              <w:rPr>
                <w:rFonts w:hint="eastAsia" w:ascii="宋体" w:hAnsi="宋体" w:cs="宋体"/>
                <w:b/>
                <w:bCs/>
                <w:color w:val="auto"/>
                <w:sz w:val="22"/>
                <w:highlight w:val="none"/>
              </w:rPr>
              <w:t>项目</w:t>
            </w:r>
          </w:p>
        </w:tc>
        <w:tc>
          <w:tcPr>
            <w:tcW w:w="112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b/>
                <w:bCs/>
                <w:color w:val="auto"/>
                <w:sz w:val="22"/>
                <w:highlight w:val="none"/>
              </w:rPr>
            </w:pPr>
            <w:r>
              <w:rPr>
                <w:rFonts w:hint="eastAsia" w:ascii="宋体" w:hAnsi="宋体" w:cs="宋体"/>
                <w:b/>
                <w:bCs/>
                <w:color w:val="auto"/>
                <w:sz w:val="22"/>
                <w:highlight w:val="none"/>
              </w:rPr>
              <w:t>工作量</w:t>
            </w:r>
          </w:p>
        </w:tc>
        <w:tc>
          <w:tcPr>
            <w:tcW w:w="8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sz w:val="22"/>
                <w:highlight w:val="none"/>
              </w:rPr>
            </w:pPr>
            <w:r>
              <w:rPr>
                <w:rFonts w:hint="eastAsia" w:ascii="宋体" w:hAnsi="宋体" w:cs="宋体"/>
                <w:b/>
                <w:bCs/>
                <w:color w:val="auto"/>
                <w:sz w:val="22"/>
                <w:highlight w:val="none"/>
              </w:rPr>
              <w:t>单位</w:t>
            </w:r>
            <w:r>
              <w:rPr>
                <w:rFonts w:hint="eastAsia" w:ascii="宋体" w:hAnsi="宋体" w:cs="宋体"/>
                <w:b/>
                <w:bCs/>
                <w:color w:val="auto"/>
                <w:sz w:val="22"/>
                <w:highlight w:val="none"/>
              </w:rPr>
              <w:br w:type="textWrapping"/>
            </w:r>
            <w:r>
              <w:rPr>
                <w:rFonts w:hint="eastAsia" w:ascii="宋体" w:hAnsi="宋体" w:cs="宋体"/>
                <w:b/>
                <w:bCs/>
                <w:color w:val="auto"/>
                <w:sz w:val="22"/>
                <w:highlight w:val="none"/>
              </w:rPr>
              <w:t>名称</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sz w:val="22"/>
                <w:highlight w:val="none"/>
              </w:rPr>
            </w:pPr>
            <w:r>
              <w:rPr>
                <w:rFonts w:hint="eastAsia" w:ascii="宋体" w:hAnsi="宋体" w:cs="宋体"/>
                <w:b/>
                <w:bCs/>
                <w:color w:val="auto"/>
                <w:sz w:val="22"/>
                <w:highlight w:val="none"/>
              </w:rPr>
              <w:t>单价（万元）</w:t>
            </w:r>
          </w:p>
        </w:tc>
        <w:tc>
          <w:tcPr>
            <w:tcW w:w="12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sz w:val="22"/>
                <w:highlight w:val="none"/>
              </w:rPr>
            </w:pPr>
            <w:r>
              <w:rPr>
                <w:rFonts w:hint="eastAsia" w:ascii="宋体" w:hAnsi="宋体" w:cs="宋体"/>
                <w:b/>
                <w:bCs/>
                <w:color w:val="auto"/>
                <w:sz w:val="22"/>
                <w:highlight w:val="none"/>
              </w:rPr>
              <w:t>总价</w:t>
            </w:r>
            <w:r>
              <w:rPr>
                <w:rFonts w:hint="eastAsia" w:ascii="宋体" w:hAnsi="宋体" w:cs="宋体"/>
                <w:b/>
                <w:bCs/>
                <w:color w:val="auto"/>
                <w:sz w:val="22"/>
                <w:highlight w:val="none"/>
              </w:rPr>
              <w:br w:type="textWrapping"/>
            </w:r>
            <w:r>
              <w:rPr>
                <w:rFonts w:hint="eastAsia" w:ascii="宋体" w:hAnsi="宋体" w:cs="宋体"/>
                <w:b/>
                <w:bCs/>
                <w:color w:val="auto"/>
                <w:sz w:val="22"/>
                <w:highlight w:val="none"/>
              </w:rPr>
              <w:t>（万元）</w:t>
            </w:r>
          </w:p>
        </w:tc>
        <w:tc>
          <w:tcPr>
            <w:tcW w:w="39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sz w:val="22"/>
                <w:highlight w:val="none"/>
              </w:rPr>
            </w:pPr>
            <w:r>
              <w:rPr>
                <w:rFonts w:hint="eastAsia" w:ascii="宋体" w:hAnsi="宋体" w:cs="宋体"/>
                <w:b/>
                <w:bCs/>
                <w:color w:val="auto"/>
                <w:sz w:val="22"/>
                <w:highlight w:val="none"/>
              </w:rPr>
              <w:t>备注</w:t>
            </w:r>
          </w:p>
        </w:tc>
      </w:tr>
      <w:tr>
        <w:tblPrEx>
          <w:tblCellMar>
            <w:top w:w="0" w:type="dxa"/>
            <w:left w:w="108" w:type="dxa"/>
            <w:bottom w:w="0" w:type="dxa"/>
            <w:right w:w="108" w:type="dxa"/>
          </w:tblCellMar>
        </w:tblPrEx>
        <w:trPr>
          <w:trHeight w:val="1005" w:hRule="atLeast"/>
          <w:jc w:val="center"/>
        </w:trPr>
        <w:tc>
          <w:tcPr>
            <w:tcW w:w="8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sz w:val="22"/>
                <w:highlight w:val="none"/>
              </w:rPr>
            </w:pPr>
            <w:r>
              <w:rPr>
                <w:rFonts w:hint="eastAsia" w:ascii="宋体" w:hAnsi="宋体" w:cs="宋体"/>
                <w:color w:val="auto"/>
                <w:sz w:val="22"/>
                <w:highlight w:val="none"/>
              </w:rPr>
              <w:t>1</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sz w:val="22"/>
                <w:highlight w:val="none"/>
              </w:rPr>
            </w:pPr>
            <w:r>
              <w:rPr>
                <w:rFonts w:ascii="宋体" w:hAnsi="宋体" w:cs="宋体"/>
                <w:color w:val="auto"/>
                <w:sz w:val="22"/>
                <w:highlight w:val="none"/>
              </w:rPr>
              <w:t>勘察费</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sz w:val="22"/>
                <w:highlight w:val="none"/>
              </w:rPr>
            </w:pPr>
            <w:r>
              <w:rPr>
                <w:rFonts w:hint="eastAsia" w:ascii="宋体" w:hAnsi="宋体" w:cs="宋体"/>
                <w:color w:val="auto"/>
                <w:sz w:val="22"/>
                <w:highlight w:val="none"/>
              </w:rPr>
              <w:t>1</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sz w:val="22"/>
                <w:highlight w:val="none"/>
              </w:rPr>
            </w:pPr>
            <w:r>
              <w:rPr>
                <w:rFonts w:ascii="宋体" w:hAnsi="宋体" w:cs="宋体"/>
                <w:color w:val="auto"/>
                <w:sz w:val="22"/>
                <w:highlight w:val="none"/>
              </w:rPr>
              <w:t>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sz w:val="22"/>
                <w:highlight w:val="none"/>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sz w:val="22"/>
                <w:highlight w:val="none"/>
              </w:rPr>
            </w:pPr>
          </w:p>
        </w:tc>
        <w:tc>
          <w:tcPr>
            <w:tcW w:w="3907"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auto"/>
                <w:sz w:val="22"/>
                <w:highlight w:val="none"/>
              </w:rPr>
            </w:pPr>
          </w:p>
        </w:tc>
      </w:tr>
      <w:tr>
        <w:tblPrEx>
          <w:tblCellMar>
            <w:top w:w="0" w:type="dxa"/>
            <w:left w:w="108" w:type="dxa"/>
            <w:bottom w:w="0" w:type="dxa"/>
            <w:right w:w="108" w:type="dxa"/>
          </w:tblCellMar>
        </w:tblPrEx>
        <w:trPr>
          <w:trHeight w:val="559" w:hRule="atLeast"/>
          <w:jc w:val="center"/>
        </w:trPr>
        <w:tc>
          <w:tcPr>
            <w:tcW w:w="8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sz w:val="22"/>
                <w:highlight w:val="none"/>
              </w:rPr>
            </w:pPr>
            <w:r>
              <w:rPr>
                <w:rFonts w:ascii="宋体" w:hAnsi="宋体" w:cs="宋体"/>
                <w:color w:val="auto"/>
                <w:sz w:val="22"/>
                <w:highlight w:val="none"/>
              </w:rPr>
              <w:t>2</w:t>
            </w:r>
          </w:p>
        </w:tc>
        <w:tc>
          <w:tcPr>
            <w:tcW w:w="37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auto"/>
                <w:sz w:val="22"/>
                <w:highlight w:val="none"/>
              </w:rPr>
            </w:pPr>
            <w:r>
              <w:rPr>
                <w:rFonts w:hint="eastAsia" w:ascii="宋体" w:hAnsi="宋体" w:cs="宋体"/>
                <w:b/>
                <w:bCs/>
                <w:color w:val="auto"/>
                <w:sz w:val="22"/>
                <w:highlight w:val="none"/>
              </w:rPr>
              <w:t>勘察费投标报价 (万元)</w:t>
            </w:r>
          </w:p>
        </w:tc>
        <w:tc>
          <w:tcPr>
            <w:tcW w:w="620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sz w:val="22"/>
                <w:highlight w:val="none"/>
              </w:rPr>
            </w:pPr>
          </w:p>
        </w:tc>
      </w:tr>
    </w:tbl>
    <w:p>
      <w:pPr>
        <w:adjustRightInd w:val="0"/>
        <w:snapToGrid w:val="0"/>
        <w:ind w:right="-758" w:rightChars="-361" w:firstLine="420" w:firstLineChars="200"/>
        <w:jc w:val="left"/>
        <w:rPr>
          <w:rFonts w:ascii="宋体" w:hAnsi="宋体" w:cs="宋体"/>
          <w:color w:val="auto"/>
          <w:szCs w:val="21"/>
          <w:highlight w:val="none"/>
        </w:rPr>
      </w:pPr>
      <w:r>
        <w:rPr>
          <w:rFonts w:hint="eastAsia" w:ascii="宋体" w:hAnsi="宋体" w:cs="宋体"/>
          <w:color w:val="auto"/>
          <w:kern w:val="2"/>
          <w:szCs w:val="21"/>
          <w:highlight w:val="none"/>
        </w:rPr>
        <w:t>注：</w:t>
      </w:r>
    </w:p>
    <w:p>
      <w:pPr>
        <w:adjustRightInd w:val="0"/>
        <w:snapToGrid w:val="0"/>
        <w:ind w:right="-50" w:rightChars="-24" w:firstLine="420" w:firstLineChars="200"/>
        <w:jc w:val="left"/>
        <w:rPr>
          <w:rFonts w:ascii="宋体" w:hAnsi="宋体" w:cs="宋体"/>
          <w:bCs/>
          <w:color w:val="auto"/>
          <w:szCs w:val="21"/>
          <w:highlight w:val="none"/>
        </w:rPr>
      </w:pPr>
      <w:r>
        <w:rPr>
          <w:rFonts w:hint="eastAsia" w:ascii="宋体" w:hAnsi="宋体" w:cs="宋体"/>
          <w:bCs/>
          <w:color w:val="auto"/>
          <w:kern w:val="2"/>
          <w:szCs w:val="21"/>
          <w:highlight w:val="none"/>
        </w:rPr>
        <w:t>1.投标人需按勘察费投标报价的金额完成本次招标内容及勘察设计任务书内的全部内容，不得增加费用。</w:t>
      </w:r>
    </w:p>
    <w:p>
      <w:pPr>
        <w:adjustRightInd w:val="0"/>
        <w:snapToGrid w:val="0"/>
        <w:ind w:right="-50" w:rightChars="-24" w:firstLine="420" w:firstLineChars="200"/>
        <w:jc w:val="left"/>
        <w:rPr>
          <w:rFonts w:ascii="宋体" w:hAnsi="宋体" w:cs="宋体"/>
          <w:b/>
          <w:color w:val="auto"/>
          <w:szCs w:val="21"/>
          <w:highlight w:val="none"/>
        </w:rPr>
      </w:pPr>
      <w:r>
        <w:rPr>
          <w:rFonts w:hint="eastAsia" w:ascii="宋体" w:hAnsi="宋体" w:cs="宋体"/>
          <w:bCs/>
          <w:color w:val="auto"/>
          <w:kern w:val="2"/>
          <w:szCs w:val="21"/>
          <w:highlight w:val="none"/>
        </w:rPr>
        <w:t>2.</w:t>
      </w:r>
      <w:r>
        <w:rPr>
          <w:rFonts w:hint="eastAsia" w:ascii="宋体" w:hAnsi="宋体" w:cs="Cambria Math"/>
          <w:bCs/>
          <w:color w:val="auto"/>
          <w:kern w:val="2"/>
          <w:szCs w:val="21"/>
          <w:highlight w:val="none"/>
        </w:rPr>
        <w:t>中标单位在进场开展工作之前，需编制勘察工作方案，报招标人审核同意后方可实施。</w:t>
      </w:r>
    </w:p>
    <w:p>
      <w:pPr>
        <w:adjustRightInd w:val="0"/>
        <w:snapToGrid w:val="0"/>
        <w:ind w:right="-50" w:rightChars="-24" w:firstLine="422" w:firstLineChars="200"/>
        <w:jc w:val="left"/>
        <w:rPr>
          <w:rFonts w:ascii="宋体" w:hAnsi="宋体" w:cs="宋体"/>
          <w:b/>
          <w:bCs/>
          <w:color w:val="auto"/>
          <w:szCs w:val="21"/>
          <w:highlight w:val="none"/>
        </w:rPr>
      </w:pPr>
      <w:r>
        <w:rPr>
          <w:rFonts w:hint="eastAsia" w:ascii="宋体" w:hAnsi="宋体" w:cs="宋体"/>
          <w:b/>
          <w:bCs/>
          <w:color w:val="auto"/>
          <w:kern w:val="2"/>
          <w:szCs w:val="21"/>
          <w:highlight w:val="none"/>
        </w:rPr>
        <w:t>3.勘察费高投标限价为</w:t>
      </w:r>
      <w:r>
        <w:rPr>
          <w:rFonts w:hint="eastAsia" w:ascii="宋体" w:hAnsi="宋体" w:cs="宋体"/>
          <w:b/>
          <w:bCs/>
          <w:color w:val="auto"/>
          <w:kern w:val="2"/>
          <w:szCs w:val="21"/>
          <w:highlight w:val="none"/>
          <w:u w:val="single"/>
          <w:lang w:eastAsia="zh-CN"/>
        </w:rPr>
        <w:t>20.00</w:t>
      </w:r>
      <w:r>
        <w:rPr>
          <w:rFonts w:hint="eastAsia" w:ascii="宋体" w:hAnsi="宋体" w:cs="宋体"/>
          <w:b/>
          <w:bCs/>
          <w:color w:val="auto"/>
          <w:kern w:val="2"/>
          <w:szCs w:val="21"/>
          <w:highlight w:val="none"/>
        </w:rPr>
        <w:t>万元。勘察费报价超过相应勘察费最高投标限价，否则由评标委员作否决其投标处理。</w:t>
      </w:r>
    </w:p>
    <w:p>
      <w:pPr>
        <w:adjustRightInd w:val="0"/>
        <w:snapToGrid w:val="0"/>
        <w:ind w:firstLine="420" w:firstLineChars="200"/>
        <w:jc w:val="left"/>
        <w:rPr>
          <w:rFonts w:ascii="宋体" w:hAnsi="宋体" w:cs="宋体"/>
          <w:bCs/>
          <w:color w:val="auto"/>
          <w:kern w:val="2"/>
          <w:szCs w:val="21"/>
          <w:highlight w:val="none"/>
        </w:rPr>
      </w:pPr>
      <w:r>
        <w:rPr>
          <w:rFonts w:ascii="宋体" w:hAnsi="宋体" w:cs="Cambria Math"/>
          <w:bCs/>
          <w:color w:val="auto"/>
          <w:kern w:val="2"/>
          <w:szCs w:val="21"/>
          <w:highlight w:val="none"/>
        </w:rPr>
        <w:t>4.</w:t>
      </w:r>
      <w:r>
        <w:rPr>
          <w:rFonts w:hint="eastAsia" w:ascii="宋体" w:hAnsi="宋体" w:cs="宋体"/>
          <w:bCs/>
          <w:color w:val="auto"/>
          <w:kern w:val="2"/>
          <w:szCs w:val="21"/>
          <w:highlight w:val="none"/>
        </w:rPr>
        <w:t>勘察费投标报价金额应与经济标投标书中勘察费投标报价金额一致。</w:t>
      </w:r>
    </w:p>
    <w:p>
      <w:pPr>
        <w:adjustRightInd w:val="0"/>
        <w:snapToGrid w:val="0"/>
        <w:ind w:firstLine="420" w:firstLineChars="200"/>
        <w:jc w:val="left"/>
        <w:rPr>
          <w:rFonts w:ascii="宋体" w:hAnsi="宋体" w:cs="宋体"/>
          <w:bCs/>
          <w:color w:val="auto"/>
          <w:kern w:val="2"/>
          <w:szCs w:val="21"/>
          <w:highlight w:val="none"/>
        </w:rPr>
      </w:pPr>
      <w:r>
        <w:rPr>
          <w:rFonts w:ascii="宋体" w:hAnsi="宋体" w:cs="宋体"/>
          <w:bCs/>
          <w:color w:val="auto"/>
          <w:kern w:val="2"/>
          <w:szCs w:val="21"/>
          <w:highlight w:val="none"/>
        </w:rPr>
        <w:t>5.</w:t>
      </w:r>
      <w:r>
        <w:rPr>
          <w:rFonts w:hint="eastAsia" w:ascii="宋体" w:hAnsi="宋体" w:cs="宋体"/>
          <w:bCs/>
          <w:color w:val="auto"/>
          <w:kern w:val="2"/>
          <w:szCs w:val="21"/>
          <w:highlight w:val="none"/>
        </w:rPr>
        <w:t>勘察费投标报价以万元为单位，小数点后保留二位小数，第三位小数四舍五入。</w:t>
      </w:r>
    </w:p>
    <w:p>
      <w:pPr>
        <w:pStyle w:val="32"/>
        <w:rPr>
          <w:color w:val="auto"/>
          <w:highlight w:val="none"/>
        </w:rPr>
      </w:pPr>
    </w:p>
    <w:p>
      <w:pPr>
        <w:tabs>
          <w:tab w:val="left" w:pos="7655"/>
        </w:tabs>
        <w:spacing w:line="600" w:lineRule="auto"/>
        <w:ind w:right="85"/>
        <w:jc w:val="right"/>
        <w:rPr>
          <w:rFonts w:ascii="宋体" w:hAnsi="宋体" w:cs="Cambria Math"/>
          <w:color w:val="auto"/>
          <w:spacing w:val="18"/>
          <w:kern w:val="1"/>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投标人</w:t>
      </w:r>
      <w:r>
        <w:rPr>
          <w:rFonts w:hint="eastAsia" w:ascii="宋体" w:hAnsi="宋体" w:cs="Cambria Math"/>
          <w:color w:val="auto"/>
          <w:spacing w:val="18"/>
          <w:kern w:val="1"/>
          <w:szCs w:val="21"/>
          <w:highlight w:val="none"/>
        </w:rPr>
        <w:t>：</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盖公章</w:t>
      </w:r>
      <w:r>
        <w:rPr>
          <w:rFonts w:hint="eastAsia" w:ascii="宋体" w:hAnsi="宋体" w:cs="Cambria Math"/>
          <w:color w:val="auto"/>
          <w:spacing w:val="18"/>
          <w:kern w:val="1"/>
          <w:szCs w:val="21"/>
          <w:highlight w:val="none"/>
        </w:rPr>
        <w:t xml:space="preserve">)    </w:t>
      </w:r>
    </w:p>
    <w:p>
      <w:pPr>
        <w:tabs>
          <w:tab w:val="left" w:pos="7655"/>
        </w:tabs>
        <w:spacing w:line="600" w:lineRule="auto"/>
        <w:ind w:right="85"/>
        <w:jc w:val="center"/>
        <w:rPr>
          <w:rFonts w:ascii="宋体" w:hAnsi="宋体" w:cs="Cambria Math"/>
          <w:color w:val="auto"/>
          <w:spacing w:val="18"/>
          <w:kern w:val="1"/>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法定代表人或被授权人</w:t>
      </w:r>
      <w:r>
        <w:rPr>
          <w:rFonts w:hint="eastAsia" w:ascii="宋体" w:hAnsi="宋体" w:cs="Cambria Math"/>
          <w:color w:val="auto"/>
          <w:spacing w:val="18"/>
          <w:kern w:val="1"/>
          <w:szCs w:val="21"/>
          <w:highlight w:val="none"/>
        </w:rPr>
        <w:t>：</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lang w:val="zh-CN"/>
        </w:rPr>
        <w:t>签字或盖章</w:t>
      </w:r>
      <w:r>
        <w:rPr>
          <w:rFonts w:hint="eastAsia" w:ascii="宋体" w:hAnsi="宋体" w:cs="Cambria Math"/>
          <w:color w:val="auto"/>
          <w:spacing w:val="18"/>
          <w:kern w:val="1"/>
          <w:szCs w:val="21"/>
          <w:highlight w:val="none"/>
        </w:rPr>
        <w:t>）</w:t>
      </w:r>
    </w:p>
    <w:p>
      <w:pPr>
        <w:spacing w:line="600" w:lineRule="auto"/>
        <w:jc w:val="right"/>
        <w:rPr>
          <w:rFonts w:ascii="宋体" w:hAnsi="宋体" w:cs="Cambria Math"/>
          <w:b/>
          <w:color w:val="auto"/>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日期</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年</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月</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日</w:t>
      </w:r>
    </w:p>
    <w:p>
      <w:pPr>
        <w:widowControl/>
        <w:spacing w:line="600" w:lineRule="auto"/>
        <w:jc w:val="left"/>
        <w:rPr>
          <w:rFonts w:ascii="宋体" w:hAnsi="宋体" w:cs="宋体"/>
          <w:b/>
          <w:color w:val="auto"/>
          <w:kern w:val="1"/>
          <w:sz w:val="24"/>
          <w:highlight w:val="none"/>
        </w:rPr>
      </w:pPr>
      <w:r>
        <w:rPr>
          <w:rFonts w:ascii="宋体" w:hAnsi="宋体" w:cs="宋体"/>
          <w:b/>
          <w:color w:val="auto"/>
          <w:kern w:val="1"/>
          <w:sz w:val="24"/>
          <w:highlight w:val="none"/>
        </w:rPr>
        <w:br w:type="page"/>
      </w:r>
    </w:p>
    <w:p>
      <w:pPr>
        <w:spacing w:line="360" w:lineRule="auto"/>
        <w:rPr>
          <w:rFonts w:ascii="宋体" w:hAnsi="宋体" w:cs="宋体"/>
          <w:b/>
          <w:color w:val="auto"/>
          <w:kern w:val="1"/>
          <w:sz w:val="28"/>
          <w:szCs w:val="28"/>
          <w:highlight w:val="none"/>
        </w:rPr>
      </w:pPr>
      <w:r>
        <w:rPr>
          <w:rFonts w:hint="eastAsia" w:ascii="宋体" w:hAnsi="宋体" w:cs="宋体"/>
          <w:b/>
          <w:color w:val="auto"/>
          <w:kern w:val="1"/>
          <w:sz w:val="24"/>
          <w:highlight w:val="none"/>
        </w:rPr>
        <w:t>格式</w:t>
      </w:r>
      <w:r>
        <w:rPr>
          <w:rFonts w:ascii="宋体" w:hAnsi="宋体" w:cs="宋体"/>
          <w:b/>
          <w:color w:val="auto"/>
          <w:kern w:val="1"/>
          <w:sz w:val="24"/>
          <w:highlight w:val="none"/>
        </w:rPr>
        <w:t>3</w:t>
      </w:r>
      <w:r>
        <w:rPr>
          <w:rFonts w:hint="eastAsia" w:ascii="宋体" w:hAnsi="宋体" w:cs="宋体"/>
          <w:b/>
          <w:color w:val="auto"/>
          <w:kern w:val="1"/>
          <w:sz w:val="24"/>
          <w:highlight w:val="none"/>
        </w:rPr>
        <w:t>：</w:t>
      </w:r>
    </w:p>
    <w:p>
      <w:pPr>
        <w:spacing w:line="360" w:lineRule="auto"/>
        <w:jc w:val="center"/>
        <w:rPr>
          <w:rFonts w:ascii="宋体" w:hAnsi="宋体" w:cs="宋体"/>
          <w:b/>
          <w:color w:val="auto"/>
          <w:kern w:val="1"/>
          <w:sz w:val="28"/>
          <w:szCs w:val="28"/>
          <w:highlight w:val="none"/>
          <w:lang w:val="zh-CN"/>
        </w:rPr>
      </w:pPr>
      <w:r>
        <w:rPr>
          <w:rFonts w:hint="eastAsia" w:ascii="宋体" w:hAnsi="宋体" w:cs="宋体"/>
          <w:b/>
          <w:color w:val="auto"/>
          <w:kern w:val="1"/>
          <w:sz w:val="28"/>
          <w:szCs w:val="28"/>
          <w:highlight w:val="none"/>
          <w:lang w:val="zh-CN"/>
        </w:rPr>
        <w:t>设计费用明细表</w:t>
      </w:r>
    </w:p>
    <w:tbl>
      <w:tblPr>
        <w:tblStyle w:val="35"/>
        <w:tblW w:w="9351" w:type="dxa"/>
        <w:tblInd w:w="0" w:type="dxa"/>
        <w:tblLayout w:type="fixed"/>
        <w:tblCellMar>
          <w:top w:w="0" w:type="dxa"/>
          <w:left w:w="108" w:type="dxa"/>
          <w:bottom w:w="0" w:type="dxa"/>
          <w:right w:w="108" w:type="dxa"/>
        </w:tblCellMar>
      </w:tblPr>
      <w:tblGrid>
        <w:gridCol w:w="1080"/>
        <w:gridCol w:w="1780"/>
        <w:gridCol w:w="1813"/>
        <w:gridCol w:w="1418"/>
        <w:gridCol w:w="3260"/>
      </w:tblGrid>
      <w:tr>
        <w:tblPrEx>
          <w:tblCellMar>
            <w:top w:w="0" w:type="dxa"/>
            <w:left w:w="108" w:type="dxa"/>
            <w:bottom w:w="0" w:type="dxa"/>
            <w:right w:w="108" w:type="dxa"/>
          </w:tblCellMar>
        </w:tblPrEx>
        <w:trPr>
          <w:trHeight w:val="82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sz w:val="22"/>
                <w:highlight w:val="none"/>
              </w:rPr>
            </w:pPr>
            <w:r>
              <w:rPr>
                <w:rFonts w:hint="eastAsia" w:ascii="宋体" w:hAnsi="宋体" w:cs="宋体"/>
                <w:b/>
                <w:bCs/>
                <w:color w:val="auto"/>
                <w:sz w:val="22"/>
                <w:highlight w:val="none"/>
              </w:rPr>
              <w:t>序号</w:t>
            </w:r>
          </w:p>
        </w:tc>
        <w:tc>
          <w:tcPr>
            <w:tcW w:w="1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sz w:val="22"/>
                <w:highlight w:val="none"/>
              </w:rPr>
            </w:pPr>
            <w:r>
              <w:rPr>
                <w:rFonts w:hint="eastAsia" w:ascii="宋体" w:hAnsi="宋体" w:cs="宋体"/>
                <w:b/>
                <w:bCs/>
                <w:color w:val="auto"/>
                <w:sz w:val="22"/>
                <w:highlight w:val="none"/>
              </w:rPr>
              <w:t>项目</w:t>
            </w:r>
          </w:p>
        </w:tc>
        <w:tc>
          <w:tcPr>
            <w:tcW w:w="1813"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auto"/>
                <w:sz w:val="22"/>
                <w:highlight w:val="none"/>
              </w:rPr>
            </w:pPr>
            <w:r>
              <w:rPr>
                <w:rFonts w:hint="eastAsia" w:ascii="宋体" w:hAnsi="宋体" w:cs="宋体"/>
                <w:b/>
                <w:bCs/>
                <w:color w:val="auto"/>
                <w:sz w:val="22"/>
                <w:highlight w:val="none"/>
              </w:rPr>
              <w:t>暂定计费额（万元）</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sz w:val="22"/>
                <w:highlight w:val="none"/>
              </w:rPr>
            </w:pPr>
            <w:r>
              <w:rPr>
                <w:rFonts w:hint="eastAsia" w:ascii="宋体" w:hAnsi="宋体" w:cs="宋体"/>
                <w:b/>
                <w:bCs/>
                <w:color w:val="auto"/>
                <w:sz w:val="22"/>
                <w:highlight w:val="none"/>
              </w:rPr>
              <w:t>设计费（万元）</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sz w:val="22"/>
                <w:highlight w:val="none"/>
              </w:rPr>
            </w:pPr>
            <w:r>
              <w:rPr>
                <w:rFonts w:hint="eastAsia" w:ascii="宋体" w:hAnsi="宋体" w:cs="宋体"/>
                <w:b/>
                <w:bCs/>
                <w:color w:val="auto"/>
                <w:sz w:val="22"/>
                <w:highlight w:val="none"/>
              </w:rPr>
              <w:t>备注</w:t>
            </w:r>
          </w:p>
        </w:tc>
      </w:tr>
      <w:tr>
        <w:tblPrEx>
          <w:tblCellMar>
            <w:top w:w="0" w:type="dxa"/>
            <w:left w:w="108" w:type="dxa"/>
            <w:bottom w:w="0" w:type="dxa"/>
            <w:right w:w="108" w:type="dxa"/>
          </w:tblCellMar>
        </w:tblPrEx>
        <w:trPr>
          <w:trHeight w:val="153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sz w:val="22"/>
                <w:highlight w:val="none"/>
              </w:rPr>
            </w:pPr>
            <w:r>
              <w:rPr>
                <w:rFonts w:hint="eastAsia" w:ascii="宋体" w:hAnsi="宋体" w:cs="宋体"/>
                <w:color w:val="auto"/>
                <w:sz w:val="22"/>
                <w:highlight w:val="none"/>
              </w:rPr>
              <w:t>1</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sz w:val="22"/>
                <w:highlight w:val="none"/>
              </w:rPr>
            </w:pPr>
            <w:r>
              <w:rPr>
                <w:rFonts w:ascii="宋体" w:hAnsi="宋体" w:cs="宋体"/>
                <w:color w:val="auto"/>
                <w:szCs w:val="21"/>
                <w:highlight w:val="none"/>
              </w:rPr>
              <w:t>设计费</w:t>
            </w:r>
          </w:p>
        </w:tc>
        <w:tc>
          <w:tcPr>
            <w:tcW w:w="1813"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auto"/>
                <w:sz w:val="22"/>
                <w:highlight w:val="none"/>
                <w:lang w:eastAsia="zh-CN"/>
              </w:rPr>
            </w:pPr>
            <w:r>
              <w:rPr>
                <w:rFonts w:hint="eastAsia" w:ascii="宋体" w:hAnsi="宋体" w:cs="宋体"/>
                <w:color w:val="auto"/>
                <w:szCs w:val="21"/>
                <w:highlight w:val="none"/>
                <w:lang w:eastAsia="zh-CN"/>
              </w:rPr>
              <w:t>5356</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sz w:val="22"/>
                <w:highlight w:val="none"/>
              </w:rPr>
            </w:pPr>
          </w:p>
        </w:tc>
        <w:tc>
          <w:tcPr>
            <w:tcW w:w="32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auto"/>
                <w:sz w:val="22"/>
                <w:highlight w:val="none"/>
              </w:rPr>
            </w:pPr>
          </w:p>
        </w:tc>
      </w:tr>
      <w:tr>
        <w:tblPrEx>
          <w:tblCellMar>
            <w:top w:w="0" w:type="dxa"/>
            <w:left w:w="108" w:type="dxa"/>
            <w:bottom w:w="0" w:type="dxa"/>
            <w:right w:w="108" w:type="dxa"/>
          </w:tblCellMar>
        </w:tblPrEx>
        <w:trPr>
          <w:trHeight w:val="450" w:hRule="atLeast"/>
        </w:trPr>
        <w:tc>
          <w:tcPr>
            <w:tcW w:w="4673" w:type="dxa"/>
            <w:gridSpan w:val="3"/>
            <w:tcBorders>
              <w:top w:val="nil"/>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b/>
                <w:bCs/>
                <w:color w:val="auto"/>
                <w:sz w:val="22"/>
                <w:highlight w:val="none"/>
              </w:rPr>
            </w:pPr>
            <w:r>
              <w:rPr>
                <w:rFonts w:hint="eastAsia" w:ascii="宋体" w:hAnsi="宋体" w:cs="宋体"/>
                <w:b/>
                <w:bCs/>
                <w:color w:val="auto"/>
                <w:sz w:val="22"/>
                <w:highlight w:val="none"/>
              </w:rPr>
              <w:t>设计费投标报价（万元）</w:t>
            </w:r>
          </w:p>
        </w:tc>
        <w:tc>
          <w:tcPr>
            <w:tcW w:w="467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sz w:val="22"/>
                <w:highlight w:val="none"/>
              </w:rPr>
            </w:pPr>
          </w:p>
        </w:tc>
      </w:tr>
    </w:tbl>
    <w:p>
      <w:pPr>
        <w:adjustRightInd w:val="0"/>
        <w:snapToGrid w:val="0"/>
        <w:ind w:right="-758" w:rightChars="-361" w:firstLine="420" w:firstLineChars="200"/>
        <w:jc w:val="left"/>
        <w:rPr>
          <w:rFonts w:ascii="宋体" w:hAnsi="宋体" w:cs="宋体"/>
          <w:color w:val="auto"/>
          <w:szCs w:val="21"/>
          <w:highlight w:val="none"/>
        </w:rPr>
      </w:pPr>
      <w:r>
        <w:rPr>
          <w:rFonts w:hint="eastAsia" w:ascii="宋体" w:hAnsi="宋体" w:cs="宋体"/>
          <w:color w:val="auto"/>
          <w:kern w:val="2"/>
          <w:szCs w:val="21"/>
          <w:highlight w:val="none"/>
        </w:rPr>
        <w:t>注：</w:t>
      </w:r>
    </w:p>
    <w:p>
      <w:pPr>
        <w:adjustRightInd w:val="0"/>
        <w:snapToGrid w:val="0"/>
        <w:ind w:right="-758" w:rightChars="-361" w:firstLine="420" w:firstLineChars="200"/>
        <w:jc w:val="left"/>
        <w:rPr>
          <w:rFonts w:ascii="宋体" w:hAnsi="宋体" w:cs="宋体"/>
          <w:bCs/>
          <w:color w:val="auto"/>
          <w:szCs w:val="21"/>
          <w:highlight w:val="none"/>
        </w:rPr>
      </w:pPr>
      <w:r>
        <w:rPr>
          <w:rFonts w:hint="eastAsia" w:ascii="宋体" w:hAnsi="宋体" w:cs="宋体"/>
          <w:bCs/>
          <w:color w:val="auto"/>
          <w:kern w:val="2"/>
          <w:szCs w:val="21"/>
          <w:highlight w:val="none"/>
        </w:rPr>
        <w:t>1.设计总包、现场服务费用等费用含在基本设计费投标报价中，不单独报价。</w:t>
      </w:r>
    </w:p>
    <w:p>
      <w:pPr>
        <w:adjustRightInd w:val="0"/>
        <w:snapToGrid w:val="0"/>
        <w:ind w:right="-50" w:rightChars="-24" w:firstLine="420" w:firstLineChars="200"/>
        <w:jc w:val="left"/>
        <w:rPr>
          <w:rFonts w:ascii="宋体" w:hAnsi="宋体" w:cs="宋体"/>
          <w:bCs/>
          <w:color w:val="auto"/>
          <w:szCs w:val="21"/>
          <w:highlight w:val="none"/>
        </w:rPr>
      </w:pPr>
      <w:r>
        <w:rPr>
          <w:rFonts w:hint="eastAsia" w:ascii="宋体" w:hAnsi="宋体" w:cs="宋体"/>
          <w:bCs/>
          <w:color w:val="auto"/>
          <w:kern w:val="2"/>
          <w:szCs w:val="21"/>
          <w:highlight w:val="none"/>
        </w:rPr>
        <w:t>2.投标人需按</w:t>
      </w:r>
      <w:r>
        <w:rPr>
          <w:rFonts w:ascii="宋体" w:hAnsi="宋体" w:cs="宋体"/>
          <w:bCs/>
          <w:color w:val="auto"/>
          <w:kern w:val="2"/>
          <w:szCs w:val="21"/>
          <w:highlight w:val="none"/>
        </w:rPr>
        <w:t>设计投标</w:t>
      </w:r>
      <w:r>
        <w:rPr>
          <w:rFonts w:hint="eastAsia" w:ascii="宋体" w:hAnsi="宋体" w:cs="宋体"/>
          <w:bCs/>
          <w:color w:val="auto"/>
          <w:kern w:val="2"/>
          <w:szCs w:val="21"/>
          <w:highlight w:val="none"/>
        </w:rPr>
        <w:t>报价的金额完成本次招标内容及《勘察设计任务书》内的全部内容，不得增加费用。</w:t>
      </w:r>
    </w:p>
    <w:p>
      <w:pPr>
        <w:adjustRightInd w:val="0"/>
        <w:snapToGrid w:val="0"/>
        <w:ind w:right="-50" w:rightChars="-24" w:firstLine="420" w:firstLineChars="200"/>
        <w:jc w:val="left"/>
        <w:rPr>
          <w:rFonts w:ascii="宋体" w:hAnsi="宋体" w:cs="宋体"/>
          <w:bCs/>
          <w:color w:val="auto"/>
          <w:szCs w:val="21"/>
          <w:highlight w:val="none"/>
        </w:rPr>
      </w:pPr>
      <w:r>
        <w:rPr>
          <w:rFonts w:hint="eastAsia" w:ascii="宋体" w:hAnsi="宋体" w:cs="宋体"/>
          <w:bCs/>
          <w:color w:val="auto"/>
          <w:kern w:val="2"/>
          <w:szCs w:val="21"/>
          <w:highlight w:val="none"/>
        </w:rPr>
        <w:t>3.</w:t>
      </w:r>
      <w:r>
        <w:rPr>
          <w:rFonts w:hint="eastAsia" w:ascii="宋体" w:hAnsi="宋体" w:cs="宋体"/>
          <w:b/>
          <w:color w:val="auto"/>
          <w:kern w:val="2"/>
          <w:szCs w:val="21"/>
          <w:highlight w:val="none"/>
        </w:rPr>
        <w:t>设计费最高投标限价为</w:t>
      </w:r>
      <w:r>
        <w:rPr>
          <w:rFonts w:hint="eastAsia" w:ascii="宋体" w:hAnsi="宋体" w:cs="宋体"/>
          <w:b/>
          <w:color w:val="auto"/>
          <w:kern w:val="2"/>
          <w:szCs w:val="21"/>
          <w:highlight w:val="none"/>
          <w:u w:val="single"/>
          <w:lang w:eastAsia="zh-CN"/>
        </w:rPr>
        <w:t>147.96</w:t>
      </w:r>
      <w:r>
        <w:rPr>
          <w:rFonts w:hint="eastAsia" w:ascii="宋体" w:hAnsi="宋体" w:cs="宋体"/>
          <w:b/>
          <w:color w:val="auto"/>
          <w:kern w:val="2"/>
          <w:szCs w:val="21"/>
          <w:highlight w:val="none"/>
        </w:rPr>
        <w:t>万元，设计费投标报价不得超过设计费最高投标限价，否则由评标委员作否决其投标处理。</w:t>
      </w:r>
    </w:p>
    <w:p>
      <w:pPr>
        <w:adjustRightInd w:val="0"/>
        <w:snapToGrid w:val="0"/>
        <w:ind w:firstLine="420" w:firstLineChars="200"/>
        <w:jc w:val="left"/>
        <w:rPr>
          <w:rFonts w:ascii="宋体" w:hAnsi="宋体" w:cs="宋体"/>
          <w:bCs/>
          <w:color w:val="auto"/>
          <w:kern w:val="2"/>
          <w:szCs w:val="21"/>
          <w:highlight w:val="none"/>
        </w:rPr>
      </w:pPr>
      <w:r>
        <w:rPr>
          <w:rFonts w:hint="eastAsia" w:ascii="宋体" w:hAnsi="宋体" w:cs="宋体"/>
          <w:bCs/>
          <w:color w:val="auto"/>
          <w:kern w:val="2"/>
          <w:szCs w:val="21"/>
          <w:highlight w:val="none"/>
        </w:rPr>
        <w:t>4.本表费用按国家发展计划委员会、建设部2002年颁布的《工程设计收费标准》进行计算。</w:t>
      </w:r>
    </w:p>
    <w:p>
      <w:pPr>
        <w:adjustRightInd w:val="0"/>
        <w:snapToGrid w:val="0"/>
        <w:ind w:firstLine="420" w:firstLineChars="200"/>
        <w:jc w:val="left"/>
        <w:rPr>
          <w:rFonts w:ascii="宋体" w:hAnsi="宋体" w:cs="宋体"/>
          <w:bCs/>
          <w:color w:val="auto"/>
          <w:kern w:val="2"/>
          <w:szCs w:val="21"/>
          <w:highlight w:val="none"/>
        </w:rPr>
      </w:pPr>
      <w:r>
        <w:rPr>
          <w:rFonts w:hint="eastAsia" w:ascii="宋体" w:hAnsi="宋体" w:cs="宋体"/>
          <w:bCs/>
          <w:color w:val="auto"/>
          <w:kern w:val="2"/>
          <w:szCs w:val="21"/>
          <w:highlight w:val="none"/>
        </w:rPr>
        <w:t>5.设计费投标报价合计金额应与经济标投标书中设计费投标报价金额一致。</w:t>
      </w:r>
    </w:p>
    <w:p>
      <w:pPr>
        <w:adjustRightInd w:val="0"/>
        <w:snapToGrid w:val="0"/>
        <w:ind w:firstLine="420" w:firstLineChars="200"/>
        <w:jc w:val="left"/>
        <w:rPr>
          <w:rFonts w:ascii="宋体" w:hAnsi="宋体" w:cs="宋体"/>
          <w:bCs/>
          <w:color w:val="auto"/>
          <w:kern w:val="2"/>
          <w:szCs w:val="21"/>
          <w:highlight w:val="none"/>
        </w:rPr>
      </w:pPr>
      <w:r>
        <w:rPr>
          <w:rFonts w:hint="eastAsia" w:ascii="宋体" w:hAnsi="宋体" w:cs="宋体"/>
          <w:bCs/>
          <w:color w:val="auto"/>
          <w:kern w:val="2"/>
          <w:szCs w:val="21"/>
          <w:highlight w:val="none"/>
        </w:rPr>
        <w:t>6.设计费投标报价以万元为单位，小数点后保留二位小数，第三位小数四舍五入。</w:t>
      </w:r>
    </w:p>
    <w:p>
      <w:pPr>
        <w:pStyle w:val="5"/>
        <w:rPr>
          <w:color w:val="auto"/>
          <w:highlight w:val="none"/>
        </w:rPr>
      </w:pPr>
    </w:p>
    <w:p>
      <w:pPr>
        <w:pStyle w:val="18"/>
        <w:rPr>
          <w:rFonts w:cs="宋体"/>
          <w:color w:val="auto"/>
          <w:highlight w:val="none"/>
        </w:rPr>
      </w:pPr>
    </w:p>
    <w:p>
      <w:pPr>
        <w:tabs>
          <w:tab w:val="left" w:pos="7655"/>
        </w:tabs>
        <w:spacing w:line="480" w:lineRule="auto"/>
        <w:ind w:right="492"/>
        <w:jc w:val="center"/>
        <w:rPr>
          <w:rFonts w:ascii="宋体" w:hAnsi="宋体" w:cs="Cambria Math"/>
          <w:color w:val="auto"/>
          <w:spacing w:val="18"/>
          <w:kern w:val="1"/>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投标人</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lang w:val="zh-CN"/>
        </w:rPr>
        <w:t>盖公章</w:t>
      </w:r>
      <w:r>
        <w:rPr>
          <w:rFonts w:hint="eastAsia" w:ascii="宋体" w:hAnsi="宋体" w:cs="Cambria Math"/>
          <w:color w:val="auto"/>
          <w:spacing w:val="18"/>
          <w:kern w:val="1"/>
          <w:szCs w:val="21"/>
          <w:highlight w:val="none"/>
        </w:rPr>
        <w:t xml:space="preserve">)    </w:t>
      </w:r>
    </w:p>
    <w:p>
      <w:pPr>
        <w:tabs>
          <w:tab w:val="left" w:pos="7655"/>
        </w:tabs>
        <w:spacing w:line="480" w:lineRule="auto"/>
        <w:ind w:right="492"/>
        <w:jc w:val="center"/>
        <w:rPr>
          <w:rFonts w:ascii="宋体" w:hAnsi="宋体" w:cs="Cambria Math"/>
          <w:color w:val="auto"/>
          <w:spacing w:val="18"/>
          <w:kern w:val="1"/>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法定代表人或被授权人</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lang w:val="zh-CN"/>
        </w:rPr>
        <w:t>签字或盖章</w:t>
      </w:r>
      <w:r>
        <w:rPr>
          <w:rFonts w:hint="eastAsia" w:ascii="宋体" w:hAnsi="宋体" w:cs="Cambria Math"/>
          <w:color w:val="auto"/>
          <w:spacing w:val="18"/>
          <w:kern w:val="1"/>
          <w:szCs w:val="21"/>
          <w:highlight w:val="none"/>
        </w:rPr>
        <w:t>）</w:t>
      </w:r>
    </w:p>
    <w:p>
      <w:pPr>
        <w:spacing w:line="480" w:lineRule="auto"/>
        <w:rPr>
          <w:rFonts w:ascii="宋体" w:hAnsi="宋体" w:cs="Cambria Math"/>
          <w:b/>
          <w:color w:val="auto"/>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日期</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年</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月</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日</w:t>
      </w:r>
    </w:p>
    <w:p>
      <w:pPr>
        <w:pStyle w:val="18"/>
        <w:spacing w:line="360" w:lineRule="auto"/>
        <w:rPr>
          <w:rFonts w:cs="宋体"/>
          <w:b/>
          <w:color w:val="auto"/>
          <w:kern w:val="1"/>
          <w:sz w:val="24"/>
          <w:highlight w:val="none"/>
        </w:rPr>
      </w:pPr>
      <w:r>
        <w:rPr>
          <w:rFonts w:cs="宋体"/>
          <w:color w:val="auto"/>
          <w:kern w:val="1"/>
          <w:szCs w:val="21"/>
          <w:highlight w:val="none"/>
        </w:rPr>
        <w:br w:type="page"/>
      </w:r>
      <w:r>
        <w:rPr>
          <w:rFonts w:hint="eastAsia" w:cs="宋体"/>
          <w:b/>
          <w:color w:val="auto"/>
          <w:kern w:val="1"/>
          <w:sz w:val="24"/>
          <w:highlight w:val="none"/>
        </w:rPr>
        <w:t>格式</w:t>
      </w:r>
      <w:r>
        <w:rPr>
          <w:rFonts w:cs="宋体"/>
          <w:b/>
          <w:color w:val="auto"/>
          <w:kern w:val="1"/>
          <w:sz w:val="24"/>
          <w:highlight w:val="none"/>
        </w:rPr>
        <w:t>4</w:t>
      </w:r>
      <w:r>
        <w:rPr>
          <w:rFonts w:hint="eastAsia" w:cs="宋体"/>
          <w:b/>
          <w:color w:val="auto"/>
          <w:kern w:val="1"/>
          <w:sz w:val="24"/>
          <w:highlight w:val="none"/>
        </w:rPr>
        <w:t>：</w:t>
      </w:r>
    </w:p>
    <w:p>
      <w:pPr>
        <w:pStyle w:val="34"/>
        <w:spacing w:line="360" w:lineRule="auto"/>
        <w:ind w:left="-2" w:firstLine="632"/>
        <w:jc w:val="center"/>
        <w:rPr>
          <w:rFonts w:ascii="宋体" w:hAnsi="宋体" w:cs="宋体"/>
          <w:b/>
          <w:bCs/>
          <w:color w:val="auto"/>
          <w:sz w:val="28"/>
          <w:szCs w:val="28"/>
          <w:highlight w:val="none"/>
          <w:lang w:val="zh-CN"/>
        </w:rPr>
      </w:pPr>
      <w:bookmarkStart w:id="418" w:name="_Hlk56677631"/>
      <w:r>
        <w:rPr>
          <w:rFonts w:hint="eastAsia" w:ascii="宋体" w:hAnsi="宋体" w:cs="宋体"/>
          <w:b/>
          <w:bCs/>
          <w:color w:val="auto"/>
          <w:sz w:val="28"/>
          <w:szCs w:val="28"/>
          <w:highlight w:val="none"/>
          <w:lang w:val="zh-CN"/>
        </w:rPr>
        <w:t>参与编制</w:t>
      </w:r>
      <w:bookmarkStart w:id="419" w:name="_Hlk69828595"/>
      <w:r>
        <w:rPr>
          <w:rFonts w:hint="eastAsia" w:ascii="宋体" w:hAnsi="宋体" w:cs="宋体"/>
          <w:b/>
          <w:bCs/>
          <w:color w:val="auto"/>
          <w:sz w:val="28"/>
          <w:szCs w:val="28"/>
          <w:highlight w:val="none"/>
          <w:lang w:val="zh-CN"/>
        </w:rPr>
        <w:t>勘察、设计、工程商务及实施方案经济投标文件</w:t>
      </w:r>
      <w:bookmarkEnd w:id="419"/>
      <w:r>
        <w:rPr>
          <w:rFonts w:hint="eastAsia" w:ascii="宋体" w:hAnsi="宋体" w:cs="宋体"/>
          <w:b/>
          <w:bCs/>
          <w:color w:val="auto"/>
          <w:sz w:val="28"/>
          <w:szCs w:val="28"/>
          <w:highlight w:val="none"/>
          <w:lang w:val="zh-CN"/>
        </w:rPr>
        <w:t>人员名单</w:t>
      </w:r>
      <w:bookmarkEnd w:id="418"/>
    </w:p>
    <w:tbl>
      <w:tblPr>
        <w:tblStyle w:val="35"/>
        <w:tblW w:w="9453" w:type="dxa"/>
        <w:tblInd w:w="0" w:type="dxa"/>
        <w:tblLayout w:type="fixed"/>
        <w:tblCellMar>
          <w:top w:w="0" w:type="dxa"/>
          <w:left w:w="108" w:type="dxa"/>
          <w:bottom w:w="0" w:type="dxa"/>
          <w:right w:w="108" w:type="dxa"/>
        </w:tblCellMar>
      </w:tblPr>
      <w:tblGrid>
        <w:gridCol w:w="1182"/>
        <w:gridCol w:w="1375"/>
        <w:gridCol w:w="3221"/>
        <w:gridCol w:w="3675"/>
      </w:tblGrid>
      <w:tr>
        <w:tblPrEx>
          <w:tblCellMar>
            <w:top w:w="0" w:type="dxa"/>
            <w:left w:w="108" w:type="dxa"/>
            <w:bottom w:w="0" w:type="dxa"/>
            <w:right w:w="108" w:type="dxa"/>
          </w:tblCellMar>
        </w:tblPrEx>
        <w:trPr>
          <w:trHeight w:val="462" w:hRule="atLeast"/>
        </w:trPr>
        <w:tc>
          <w:tcPr>
            <w:tcW w:w="1182" w:type="dxa"/>
            <w:tcBorders>
              <w:top w:val="single" w:color="000000" w:sz="4"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姓名</w:t>
            </w:r>
          </w:p>
        </w:tc>
        <w:tc>
          <w:tcPr>
            <w:tcW w:w="1375" w:type="dxa"/>
            <w:tcBorders>
              <w:top w:val="single" w:color="000000" w:sz="4"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职务</w:t>
            </w:r>
          </w:p>
        </w:tc>
        <w:tc>
          <w:tcPr>
            <w:tcW w:w="3221" w:type="dxa"/>
            <w:tcBorders>
              <w:top w:val="single" w:color="000000" w:sz="4"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所承担工作</w:t>
            </w:r>
          </w:p>
        </w:tc>
        <w:tc>
          <w:tcPr>
            <w:tcW w:w="3675" w:type="dxa"/>
            <w:tcBorders>
              <w:top w:val="single" w:color="000000" w:sz="4"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本人签名栏</w:t>
            </w:r>
          </w:p>
        </w:tc>
      </w:tr>
      <w:tr>
        <w:tblPrEx>
          <w:tblCellMar>
            <w:top w:w="0" w:type="dxa"/>
            <w:left w:w="108" w:type="dxa"/>
            <w:bottom w:w="0" w:type="dxa"/>
            <w:right w:w="108" w:type="dxa"/>
          </w:tblCellMar>
        </w:tblPrEx>
        <w:trPr>
          <w:trHeight w:val="468"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452"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472" w:hRule="atLeast"/>
        </w:trPr>
        <w:tc>
          <w:tcPr>
            <w:tcW w:w="1182" w:type="dxa"/>
            <w:tcBorders>
              <w:top w:val="single" w:color="000000" w:sz="6" w:space="0"/>
              <w:left w:val="single" w:color="000000" w:sz="4" w:space="0"/>
              <w:bottom w:val="single" w:color="000000" w:sz="4"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4"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4" w:space="0"/>
              <w:right w:val="single" w:color="000000" w:sz="6"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4" w:space="0"/>
              <w:right w:val="single" w:color="000000" w:sz="4" w:space="0"/>
            </w:tcBorders>
            <w:vAlign w:val="center"/>
          </w:tcPr>
          <w:p>
            <w:pPr>
              <w:tabs>
                <w:tab w:val="left" w:pos="0"/>
                <w:tab w:val="left" w:pos="720"/>
              </w:tabs>
              <w:spacing w:line="360" w:lineRule="auto"/>
              <w:jc w:val="center"/>
              <w:rPr>
                <w:rFonts w:ascii="宋体" w:hAnsi="宋体" w:cs="宋体"/>
                <w:color w:val="auto"/>
                <w:kern w:val="1"/>
                <w:szCs w:val="21"/>
                <w:highlight w:val="none"/>
              </w:rPr>
            </w:pPr>
          </w:p>
        </w:tc>
      </w:tr>
    </w:tbl>
    <w:p>
      <w:pPr>
        <w:tabs>
          <w:tab w:val="left" w:pos="720"/>
        </w:tabs>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rPr>
        <w:t>注：参与编制标书所有人员名单应包括编制投标报价、负责清样校对、负责打印及复印等所有人员在内的人员名单。</w:t>
      </w:r>
    </w:p>
    <w:p>
      <w:pPr>
        <w:spacing w:line="360" w:lineRule="auto"/>
        <w:rPr>
          <w:rFonts w:ascii="宋体" w:hAnsi="宋体" w:cs="宋体"/>
          <w:b/>
          <w:color w:val="auto"/>
          <w:kern w:val="1"/>
          <w:sz w:val="36"/>
          <w:szCs w:val="36"/>
          <w:highlight w:val="none"/>
        </w:rPr>
      </w:pPr>
    </w:p>
    <w:p>
      <w:pPr>
        <w:spacing w:line="360" w:lineRule="auto"/>
        <w:jc w:val="center"/>
        <w:rPr>
          <w:rFonts w:ascii="宋体" w:hAnsi="宋体" w:cs="宋体"/>
          <w:b/>
          <w:color w:val="auto"/>
          <w:kern w:val="1"/>
          <w:sz w:val="24"/>
          <w:szCs w:val="24"/>
          <w:highlight w:val="none"/>
        </w:rPr>
      </w:pPr>
      <w:r>
        <w:rPr>
          <w:rFonts w:ascii="宋体" w:hAnsi="宋体" w:cs="宋体"/>
          <w:b/>
          <w:color w:val="auto"/>
          <w:kern w:val="1"/>
          <w:sz w:val="36"/>
          <w:szCs w:val="36"/>
          <w:highlight w:val="none"/>
        </w:rPr>
        <w:br w:type="page"/>
      </w:r>
    </w:p>
    <w:p>
      <w:pPr>
        <w:spacing w:line="360" w:lineRule="auto"/>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5</w:t>
      </w:r>
      <w:r>
        <w:rPr>
          <w:rFonts w:hint="eastAsia" w:ascii="宋体" w:hAnsi="宋体" w:cs="宋体"/>
          <w:b/>
          <w:color w:val="auto"/>
          <w:kern w:val="1"/>
          <w:sz w:val="24"/>
          <w:highlight w:val="none"/>
          <w:lang w:val="zh-CN"/>
        </w:rPr>
        <w:t xml:space="preserve">： </w:t>
      </w:r>
    </w:p>
    <w:p>
      <w:pPr>
        <w:pStyle w:val="18"/>
        <w:spacing w:line="360" w:lineRule="auto"/>
        <w:rPr>
          <w:color w:val="auto"/>
          <w:highlight w:val="none"/>
        </w:rPr>
      </w:pPr>
    </w:p>
    <w:p>
      <w:pPr>
        <w:pStyle w:val="34"/>
        <w:spacing w:line="360" w:lineRule="auto"/>
        <w:ind w:left="-2" w:firstLine="632"/>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投标人认为应该提供的其他资料</w:t>
      </w:r>
    </w:p>
    <w:p>
      <w:pPr>
        <w:pStyle w:val="34"/>
        <w:spacing w:line="360" w:lineRule="auto"/>
        <w:ind w:firstLine="0"/>
        <w:rPr>
          <w:rFonts w:ascii="宋体" w:hAnsi="宋体" w:cs="宋体"/>
          <w:b/>
          <w:bCs/>
          <w:color w:val="auto"/>
          <w:sz w:val="28"/>
          <w:szCs w:val="28"/>
          <w:highlight w:val="none"/>
          <w:lang w:val="zh-CN"/>
        </w:rPr>
      </w:pPr>
    </w:p>
    <w:p>
      <w:pPr>
        <w:pStyle w:val="34"/>
        <w:spacing w:line="360" w:lineRule="auto"/>
        <w:ind w:left="-2" w:firstLine="632"/>
        <w:jc w:val="center"/>
        <w:rPr>
          <w:rFonts w:ascii="宋体" w:hAnsi="宋体" w:cs="宋体"/>
          <w:b/>
          <w:bCs/>
          <w:color w:val="auto"/>
          <w:sz w:val="28"/>
          <w:szCs w:val="28"/>
          <w:highlight w:val="none"/>
          <w:lang w:val="zh-CN"/>
        </w:rPr>
      </w:pPr>
      <w:r>
        <w:rPr>
          <w:rFonts w:ascii="宋体" w:hAnsi="宋体" w:cs="宋体"/>
          <w:b/>
          <w:bCs/>
          <w:color w:val="auto"/>
          <w:sz w:val="28"/>
          <w:szCs w:val="28"/>
          <w:highlight w:val="none"/>
          <w:lang w:val="zh-CN"/>
        </w:rPr>
        <w:br w:type="page"/>
      </w:r>
    </w:p>
    <w:p>
      <w:pPr>
        <w:pStyle w:val="4"/>
        <w:spacing w:line="360" w:lineRule="auto"/>
        <w:jc w:val="center"/>
        <w:rPr>
          <w:rFonts w:ascii="宋体" w:hAnsi="宋体" w:cs="宋体"/>
          <w:color w:val="auto"/>
          <w:kern w:val="1"/>
          <w:highlight w:val="none"/>
        </w:rPr>
      </w:pPr>
      <w:bookmarkStart w:id="420" w:name="_Toc9619"/>
      <w:bookmarkStart w:id="421" w:name="_Toc19024"/>
      <w:bookmarkStart w:id="422" w:name="_Toc5889"/>
      <w:r>
        <w:rPr>
          <w:rFonts w:hint="eastAsia" w:ascii="宋体" w:hAnsi="宋体" w:cs="宋体"/>
          <w:color w:val="auto"/>
          <w:kern w:val="1"/>
          <w:highlight w:val="none"/>
        </w:rPr>
        <w:t>第八章 最高投标限价细项汇总表</w:t>
      </w:r>
      <w:bookmarkEnd w:id="420"/>
      <w:bookmarkEnd w:id="421"/>
      <w:bookmarkEnd w:id="422"/>
    </w:p>
    <w:tbl>
      <w:tblPr>
        <w:tblStyle w:val="35"/>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797"/>
        <w:gridCol w:w="1108"/>
        <w:gridCol w:w="1127"/>
        <w:gridCol w:w="1056"/>
        <w:gridCol w:w="1232"/>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38" w:type="dxa"/>
            <w:shd w:val="clear" w:color="auto" w:fill="auto"/>
            <w:vAlign w:val="center"/>
          </w:tcPr>
          <w:p>
            <w:pPr>
              <w:widowControl/>
              <w:jc w:val="center"/>
              <w:rPr>
                <w:rFonts w:ascii="宋体" w:hAnsi="宋体" w:cs="宋体"/>
                <w:b/>
                <w:bCs/>
                <w:color w:val="auto"/>
                <w:szCs w:val="21"/>
                <w:highlight w:val="none"/>
              </w:rPr>
            </w:pPr>
            <w:r>
              <w:rPr>
                <w:rFonts w:hint="eastAsia"/>
                <w:color w:val="auto"/>
                <w:highlight w:val="none"/>
              </w:rPr>
              <w:t xml:space="preserve">项目名称: </w:t>
            </w:r>
            <w:r>
              <w:rPr>
                <w:rFonts w:hint="eastAsia"/>
                <w:color w:val="auto"/>
                <w:highlight w:val="none"/>
                <w:lang w:eastAsia="zh-CN"/>
              </w:rPr>
              <w:t>广东省环境辐射监测中心粤东分部工程勘察设计施工总承包（EPC）</w:t>
            </w:r>
            <w:r>
              <w:rPr>
                <w:rFonts w:hint="eastAsia" w:ascii="宋体" w:hAnsi="宋体" w:cs="宋体"/>
                <w:b/>
                <w:bCs/>
                <w:color w:val="auto"/>
                <w:szCs w:val="21"/>
                <w:highlight w:val="none"/>
              </w:rPr>
              <w:t>一</w:t>
            </w:r>
          </w:p>
        </w:tc>
        <w:tc>
          <w:tcPr>
            <w:tcW w:w="8577" w:type="dxa"/>
            <w:gridSpan w:val="6"/>
            <w:shd w:val="clear" w:color="auto" w:fill="auto"/>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勘察费最高投标限价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38" w:type="dxa"/>
            <w:shd w:val="clear" w:color="auto" w:fill="auto"/>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797" w:type="dxa"/>
            <w:shd w:val="clear" w:color="auto" w:fill="auto"/>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项目</w:t>
            </w:r>
          </w:p>
        </w:tc>
        <w:tc>
          <w:tcPr>
            <w:tcW w:w="1108" w:type="dxa"/>
            <w:shd w:val="clear" w:color="auto" w:fill="auto"/>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工作量</w:t>
            </w:r>
          </w:p>
        </w:tc>
        <w:tc>
          <w:tcPr>
            <w:tcW w:w="1127" w:type="dxa"/>
            <w:shd w:val="clear" w:color="auto" w:fill="auto"/>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单位</w:t>
            </w:r>
            <w:r>
              <w:rPr>
                <w:rFonts w:hint="eastAsia" w:ascii="宋体" w:hAnsi="宋体" w:cs="宋体"/>
                <w:b/>
                <w:bCs/>
                <w:color w:val="auto"/>
                <w:szCs w:val="21"/>
                <w:highlight w:val="none"/>
              </w:rPr>
              <w:br w:type="textWrapping"/>
            </w:r>
            <w:r>
              <w:rPr>
                <w:rFonts w:hint="eastAsia" w:ascii="宋体" w:hAnsi="宋体" w:cs="宋体"/>
                <w:b/>
                <w:bCs/>
                <w:color w:val="auto"/>
                <w:szCs w:val="21"/>
                <w:highlight w:val="none"/>
              </w:rPr>
              <w:t>名称</w:t>
            </w:r>
          </w:p>
        </w:tc>
        <w:tc>
          <w:tcPr>
            <w:tcW w:w="1056" w:type="dxa"/>
            <w:shd w:val="clear" w:color="auto" w:fill="auto"/>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单价（万元）</w:t>
            </w:r>
          </w:p>
        </w:tc>
        <w:tc>
          <w:tcPr>
            <w:tcW w:w="1232" w:type="dxa"/>
            <w:shd w:val="clear" w:color="auto" w:fill="auto"/>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总价</w:t>
            </w:r>
            <w:r>
              <w:rPr>
                <w:rFonts w:hint="eastAsia" w:ascii="宋体" w:hAnsi="宋体" w:cs="宋体"/>
                <w:b/>
                <w:bCs/>
                <w:color w:val="auto"/>
                <w:szCs w:val="21"/>
                <w:highlight w:val="none"/>
              </w:rPr>
              <w:br w:type="textWrapping"/>
            </w:r>
            <w:r>
              <w:rPr>
                <w:rFonts w:hint="eastAsia" w:ascii="宋体" w:hAnsi="宋体" w:cs="宋体"/>
                <w:b/>
                <w:bCs/>
                <w:color w:val="auto"/>
                <w:szCs w:val="21"/>
                <w:highlight w:val="none"/>
              </w:rPr>
              <w:t>（万元）</w:t>
            </w:r>
          </w:p>
        </w:tc>
        <w:tc>
          <w:tcPr>
            <w:tcW w:w="2257" w:type="dxa"/>
            <w:shd w:val="clear" w:color="auto" w:fill="auto"/>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38" w:type="dxa"/>
            <w:shd w:val="clear" w:color="auto" w:fill="auto"/>
            <w:vAlign w:val="center"/>
          </w:tcPr>
          <w:p>
            <w:pPr>
              <w:widowControl/>
              <w:jc w:val="center"/>
              <w:rPr>
                <w:rFonts w:ascii="宋体" w:hAnsi="宋体" w:cs="宋体"/>
                <w:color w:val="auto"/>
                <w:szCs w:val="21"/>
                <w:highlight w:val="none"/>
              </w:rPr>
            </w:pPr>
            <w:r>
              <w:rPr>
                <w:rFonts w:hint="eastAsia" w:ascii="宋体" w:hAnsi="宋体" w:cs="宋体"/>
                <w:color w:val="auto"/>
                <w:szCs w:val="21"/>
                <w:highlight w:val="none"/>
              </w:rPr>
              <w:t>1</w:t>
            </w:r>
          </w:p>
        </w:tc>
        <w:tc>
          <w:tcPr>
            <w:tcW w:w="1797" w:type="dxa"/>
            <w:shd w:val="clear" w:color="auto" w:fill="auto"/>
            <w:vAlign w:val="center"/>
          </w:tcPr>
          <w:p>
            <w:pPr>
              <w:widowControl/>
              <w:jc w:val="center"/>
              <w:rPr>
                <w:rFonts w:ascii="宋体" w:hAnsi="宋体" w:cs="宋体"/>
                <w:color w:val="auto"/>
                <w:szCs w:val="21"/>
                <w:highlight w:val="none"/>
              </w:rPr>
            </w:pPr>
            <w:r>
              <w:rPr>
                <w:rFonts w:ascii="宋体" w:hAnsi="宋体" w:cs="宋体"/>
                <w:color w:val="auto"/>
                <w:szCs w:val="21"/>
                <w:highlight w:val="none"/>
              </w:rPr>
              <w:t>勘察费</w:t>
            </w:r>
          </w:p>
        </w:tc>
        <w:tc>
          <w:tcPr>
            <w:tcW w:w="1108" w:type="dxa"/>
            <w:shd w:val="clear" w:color="auto" w:fill="auto"/>
            <w:vAlign w:val="center"/>
          </w:tcPr>
          <w:p>
            <w:pPr>
              <w:widowControl/>
              <w:jc w:val="center"/>
              <w:rPr>
                <w:rFonts w:ascii="宋体" w:hAnsi="宋体" w:cs="宋体"/>
                <w:color w:val="auto"/>
                <w:szCs w:val="21"/>
                <w:highlight w:val="none"/>
              </w:rPr>
            </w:pPr>
            <w:r>
              <w:rPr>
                <w:rFonts w:hint="eastAsia" w:ascii="宋体" w:hAnsi="宋体" w:cs="宋体"/>
                <w:color w:val="auto"/>
                <w:szCs w:val="21"/>
                <w:highlight w:val="none"/>
              </w:rPr>
              <w:t>1</w:t>
            </w:r>
          </w:p>
        </w:tc>
        <w:tc>
          <w:tcPr>
            <w:tcW w:w="1127" w:type="dxa"/>
            <w:shd w:val="clear" w:color="auto" w:fill="auto"/>
            <w:vAlign w:val="center"/>
          </w:tcPr>
          <w:p>
            <w:pPr>
              <w:widowControl/>
              <w:jc w:val="center"/>
              <w:rPr>
                <w:rFonts w:ascii="宋体" w:hAnsi="宋体" w:cs="宋体"/>
                <w:color w:val="auto"/>
                <w:szCs w:val="21"/>
                <w:highlight w:val="none"/>
              </w:rPr>
            </w:pPr>
            <w:r>
              <w:rPr>
                <w:rFonts w:ascii="宋体" w:hAnsi="宋体" w:cs="宋体"/>
                <w:color w:val="auto"/>
                <w:szCs w:val="21"/>
                <w:highlight w:val="none"/>
              </w:rPr>
              <w:t>项</w:t>
            </w:r>
          </w:p>
        </w:tc>
        <w:tc>
          <w:tcPr>
            <w:tcW w:w="1056" w:type="dxa"/>
            <w:shd w:val="clear" w:color="auto" w:fill="auto"/>
            <w:vAlign w:val="center"/>
          </w:tcPr>
          <w:p>
            <w:pPr>
              <w:widowControl/>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20.00</w:t>
            </w:r>
          </w:p>
        </w:tc>
        <w:tc>
          <w:tcPr>
            <w:tcW w:w="1232" w:type="dxa"/>
            <w:shd w:val="clear" w:color="auto" w:fill="auto"/>
            <w:vAlign w:val="center"/>
          </w:tcPr>
          <w:p>
            <w:pPr>
              <w:widowControl/>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20.00</w:t>
            </w:r>
          </w:p>
        </w:tc>
        <w:tc>
          <w:tcPr>
            <w:tcW w:w="2257" w:type="dxa"/>
            <w:shd w:val="clear" w:color="auto" w:fill="auto"/>
            <w:vAlign w:val="center"/>
          </w:tcPr>
          <w:p>
            <w:pPr>
              <w:widowControl/>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970" w:type="dxa"/>
            <w:gridSpan w:val="4"/>
            <w:shd w:val="clear" w:color="auto" w:fill="auto"/>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勘察费最高投标限价 (万元)</w:t>
            </w:r>
          </w:p>
        </w:tc>
        <w:tc>
          <w:tcPr>
            <w:tcW w:w="4545" w:type="dxa"/>
            <w:gridSpan w:val="3"/>
            <w:shd w:val="clear" w:color="auto" w:fill="auto"/>
            <w:vAlign w:val="center"/>
          </w:tcPr>
          <w:p>
            <w:pPr>
              <w:widowControl/>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38" w:type="dxa"/>
            <w:shd w:val="clear" w:color="auto" w:fill="auto"/>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二</w:t>
            </w:r>
          </w:p>
        </w:tc>
        <w:tc>
          <w:tcPr>
            <w:tcW w:w="8577" w:type="dxa"/>
            <w:gridSpan w:val="6"/>
            <w:shd w:val="clear" w:color="auto" w:fill="auto"/>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设计费最高投标限价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38" w:type="dxa"/>
            <w:shd w:val="clear" w:color="auto" w:fill="auto"/>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797" w:type="dxa"/>
            <w:shd w:val="clear" w:color="auto" w:fill="auto"/>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项目</w:t>
            </w:r>
          </w:p>
        </w:tc>
        <w:tc>
          <w:tcPr>
            <w:tcW w:w="2235" w:type="dxa"/>
            <w:gridSpan w:val="2"/>
            <w:shd w:val="clear" w:color="auto" w:fill="auto"/>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暂定计费额（万元）</w:t>
            </w:r>
          </w:p>
        </w:tc>
        <w:tc>
          <w:tcPr>
            <w:tcW w:w="2288" w:type="dxa"/>
            <w:gridSpan w:val="2"/>
            <w:shd w:val="clear" w:color="auto" w:fill="auto"/>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设计费（万元）</w:t>
            </w:r>
          </w:p>
        </w:tc>
        <w:tc>
          <w:tcPr>
            <w:tcW w:w="2257" w:type="dxa"/>
            <w:shd w:val="clear" w:color="auto" w:fill="auto"/>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shd w:val="clear" w:color="auto" w:fill="auto"/>
            <w:vAlign w:val="center"/>
          </w:tcPr>
          <w:p>
            <w:pPr>
              <w:widowControl/>
              <w:jc w:val="center"/>
              <w:rPr>
                <w:rFonts w:ascii="宋体" w:hAnsi="宋体" w:cs="宋体"/>
                <w:color w:val="auto"/>
                <w:szCs w:val="21"/>
                <w:highlight w:val="none"/>
              </w:rPr>
            </w:pPr>
            <w:r>
              <w:rPr>
                <w:rFonts w:hint="eastAsia" w:ascii="宋体" w:hAnsi="宋体" w:cs="宋体"/>
                <w:color w:val="auto"/>
                <w:szCs w:val="21"/>
                <w:highlight w:val="none"/>
              </w:rPr>
              <w:t>1</w:t>
            </w:r>
          </w:p>
        </w:tc>
        <w:tc>
          <w:tcPr>
            <w:tcW w:w="1797" w:type="dxa"/>
            <w:shd w:val="clear" w:color="auto" w:fill="auto"/>
            <w:vAlign w:val="center"/>
          </w:tcPr>
          <w:p>
            <w:pPr>
              <w:widowControl/>
              <w:jc w:val="center"/>
              <w:rPr>
                <w:rFonts w:ascii="宋体" w:hAnsi="宋体" w:cs="宋体"/>
                <w:color w:val="auto"/>
                <w:szCs w:val="21"/>
                <w:highlight w:val="none"/>
              </w:rPr>
            </w:pPr>
            <w:r>
              <w:rPr>
                <w:rFonts w:ascii="宋体" w:hAnsi="宋体" w:cs="宋体"/>
                <w:color w:val="auto"/>
                <w:szCs w:val="21"/>
                <w:highlight w:val="none"/>
              </w:rPr>
              <w:t>设计费</w:t>
            </w:r>
          </w:p>
        </w:tc>
        <w:tc>
          <w:tcPr>
            <w:tcW w:w="2235" w:type="dxa"/>
            <w:gridSpan w:val="2"/>
            <w:shd w:val="clear" w:color="auto" w:fill="auto"/>
            <w:vAlign w:val="center"/>
          </w:tcPr>
          <w:p>
            <w:pPr>
              <w:widowControl/>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5356</w:t>
            </w:r>
          </w:p>
        </w:tc>
        <w:tc>
          <w:tcPr>
            <w:tcW w:w="2288" w:type="dxa"/>
            <w:gridSpan w:val="2"/>
            <w:shd w:val="clear" w:color="auto" w:fill="auto"/>
            <w:vAlign w:val="center"/>
          </w:tcPr>
          <w:p>
            <w:pPr>
              <w:widowControl/>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147.96</w:t>
            </w:r>
          </w:p>
        </w:tc>
        <w:tc>
          <w:tcPr>
            <w:tcW w:w="2257" w:type="dxa"/>
            <w:shd w:val="clear" w:color="auto" w:fill="auto"/>
            <w:vAlign w:val="center"/>
          </w:tcPr>
          <w:p>
            <w:pPr>
              <w:widowControl/>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0" w:type="dxa"/>
            <w:gridSpan w:val="4"/>
            <w:shd w:val="clear" w:color="auto" w:fill="auto"/>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设计费最高投标限价(万元)</w:t>
            </w:r>
          </w:p>
        </w:tc>
        <w:tc>
          <w:tcPr>
            <w:tcW w:w="4545" w:type="dxa"/>
            <w:gridSpan w:val="3"/>
            <w:shd w:val="clear" w:color="auto" w:fill="auto"/>
            <w:vAlign w:val="center"/>
          </w:tcPr>
          <w:p>
            <w:pPr>
              <w:widowControl/>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147.96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8" w:type="dxa"/>
            <w:shd w:val="clear" w:color="auto" w:fill="auto"/>
            <w:vAlign w:val="center"/>
          </w:tcPr>
          <w:p>
            <w:pPr>
              <w:widowControl/>
              <w:jc w:val="center"/>
              <w:rPr>
                <w:rFonts w:ascii="宋体" w:hAnsi="宋体" w:cs="宋体"/>
                <w:b/>
                <w:bCs/>
                <w:color w:val="auto"/>
                <w:szCs w:val="21"/>
                <w:highlight w:val="none"/>
              </w:rPr>
            </w:pPr>
            <w:r>
              <w:rPr>
                <w:rFonts w:ascii="宋体" w:hAnsi="宋体" w:cs="宋体"/>
                <w:b/>
                <w:bCs/>
                <w:color w:val="auto"/>
                <w:szCs w:val="21"/>
                <w:highlight w:val="none"/>
              </w:rPr>
              <w:t>三</w:t>
            </w:r>
          </w:p>
        </w:tc>
        <w:tc>
          <w:tcPr>
            <w:tcW w:w="8577" w:type="dxa"/>
            <w:gridSpan w:val="6"/>
            <w:shd w:val="clear" w:color="auto" w:fill="auto"/>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施工费最高投标限价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8" w:type="dxa"/>
            <w:shd w:val="clear" w:color="auto" w:fill="auto"/>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032" w:type="dxa"/>
            <w:gridSpan w:val="3"/>
            <w:shd w:val="clear" w:color="auto" w:fill="auto"/>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项目</w:t>
            </w:r>
          </w:p>
        </w:tc>
        <w:tc>
          <w:tcPr>
            <w:tcW w:w="2288" w:type="dxa"/>
            <w:gridSpan w:val="2"/>
            <w:shd w:val="clear" w:color="auto" w:fill="auto"/>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施工费（万元）</w:t>
            </w:r>
          </w:p>
        </w:tc>
        <w:tc>
          <w:tcPr>
            <w:tcW w:w="2257" w:type="dxa"/>
            <w:shd w:val="clear" w:color="auto" w:fill="auto"/>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8" w:type="dxa"/>
            <w:shd w:val="clear" w:color="auto" w:fill="auto"/>
            <w:vAlign w:val="center"/>
          </w:tcPr>
          <w:p>
            <w:pPr>
              <w:widowControl/>
              <w:jc w:val="center"/>
              <w:rPr>
                <w:rFonts w:ascii="宋体" w:hAnsi="宋体" w:cs="宋体"/>
                <w:color w:val="auto"/>
                <w:szCs w:val="21"/>
                <w:highlight w:val="none"/>
              </w:rPr>
            </w:pPr>
            <w:r>
              <w:rPr>
                <w:rFonts w:hint="eastAsia" w:ascii="宋体" w:hAnsi="宋体" w:cs="宋体"/>
                <w:color w:val="auto"/>
                <w:szCs w:val="21"/>
                <w:highlight w:val="none"/>
              </w:rPr>
              <w:t>1</w:t>
            </w:r>
          </w:p>
        </w:tc>
        <w:tc>
          <w:tcPr>
            <w:tcW w:w="4032" w:type="dxa"/>
            <w:gridSpan w:val="3"/>
            <w:shd w:val="clear" w:color="auto" w:fill="auto"/>
            <w:vAlign w:val="center"/>
          </w:tcPr>
          <w:p>
            <w:pPr>
              <w:widowControl/>
              <w:jc w:val="center"/>
              <w:rPr>
                <w:rFonts w:ascii="宋体" w:hAnsi="宋体" w:cs="宋体"/>
                <w:color w:val="auto"/>
                <w:szCs w:val="21"/>
                <w:highlight w:val="none"/>
              </w:rPr>
            </w:pPr>
            <w:r>
              <w:rPr>
                <w:rFonts w:hint="eastAsia" w:ascii="宋体" w:hAnsi="宋体" w:cs="宋体"/>
                <w:color w:val="auto"/>
                <w:szCs w:val="21"/>
                <w:highlight w:val="none"/>
              </w:rPr>
              <w:t>施工费</w:t>
            </w:r>
          </w:p>
        </w:tc>
        <w:tc>
          <w:tcPr>
            <w:tcW w:w="2288" w:type="dxa"/>
            <w:gridSpan w:val="2"/>
            <w:shd w:val="clear" w:color="auto" w:fill="auto"/>
            <w:vAlign w:val="center"/>
          </w:tcPr>
          <w:p>
            <w:pPr>
              <w:widowControl/>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5356</w:t>
            </w:r>
          </w:p>
        </w:tc>
        <w:tc>
          <w:tcPr>
            <w:tcW w:w="2257" w:type="dxa"/>
            <w:shd w:val="clear" w:color="auto" w:fill="auto"/>
            <w:vAlign w:val="center"/>
          </w:tcPr>
          <w:p>
            <w:pPr>
              <w:widowControl/>
              <w:jc w:val="center"/>
              <w:rPr>
                <w:rFonts w:ascii="宋体" w:hAnsi="宋体" w:cs="宋体"/>
                <w:color w:val="auto"/>
                <w:szCs w:val="21"/>
                <w:highlight w:val="none"/>
              </w:rPr>
            </w:pPr>
            <w:r>
              <w:rPr>
                <w:rFonts w:hint="eastAsia" w:ascii="宋体" w:hAnsi="宋体" w:cs="宋体"/>
                <w:color w:val="auto"/>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70" w:type="dxa"/>
            <w:gridSpan w:val="4"/>
            <w:shd w:val="clear" w:color="auto" w:fill="auto"/>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施工费最高投标限价（万元）</w:t>
            </w:r>
          </w:p>
        </w:tc>
        <w:tc>
          <w:tcPr>
            <w:tcW w:w="2288" w:type="dxa"/>
            <w:gridSpan w:val="2"/>
            <w:shd w:val="clear" w:color="auto" w:fill="auto"/>
            <w:vAlign w:val="center"/>
          </w:tcPr>
          <w:p>
            <w:pPr>
              <w:widowControl/>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eastAsia="zh-CN"/>
              </w:rPr>
              <w:t>5356</w:t>
            </w:r>
          </w:p>
        </w:tc>
        <w:tc>
          <w:tcPr>
            <w:tcW w:w="2257" w:type="dxa"/>
            <w:shd w:val="clear" w:color="auto" w:fill="auto"/>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38" w:type="dxa"/>
            <w:shd w:val="clear" w:color="auto" w:fill="auto"/>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四</w:t>
            </w:r>
          </w:p>
        </w:tc>
        <w:tc>
          <w:tcPr>
            <w:tcW w:w="4032" w:type="dxa"/>
            <w:gridSpan w:val="3"/>
            <w:shd w:val="clear" w:color="auto" w:fill="auto"/>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最高投标总限价（万元）</w:t>
            </w:r>
          </w:p>
        </w:tc>
        <w:tc>
          <w:tcPr>
            <w:tcW w:w="2288" w:type="dxa"/>
            <w:gridSpan w:val="2"/>
            <w:shd w:val="clear" w:color="auto" w:fill="auto"/>
            <w:vAlign w:val="center"/>
          </w:tcPr>
          <w:p>
            <w:pPr>
              <w:widowControl/>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5523.96</w:t>
            </w:r>
          </w:p>
        </w:tc>
        <w:tc>
          <w:tcPr>
            <w:tcW w:w="2257" w:type="dxa"/>
            <w:shd w:val="clear" w:color="auto" w:fill="auto"/>
            <w:vAlign w:val="center"/>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9515" w:type="dxa"/>
            <w:gridSpan w:val="7"/>
            <w:shd w:val="clear" w:color="auto" w:fill="auto"/>
            <w:vAlign w:val="center"/>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注：1.设计费及施工费中标的单价和总价仅为暂定合同价，但系数不变；勘察费总价包干。设计费及施工费中标价不作为竣工结算的依据，在预算编制完成前可作为拨付工程进度款的依据。本项目施工图审查通过后，根据最终确认的施工图纸，由中标人采用清单模式编制施工图预算作为概算建安工程费，经审核机构审定概算并报主管部门审批后，按投标下浮率得出合同价格清单，以此合同价格清单作为进度款支付和结算的依据。施工费结算原则以合同约定为准。</w:t>
            </w:r>
          </w:p>
          <w:p>
            <w:pPr>
              <w:widowControl/>
              <w:spacing w:line="360" w:lineRule="auto"/>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.招标人有权根据实际情况对建设内容进行调整，招标人减少的项目无论有无替代，发包人都不予补偿。</w:t>
            </w:r>
          </w:p>
        </w:tc>
      </w:tr>
    </w:tbl>
    <w:p>
      <w:pPr>
        <w:rPr>
          <w:color w:val="auto"/>
          <w:highlight w:val="none"/>
        </w:rPr>
      </w:pPr>
    </w:p>
    <w:sectPr>
      <w:headerReference r:id="rId20" w:type="default"/>
      <w:footerReference r:id="rId21" w:type="default"/>
      <w:pgSz w:w="11907" w:h="16840"/>
      <w:pgMar w:top="1361" w:right="1304" w:bottom="1304" w:left="1304" w:header="85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dobe 宋体 Std L">
    <w:altName w:val="宋体"/>
    <w:panose1 w:val="00000000000000000000"/>
    <w:charset w:val="00"/>
    <w:family w:val="roman"/>
    <w:pitch w:val="default"/>
    <w:sig w:usb0="00000000" w:usb1="00000000" w:usb2="00000016" w:usb3="00000000" w:csb0="00060007" w:csb1="00000000"/>
  </w:font>
  <w:font w:name="Calisto MT">
    <w:altName w:val="Segoe Print"/>
    <w:panose1 w:val="02040603050505030304"/>
    <w:charset w:val="00"/>
    <w:family w:val="roman"/>
    <w:pitch w:val="default"/>
    <w:sig w:usb0="00000000" w:usb1="00000000" w:usb2="00000000" w:usb3="00000000" w:csb0="20000001" w:csb1="00000000"/>
  </w:font>
  <w:font w:name="宋体..胭..">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8311"/>
        <w:tab w:val="clear" w:pos="4153"/>
        <w:tab w:val="clear" w:pos="8306"/>
      </w:tabs>
    </w:pPr>
    <w: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3"/>
                          </w:pPr>
                          <w:r>
                            <w:fldChar w:fldCharType="begin"/>
                          </w:r>
                          <w:r>
                            <w:instrText xml:space="preserve"> PAGE  \* MERGEFORMAT </w:instrText>
                          </w:r>
                          <w:r>
                            <w:fldChar w:fldCharType="separate"/>
                          </w:r>
                          <w:r>
                            <w:t>208</w:t>
                          </w:r>
                          <w:r>
                            <w:fldChar w:fldCharType="end"/>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1pt;width:9.15pt;mso-position-horizontal:center;mso-position-horizontal-relative:margin;mso-wrap-style:none;z-index:25166643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DFp2R/gEAABAEAAAOAAAAAAAAAAEAIAAAAB8BAABkcnMvZTJvRG9jLnht&#10;bFBLBQYAAAAABgAGAFkBAACPBQ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208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8311"/>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92100" cy="191770"/>
              <wp:effectExtent l="0" t="0" r="3175"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2100" cy="191770"/>
                      </a:xfrm>
                      <a:prstGeom prst="rect">
                        <a:avLst/>
                      </a:prstGeom>
                      <a:noFill/>
                      <a:ln>
                        <a:noFill/>
                      </a:ln>
                    </wps:spPr>
                    <wps:txbx>
                      <w:txbxContent>
                        <w:p>
                          <w:pPr>
                            <w:pStyle w:val="23"/>
                          </w:pPr>
                          <w:r>
                            <w:fldChar w:fldCharType="begin"/>
                          </w:r>
                          <w:r>
                            <w:instrText xml:space="preserve"> PAGE \* Arabic </w:instrText>
                          </w:r>
                          <w:r>
                            <w:fldChar w:fldCharType="separate"/>
                          </w:r>
                          <w:r>
                            <w:t>23</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pt;height:15.1pt;width:23pt;mso-position-horizontal:center;mso-position-horizontal-relative:margin;z-index:251662336;mso-width-relative:page;mso-height-relative:page;" filled="f" stroked="f" coordsize="21600,21600" o:gfxdata="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HamvTAAAAAwEAAA8AAAAAAAAAAQAgAAAAIgAAAGRycy9kb3ducmV2LnhtbFBL&#10;AQIUABQAAAAIAIdO4kBBQ//E+wEAAAMEAAAOAAAAAAAAAAEAIAAAACIBAABkcnMvZTJvRG9jLnht&#10;bFBLBQYAAAAABgAGAFkBAACPBQAAAAA=&#10;">
              <v:fill on="f" focussize="0,0"/>
              <v:stroke on="f"/>
              <v:imagedata o:title=""/>
              <o:lock v:ext="edit" aspectratio="f"/>
              <v:textbox inset="0mm,0mm,0mm,0mm">
                <w:txbxContent>
                  <w:p>
                    <w:pPr>
                      <w:pStyle w:val="23"/>
                    </w:pPr>
                    <w:r>
                      <w:fldChar w:fldCharType="begin"/>
                    </w:r>
                    <w:r>
                      <w:instrText xml:space="preserve"> PAGE \* Arabic </w:instrText>
                    </w:r>
                    <w:r>
                      <w:fldChar w:fldCharType="separate"/>
                    </w:r>
                    <w:r>
                      <w:t>23</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9455"/>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3"/>
                          </w:pPr>
                          <w:r>
                            <w:fldChar w:fldCharType="begin"/>
                          </w:r>
                          <w:r>
                            <w:instrText xml:space="preserve"> PAGE \* Arabic </w:instrText>
                          </w:r>
                          <w:r>
                            <w:fldChar w:fldCharType="separate"/>
                          </w:r>
                          <w:r>
                            <w:t>28</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BX1222/gEAABAEAAAOAAAAAAAAAAEAIAAAAB8BAABkcnMvZTJvRG9jLnht&#10;bFBLBQYAAAAABgAGAFkBAACPBQAAAAA=&#10;">
              <v:fill on="f" focussize="0,0"/>
              <v:stroke on="f"/>
              <v:imagedata o:title=""/>
              <o:lock v:ext="edit" aspectratio="f"/>
              <v:textbox inset="0mm,0mm,0mm,0mm" style="mso-fit-shape-to-text:t;">
                <w:txbxContent>
                  <w:p>
                    <w:pPr>
                      <w:pStyle w:val="23"/>
                    </w:pPr>
                    <w:r>
                      <w:fldChar w:fldCharType="begin"/>
                    </w:r>
                    <w:r>
                      <w:instrText xml:space="preserve"> PAGE \* Arabic </w:instrText>
                    </w:r>
                    <w:r>
                      <w:fldChar w:fldCharType="separate"/>
                    </w:r>
                    <w:r>
                      <w:t>28</w:t>
                    </w:r>
                    <w: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0"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3"/>
                          </w:pPr>
                          <w:r>
                            <w:fldChar w:fldCharType="begin"/>
                          </w:r>
                          <w:r>
                            <w:instrText xml:space="preserve"> PAGE  \* MERGEFORMAT </w:instrText>
                          </w:r>
                          <w:r>
                            <w:fldChar w:fldCharType="separate"/>
                          </w:r>
                          <w:r>
                            <w:t>32</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uECrj/gEAABAEAAAOAAAAAAAAAAEAIAAAAB8BAABkcnMvZTJvRG9jLnht&#10;bFBLBQYAAAAABgAGAFkBAACPBQ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9"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3"/>
                          </w:pPr>
                          <w:r>
                            <w:fldChar w:fldCharType="begin"/>
                          </w:r>
                          <w:r>
                            <w:instrText xml:space="preserve"> PAGE  \* MERGEFORMAT </w:instrText>
                          </w:r>
                          <w:r>
                            <w:fldChar w:fldCharType="separate"/>
                          </w:r>
                          <w:r>
                            <w:t>39</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jgMgrv8BAAAPBAAADgAAAAAAAAABACAAAAAfAQAAZHJzL2Uyb0RvYy54&#10;bWxQSwUGAAAAAAYABgBZAQAAkAU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3"/>
                          </w:pPr>
                          <w:r>
                            <w:fldChar w:fldCharType="begin"/>
                          </w:r>
                          <w:r>
                            <w:instrText xml:space="preserve"> PAGE  \* MERGEFORMAT </w:instrText>
                          </w:r>
                          <w:r>
                            <w:fldChar w:fldCharType="separate"/>
                          </w:r>
                          <w:r>
                            <w:t>46</w:t>
                          </w:r>
                          <w: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1pt;width:9.15pt;mso-position-horizontal:center;mso-position-horizontal-relative:margin;mso-wrap-style:none;z-index:25166336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hM39kv8BAAAPBAAADgAAAAAAAAABACAAAAAfAQAAZHJzL2Uyb0RvYy54&#10;bWxQSwUGAAAAAAYABgBZAQAAkAU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Text Box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3"/>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pt;width:9.15pt;mso-position-horizontal:center;mso-position-horizontal-relative:margin;mso-wrap-style:none;z-index:25166438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gKePn/gEAAA8EAAAOAAAAAAAAAAEAIAAAAB8BAABkcnMvZTJvRG9jLnht&#10;bFBLBQYAAAAABgAGAFkBAACPBQ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4" name="文本框 4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ind w:firstLine="180" w:firstLineChars="100"/>
                            <w:rPr>
                              <w:rStyle w:val="37"/>
                            </w:rPr>
                          </w:pPr>
                          <w:r>
                            <w:rPr>
                              <w:rStyle w:val="37"/>
                            </w:rPr>
                            <w:fldChar w:fldCharType="begin"/>
                          </w:r>
                          <w:r>
                            <w:rPr>
                              <w:rStyle w:val="37"/>
                            </w:rPr>
                            <w:instrText xml:space="preserve">PAGE  </w:instrText>
                          </w:r>
                          <w:r>
                            <w:rPr>
                              <w:rStyle w:val="37"/>
                            </w:rPr>
                            <w:fldChar w:fldCharType="separate"/>
                          </w:r>
                          <w:r>
                            <w:rPr>
                              <w:rStyle w:val="37"/>
                            </w:rPr>
                            <w:t>55</w:t>
                          </w:r>
                          <w:r>
                            <w:rPr>
                              <w:rStyle w:val="37"/>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4MgLYuAgAAW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NryjRTKHkp+/f&#10;Tj9+nX5+JfEQErXWzxD5YBEburemQ+MM5x6HkXlXORW/4ETgh8DHi8CiC4THS9PJdJrDxeEbNsDP&#10;Hq9b58M7YRSJRkEdKpiEZYeND33oEBKzabNupExVlJq0Bb1+/SZ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uDIC2LgIAAFkEAAAOAAAAAAAAAAEAIAAAAB8BAABkcnMvZTJvRG9jLnhtbFBLBQYAAAAA&#10;BgAGAFkBAAC/BQAAAAA=&#10;">
              <v:fill on="f" focussize="0,0"/>
              <v:stroke on="f" weight="0.5pt"/>
              <v:imagedata o:title=""/>
              <o:lock v:ext="edit" aspectratio="f"/>
              <v:textbox inset="0mm,0mm,0mm,0mm" style="mso-fit-shape-to-text:t;">
                <w:txbxContent>
                  <w:p>
                    <w:pPr>
                      <w:pStyle w:val="23"/>
                      <w:ind w:firstLine="180" w:firstLineChars="100"/>
                      <w:rPr>
                        <w:rStyle w:val="37"/>
                      </w:rPr>
                    </w:pPr>
                    <w:r>
                      <w:rPr>
                        <w:rStyle w:val="37"/>
                      </w:rPr>
                      <w:fldChar w:fldCharType="begin"/>
                    </w:r>
                    <w:r>
                      <w:rPr>
                        <w:rStyle w:val="37"/>
                      </w:rPr>
                      <w:instrText xml:space="preserve">PAGE  </w:instrText>
                    </w:r>
                    <w:r>
                      <w:rPr>
                        <w:rStyle w:val="37"/>
                      </w:rPr>
                      <w:fldChar w:fldCharType="separate"/>
                    </w:r>
                    <w:r>
                      <w:rPr>
                        <w:rStyle w:val="37"/>
                      </w:rPr>
                      <w:t>55</w:t>
                    </w:r>
                    <w:r>
                      <w:rPr>
                        <w:rStyle w:val="37"/>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Text Box 9"/>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3"/>
                          </w:pPr>
                          <w:r>
                            <w:fldChar w:fldCharType="begin"/>
                          </w:r>
                          <w:r>
                            <w:instrText xml:space="preserve"> PAGE  \* MERGEFORMAT </w:instrText>
                          </w:r>
                          <w:r>
                            <w:fldChar w:fldCharType="separate"/>
                          </w:r>
                          <w:r>
                            <w:t>199</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1pt;width:9.15pt;mso-position-horizontal:center;mso-position-horizontal-relative:margin;mso-wrap-style:none;z-index:25166540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We6ksv8BAAAPBAAADgAAAAAAAAABACAAAAAfAQAAZHJzL2Uyb0RvYy54&#10;bWxQSwUGAAAAAAYABgBZAQAAkAU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199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8311"/>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ADDAB"/>
    <w:multiLevelType w:val="singleLevel"/>
    <w:tmpl w:val="BD2ADDAB"/>
    <w:lvl w:ilvl="0" w:tentative="0">
      <w:start w:val="4"/>
      <w:numFmt w:val="decimal"/>
      <w:suff w:val="space"/>
      <w:lvlText w:val="%1."/>
      <w:lvlJc w:val="left"/>
    </w:lvl>
  </w:abstractNum>
  <w:abstractNum w:abstractNumId="1">
    <w:nsid w:val="E55C189D"/>
    <w:multiLevelType w:val="singleLevel"/>
    <w:tmpl w:val="E55C189D"/>
    <w:lvl w:ilvl="0" w:tentative="0">
      <w:start w:val="4"/>
      <w:numFmt w:val="chineseCounting"/>
      <w:suff w:val="space"/>
      <w:lvlText w:val="第%1章"/>
      <w:lvlJc w:val="left"/>
      <w:rPr>
        <w:rFonts w:hint="eastAsia"/>
      </w:rPr>
    </w:lvl>
  </w:abstractNum>
  <w:abstractNum w:abstractNumId="2">
    <w:nsid w:val="4C453605"/>
    <w:multiLevelType w:val="multilevel"/>
    <w:tmpl w:val="4C453605"/>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ADF538E"/>
    <w:multiLevelType w:val="singleLevel"/>
    <w:tmpl w:val="5ADF538E"/>
    <w:lvl w:ilvl="0" w:tentative="0">
      <w:start w:val="2"/>
      <w:numFmt w:val="decimal"/>
      <w:suff w:val="nothing"/>
      <w:lvlText w:val="%1、"/>
      <w:lvlJc w:val="left"/>
    </w:lvl>
  </w:abstractNum>
  <w:abstractNum w:abstractNumId="4">
    <w:nsid w:val="63FA3DEB"/>
    <w:multiLevelType w:val="multilevel"/>
    <w:tmpl w:val="63FA3DEB"/>
    <w:lvl w:ilvl="0" w:tentative="0">
      <w:start w:val="1"/>
      <w:numFmt w:val="japaneseCounting"/>
      <w:lvlText w:val="第%1章"/>
      <w:lvlJc w:val="left"/>
      <w:pPr>
        <w:ind w:left="1635" w:hanging="16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gutterAtTop/>
  <w:hideSpellingErrors/>
  <w:documentProtection w:enforcement="0"/>
  <w:defaultTabStop w:val="281"/>
  <w:hyphenationZone w:val="425"/>
  <w:drawingGridHorizontalSpacing w:val="0"/>
  <w:drawingGridVerticalSpacing w:val="0"/>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jYjM0NWIzYjdmMmU1OWFmMjI2NjMyZjU5OWUwZjcifQ=="/>
  </w:docVars>
  <w:rsids>
    <w:rsidRoot w:val="00172A27"/>
    <w:rsid w:val="00000BFA"/>
    <w:rsid w:val="00001300"/>
    <w:rsid w:val="00005740"/>
    <w:rsid w:val="000058B7"/>
    <w:rsid w:val="00005C8A"/>
    <w:rsid w:val="00006044"/>
    <w:rsid w:val="000061DE"/>
    <w:rsid w:val="00006782"/>
    <w:rsid w:val="000068FA"/>
    <w:rsid w:val="00007526"/>
    <w:rsid w:val="00007593"/>
    <w:rsid w:val="000106B6"/>
    <w:rsid w:val="00010AF7"/>
    <w:rsid w:val="00013549"/>
    <w:rsid w:val="00014FC9"/>
    <w:rsid w:val="0001595D"/>
    <w:rsid w:val="000200DE"/>
    <w:rsid w:val="00020854"/>
    <w:rsid w:val="00022978"/>
    <w:rsid w:val="00022E29"/>
    <w:rsid w:val="0002481C"/>
    <w:rsid w:val="00024DFF"/>
    <w:rsid w:val="0002523F"/>
    <w:rsid w:val="00025D1A"/>
    <w:rsid w:val="00025F53"/>
    <w:rsid w:val="00026899"/>
    <w:rsid w:val="00027077"/>
    <w:rsid w:val="00030922"/>
    <w:rsid w:val="00032872"/>
    <w:rsid w:val="000332EC"/>
    <w:rsid w:val="000334E8"/>
    <w:rsid w:val="00034A3E"/>
    <w:rsid w:val="00035A59"/>
    <w:rsid w:val="00036018"/>
    <w:rsid w:val="00036420"/>
    <w:rsid w:val="00040350"/>
    <w:rsid w:val="00040BAC"/>
    <w:rsid w:val="00041ED8"/>
    <w:rsid w:val="00042265"/>
    <w:rsid w:val="00042AFF"/>
    <w:rsid w:val="00042FCA"/>
    <w:rsid w:val="00043448"/>
    <w:rsid w:val="00043B82"/>
    <w:rsid w:val="00043EFB"/>
    <w:rsid w:val="000459BB"/>
    <w:rsid w:val="000462DF"/>
    <w:rsid w:val="000465DD"/>
    <w:rsid w:val="000513CE"/>
    <w:rsid w:val="0005173A"/>
    <w:rsid w:val="000528BF"/>
    <w:rsid w:val="00052D12"/>
    <w:rsid w:val="00052DB8"/>
    <w:rsid w:val="00053964"/>
    <w:rsid w:val="000542A4"/>
    <w:rsid w:val="000550FD"/>
    <w:rsid w:val="00056609"/>
    <w:rsid w:val="00056D4F"/>
    <w:rsid w:val="0006113C"/>
    <w:rsid w:val="0006120C"/>
    <w:rsid w:val="0006276F"/>
    <w:rsid w:val="00065F65"/>
    <w:rsid w:val="00067C50"/>
    <w:rsid w:val="00070089"/>
    <w:rsid w:val="00072D86"/>
    <w:rsid w:val="000734DF"/>
    <w:rsid w:val="0007481B"/>
    <w:rsid w:val="00075F9F"/>
    <w:rsid w:val="00076904"/>
    <w:rsid w:val="00076E2A"/>
    <w:rsid w:val="000775A1"/>
    <w:rsid w:val="000801C7"/>
    <w:rsid w:val="00081CE3"/>
    <w:rsid w:val="00082169"/>
    <w:rsid w:val="000835A5"/>
    <w:rsid w:val="00083918"/>
    <w:rsid w:val="0008391B"/>
    <w:rsid w:val="000853A5"/>
    <w:rsid w:val="000856E1"/>
    <w:rsid w:val="000875B5"/>
    <w:rsid w:val="00087983"/>
    <w:rsid w:val="00092BE4"/>
    <w:rsid w:val="00092F27"/>
    <w:rsid w:val="0009455E"/>
    <w:rsid w:val="000949FA"/>
    <w:rsid w:val="00094CF6"/>
    <w:rsid w:val="00094FB5"/>
    <w:rsid w:val="000953B4"/>
    <w:rsid w:val="0009728A"/>
    <w:rsid w:val="00097311"/>
    <w:rsid w:val="000A0F40"/>
    <w:rsid w:val="000A1349"/>
    <w:rsid w:val="000A17AF"/>
    <w:rsid w:val="000A35ED"/>
    <w:rsid w:val="000A363E"/>
    <w:rsid w:val="000A48F6"/>
    <w:rsid w:val="000A67ED"/>
    <w:rsid w:val="000A6898"/>
    <w:rsid w:val="000B0901"/>
    <w:rsid w:val="000B0ED3"/>
    <w:rsid w:val="000B132B"/>
    <w:rsid w:val="000B1A6A"/>
    <w:rsid w:val="000B2113"/>
    <w:rsid w:val="000B35C2"/>
    <w:rsid w:val="000B4043"/>
    <w:rsid w:val="000B4BE9"/>
    <w:rsid w:val="000B4C41"/>
    <w:rsid w:val="000B73FE"/>
    <w:rsid w:val="000C09D0"/>
    <w:rsid w:val="000C0F10"/>
    <w:rsid w:val="000C1F52"/>
    <w:rsid w:val="000C23EA"/>
    <w:rsid w:val="000C2E96"/>
    <w:rsid w:val="000C301D"/>
    <w:rsid w:val="000C3AD5"/>
    <w:rsid w:val="000C3E2A"/>
    <w:rsid w:val="000C45B8"/>
    <w:rsid w:val="000C6D7D"/>
    <w:rsid w:val="000C75FA"/>
    <w:rsid w:val="000C7F2D"/>
    <w:rsid w:val="000D0CBF"/>
    <w:rsid w:val="000D1B24"/>
    <w:rsid w:val="000D21A1"/>
    <w:rsid w:val="000D220A"/>
    <w:rsid w:val="000D37A1"/>
    <w:rsid w:val="000D39D7"/>
    <w:rsid w:val="000D43BF"/>
    <w:rsid w:val="000D5743"/>
    <w:rsid w:val="000D6494"/>
    <w:rsid w:val="000D6B94"/>
    <w:rsid w:val="000D702D"/>
    <w:rsid w:val="000E0A3D"/>
    <w:rsid w:val="000E0B5F"/>
    <w:rsid w:val="000E1235"/>
    <w:rsid w:val="000E16F2"/>
    <w:rsid w:val="000E3146"/>
    <w:rsid w:val="000E7227"/>
    <w:rsid w:val="000E7AB9"/>
    <w:rsid w:val="000F0A11"/>
    <w:rsid w:val="000F0FA6"/>
    <w:rsid w:val="000F1425"/>
    <w:rsid w:val="000F1FB8"/>
    <w:rsid w:val="000F2228"/>
    <w:rsid w:val="000F4451"/>
    <w:rsid w:val="000F5993"/>
    <w:rsid w:val="000F5D03"/>
    <w:rsid w:val="00100750"/>
    <w:rsid w:val="00101427"/>
    <w:rsid w:val="0010269C"/>
    <w:rsid w:val="00102F05"/>
    <w:rsid w:val="00104F67"/>
    <w:rsid w:val="00106918"/>
    <w:rsid w:val="00110B51"/>
    <w:rsid w:val="00111ED2"/>
    <w:rsid w:val="00112BB6"/>
    <w:rsid w:val="0011390B"/>
    <w:rsid w:val="00115288"/>
    <w:rsid w:val="00115D9F"/>
    <w:rsid w:val="0011709F"/>
    <w:rsid w:val="00117DD7"/>
    <w:rsid w:val="00120BE4"/>
    <w:rsid w:val="00122BEC"/>
    <w:rsid w:val="0012530C"/>
    <w:rsid w:val="00125FCA"/>
    <w:rsid w:val="001262AD"/>
    <w:rsid w:val="001268F1"/>
    <w:rsid w:val="001274AA"/>
    <w:rsid w:val="00127A3B"/>
    <w:rsid w:val="00130591"/>
    <w:rsid w:val="00130B44"/>
    <w:rsid w:val="00131E67"/>
    <w:rsid w:val="0013211E"/>
    <w:rsid w:val="00132FEC"/>
    <w:rsid w:val="001345F6"/>
    <w:rsid w:val="00135DE3"/>
    <w:rsid w:val="0013627B"/>
    <w:rsid w:val="001379F9"/>
    <w:rsid w:val="00142A3C"/>
    <w:rsid w:val="0014329B"/>
    <w:rsid w:val="00143CB7"/>
    <w:rsid w:val="001450C7"/>
    <w:rsid w:val="001455D0"/>
    <w:rsid w:val="00145942"/>
    <w:rsid w:val="00145987"/>
    <w:rsid w:val="00146310"/>
    <w:rsid w:val="00146EC7"/>
    <w:rsid w:val="001476DE"/>
    <w:rsid w:val="00147ED7"/>
    <w:rsid w:val="0015113E"/>
    <w:rsid w:val="00152FCE"/>
    <w:rsid w:val="001545C4"/>
    <w:rsid w:val="00154C92"/>
    <w:rsid w:val="001555AD"/>
    <w:rsid w:val="00156791"/>
    <w:rsid w:val="00157E99"/>
    <w:rsid w:val="001604FD"/>
    <w:rsid w:val="001609C2"/>
    <w:rsid w:val="001609F0"/>
    <w:rsid w:val="00160FF9"/>
    <w:rsid w:val="00161A54"/>
    <w:rsid w:val="0016248D"/>
    <w:rsid w:val="00163DB2"/>
    <w:rsid w:val="00165E2F"/>
    <w:rsid w:val="00166155"/>
    <w:rsid w:val="00166D94"/>
    <w:rsid w:val="00166DB7"/>
    <w:rsid w:val="00167F81"/>
    <w:rsid w:val="0017042F"/>
    <w:rsid w:val="001705DD"/>
    <w:rsid w:val="00172A27"/>
    <w:rsid w:val="001775E9"/>
    <w:rsid w:val="00177659"/>
    <w:rsid w:val="00183E9A"/>
    <w:rsid w:val="001840E1"/>
    <w:rsid w:val="00184F30"/>
    <w:rsid w:val="001859C1"/>
    <w:rsid w:val="00187293"/>
    <w:rsid w:val="001872E3"/>
    <w:rsid w:val="0018767B"/>
    <w:rsid w:val="00190204"/>
    <w:rsid w:val="00190252"/>
    <w:rsid w:val="00191EDB"/>
    <w:rsid w:val="00195146"/>
    <w:rsid w:val="00196BAF"/>
    <w:rsid w:val="001972B2"/>
    <w:rsid w:val="00197658"/>
    <w:rsid w:val="001977F0"/>
    <w:rsid w:val="00197E3E"/>
    <w:rsid w:val="00197EE3"/>
    <w:rsid w:val="001A0E97"/>
    <w:rsid w:val="001A19B0"/>
    <w:rsid w:val="001A28CA"/>
    <w:rsid w:val="001A48CB"/>
    <w:rsid w:val="001A5530"/>
    <w:rsid w:val="001B032F"/>
    <w:rsid w:val="001B3EFD"/>
    <w:rsid w:val="001B403A"/>
    <w:rsid w:val="001B4DF8"/>
    <w:rsid w:val="001B6AF4"/>
    <w:rsid w:val="001C08A4"/>
    <w:rsid w:val="001C0A08"/>
    <w:rsid w:val="001C1013"/>
    <w:rsid w:val="001C2F05"/>
    <w:rsid w:val="001C32B8"/>
    <w:rsid w:val="001C32D4"/>
    <w:rsid w:val="001C3C37"/>
    <w:rsid w:val="001C419B"/>
    <w:rsid w:val="001C4548"/>
    <w:rsid w:val="001C6485"/>
    <w:rsid w:val="001C71B1"/>
    <w:rsid w:val="001C7342"/>
    <w:rsid w:val="001D06C2"/>
    <w:rsid w:val="001D1FA7"/>
    <w:rsid w:val="001D2A3E"/>
    <w:rsid w:val="001D448C"/>
    <w:rsid w:val="001D4D67"/>
    <w:rsid w:val="001D5F3E"/>
    <w:rsid w:val="001D652E"/>
    <w:rsid w:val="001D71BC"/>
    <w:rsid w:val="001D7380"/>
    <w:rsid w:val="001E1D1D"/>
    <w:rsid w:val="001E2B1E"/>
    <w:rsid w:val="001E2B30"/>
    <w:rsid w:val="001E32EE"/>
    <w:rsid w:val="001E3B9E"/>
    <w:rsid w:val="001E47D9"/>
    <w:rsid w:val="001E5945"/>
    <w:rsid w:val="001E5984"/>
    <w:rsid w:val="001E7025"/>
    <w:rsid w:val="001E792A"/>
    <w:rsid w:val="001F0207"/>
    <w:rsid w:val="001F0745"/>
    <w:rsid w:val="001F2387"/>
    <w:rsid w:val="001F397E"/>
    <w:rsid w:val="001F3EDE"/>
    <w:rsid w:val="001F43E3"/>
    <w:rsid w:val="001F5C0F"/>
    <w:rsid w:val="0020015C"/>
    <w:rsid w:val="00202530"/>
    <w:rsid w:val="00206A78"/>
    <w:rsid w:val="00207DC9"/>
    <w:rsid w:val="00210383"/>
    <w:rsid w:val="00210A9C"/>
    <w:rsid w:val="002115AD"/>
    <w:rsid w:val="00211A77"/>
    <w:rsid w:val="002144AF"/>
    <w:rsid w:val="0021542A"/>
    <w:rsid w:val="0021554C"/>
    <w:rsid w:val="002164A6"/>
    <w:rsid w:val="00216E1E"/>
    <w:rsid w:val="00217308"/>
    <w:rsid w:val="002208AD"/>
    <w:rsid w:val="00221920"/>
    <w:rsid w:val="00221B05"/>
    <w:rsid w:val="002223E1"/>
    <w:rsid w:val="00222926"/>
    <w:rsid w:val="0022370F"/>
    <w:rsid w:val="00224107"/>
    <w:rsid w:val="00224AD2"/>
    <w:rsid w:val="00224CF0"/>
    <w:rsid w:val="002268F9"/>
    <w:rsid w:val="00227E3E"/>
    <w:rsid w:val="00231625"/>
    <w:rsid w:val="00232162"/>
    <w:rsid w:val="0023242C"/>
    <w:rsid w:val="00233413"/>
    <w:rsid w:val="002357F6"/>
    <w:rsid w:val="002359F0"/>
    <w:rsid w:val="00235A01"/>
    <w:rsid w:val="00236EBC"/>
    <w:rsid w:val="00237F38"/>
    <w:rsid w:val="002403C5"/>
    <w:rsid w:val="002413CD"/>
    <w:rsid w:val="00241E04"/>
    <w:rsid w:val="002423E2"/>
    <w:rsid w:val="00243226"/>
    <w:rsid w:val="00243DAE"/>
    <w:rsid w:val="00246022"/>
    <w:rsid w:val="00247D0C"/>
    <w:rsid w:val="00250BCC"/>
    <w:rsid w:val="00252A63"/>
    <w:rsid w:val="00252F9A"/>
    <w:rsid w:val="002536D6"/>
    <w:rsid w:val="002545B0"/>
    <w:rsid w:val="00255761"/>
    <w:rsid w:val="0025601D"/>
    <w:rsid w:val="0025743A"/>
    <w:rsid w:val="00261118"/>
    <w:rsid w:val="00261A21"/>
    <w:rsid w:val="00261EAD"/>
    <w:rsid w:val="0026263B"/>
    <w:rsid w:val="0026356A"/>
    <w:rsid w:val="002641CC"/>
    <w:rsid w:val="00264393"/>
    <w:rsid w:val="0026566A"/>
    <w:rsid w:val="002657E1"/>
    <w:rsid w:val="002659E4"/>
    <w:rsid w:val="00266F9F"/>
    <w:rsid w:val="002676DC"/>
    <w:rsid w:val="0027076C"/>
    <w:rsid w:val="002717EA"/>
    <w:rsid w:val="00271A51"/>
    <w:rsid w:val="0027207F"/>
    <w:rsid w:val="0027316E"/>
    <w:rsid w:val="00274272"/>
    <w:rsid w:val="00274F8C"/>
    <w:rsid w:val="002758B2"/>
    <w:rsid w:val="002827CD"/>
    <w:rsid w:val="0028535F"/>
    <w:rsid w:val="0028649C"/>
    <w:rsid w:val="00287188"/>
    <w:rsid w:val="0028744F"/>
    <w:rsid w:val="00287BFC"/>
    <w:rsid w:val="00287FC4"/>
    <w:rsid w:val="00290EAC"/>
    <w:rsid w:val="00291C1A"/>
    <w:rsid w:val="002920F0"/>
    <w:rsid w:val="0029265B"/>
    <w:rsid w:val="0029286F"/>
    <w:rsid w:val="002935C8"/>
    <w:rsid w:val="002948B9"/>
    <w:rsid w:val="00294B70"/>
    <w:rsid w:val="002958E2"/>
    <w:rsid w:val="00295C86"/>
    <w:rsid w:val="0029686D"/>
    <w:rsid w:val="00297AD3"/>
    <w:rsid w:val="002A0228"/>
    <w:rsid w:val="002A1531"/>
    <w:rsid w:val="002A23AB"/>
    <w:rsid w:val="002A2DEC"/>
    <w:rsid w:val="002A30C0"/>
    <w:rsid w:val="002A334E"/>
    <w:rsid w:val="002A44A1"/>
    <w:rsid w:val="002A4B98"/>
    <w:rsid w:val="002A4C3B"/>
    <w:rsid w:val="002A65C7"/>
    <w:rsid w:val="002A67E1"/>
    <w:rsid w:val="002A7FF6"/>
    <w:rsid w:val="002B0766"/>
    <w:rsid w:val="002B07BA"/>
    <w:rsid w:val="002B1951"/>
    <w:rsid w:val="002B2C5F"/>
    <w:rsid w:val="002B4367"/>
    <w:rsid w:val="002B6916"/>
    <w:rsid w:val="002B7935"/>
    <w:rsid w:val="002C1445"/>
    <w:rsid w:val="002C14A0"/>
    <w:rsid w:val="002C1B37"/>
    <w:rsid w:val="002C21D4"/>
    <w:rsid w:val="002C21DB"/>
    <w:rsid w:val="002C6D2F"/>
    <w:rsid w:val="002C7451"/>
    <w:rsid w:val="002D2298"/>
    <w:rsid w:val="002D46AA"/>
    <w:rsid w:val="002D48C4"/>
    <w:rsid w:val="002D505F"/>
    <w:rsid w:val="002D667B"/>
    <w:rsid w:val="002D7894"/>
    <w:rsid w:val="002D78C2"/>
    <w:rsid w:val="002E0C02"/>
    <w:rsid w:val="002E148F"/>
    <w:rsid w:val="002E235F"/>
    <w:rsid w:val="002E3B94"/>
    <w:rsid w:val="002E4E23"/>
    <w:rsid w:val="002E4F1E"/>
    <w:rsid w:val="002E5593"/>
    <w:rsid w:val="002E5E2B"/>
    <w:rsid w:val="002E6B18"/>
    <w:rsid w:val="002E6C25"/>
    <w:rsid w:val="002E75A5"/>
    <w:rsid w:val="002F0FFF"/>
    <w:rsid w:val="002F3748"/>
    <w:rsid w:val="002F4C46"/>
    <w:rsid w:val="002F510B"/>
    <w:rsid w:val="002F5DDB"/>
    <w:rsid w:val="002F6D43"/>
    <w:rsid w:val="002F7698"/>
    <w:rsid w:val="00300B77"/>
    <w:rsid w:val="0030180E"/>
    <w:rsid w:val="0030262C"/>
    <w:rsid w:val="00302996"/>
    <w:rsid w:val="00302C15"/>
    <w:rsid w:val="003030F2"/>
    <w:rsid w:val="00306BBE"/>
    <w:rsid w:val="00311BFC"/>
    <w:rsid w:val="003131ED"/>
    <w:rsid w:val="003135B2"/>
    <w:rsid w:val="00313A12"/>
    <w:rsid w:val="00313B14"/>
    <w:rsid w:val="00313B75"/>
    <w:rsid w:val="00314ADF"/>
    <w:rsid w:val="00314DF7"/>
    <w:rsid w:val="00315455"/>
    <w:rsid w:val="00315CA2"/>
    <w:rsid w:val="0031714A"/>
    <w:rsid w:val="00317C58"/>
    <w:rsid w:val="003201D2"/>
    <w:rsid w:val="0032153B"/>
    <w:rsid w:val="003231D7"/>
    <w:rsid w:val="00323515"/>
    <w:rsid w:val="003259D2"/>
    <w:rsid w:val="00326593"/>
    <w:rsid w:val="0032711F"/>
    <w:rsid w:val="003276B1"/>
    <w:rsid w:val="00330265"/>
    <w:rsid w:val="00330AB8"/>
    <w:rsid w:val="0033299F"/>
    <w:rsid w:val="00333BAE"/>
    <w:rsid w:val="00333DD7"/>
    <w:rsid w:val="00334289"/>
    <w:rsid w:val="00334BBF"/>
    <w:rsid w:val="003357DF"/>
    <w:rsid w:val="00335BCD"/>
    <w:rsid w:val="0033602E"/>
    <w:rsid w:val="0033667B"/>
    <w:rsid w:val="00337788"/>
    <w:rsid w:val="00340034"/>
    <w:rsid w:val="00341CD0"/>
    <w:rsid w:val="00342ED6"/>
    <w:rsid w:val="0034392C"/>
    <w:rsid w:val="00343E82"/>
    <w:rsid w:val="0034402B"/>
    <w:rsid w:val="00344718"/>
    <w:rsid w:val="00347B1A"/>
    <w:rsid w:val="00350C90"/>
    <w:rsid w:val="00351562"/>
    <w:rsid w:val="00351BFF"/>
    <w:rsid w:val="00352A1F"/>
    <w:rsid w:val="00354123"/>
    <w:rsid w:val="0035451D"/>
    <w:rsid w:val="00354EE0"/>
    <w:rsid w:val="00355B7B"/>
    <w:rsid w:val="00356345"/>
    <w:rsid w:val="00356FE2"/>
    <w:rsid w:val="0035710D"/>
    <w:rsid w:val="00357BCE"/>
    <w:rsid w:val="003609CD"/>
    <w:rsid w:val="00360A4B"/>
    <w:rsid w:val="00361258"/>
    <w:rsid w:val="00361E81"/>
    <w:rsid w:val="00362454"/>
    <w:rsid w:val="00362872"/>
    <w:rsid w:val="00362D5B"/>
    <w:rsid w:val="00363257"/>
    <w:rsid w:val="00363F07"/>
    <w:rsid w:val="00364D92"/>
    <w:rsid w:val="003656A0"/>
    <w:rsid w:val="00365A33"/>
    <w:rsid w:val="00366A4C"/>
    <w:rsid w:val="00367192"/>
    <w:rsid w:val="00367B85"/>
    <w:rsid w:val="00370356"/>
    <w:rsid w:val="00370E8C"/>
    <w:rsid w:val="003758E8"/>
    <w:rsid w:val="00375DDC"/>
    <w:rsid w:val="0037622A"/>
    <w:rsid w:val="00376C67"/>
    <w:rsid w:val="003770C2"/>
    <w:rsid w:val="00380318"/>
    <w:rsid w:val="003805E9"/>
    <w:rsid w:val="00381C41"/>
    <w:rsid w:val="00382117"/>
    <w:rsid w:val="003822B1"/>
    <w:rsid w:val="00382A62"/>
    <w:rsid w:val="00383099"/>
    <w:rsid w:val="00383CA4"/>
    <w:rsid w:val="00384DCD"/>
    <w:rsid w:val="00384F6C"/>
    <w:rsid w:val="00386AB6"/>
    <w:rsid w:val="00386BC9"/>
    <w:rsid w:val="0038764A"/>
    <w:rsid w:val="003879A7"/>
    <w:rsid w:val="00392861"/>
    <w:rsid w:val="003937AF"/>
    <w:rsid w:val="00394488"/>
    <w:rsid w:val="003949E6"/>
    <w:rsid w:val="00395CD7"/>
    <w:rsid w:val="00396BA0"/>
    <w:rsid w:val="003A03F7"/>
    <w:rsid w:val="003A160D"/>
    <w:rsid w:val="003A3332"/>
    <w:rsid w:val="003A3A41"/>
    <w:rsid w:val="003A3D8F"/>
    <w:rsid w:val="003A4B35"/>
    <w:rsid w:val="003A552C"/>
    <w:rsid w:val="003A6101"/>
    <w:rsid w:val="003A6652"/>
    <w:rsid w:val="003A6A74"/>
    <w:rsid w:val="003A7A79"/>
    <w:rsid w:val="003A7F28"/>
    <w:rsid w:val="003B077B"/>
    <w:rsid w:val="003B42B3"/>
    <w:rsid w:val="003B6BB7"/>
    <w:rsid w:val="003B7659"/>
    <w:rsid w:val="003C0DB4"/>
    <w:rsid w:val="003C1A65"/>
    <w:rsid w:val="003C1F1C"/>
    <w:rsid w:val="003C2BD7"/>
    <w:rsid w:val="003C387A"/>
    <w:rsid w:val="003C3CCC"/>
    <w:rsid w:val="003C6FAD"/>
    <w:rsid w:val="003C729F"/>
    <w:rsid w:val="003C78C6"/>
    <w:rsid w:val="003C7D8F"/>
    <w:rsid w:val="003D1A07"/>
    <w:rsid w:val="003D2118"/>
    <w:rsid w:val="003D4BE1"/>
    <w:rsid w:val="003D4D42"/>
    <w:rsid w:val="003D5A68"/>
    <w:rsid w:val="003D6959"/>
    <w:rsid w:val="003E097F"/>
    <w:rsid w:val="003E09B3"/>
    <w:rsid w:val="003E21FD"/>
    <w:rsid w:val="003E26D5"/>
    <w:rsid w:val="003E3DA6"/>
    <w:rsid w:val="003E43BB"/>
    <w:rsid w:val="003E4ADB"/>
    <w:rsid w:val="003E6348"/>
    <w:rsid w:val="003E6B5C"/>
    <w:rsid w:val="003E7C81"/>
    <w:rsid w:val="003F026E"/>
    <w:rsid w:val="003F11D7"/>
    <w:rsid w:val="003F158E"/>
    <w:rsid w:val="003F2132"/>
    <w:rsid w:val="003F2502"/>
    <w:rsid w:val="003F2947"/>
    <w:rsid w:val="003F41CD"/>
    <w:rsid w:val="003F478A"/>
    <w:rsid w:val="003F5434"/>
    <w:rsid w:val="003F5C64"/>
    <w:rsid w:val="003F6953"/>
    <w:rsid w:val="003F6EF3"/>
    <w:rsid w:val="003F7629"/>
    <w:rsid w:val="003F770C"/>
    <w:rsid w:val="003F7921"/>
    <w:rsid w:val="00400168"/>
    <w:rsid w:val="0040110E"/>
    <w:rsid w:val="00402C92"/>
    <w:rsid w:val="00403F90"/>
    <w:rsid w:val="00404AE1"/>
    <w:rsid w:val="004050B2"/>
    <w:rsid w:val="00405E28"/>
    <w:rsid w:val="00407388"/>
    <w:rsid w:val="00410E6F"/>
    <w:rsid w:val="00410FFF"/>
    <w:rsid w:val="004126D7"/>
    <w:rsid w:val="004129EB"/>
    <w:rsid w:val="00412F35"/>
    <w:rsid w:val="0041352B"/>
    <w:rsid w:val="004145F4"/>
    <w:rsid w:val="0041562E"/>
    <w:rsid w:val="004167EC"/>
    <w:rsid w:val="004208FB"/>
    <w:rsid w:val="00420C6F"/>
    <w:rsid w:val="00422BFB"/>
    <w:rsid w:val="00422D2F"/>
    <w:rsid w:val="00423F91"/>
    <w:rsid w:val="00424021"/>
    <w:rsid w:val="00425084"/>
    <w:rsid w:val="0042618C"/>
    <w:rsid w:val="004262F8"/>
    <w:rsid w:val="0043016E"/>
    <w:rsid w:val="00431B3A"/>
    <w:rsid w:val="00431F09"/>
    <w:rsid w:val="004337BA"/>
    <w:rsid w:val="00434887"/>
    <w:rsid w:val="00435980"/>
    <w:rsid w:val="0043673B"/>
    <w:rsid w:val="00437242"/>
    <w:rsid w:val="004431B5"/>
    <w:rsid w:val="00446213"/>
    <w:rsid w:val="00447A42"/>
    <w:rsid w:val="00447E74"/>
    <w:rsid w:val="00447EC3"/>
    <w:rsid w:val="00450CE3"/>
    <w:rsid w:val="00451603"/>
    <w:rsid w:val="004532C3"/>
    <w:rsid w:val="00453727"/>
    <w:rsid w:val="00455617"/>
    <w:rsid w:val="00455710"/>
    <w:rsid w:val="00455C87"/>
    <w:rsid w:val="004562B8"/>
    <w:rsid w:val="004572B0"/>
    <w:rsid w:val="0045734C"/>
    <w:rsid w:val="00457AE6"/>
    <w:rsid w:val="00464B90"/>
    <w:rsid w:val="00466B6E"/>
    <w:rsid w:val="00467AF7"/>
    <w:rsid w:val="00467BAC"/>
    <w:rsid w:val="00470F82"/>
    <w:rsid w:val="00471DA0"/>
    <w:rsid w:val="004727CB"/>
    <w:rsid w:val="00472C6C"/>
    <w:rsid w:val="00473101"/>
    <w:rsid w:val="00475B59"/>
    <w:rsid w:val="004769BA"/>
    <w:rsid w:val="00477761"/>
    <w:rsid w:val="0048065E"/>
    <w:rsid w:val="0048358C"/>
    <w:rsid w:val="0048484A"/>
    <w:rsid w:val="0048486E"/>
    <w:rsid w:val="00484D87"/>
    <w:rsid w:val="004856F8"/>
    <w:rsid w:val="00485DD8"/>
    <w:rsid w:val="00485DDF"/>
    <w:rsid w:val="004874B1"/>
    <w:rsid w:val="00492BB7"/>
    <w:rsid w:val="0049494D"/>
    <w:rsid w:val="00494F7B"/>
    <w:rsid w:val="0049519F"/>
    <w:rsid w:val="00495731"/>
    <w:rsid w:val="004968D4"/>
    <w:rsid w:val="0049713E"/>
    <w:rsid w:val="00497BC0"/>
    <w:rsid w:val="004A078E"/>
    <w:rsid w:val="004A0DF7"/>
    <w:rsid w:val="004A1FDD"/>
    <w:rsid w:val="004A2701"/>
    <w:rsid w:val="004A4198"/>
    <w:rsid w:val="004A461F"/>
    <w:rsid w:val="004A68B0"/>
    <w:rsid w:val="004B03A1"/>
    <w:rsid w:val="004B04DE"/>
    <w:rsid w:val="004B1480"/>
    <w:rsid w:val="004B19A0"/>
    <w:rsid w:val="004B19C8"/>
    <w:rsid w:val="004B1A8A"/>
    <w:rsid w:val="004B1D94"/>
    <w:rsid w:val="004B1E5F"/>
    <w:rsid w:val="004B2358"/>
    <w:rsid w:val="004B3FA0"/>
    <w:rsid w:val="004B49AB"/>
    <w:rsid w:val="004B4D47"/>
    <w:rsid w:val="004B5501"/>
    <w:rsid w:val="004B5EDC"/>
    <w:rsid w:val="004B6623"/>
    <w:rsid w:val="004B677F"/>
    <w:rsid w:val="004B7C60"/>
    <w:rsid w:val="004C09D2"/>
    <w:rsid w:val="004C132F"/>
    <w:rsid w:val="004C16CC"/>
    <w:rsid w:val="004C1CA1"/>
    <w:rsid w:val="004C2160"/>
    <w:rsid w:val="004C5DA4"/>
    <w:rsid w:val="004C5EFF"/>
    <w:rsid w:val="004D0AD6"/>
    <w:rsid w:val="004D0ADA"/>
    <w:rsid w:val="004D1621"/>
    <w:rsid w:val="004D1A77"/>
    <w:rsid w:val="004D402A"/>
    <w:rsid w:val="004D5F6B"/>
    <w:rsid w:val="004D6A48"/>
    <w:rsid w:val="004E022C"/>
    <w:rsid w:val="004E0B5B"/>
    <w:rsid w:val="004E109B"/>
    <w:rsid w:val="004E262E"/>
    <w:rsid w:val="004E2A7D"/>
    <w:rsid w:val="004E2C53"/>
    <w:rsid w:val="004E3A4B"/>
    <w:rsid w:val="004E3BD0"/>
    <w:rsid w:val="004E44FC"/>
    <w:rsid w:val="004E51A6"/>
    <w:rsid w:val="004E5AA5"/>
    <w:rsid w:val="004E71E7"/>
    <w:rsid w:val="004E76A4"/>
    <w:rsid w:val="004F0255"/>
    <w:rsid w:val="004F1B52"/>
    <w:rsid w:val="004F1F19"/>
    <w:rsid w:val="004F2E59"/>
    <w:rsid w:val="004F2F39"/>
    <w:rsid w:val="004F4800"/>
    <w:rsid w:val="00500451"/>
    <w:rsid w:val="00500EE6"/>
    <w:rsid w:val="00501A31"/>
    <w:rsid w:val="005045E9"/>
    <w:rsid w:val="005049A8"/>
    <w:rsid w:val="00504C45"/>
    <w:rsid w:val="00505775"/>
    <w:rsid w:val="0050716F"/>
    <w:rsid w:val="00510869"/>
    <w:rsid w:val="00510B2A"/>
    <w:rsid w:val="005112DA"/>
    <w:rsid w:val="0051179C"/>
    <w:rsid w:val="00511CB7"/>
    <w:rsid w:val="00511F81"/>
    <w:rsid w:val="005122F4"/>
    <w:rsid w:val="005144C5"/>
    <w:rsid w:val="00514876"/>
    <w:rsid w:val="00517A61"/>
    <w:rsid w:val="005203F8"/>
    <w:rsid w:val="005229CA"/>
    <w:rsid w:val="00522C13"/>
    <w:rsid w:val="00523B55"/>
    <w:rsid w:val="0052782D"/>
    <w:rsid w:val="00532C54"/>
    <w:rsid w:val="00532D4A"/>
    <w:rsid w:val="00535628"/>
    <w:rsid w:val="00535849"/>
    <w:rsid w:val="005359FA"/>
    <w:rsid w:val="00535D4E"/>
    <w:rsid w:val="00535F74"/>
    <w:rsid w:val="005374E1"/>
    <w:rsid w:val="005374F1"/>
    <w:rsid w:val="005427B5"/>
    <w:rsid w:val="00544D75"/>
    <w:rsid w:val="005452AA"/>
    <w:rsid w:val="00545474"/>
    <w:rsid w:val="00547355"/>
    <w:rsid w:val="00550B08"/>
    <w:rsid w:val="00551309"/>
    <w:rsid w:val="00551B3C"/>
    <w:rsid w:val="00551EA4"/>
    <w:rsid w:val="005528EC"/>
    <w:rsid w:val="00552E67"/>
    <w:rsid w:val="00554562"/>
    <w:rsid w:val="00555441"/>
    <w:rsid w:val="00555636"/>
    <w:rsid w:val="00560410"/>
    <w:rsid w:val="00560B8B"/>
    <w:rsid w:val="00564A9D"/>
    <w:rsid w:val="005650DE"/>
    <w:rsid w:val="0057033F"/>
    <w:rsid w:val="00570535"/>
    <w:rsid w:val="005710B7"/>
    <w:rsid w:val="005719AD"/>
    <w:rsid w:val="0057338B"/>
    <w:rsid w:val="0057349C"/>
    <w:rsid w:val="00573BB0"/>
    <w:rsid w:val="0057702C"/>
    <w:rsid w:val="00577E5D"/>
    <w:rsid w:val="0058148D"/>
    <w:rsid w:val="00581BA3"/>
    <w:rsid w:val="00582AC5"/>
    <w:rsid w:val="00582E87"/>
    <w:rsid w:val="00583483"/>
    <w:rsid w:val="00584965"/>
    <w:rsid w:val="005867FB"/>
    <w:rsid w:val="00590511"/>
    <w:rsid w:val="00591C64"/>
    <w:rsid w:val="00593AD4"/>
    <w:rsid w:val="00593D5A"/>
    <w:rsid w:val="00594E36"/>
    <w:rsid w:val="0059620A"/>
    <w:rsid w:val="005A0B5A"/>
    <w:rsid w:val="005A0F25"/>
    <w:rsid w:val="005A29C4"/>
    <w:rsid w:val="005A2BA1"/>
    <w:rsid w:val="005A37DB"/>
    <w:rsid w:val="005A388C"/>
    <w:rsid w:val="005A42A5"/>
    <w:rsid w:val="005A436D"/>
    <w:rsid w:val="005A586D"/>
    <w:rsid w:val="005B0106"/>
    <w:rsid w:val="005B094F"/>
    <w:rsid w:val="005B2BAD"/>
    <w:rsid w:val="005B3191"/>
    <w:rsid w:val="005B3395"/>
    <w:rsid w:val="005B4858"/>
    <w:rsid w:val="005B543F"/>
    <w:rsid w:val="005B601C"/>
    <w:rsid w:val="005B6432"/>
    <w:rsid w:val="005C1733"/>
    <w:rsid w:val="005C1DC5"/>
    <w:rsid w:val="005C23A3"/>
    <w:rsid w:val="005C4B82"/>
    <w:rsid w:val="005C5685"/>
    <w:rsid w:val="005C6377"/>
    <w:rsid w:val="005C76BB"/>
    <w:rsid w:val="005C7F73"/>
    <w:rsid w:val="005D0230"/>
    <w:rsid w:val="005D0A3E"/>
    <w:rsid w:val="005D3DD9"/>
    <w:rsid w:val="005D3E0F"/>
    <w:rsid w:val="005D3FFE"/>
    <w:rsid w:val="005D579E"/>
    <w:rsid w:val="005D5B3A"/>
    <w:rsid w:val="005D5BC4"/>
    <w:rsid w:val="005D7360"/>
    <w:rsid w:val="005D7E1A"/>
    <w:rsid w:val="005E00D9"/>
    <w:rsid w:val="005E067F"/>
    <w:rsid w:val="005E0D3D"/>
    <w:rsid w:val="005E106E"/>
    <w:rsid w:val="005E1578"/>
    <w:rsid w:val="005E16AF"/>
    <w:rsid w:val="005E26E7"/>
    <w:rsid w:val="005E2C02"/>
    <w:rsid w:val="005E301C"/>
    <w:rsid w:val="005E482C"/>
    <w:rsid w:val="005E5157"/>
    <w:rsid w:val="005E7488"/>
    <w:rsid w:val="005F0CB0"/>
    <w:rsid w:val="005F1C33"/>
    <w:rsid w:val="005F20C5"/>
    <w:rsid w:val="005F2850"/>
    <w:rsid w:val="005F391A"/>
    <w:rsid w:val="005F3E4B"/>
    <w:rsid w:val="005F5166"/>
    <w:rsid w:val="005F533D"/>
    <w:rsid w:val="005F73B9"/>
    <w:rsid w:val="005F7C08"/>
    <w:rsid w:val="005F7D0A"/>
    <w:rsid w:val="006016D5"/>
    <w:rsid w:val="00601AA1"/>
    <w:rsid w:val="00602674"/>
    <w:rsid w:val="006026A5"/>
    <w:rsid w:val="00602B90"/>
    <w:rsid w:val="00602BFF"/>
    <w:rsid w:val="006031ED"/>
    <w:rsid w:val="0060325C"/>
    <w:rsid w:val="0060376C"/>
    <w:rsid w:val="006037F6"/>
    <w:rsid w:val="00604331"/>
    <w:rsid w:val="00605D09"/>
    <w:rsid w:val="00605F80"/>
    <w:rsid w:val="00607D5C"/>
    <w:rsid w:val="0061072A"/>
    <w:rsid w:val="00611023"/>
    <w:rsid w:val="006121C7"/>
    <w:rsid w:val="00613185"/>
    <w:rsid w:val="006134D1"/>
    <w:rsid w:val="00614BC0"/>
    <w:rsid w:val="006158EE"/>
    <w:rsid w:val="0061721D"/>
    <w:rsid w:val="006229A8"/>
    <w:rsid w:val="006234B4"/>
    <w:rsid w:val="00624113"/>
    <w:rsid w:val="00624FF6"/>
    <w:rsid w:val="00625D6C"/>
    <w:rsid w:val="0062678D"/>
    <w:rsid w:val="0062707B"/>
    <w:rsid w:val="006271E3"/>
    <w:rsid w:val="00631C01"/>
    <w:rsid w:val="0063313D"/>
    <w:rsid w:val="0063410F"/>
    <w:rsid w:val="006344F1"/>
    <w:rsid w:val="006348CC"/>
    <w:rsid w:val="006350CB"/>
    <w:rsid w:val="006355D1"/>
    <w:rsid w:val="0063590B"/>
    <w:rsid w:val="00636926"/>
    <w:rsid w:val="00636CA1"/>
    <w:rsid w:val="00636F44"/>
    <w:rsid w:val="006370B1"/>
    <w:rsid w:val="00637426"/>
    <w:rsid w:val="00637C43"/>
    <w:rsid w:val="0064085C"/>
    <w:rsid w:val="00641276"/>
    <w:rsid w:val="00641DA2"/>
    <w:rsid w:val="006424D6"/>
    <w:rsid w:val="006426EA"/>
    <w:rsid w:val="00642A0C"/>
    <w:rsid w:val="006431C3"/>
    <w:rsid w:val="006440F7"/>
    <w:rsid w:val="006463E6"/>
    <w:rsid w:val="0064694F"/>
    <w:rsid w:val="00646A81"/>
    <w:rsid w:val="00646FC8"/>
    <w:rsid w:val="006503FF"/>
    <w:rsid w:val="0065101C"/>
    <w:rsid w:val="006520AB"/>
    <w:rsid w:val="00652BFE"/>
    <w:rsid w:val="00653C9A"/>
    <w:rsid w:val="0065406D"/>
    <w:rsid w:val="00654589"/>
    <w:rsid w:val="00655C6D"/>
    <w:rsid w:val="0065651F"/>
    <w:rsid w:val="0065774F"/>
    <w:rsid w:val="00660F8C"/>
    <w:rsid w:val="00663180"/>
    <w:rsid w:val="00664347"/>
    <w:rsid w:val="006650A7"/>
    <w:rsid w:val="006652F7"/>
    <w:rsid w:val="00666F39"/>
    <w:rsid w:val="00667295"/>
    <w:rsid w:val="00667571"/>
    <w:rsid w:val="00667B8A"/>
    <w:rsid w:val="00667EAB"/>
    <w:rsid w:val="0067116A"/>
    <w:rsid w:val="00671771"/>
    <w:rsid w:val="00673B3C"/>
    <w:rsid w:val="00675F15"/>
    <w:rsid w:val="0067635F"/>
    <w:rsid w:val="0067656C"/>
    <w:rsid w:val="006775FA"/>
    <w:rsid w:val="006805B4"/>
    <w:rsid w:val="00682372"/>
    <w:rsid w:val="006824E6"/>
    <w:rsid w:val="00682F99"/>
    <w:rsid w:val="00683426"/>
    <w:rsid w:val="0068387A"/>
    <w:rsid w:val="00684480"/>
    <w:rsid w:val="00684F95"/>
    <w:rsid w:val="00685D5B"/>
    <w:rsid w:val="00686290"/>
    <w:rsid w:val="00686A02"/>
    <w:rsid w:val="00686D59"/>
    <w:rsid w:val="00687CCF"/>
    <w:rsid w:val="0069021B"/>
    <w:rsid w:val="00690923"/>
    <w:rsid w:val="00690EA1"/>
    <w:rsid w:val="00691FC5"/>
    <w:rsid w:val="00692A06"/>
    <w:rsid w:val="00692C15"/>
    <w:rsid w:val="0069347A"/>
    <w:rsid w:val="00693924"/>
    <w:rsid w:val="00694180"/>
    <w:rsid w:val="00695AAC"/>
    <w:rsid w:val="006968CC"/>
    <w:rsid w:val="006968D8"/>
    <w:rsid w:val="006A0611"/>
    <w:rsid w:val="006A103F"/>
    <w:rsid w:val="006A20F7"/>
    <w:rsid w:val="006A2C52"/>
    <w:rsid w:val="006A2DDE"/>
    <w:rsid w:val="006A32C1"/>
    <w:rsid w:val="006A53C3"/>
    <w:rsid w:val="006A5D19"/>
    <w:rsid w:val="006A5FA9"/>
    <w:rsid w:val="006A6073"/>
    <w:rsid w:val="006A6CA4"/>
    <w:rsid w:val="006A7166"/>
    <w:rsid w:val="006A7E38"/>
    <w:rsid w:val="006B0E23"/>
    <w:rsid w:val="006B0F89"/>
    <w:rsid w:val="006B1D29"/>
    <w:rsid w:val="006B3923"/>
    <w:rsid w:val="006B3D7B"/>
    <w:rsid w:val="006B4021"/>
    <w:rsid w:val="006B4482"/>
    <w:rsid w:val="006B46AF"/>
    <w:rsid w:val="006B49D0"/>
    <w:rsid w:val="006B4F70"/>
    <w:rsid w:val="006B576A"/>
    <w:rsid w:val="006B72C3"/>
    <w:rsid w:val="006C110D"/>
    <w:rsid w:val="006C1A18"/>
    <w:rsid w:val="006C2FA5"/>
    <w:rsid w:val="006C4796"/>
    <w:rsid w:val="006C5ED0"/>
    <w:rsid w:val="006C6073"/>
    <w:rsid w:val="006C67DE"/>
    <w:rsid w:val="006C6E84"/>
    <w:rsid w:val="006C6F65"/>
    <w:rsid w:val="006C7C14"/>
    <w:rsid w:val="006C7FE9"/>
    <w:rsid w:val="006C7FEE"/>
    <w:rsid w:val="006D0D23"/>
    <w:rsid w:val="006D3C7E"/>
    <w:rsid w:val="006D4080"/>
    <w:rsid w:val="006D588A"/>
    <w:rsid w:val="006E081D"/>
    <w:rsid w:val="006E0AA1"/>
    <w:rsid w:val="006E0C52"/>
    <w:rsid w:val="006E2F6F"/>
    <w:rsid w:val="006E3601"/>
    <w:rsid w:val="006E3812"/>
    <w:rsid w:val="006E3CFA"/>
    <w:rsid w:val="006E6E3D"/>
    <w:rsid w:val="006E7BD7"/>
    <w:rsid w:val="006E7EDB"/>
    <w:rsid w:val="006F02F7"/>
    <w:rsid w:val="006F11DD"/>
    <w:rsid w:val="006F1B91"/>
    <w:rsid w:val="006F2C0F"/>
    <w:rsid w:val="006F340A"/>
    <w:rsid w:val="006F4A2F"/>
    <w:rsid w:val="006F4FD5"/>
    <w:rsid w:val="006F5ACA"/>
    <w:rsid w:val="006F5EFC"/>
    <w:rsid w:val="006F77A9"/>
    <w:rsid w:val="00700DC4"/>
    <w:rsid w:val="007016D8"/>
    <w:rsid w:val="00701C48"/>
    <w:rsid w:val="00701FD0"/>
    <w:rsid w:val="007032B0"/>
    <w:rsid w:val="007039E8"/>
    <w:rsid w:val="00703BD6"/>
    <w:rsid w:val="0070560B"/>
    <w:rsid w:val="00705B85"/>
    <w:rsid w:val="0070731D"/>
    <w:rsid w:val="00707742"/>
    <w:rsid w:val="00710170"/>
    <w:rsid w:val="007108FB"/>
    <w:rsid w:val="00711423"/>
    <w:rsid w:val="00711953"/>
    <w:rsid w:val="0071417B"/>
    <w:rsid w:val="007142FA"/>
    <w:rsid w:val="007145D2"/>
    <w:rsid w:val="00715F9B"/>
    <w:rsid w:val="0071617E"/>
    <w:rsid w:val="00716304"/>
    <w:rsid w:val="00716E73"/>
    <w:rsid w:val="0071769B"/>
    <w:rsid w:val="007179FF"/>
    <w:rsid w:val="0072102A"/>
    <w:rsid w:val="00722537"/>
    <w:rsid w:val="00722BD0"/>
    <w:rsid w:val="00723320"/>
    <w:rsid w:val="007260CD"/>
    <w:rsid w:val="007278B1"/>
    <w:rsid w:val="00730217"/>
    <w:rsid w:val="00730FC3"/>
    <w:rsid w:val="0073111D"/>
    <w:rsid w:val="0073159B"/>
    <w:rsid w:val="00732431"/>
    <w:rsid w:val="007327CF"/>
    <w:rsid w:val="00733E8B"/>
    <w:rsid w:val="00735693"/>
    <w:rsid w:val="007362F5"/>
    <w:rsid w:val="00736599"/>
    <w:rsid w:val="007367A9"/>
    <w:rsid w:val="007379AD"/>
    <w:rsid w:val="00737EDD"/>
    <w:rsid w:val="00740491"/>
    <w:rsid w:val="0074064B"/>
    <w:rsid w:val="00741B4B"/>
    <w:rsid w:val="00741F7B"/>
    <w:rsid w:val="00744166"/>
    <w:rsid w:val="00745205"/>
    <w:rsid w:val="007452B6"/>
    <w:rsid w:val="00746FCF"/>
    <w:rsid w:val="00750EEA"/>
    <w:rsid w:val="00751162"/>
    <w:rsid w:val="00754364"/>
    <w:rsid w:val="007550A0"/>
    <w:rsid w:val="00755796"/>
    <w:rsid w:val="00756493"/>
    <w:rsid w:val="00757DBE"/>
    <w:rsid w:val="00760D5D"/>
    <w:rsid w:val="0076119E"/>
    <w:rsid w:val="0076143D"/>
    <w:rsid w:val="0076379E"/>
    <w:rsid w:val="00764BEE"/>
    <w:rsid w:val="0076513F"/>
    <w:rsid w:val="00766304"/>
    <w:rsid w:val="007700C8"/>
    <w:rsid w:val="00771036"/>
    <w:rsid w:val="00771751"/>
    <w:rsid w:val="00771FC1"/>
    <w:rsid w:val="007727D2"/>
    <w:rsid w:val="00773B2C"/>
    <w:rsid w:val="00773E30"/>
    <w:rsid w:val="00775E41"/>
    <w:rsid w:val="00776407"/>
    <w:rsid w:val="00776498"/>
    <w:rsid w:val="00776775"/>
    <w:rsid w:val="00776A10"/>
    <w:rsid w:val="00780A45"/>
    <w:rsid w:val="00780CFF"/>
    <w:rsid w:val="00781E0C"/>
    <w:rsid w:val="007848AE"/>
    <w:rsid w:val="00786AC3"/>
    <w:rsid w:val="00786CF8"/>
    <w:rsid w:val="00786F3A"/>
    <w:rsid w:val="007907FE"/>
    <w:rsid w:val="007912DC"/>
    <w:rsid w:val="00791D9E"/>
    <w:rsid w:val="00791DA9"/>
    <w:rsid w:val="0079293E"/>
    <w:rsid w:val="00792C86"/>
    <w:rsid w:val="007934F3"/>
    <w:rsid w:val="007942BF"/>
    <w:rsid w:val="007970B9"/>
    <w:rsid w:val="00797A27"/>
    <w:rsid w:val="007A1302"/>
    <w:rsid w:val="007A149F"/>
    <w:rsid w:val="007A1D22"/>
    <w:rsid w:val="007A2A40"/>
    <w:rsid w:val="007A538C"/>
    <w:rsid w:val="007A6FAF"/>
    <w:rsid w:val="007A7536"/>
    <w:rsid w:val="007B01F6"/>
    <w:rsid w:val="007B0C66"/>
    <w:rsid w:val="007B20D2"/>
    <w:rsid w:val="007B33C0"/>
    <w:rsid w:val="007B3CC2"/>
    <w:rsid w:val="007B3FD6"/>
    <w:rsid w:val="007B5233"/>
    <w:rsid w:val="007B6247"/>
    <w:rsid w:val="007C00AF"/>
    <w:rsid w:val="007C09A2"/>
    <w:rsid w:val="007C1E01"/>
    <w:rsid w:val="007C1EEF"/>
    <w:rsid w:val="007C41A6"/>
    <w:rsid w:val="007C4AEA"/>
    <w:rsid w:val="007C63D4"/>
    <w:rsid w:val="007C737A"/>
    <w:rsid w:val="007D1BC0"/>
    <w:rsid w:val="007D1E04"/>
    <w:rsid w:val="007D2ABA"/>
    <w:rsid w:val="007D3A20"/>
    <w:rsid w:val="007D3B5B"/>
    <w:rsid w:val="007D4156"/>
    <w:rsid w:val="007D55B2"/>
    <w:rsid w:val="007D5B86"/>
    <w:rsid w:val="007D6A55"/>
    <w:rsid w:val="007D6A7D"/>
    <w:rsid w:val="007D7192"/>
    <w:rsid w:val="007D76BF"/>
    <w:rsid w:val="007E0722"/>
    <w:rsid w:val="007E0A45"/>
    <w:rsid w:val="007E3129"/>
    <w:rsid w:val="007E39C8"/>
    <w:rsid w:val="007E3D7B"/>
    <w:rsid w:val="007E44CA"/>
    <w:rsid w:val="007E5359"/>
    <w:rsid w:val="007E5591"/>
    <w:rsid w:val="007E6561"/>
    <w:rsid w:val="007F1A6F"/>
    <w:rsid w:val="007F32DF"/>
    <w:rsid w:val="007F3486"/>
    <w:rsid w:val="007F373E"/>
    <w:rsid w:val="007F3853"/>
    <w:rsid w:val="007F3D36"/>
    <w:rsid w:val="007F3F95"/>
    <w:rsid w:val="007F4103"/>
    <w:rsid w:val="007F4149"/>
    <w:rsid w:val="007F42FB"/>
    <w:rsid w:val="007F43AE"/>
    <w:rsid w:val="007F508F"/>
    <w:rsid w:val="007F5C0E"/>
    <w:rsid w:val="007F6118"/>
    <w:rsid w:val="007F6408"/>
    <w:rsid w:val="007F6680"/>
    <w:rsid w:val="007F6E30"/>
    <w:rsid w:val="007F7264"/>
    <w:rsid w:val="00800386"/>
    <w:rsid w:val="008008BF"/>
    <w:rsid w:val="00803162"/>
    <w:rsid w:val="008036EC"/>
    <w:rsid w:val="008059F8"/>
    <w:rsid w:val="0080608B"/>
    <w:rsid w:val="0080674F"/>
    <w:rsid w:val="0080680B"/>
    <w:rsid w:val="00807F09"/>
    <w:rsid w:val="008123BB"/>
    <w:rsid w:val="00814D79"/>
    <w:rsid w:val="00816ECE"/>
    <w:rsid w:val="00821273"/>
    <w:rsid w:val="00821438"/>
    <w:rsid w:val="0082167D"/>
    <w:rsid w:val="008222A9"/>
    <w:rsid w:val="00822874"/>
    <w:rsid w:val="00822BE6"/>
    <w:rsid w:val="00822DC8"/>
    <w:rsid w:val="008236C3"/>
    <w:rsid w:val="00825D5A"/>
    <w:rsid w:val="008261B1"/>
    <w:rsid w:val="0083201C"/>
    <w:rsid w:val="00833085"/>
    <w:rsid w:val="008348DB"/>
    <w:rsid w:val="00835C5B"/>
    <w:rsid w:val="0083692F"/>
    <w:rsid w:val="00836CB6"/>
    <w:rsid w:val="00837DF3"/>
    <w:rsid w:val="00840158"/>
    <w:rsid w:val="00841829"/>
    <w:rsid w:val="00844D69"/>
    <w:rsid w:val="00845FBE"/>
    <w:rsid w:val="00846E00"/>
    <w:rsid w:val="00846EF6"/>
    <w:rsid w:val="0084769C"/>
    <w:rsid w:val="008502BB"/>
    <w:rsid w:val="008507FB"/>
    <w:rsid w:val="00852BB7"/>
    <w:rsid w:val="0085384E"/>
    <w:rsid w:val="00854388"/>
    <w:rsid w:val="0085462E"/>
    <w:rsid w:val="00855BB6"/>
    <w:rsid w:val="00855FF7"/>
    <w:rsid w:val="0085616C"/>
    <w:rsid w:val="00857F71"/>
    <w:rsid w:val="008621B9"/>
    <w:rsid w:val="00863058"/>
    <w:rsid w:val="00863B00"/>
    <w:rsid w:val="00864BFF"/>
    <w:rsid w:val="00865318"/>
    <w:rsid w:val="00865940"/>
    <w:rsid w:val="00866E44"/>
    <w:rsid w:val="00870C6E"/>
    <w:rsid w:val="00871071"/>
    <w:rsid w:val="0087248F"/>
    <w:rsid w:val="00872894"/>
    <w:rsid w:val="008730FB"/>
    <w:rsid w:val="00874E1C"/>
    <w:rsid w:val="0087789D"/>
    <w:rsid w:val="00880932"/>
    <w:rsid w:val="0088135F"/>
    <w:rsid w:val="00883C1A"/>
    <w:rsid w:val="00883CDF"/>
    <w:rsid w:val="008841A5"/>
    <w:rsid w:val="00884875"/>
    <w:rsid w:val="00887581"/>
    <w:rsid w:val="00887A87"/>
    <w:rsid w:val="00887C32"/>
    <w:rsid w:val="00891034"/>
    <w:rsid w:val="0089229B"/>
    <w:rsid w:val="00892D86"/>
    <w:rsid w:val="0089362F"/>
    <w:rsid w:val="00894700"/>
    <w:rsid w:val="00895C34"/>
    <w:rsid w:val="00896387"/>
    <w:rsid w:val="00897E08"/>
    <w:rsid w:val="008A04A0"/>
    <w:rsid w:val="008A04E1"/>
    <w:rsid w:val="008A1CF7"/>
    <w:rsid w:val="008A201B"/>
    <w:rsid w:val="008A22B2"/>
    <w:rsid w:val="008A2802"/>
    <w:rsid w:val="008A29FB"/>
    <w:rsid w:val="008A585D"/>
    <w:rsid w:val="008A7ABD"/>
    <w:rsid w:val="008A7E7B"/>
    <w:rsid w:val="008B08D6"/>
    <w:rsid w:val="008B0A6B"/>
    <w:rsid w:val="008B2A2B"/>
    <w:rsid w:val="008B39D3"/>
    <w:rsid w:val="008B4702"/>
    <w:rsid w:val="008B48D9"/>
    <w:rsid w:val="008B5060"/>
    <w:rsid w:val="008B66F7"/>
    <w:rsid w:val="008B775B"/>
    <w:rsid w:val="008B7C3B"/>
    <w:rsid w:val="008C0B82"/>
    <w:rsid w:val="008C24F0"/>
    <w:rsid w:val="008C2799"/>
    <w:rsid w:val="008C28B6"/>
    <w:rsid w:val="008C2D43"/>
    <w:rsid w:val="008C3822"/>
    <w:rsid w:val="008C3B3F"/>
    <w:rsid w:val="008C534E"/>
    <w:rsid w:val="008C695D"/>
    <w:rsid w:val="008C6B34"/>
    <w:rsid w:val="008C7603"/>
    <w:rsid w:val="008C7F2A"/>
    <w:rsid w:val="008D00C1"/>
    <w:rsid w:val="008D02A1"/>
    <w:rsid w:val="008D1878"/>
    <w:rsid w:val="008D1B0B"/>
    <w:rsid w:val="008D2688"/>
    <w:rsid w:val="008D2A0D"/>
    <w:rsid w:val="008D2C04"/>
    <w:rsid w:val="008D3362"/>
    <w:rsid w:val="008D33D0"/>
    <w:rsid w:val="008D5057"/>
    <w:rsid w:val="008D507E"/>
    <w:rsid w:val="008D5103"/>
    <w:rsid w:val="008D5B85"/>
    <w:rsid w:val="008E0A71"/>
    <w:rsid w:val="008E1063"/>
    <w:rsid w:val="008E1689"/>
    <w:rsid w:val="008E2797"/>
    <w:rsid w:val="008E27B8"/>
    <w:rsid w:val="008E2D6E"/>
    <w:rsid w:val="008E386F"/>
    <w:rsid w:val="008E38CE"/>
    <w:rsid w:val="008E3FF7"/>
    <w:rsid w:val="008E5D4C"/>
    <w:rsid w:val="008E5FEC"/>
    <w:rsid w:val="008E6014"/>
    <w:rsid w:val="008E690D"/>
    <w:rsid w:val="008E749E"/>
    <w:rsid w:val="008E7953"/>
    <w:rsid w:val="008F180A"/>
    <w:rsid w:val="008F3240"/>
    <w:rsid w:val="008F3570"/>
    <w:rsid w:val="008F5118"/>
    <w:rsid w:val="008F5413"/>
    <w:rsid w:val="008F5B20"/>
    <w:rsid w:val="008F6D9F"/>
    <w:rsid w:val="008F7817"/>
    <w:rsid w:val="008F7C3B"/>
    <w:rsid w:val="008F7DDF"/>
    <w:rsid w:val="009005DF"/>
    <w:rsid w:val="00900AF8"/>
    <w:rsid w:val="00901FE5"/>
    <w:rsid w:val="00902377"/>
    <w:rsid w:val="00903230"/>
    <w:rsid w:val="00903FAB"/>
    <w:rsid w:val="0090511C"/>
    <w:rsid w:val="00910BC7"/>
    <w:rsid w:val="009111FC"/>
    <w:rsid w:val="00911FC2"/>
    <w:rsid w:val="00912CBD"/>
    <w:rsid w:val="00912D06"/>
    <w:rsid w:val="00914749"/>
    <w:rsid w:val="00914851"/>
    <w:rsid w:val="00915A46"/>
    <w:rsid w:val="009164A4"/>
    <w:rsid w:val="00916C1E"/>
    <w:rsid w:val="009173E2"/>
    <w:rsid w:val="0092002F"/>
    <w:rsid w:val="009254E1"/>
    <w:rsid w:val="00925E13"/>
    <w:rsid w:val="00926247"/>
    <w:rsid w:val="00926349"/>
    <w:rsid w:val="00926A36"/>
    <w:rsid w:val="00927675"/>
    <w:rsid w:val="00927DDF"/>
    <w:rsid w:val="00927E8B"/>
    <w:rsid w:val="009306FC"/>
    <w:rsid w:val="009308F7"/>
    <w:rsid w:val="00931BE8"/>
    <w:rsid w:val="0093232E"/>
    <w:rsid w:val="00932371"/>
    <w:rsid w:val="009331BC"/>
    <w:rsid w:val="0093359D"/>
    <w:rsid w:val="009335C1"/>
    <w:rsid w:val="00933B76"/>
    <w:rsid w:val="009342C7"/>
    <w:rsid w:val="00934DFE"/>
    <w:rsid w:val="009359A0"/>
    <w:rsid w:val="00935E49"/>
    <w:rsid w:val="00936C8E"/>
    <w:rsid w:val="00940915"/>
    <w:rsid w:val="00940F62"/>
    <w:rsid w:val="0094120F"/>
    <w:rsid w:val="00941596"/>
    <w:rsid w:val="009419C1"/>
    <w:rsid w:val="00941EDB"/>
    <w:rsid w:val="009421AF"/>
    <w:rsid w:val="009460E6"/>
    <w:rsid w:val="00950785"/>
    <w:rsid w:val="00950B24"/>
    <w:rsid w:val="00950B53"/>
    <w:rsid w:val="009525D1"/>
    <w:rsid w:val="00952ACB"/>
    <w:rsid w:val="00952BD9"/>
    <w:rsid w:val="0095305A"/>
    <w:rsid w:val="009545F8"/>
    <w:rsid w:val="00954E7C"/>
    <w:rsid w:val="00956358"/>
    <w:rsid w:val="00956D76"/>
    <w:rsid w:val="00957341"/>
    <w:rsid w:val="009606E7"/>
    <w:rsid w:val="0096159B"/>
    <w:rsid w:val="00961694"/>
    <w:rsid w:val="00962F5C"/>
    <w:rsid w:val="00964A31"/>
    <w:rsid w:val="00965151"/>
    <w:rsid w:val="00967B81"/>
    <w:rsid w:val="00970CFB"/>
    <w:rsid w:val="00971E7C"/>
    <w:rsid w:val="00972BF2"/>
    <w:rsid w:val="00973075"/>
    <w:rsid w:val="009737FC"/>
    <w:rsid w:val="00973BE6"/>
    <w:rsid w:val="0097436A"/>
    <w:rsid w:val="00974E4B"/>
    <w:rsid w:val="00974E60"/>
    <w:rsid w:val="0097753B"/>
    <w:rsid w:val="00977AE7"/>
    <w:rsid w:val="009806E7"/>
    <w:rsid w:val="00982407"/>
    <w:rsid w:val="00982B27"/>
    <w:rsid w:val="00983FC5"/>
    <w:rsid w:val="00986974"/>
    <w:rsid w:val="00986B52"/>
    <w:rsid w:val="009927E5"/>
    <w:rsid w:val="009927E6"/>
    <w:rsid w:val="0099345A"/>
    <w:rsid w:val="00994149"/>
    <w:rsid w:val="009947D7"/>
    <w:rsid w:val="00994C17"/>
    <w:rsid w:val="0099564B"/>
    <w:rsid w:val="009966AA"/>
    <w:rsid w:val="00996B9D"/>
    <w:rsid w:val="00996FC1"/>
    <w:rsid w:val="009A1897"/>
    <w:rsid w:val="009A2625"/>
    <w:rsid w:val="009A3FC1"/>
    <w:rsid w:val="009A47C7"/>
    <w:rsid w:val="009A5D0A"/>
    <w:rsid w:val="009A67A0"/>
    <w:rsid w:val="009A6AA6"/>
    <w:rsid w:val="009B0961"/>
    <w:rsid w:val="009B11A3"/>
    <w:rsid w:val="009B1535"/>
    <w:rsid w:val="009B34C8"/>
    <w:rsid w:val="009B35B4"/>
    <w:rsid w:val="009B3E30"/>
    <w:rsid w:val="009B460A"/>
    <w:rsid w:val="009B5D17"/>
    <w:rsid w:val="009B61AE"/>
    <w:rsid w:val="009B6763"/>
    <w:rsid w:val="009B74F2"/>
    <w:rsid w:val="009C066F"/>
    <w:rsid w:val="009C08E2"/>
    <w:rsid w:val="009C0AB8"/>
    <w:rsid w:val="009C0D31"/>
    <w:rsid w:val="009C20D9"/>
    <w:rsid w:val="009C4906"/>
    <w:rsid w:val="009C6570"/>
    <w:rsid w:val="009C68F5"/>
    <w:rsid w:val="009C79AC"/>
    <w:rsid w:val="009C7E38"/>
    <w:rsid w:val="009D15BC"/>
    <w:rsid w:val="009D2C24"/>
    <w:rsid w:val="009D368E"/>
    <w:rsid w:val="009D3955"/>
    <w:rsid w:val="009D4391"/>
    <w:rsid w:val="009D4392"/>
    <w:rsid w:val="009D6F83"/>
    <w:rsid w:val="009D773B"/>
    <w:rsid w:val="009E088F"/>
    <w:rsid w:val="009E1625"/>
    <w:rsid w:val="009E256F"/>
    <w:rsid w:val="009E2FD2"/>
    <w:rsid w:val="009E33C2"/>
    <w:rsid w:val="009E3ACC"/>
    <w:rsid w:val="009E58C4"/>
    <w:rsid w:val="009E5D20"/>
    <w:rsid w:val="009E5EDD"/>
    <w:rsid w:val="009E6D12"/>
    <w:rsid w:val="009E7393"/>
    <w:rsid w:val="009F0CDA"/>
    <w:rsid w:val="009F19D5"/>
    <w:rsid w:val="009F2732"/>
    <w:rsid w:val="009F2BBD"/>
    <w:rsid w:val="009F32DC"/>
    <w:rsid w:val="009F3823"/>
    <w:rsid w:val="009F3A79"/>
    <w:rsid w:val="009F436B"/>
    <w:rsid w:val="009F511A"/>
    <w:rsid w:val="009F5C90"/>
    <w:rsid w:val="009F660A"/>
    <w:rsid w:val="009F69F8"/>
    <w:rsid w:val="009F6AB0"/>
    <w:rsid w:val="009F7C75"/>
    <w:rsid w:val="00A0184B"/>
    <w:rsid w:val="00A01A29"/>
    <w:rsid w:val="00A043C0"/>
    <w:rsid w:val="00A04D7C"/>
    <w:rsid w:val="00A06280"/>
    <w:rsid w:val="00A109CD"/>
    <w:rsid w:val="00A13476"/>
    <w:rsid w:val="00A1359C"/>
    <w:rsid w:val="00A1470D"/>
    <w:rsid w:val="00A15BDD"/>
    <w:rsid w:val="00A16C9E"/>
    <w:rsid w:val="00A16E6D"/>
    <w:rsid w:val="00A17E4F"/>
    <w:rsid w:val="00A20DED"/>
    <w:rsid w:val="00A21445"/>
    <w:rsid w:val="00A225B2"/>
    <w:rsid w:val="00A22826"/>
    <w:rsid w:val="00A22849"/>
    <w:rsid w:val="00A2392C"/>
    <w:rsid w:val="00A239D1"/>
    <w:rsid w:val="00A23A2D"/>
    <w:rsid w:val="00A23E33"/>
    <w:rsid w:val="00A24692"/>
    <w:rsid w:val="00A25388"/>
    <w:rsid w:val="00A260AE"/>
    <w:rsid w:val="00A27A3C"/>
    <w:rsid w:val="00A301C7"/>
    <w:rsid w:val="00A33034"/>
    <w:rsid w:val="00A33082"/>
    <w:rsid w:val="00A343E9"/>
    <w:rsid w:val="00A350DE"/>
    <w:rsid w:val="00A35C06"/>
    <w:rsid w:val="00A37078"/>
    <w:rsid w:val="00A406F0"/>
    <w:rsid w:val="00A41843"/>
    <w:rsid w:val="00A42DC3"/>
    <w:rsid w:val="00A43CBD"/>
    <w:rsid w:val="00A440E4"/>
    <w:rsid w:val="00A444A4"/>
    <w:rsid w:val="00A44997"/>
    <w:rsid w:val="00A46474"/>
    <w:rsid w:val="00A4759E"/>
    <w:rsid w:val="00A475A1"/>
    <w:rsid w:val="00A4764E"/>
    <w:rsid w:val="00A513AE"/>
    <w:rsid w:val="00A53304"/>
    <w:rsid w:val="00A53461"/>
    <w:rsid w:val="00A537A4"/>
    <w:rsid w:val="00A53A9C"/>
    <w:rsid w:val="00A53E0E"/>
    <w:rsid w:val="00A56657"/>
    <w:rsid w:val="00A57113"/>
    <w:rsid w:val="00A57429"/>
    <w:rsid w:val="00A6082F"/>
    <w:rsid w:val="00A62584"/>
    <w:rsid w:val="00A64070"/>
    <w:rsid w:val="00A64241"/>
    <w:rsid w:val="00A64899"/>
    <w:rsid w:val="00A66744"/>
    <w:rsid w:val="00A66A78"/>
    <w:rsid w:val="00A70313"/>
    <w:rsid w:val="00A73DA3"/>
    <w:rsid w:val="00A748E2"/>
    <w:rsid w:val="00A761DC"/>
    <w:rsid w:val="00A7697D"/>
    <w:rsid w:val="00A77AE2"/>
    <w:rsid w:val="00A80817"/>
    <w:rsid w:val="00A8350D"/>
    <w:rsid w:val="00A83FC8"/>
    <w:rsid w:val="00A85242"/>
    <w:rsid w:val="00A86859"/>
    <w:rsid w:val="00A869D0"/>
    <w:rsid w:val="00A9098E"/>
    <w:rsid w:val="00A90E0F"/>
    <w:rsid w:val="00A91062"/>
    <w:rsid w:val="00A917F5"/>
    <w:rsid w:val="00A92F53"/>
    <w:rsid w:val="00A95A89"/>
    <w:rsid w:val="00A95FE1"/>
    <w:rsid w:val="00A96430"/>
    <w:rsid w:val="00A9715F"/>
    <w:rsid w:val="00AA165A"/>
    <w:rsid w:val="00AA1CCD"/>
    <w:rsid w:val="00AA1DD7"/>
    <w:rsid w:val="00AA236A"/>
    <w:rsid w:val="00AA36FC"/>
    <w:rsid w:val="00AA3FB2"/>
    <w:rsid w:val="00AA7100"/>
    <w:rsid w:val="00AA75DD"/>
    <w:rsid w:val="00AB0330"/>
    <w:rsid w:val="00AB2819"/>
    <w:rsid w:val="00AB2A54"/>
    <w:rsid w:val="00AB2E44"/>
    <w:rsid w:val="00AB3793"/>
    <w:rsid w:val="00AB425E"/>
    <w:rsid w:val="00AB4265"/>
    <w:rsid w:val="00AB5147"/>
    <w:rsid w:val="00AB5EE6"/>
    <w:rsid w:val="00AB5F1E"/>
    <w:rsid w:val="00AB6E9B"/>
    <w:rsid w:val="00AB6F35"/>
    <w:rsid w:val="00AC0D3E"/>
    <w:rsid w:val="00AC13F9"/>
    <w:rsid w:val="00AC2033"/>
    <w:rsid w:val="00AC23CC"/>
    <w:rsid w:val="00AC24B5"/>
    <w:rsid w:val="00AC3849"/>
    <w:rsid w:val="00AC5682"/>
    <w:rsid w:val="00AC65DD"/>
    <w:rsid w:val="00AC7720"/>
    <w:rsid w:val="00AD19EC"/>
    <w:rsid w:val="00AD2EF3"/>
    <w:rsid w:val="00AD5890"/>
    <w:rsid w:val="00AD624B"/>
    <w:rsid w:val="00AE1E05"/>
    <w:rsid w:val="00AE29DA"/>
    <w:rsid w:val="00AE2CEE"/>
    <w:rsid w:val="00AE4F97"/>
    <w:rsid w:val="00AE5D44"/>
    <w:rsid w:val="00AE5EEB"/>
    <w:rsid w:val="00AE63FA"/>
    <w:rsid w:val="00AE6A66"/>
    <w:rsid w:val="00AE7DFB"/>
    <w:rsid w:val="00AF109D"/>
    <w:rsid w:val="00AF29A8"/>
    <w:rsid w:val="00AF3FCB"/>
    <w:rsid w:val="00AF4F3F"/>
    <w:rsid w:val="00AF4F6D"/>
    <w:rsid w:val="00B018BF"/>
    <w:rsid w:val="00B01AA4"/>
    <w:rsid w:val="00B01F9F"/>
    <w:rsid w:val="00B028F0"/>
    <w:rsid w:val="00B03A7B"/>
    <w:rsid w:val="00B04876"/>
    <w:rsid w:val="00B06DDC"/>
    <w:rsid w:val="00B07916"/>
    <w:rsid w:val="00B11B7C"/>
    <w:rsid w:val="00B1485A"/>
    <w:rsid w:val="00B153B7"/>
    <w:rsid w:val="00B15403"/>
    <w:rsid w:val="00B167F4"/>
    <w:rsid w:val="00B17756"/>
    <w:rsid w:val="00B21229"/>
    <w:rsid w:val="00B2127D"/>
    <w:rsid w:val="00B21962"/>
    <w:rsid w:val="00B2304E"/>
    <w:rsid w:val="00B234C2"/>
    <w:rsid w:val="00B24840"/>
    <w:rsid w:val="00B24AE8"/>
    <w:rsid w:val="00B25650"/>
    <w:rsid w:val="00B25E2B"/>
    <w:rsid w:val="00B26019"/>
    <w:rsid w:val="00B26A14"/>
    <w:rsid w:val="00B31044"/>
    <w:rsid w:val="00B3109C"/>
    <w:rsid w:val="00B31F42"/>
    <w:rsid w:val="00B328AE"/>
    <w:rsid w:val="00B35774"/>
    <w:rsid w:val="00B35B0A"/>
    <w:rsid w:val="00B36A73"/>
    <w:rsid w:val="00B3754B"/>
    <w:rsid w:val="00B377CE"/>
    <w:rsid w:val="00B4044B"/>
    <w:rsid w:val="00B4059D"/>
    <w:rsid w:val="00B41648"/>
    <w:rsid w:val="00B4312B"/>
    <w:rsid w:val="00B43AC4"/>
    <w:rsid w:val="00B4400B"/>
    <w:rsid w:val="00B44216"/>
    <w:rsid w:val="00B44313"/>
    <w:rsid w:val="00B449CF"/>
    <w:rsid w:val="00B46A15"/>
    <w:rsid w:val="00B46CD8"/>
    <w:rsid w:val="00B477E8"/>
    <w:rsid w:val="00B5018C"/>
    <w:rsid w:val="00B508F6"/>
    <w:rsid w:val="00B5582A"/>
    <w:rsid w:val="00B55956"/>
    <w:rsid w:val="00B55ECB"/>
    <w:rsid w:val="00B55EDB"/>
    <w:rsid w:val="00B562B4"/>
    <w:rsid w:val="00B57076"/>
    <w:rsid w:val="00B61F11"/>
    <w:rsid w:val="00B62DD0"/>
    <w:rsid w:val="00B6325B"/>
    <w:rsid w:val="00B63BB1"/>
    <w:rsid w:val="00B646E2"/>
    <w:rsid w:val="00B67508"/>
    <w:rsid w:val="00B7101D"/>
    <w:rsid w:val="00B71074"/>
    <w:rsid w:val="00B723D9"/>
    <w:rsid w:val="00B74AF9"/>
    <w:rsid w:val="00B75F16"/>
    <w:rsid w:val="00B77EBE"/>
    <w:rsid w:val="00B81C46"/>
    <w:rsid w:val="00B85B1F"/>
    <w:rsid w:val="00B85C96"/>
    <w:rsid w:val="00B85D21"/>
    <w:rsid w:val="00B86C71"/>
    <w:rsid w:val="00B90557"/>
    <w:rsid w:val="00B93397"/>
    <w:rsid w:val="00B942F2"/>
    <w:rsid w:val="00B94EB8"/>
    <w:rsid w:val="00B95A24"/>
    <w:rsid w:val="00B96DB9"/>
    <w:rsid w:val="00B97480"/>
    <w:rsid w:val="00BA0F9F"/>
    <w:rsid w:val="00BA1603"/>
    <w:rsid w:val="00BA1B07"/>
    <w:rsid w:val="00BA251A"/>
    <w:rsid w:val="00BA2605"/>
    <w:rsid w:val="00BA31C5"/>
    <w:rsid w:val="00BA3A0D"/>
    <w:rsid w:val="00BA4583"/>
    <w:rsid w:val="00BA51FE"/>
    <w:rsid w:val="00BA561B"/>
    <w:rsid w:val="00BA59FE"/>
    <w:rsid w:val="00BA5C90"/>
    <w:rsid w:val="00BA6295"/>
    <w:rsid w:val="00BA6496"/>
    <w:rsid w:val="00BA6721"/>
    <w:rsid w:val="00BB1638"/>
    <w:rsid w:val="00BB1EC7"/>
    <w:rsid w:val="00BB2A22"/>
    <w:rsid w:val="00BB2D64"/>
    <w:rsid w:val="00BB2FE5"/>
    <w:rsid w:val="00BB353A"/>
    <w:rsid w:val="00BB3E9E"/>
    <w:rsid w:val="00BB447B"/>
    <w:rsid w:val="00BB51E3"/>
    <w:rsid w:val="00BB56D4"/>
    <w:rsid w:val="00BB5A95"/>
    <w:rsid w:val="00BB6CA7"/>
    <w:rsid w:val="00BC1181"/>
    <w:rsid w:val="00BC1DCE"/>
    <w:rsid w:val="00BC1FDF"/>
    <w:rsid w:val="00BC2173"/>
    <w:rsid w:val="00BC290C"/>
    <w:rsid w:val="00BC2F1C"/>
    <w:rsid w:val="00BC33EB"/>
    <w:rsid w:val="00BC37B1"/>
    <w:rsid w:val="00BC4790"/>
    <w:rsid w:val="00BC654A"/>
    <w:rsid w:val="00BC773D"/>
    <w:rsid w:val="00BC7E7D"/>
    <w:rsid w:val="00BD1471"/>
    <w:rsid w:val="00BD1615"/>
    <w:rsid w:val="00BD257D"/>
    <w:rsid w:val="00BD25FD"/>
    <w:rsid w:val="00BD30A3"/>
    <w:rsid w:val="00BD38DA"/>
    <w:rsid w:val="00BD56EE"/>
    <w:rsid w:val="00BD5CAB"/>
    <w:rsid w:val="00BD6484"/>
    <w:rsid w:val="00BD64C2"/>
    <w:rsid w:val="00BD69A1"/>
    <w:rsid w:val="00BD740A"/>
    <w:rsid w:val="00BE005D"/>
    <w:rsid w:val="00BE027C"/>
    <w:rsid w:val="00BE1318"/>
    <w:rsid w:val="00BE1BE2"/>
    <w:rsid w:val="00BE3DAC"/>
    <w:rsid w:val="00BE4DE2"/>
    <w:rsid w:val="00BE5484"/>
    <w:rsid w:val="00BE678A"/>
    <w:rsid w:val="00BE7A9D"/>
    <w:rsid w:val="00BE7E44"/>
    <w:rsid w:val="00BF0008"/>
    <w:rsid w:val="00BF0B7D"/>
    <w:rsid w:val="00BF15BB"/>
    <w:rsid w:val="00BF1AE6"/>
    <w:rsid w:val="00BF1D7E"/>
    <w:rsid w:val="00BF1F00"/>
    <w:rsid w:val="00BF2417"/>
    <w:rsid w:val="00BF2810"/>
    <w:rsid w:val="00BF2BBA"/>
    <w:rsid w:val="00BF2C4D"/>
    <w:rsid w:val="00BF2EB9"/>
    <w:rsid w:val="00BF319B"/>
    <w:rsid w:val="00BF3E6F"/>
    <w:rsid w:val="00BF4401"/>
    <w:rsid w:val="00BF463D"/>
    <w:rsid w:val="00BF4776"/>
    <w:rsid w:val="00BF49A9"/>
    <w:rsid w:val="00BF5760"/>
    <w:rsid w:val="00BF62E8"/>
    <w:rsid w:val="00BF7085"/>
    <w:rsid w:val="00C011DF"/>
    <w:rsid w:val="00C011F6"/>
    <w:rsid w:val="00C01AD1"/>
    <w:rsid w:val="00C01BBE"/>
    <w:rsid w:val="00C0300B"/>
    <w:rsid w:val="00C034B5"/>
    <w:rsid w:val="00C03C3C"/>
    <w:rsid w:val="00C0584C"/>
    <w:rsid w:val="00C10099"/>
    <w:rsid w:val="00C1089C"/>
    <w:rsid w:val="00C11C45"/>
    <w:rsid w:val="00C11C48"/>
    <w:rsid w:val="00C11FDE"/>
    <w:rsid w:val="00C14D44"/>
    <w:rsid w:val="00C15197"/>
    <w:rsid w:val="00C15671"/>
    <w:rsid w:val="00C16A58"/>
    <w:rsid w:val="00C1765C"/>
    <w:rsid w:val="00C17DEE"/>
    <w:rsid w:val="00C207A1"/>
    <w:rsid w:val="00C215A7"/>
    <w:rsid w:val="00C216DE"/>
    <w:rsid w:val="00C22BDA"/>
    <w:rsid w:val="00C22C0E"/>
    <w:rsid w:val="00C24292"/>
    <w:rsid w:val="00C242E4"/>
    <w:rsid w:val="00C24656"/>
    <w:rsid w:val="00C26B4D"/>
    <w:rsid w:val="00C26F0A"/>
    <w:rsid w:val="00C276E3"/>
    <w:rsid w:val="00C31353"/>
    <w:rsid w:val="00C31467"/>
    <w:rsid w:val="00C318F1"/>
    <w:rsid w:val="00C32581"/>
    <w:rsid w:val="00C33B4F"/>
    <w:rsid w:val="00C33E54"/>
    <w:rsid w:val="00C354B4"/>
    <w:rsid w:val="00C35732"/>
    <w:rsid w:val="00C36250"/>
    <w:rsid w:val="00C37516"/>
    <w:rsid w:val="00C37808"/>
    <w:rsid w:val="00C379DE"/>
    <w:rsid w:val="00C4010B"/>
    <w:rsid w:val="00C41092"/>
    <w:rsid w:val="00C41B39"/>
    <w:rsid w:val="00C41C44"/>
    <w:rsid w:val="00C42AF3"/>
    <w:rsid w:val="00C44894"/>
    <w:rsid w:val="00C45BF6"/>
    <w:rsid w:val="00C45CB9"/>
    <w:rsid w:val="00C45FDA"/>
    <w:rsid w:val="00C4634D"/>
    <w:rsid w:val="00C46C60"/>
    <w:rsid w:val="00C47AFB"/>
    <w:rsid w:val="00C47CF7"/>
    <w:rsid w:val="00C506B2"/>
    <w:rsid w:val="00C506F9"/>
    <w:rsid w:val="00C5105D"/>
    <w:rsid w:val="00C51CC3"/>
    <w:rsid w:val="00C5220D"/>
    <w:rsid w:val="00C538AA"/>
    <w:rsid w:val="00C57E62"/>
    <w:rsid w:val="00C614AF"/>
    <w:rsid w:val="00C61D95"/>
    <w:rsid w:val="00C61E90"/>
    <w:rsid w:val="00C626A9"/>
    <w:rsid w:val="00C62E9B"/>
    <w:rsid w:val="00C6500D"/>
    <w:rsid w:val="00C668F8"/>
    <w:rsid w:val="00C6753D"/>
    <w:rsid w:val="00C7193E"/>
    <w:rsid w:val="00C71ACD"/>
    <w:rsid w:val="00C75B08"/>
    <w:rsid w:val="00C774C6"/>
    <w:rsid w:val="00C8197E"/>
    <w:rsid w:val="00C82906"/>
    <w:rsid w:val="00C82A51"/>
    <w:rsid w:val="00C82AFB"/>
    <w:rsid w:val="00C84CF4"/>
    <w:rsid w:val="00C85CB7"/>
    <w:rsid w:val="00C8637A"/>
    <w:rsid w:val="00C901B8"/>
    <w:rsid w:val="00C90280"/>
    <w:rsid w:val="00C918CE"/>
    <w:rsid w:val="00C91F76"/>
    <w:rsid w:val="00C9344C"/>
    <w:rsid w:val="00C939F8"/>
    <w:rsid w:val="00C94A3B"/>
    <w:rsid w:val="00CA0D84"/>
    <w:rsid w:val="00CA1D06"/>
    <w:rsid w:val="00CA217E"/>
    <w:rsid w:val="00CA23A7"/>
    <w:rsid w:val="00CA378A"/>
    <w:rsid w:val="00CA3E6E"/>
    <w:rsid w:val="00CA406F"/>
    <w:rsid w:val="00CA4261"/>
    <w:rsid w:val="00CA68E7"/>
    <w:rsid w:val="00CA7DB5"/>
    <w:rsid w:val="00CA7E6A"/>
    <w:rsid w:val="00CB06E2"/>
    <w:rsid w:val="00CB1D65"/>
    <w:rsid w:val="00CB2D0F"/>
    <w:rsid w:val="00CB3018"/>
    <w:rsid w:val="00CB3AB8"/>
    <w:rsid w:val="00CB42C3"/>
    <w:rsid w:val="00CB4A6B"/>
    <w:rsid w:val="00CB681D"/>
    <w:rsid w:val="00CB7C49"/>
    <w:rsid w:val="00CC1764"/>
    <w:rsid w:val="00CC1F19"/>
    <w:rsid w:val="00CC296C"/>
    <w:rsid w:val="00CC4791"/>
    <w:rsid w:val="00CC6609"/>
    <w:rsid w:val="00CC7AAC"/>
    <w:rsid w:val="00CD0692"/>
    <w:rsid w:val="00CD0BC4"/>
    <w:rsid w:val="00CD2C68"/>
    <w:rsid w:val="00CD42A5"/>
    <w:rsid w:val="00CD54CD"/>
    <w:rsid w:val="00CD5ED4"/>
    <w:rsid w:val="00CD5FCE"/>
    <w:rsid w:val="00CD658A"/>
    <w:rsid w:val="00CD680A"/>
    <w:rsid w:val="00CD7E8E"/>
    <w:rsid w:val="00CE1827"/>
    <w:rsid w:val="00CE1C43"/>
    <w:rsid w:val="00CE1F9E"/>
    <w:rsid w:val="00CE2A12"/>
    <w:rsid w:val="00CE3226"/>
    <w:rsid w:val="00CE343E"/>
    <w:rsid w:val="00CE36CB"/>
    <w:rsid w:val="00CE4A10"/>
    <w:rsid w:val="00CE56AC"/>
    <w:rsid w:val="00CE6515"/>
    <w:rsid w:val="00CE77B2"/>
    <w:rsid w:val="00CF1E71"/>
    <w:rsid w:val="00CF362B"/>
    <w:rsid w:val="00CF5747"/>
    <w:rsid w:val="00CF6694"/>
    <w:rsid w:val="00CF761E"/>
    <w:rsid w:val="00D00CB0"/>
    <w:rsid w:val="00D01B48"/>
    <w:rsid w:val="00D031F5"/>
    <w:rsid w:val="00D035B7"/>
    <w:rsid w:val="00D037C3"/>
    <w:rsid w:val="00D03956"/>
    <w:rsid w:val="00D06D80"/>
    <w:rsid w:val="00D0741E"/>
    <w:rsid w:val="00D11912"/>
    <w:rsid w:val="00D11978"/>
    <w:rsid w:val="00D159EA"/>
    <w:rsid w:val="00D1767F"/>
    <w:rsid w:val="00D17ECE"/>
    <w:rsid w:val="00D21B4A"/>
    <w:rsid w:val="00D22019"/>
    <w:rsid w:val="00D2277D"/>
    <w:rsid w:val="00D23951"/>
    <w:rsid w:val="00D24F15"/>
    <w:rsid w:val="00D254E8"/>
    <w:rsid w:val="00D26E8A"/>
    <w:rsid w:val="00D3097C"/>
    <w:rsid w:val="00D31E4A"/>
    <w:rsid w:val="00D32742"/>
    <w:rsid w:val="00D344DF"/>
    <w:rsid w:val="00D34892"/>
    <w:rsid w:val="00D349BA"/>
    <w:rsid w:val="00D35574"/>
    <w:rsid w:val="00D36C75"/>
    <w:rsid w:val="00D448A2"/>
    <w:rsid w:val="00D44F56"/>
    <w:rsid w:val="00D4508B"/>
    <w:rsid w:val="00D45BC7"/>
    <w:rsid w:val="00D461D9"/>
    <w:rsid w:val="00D50554"/>
    <w:rsid w:val="00D51060"/>
    <w:rsid w:val="00D514AF"/>
    <w:rsid w:val="00D530D4"/>
    <w:rsid w:val="00D53647"/>
    <w:rsid w:val="00D551C2"/>
    <w:rsid w:val="00D561B8"/>
    <w:rsid w:val="00D576D6"/>
    <w:rsid w:val="00D60BF0"/>
    <w:rsid w:val="00D61748"/>
    <w:rsid w:val="00D61B91"/>
    <w:rsid w:val="00D62B78"/>
    <w:rsid w:val="00D644FC"/>
    <w:rsid w:val="00D647E1"/>
    <w:rsid w:val="00D65555"/>
    <w:rsid w:val="00D661E4"/>
    <w:rsid w:val="00D70461"/>
    <w:rsid w:val="00D70C00"/>
    <w:rsid w:val="00D71639"/>
    <w:rsid w:val="00D72A6E"/>
    <w:rsid w:val="00D72E30"/>
    <w:rsid w:val="00D73B0D"/>
    <w:rsid w:val="00D73C4A"/>
    <w:rsid w:val="00D7448B"/>
    <w:rsid w:val="00D750EC"/>
    <w:rsid w:val="00D7582B"/>
    <w:rsid w:val="00D75D93"/>
    <w:rsid w:val="00D76DE4"/>
    <w:rsid w:val="00D76FD2"/>
    <w:rsid w:val="00D77D3D"/>
    <w:rsid w:val="00D81A04"/>
    <w:rsid w:val="00D834D2"/>
    <w:rsid w:val="00D837CB"/>
    <w:rsid w:val="00D84307"/>
    <w:rsid w:val="00D852EA"/>
    <w:rsid w:val="00D85867"/>
    <w:rsid w:val="00D8627D"/>
    <w:rsid w:val="00D86ECC"/>
    <w:rsid w:val="00D908C6"/>
    <w:rsid w:val="00D9143C"/>
    <w:rsid w:val="00D919DB"/>
    <w:rsid w:val="00D920F2"/>
    <w:rsid w:val="00D924BD"/>
    <w:rsid w:val="00D9436C"/>
    <w:rsid w:val="00D94EB5"/>
    <w:rsid w:val="00D96185"/>
    <w:rsid w:val="00D97744"/>
    <w:rsid w:val="00D97E55"/>
    <w:rsid w:val="00DA2AC3"/>
    <w:rsid w:val="00DA4AF3"/>
    <w:rsid w:val="00DA4C18"/>
    <w:rsid w:val="00DA4D73"/>
    <w:rsid w:val="00DA6479"/>
    <w:rsid w:val="00DA70FF"/>
    <w:rsid w:val="00DB07D7"/>
    <w:rsid w:val="00DB1B37"/>
    <w:rsid w:val="00DB1BCD"/>
    <w:rsid w:val="00DB2380"/>
    <w:rsid w:val="00DB4B42"/>
    <w:rsid w:val="00DB642B"/>
    <w:rsid w:val="00DB7C58"/>
    <w:rsid w:val="00DC425E"/>
    <w:rsid w:val="00DC4877"/>
    <w:rsid w:val="00DC6318"/>
    <w:rsid w:val="00DC6E18"/>
    <w:rsid w:val="00DD0FDD"/>
    <w:rsid w:val="00DD18C2"/>
    <w:rsid w:val="00DD1B94"/>
    <w:rsid w:val="00DD1D88"/>
    <w:rsid w:val="00DD332F"/>
    <w:rsid w:val="00DD443C"/>
    <w:rsid w:val="00DD45D8"/>
    <w:rsid w:val="00DD4C6C"/>
    <w:rsid w:val="00DD6F4D"/>
    <w:rsid w:val="00DD6F69"/>
    <w:rsid w:val="00DD6FD7"/>
    <w:rsid w:val="00DD7323"/>
    <w:rsid w:val="00DD778E"/>
    <w:rsid w:val="00DE309C"/>
    <w:rsid w:val="00DE4143"/>
    <w:rsid w:val="00DE4D50"/>
    <w:rsid w:val="00DE7D47"/>
    <w:rsid w:val="00DE7E4D"/>
    <w:rsid w:val="00DF010F"/>
    <w:rsid w:val="00DF10CA"/>
    <w:rsid w:val="00DF1601"/>
    <w:rsid w:val="00DF3CB3"/>
    <w:rsid w:val="00DF5486"/>
    <w:rsid w:val="00DF68C6"/>
    <w:rsid w:val="00E0245B"/>
    <w:rsid w:val="00E02545"/>
    <w:rsid w:val="00E03390"/>
    <w:rsid w:val="00E035B2"/>
    <w:rsid w:val="00E05908"/>
    <w:rsid w:val="00E065F2"/>
    <w:rsid w:val="00E07089"/>
    <w:rsid w:val="00E0773F"/>
    <w:rsid w:val="00E1039B"/>
    <w:rsid w:val="00E11018"/>
    <w:rsid w:val="00E117FB"/>
    <w:rsid w:val="00E12827"/>
    <w:rsid w:val="00E12D56"/>
    <w:rsid w:val="00E12E7D"/>
    <w:rsid w:val="00E15331"/>
    <w:rsid w:val="00E15625"/>
    <w:rsid w:val="00E15A17"/>
    <w:rsid w:val="00E15F9C"/>
    <w:rsid w:val="00E16807"/>
    <w:rsid w:val="00E23F23"/>
    <w:rsid w:val="00E240D5"/>
    <w:rsid w:val="00E248B4"/>
    <w:rsid w:val="00E24D29"/>
    <w:rsid w:val="00E24E87"/>
    <w:rsid w:val="00E32939"/>
    <w:rsid w:val="00E347F0"/>
    <w:rsid w:val="00E356AA"/>
    <w:rsid w:val="00E3600F"/>
    <w:rsid w:val="00E370FF"/>
    <w:rsid w:val="00E40771"/>
    <w:rsid w:val="00E40D4E"/>
    <w:rsid w:val="00E40EFD"/>
    <w:rsid w:val="00E4182F"/>
    <w:rsid w:val="00E424C5"/>
    <w:rsid w:val="00E429F4"/>
    <w:rsid w:val="00E43378"/>
    <w:rsid w:val="00E43896"/>
    <w:rsid w:val="00E43A55"/>
    <w:rsid w:val="00E4526B"/>
    <w:rsid w:val="00E46108"/>
    <w:rsid w:val="00E46BAD"/>
    <w:rsid w:val="00E509ED"/>
    <w:rsid w:val="00E521C4"/>
    <w:rsid w:val="00E539BC"/>
    <w:rsid w:val="00E539CC"/>
    <w:rsid w:val="00E53D47"/>
    <w:rsid w:val="00E56513"/>
    <w:rsid w:val="00E56D2F"/>
    <w:rsid w:val="00E57E20"/>
    <w:rsid w:val="00E603AD"/>
    <w:rsid w:val="00E61DCD"/>
    <w:rsid w:val="00E64D0A"/>
    <w:rsid w:val="00E65981"/>
    <w:rsid w:val="00E66D83"/>
    <w:rsid w:val="00E71371"/>
    <w:rsid w:val="00E73FA3"/>
    <w:rsid w:val="00E7409C"/>
    <w:rsid w:val="00E748BD"/>
    <w:rsid w:val="00E74999"/>
    <w:rsid w:val="00E76694"/>
    <w:rsid w:val="00E76D64"/>
    <w:rsid w:val="00E76EDE"/>
    <w:rsid w:val="00E76F2D"/>
    <w:rsid w:val="00E76F88"/>
    <w:rsid w:val="00E800DA"/>
    <w:rsid w:val="00E80D8B"/>
    <w:rsid w:val="00E80F5B"/>
    <w:rsid w:val="00E81757"/>
    <w:rsid w:val="00E820D4"/>
    <w:rsid w:val="00E85C93"/>
    <w:rsid w:val="00E86A36"/>
    <w:rsid w:val="00E86C5F"/>
    <w:rsid w:val="00E87C9C"/>
    <w:rsid w:val="00E90BC5"/>
    <w:rsid w:val="00E91534"/>
    <w:rsid w:val="00E91FC4"/>
    <w:rsid w:val="00E92861"/>
    <w:rsid w:val="00E939B2"/>
    <w:rsid w:val="00E93E44"/>
    <w:rsid w:val="00E955A0"/>
    <w:rsid w:val="00E95797"/>
    <w:rsid w:val="00E95D32"/>
    <w:rsid w:val="00E963F3"/>
    <w:rsid w:val="00E963F7"/>
    <w:rsid w:val="00E966B0"/>
    <w:rsid w:val="00E96C79"/>
    <w:rsid w:val="00E97A6A"/>
    <w:rsid w:val="00EA0770"/>
    <w:rsid w:val="00EA081F"/>
    <w:rsid w:val="00EA0E0B"/>
    <w:rsid w:val="00EA1C50"/>
    <w:rsid w:val="00EA216D"/>
    <w:rsid w:val="00EA607F"/>
    <w:rsid w:val="00EA6BC9"/>
    <w:rsid w:val="00EA7237"/>
    <w:rsid w:val="00EA7D9E"/>
    <w:rsid w:val="00EB0228"/>
    <w:rsid w:val="00EB049E"/>
    <w:rsid w:val="00EB0A47"/>
    <w:rsid w:val="00EB0B84"/>
    <w:rsid w:val="00EB37F6"/>
    <w:rsid w:val="00EB7E8E"/>
    <w:rsid w:val="00EC03A7"/>
    <w:rsid w:val="00EC656D"/>
    <w:rsid w:val="00EC6F3C"/>
    <w:rsid w:val="00EC74FE"/>
    <w:rsid w:val="00EC754E"/>
    <w:rsid w:val="00EC764F"/>
    <w:rsid w:val="00ED0498"/>
    <w:rsid w:val="00ED1AA2"/>
    <w:rsid w:val="00ED4C32"/>
    <w:rsid w:val="00ED506F"/>
    <w:rsid w:val="00ED5385"/>
    <w:rsid w:val="00ED53E2"/>
    <w:rsid w:val="00ED5BA1"/>
    <w:rsid w:val="00ED5F4B"/>
    <w:rsid w:val="00ED74C6"/>
    <w:rsid w:val="00ED77EF"/>
    <w:rsid w:val="00ED79FA"/>
    <w:rsid w:val="00EE0D5E"/>
    <w:rsid w:val="00EE1D61"/>
    <w:rsid w:val="00EE2001"/>
    <w:rsid w:val="00EE311E"/>
    <w:rsid w:val="00EE4487"/>
    <w:rsid w:val="00EE4B69"/>
    <w:rsid w:val="00EE6990"/>
    <w:rsid w:val="00EF07A3"/>
    <w:rsid w:val="00EF093A"/>
    <w:rsid w:val="00EF0DA0"/>
    <w:rsid w:val="00EF29E3"/>
    <w:rsid w:val="00EF2A9B"/>
    <w:rsid w:val="00EF2ABB"/>
    <w:rsid w:val="00EF4A7D"/>
    <w:rsid w:val="00EF4B16"/>
    <w:rsid w:val="00EF4CD3"/>
    <w:rsid w:val="00EF4D3F"/>
    <w:rsid w:val="00EF6AD5"/>
    <w:rsid w:val="00EF7E99"/>
    <w:rsid w:val="00F040E5"/>
    <w:rsid w:val="00F041FD"/>
    <w:rsid w:val="00F05169"/>
    <w:rsid w:val="00F052B4"/>
    <w:rsid w:val="00F05339"/>
    <w:rsid w:val="00F06962"/>
    <w:rsid w:val="00F06DBD"/>
    <w:rsid w:val="00F06E60"/>
    <w:rsid w:val="00F079C0"/>
    <w:rsid w:val="00F10A08"/>
    <w:rsid w:val="00F10B16"/>
    <w:rsid w:val="00F10B88"/>
    <w:rsid w:val="00F124F6"/>
    <w:rsid w:val="00F13FB8"/>
    <w:rsid w:val="00F14112"/>
    <w:rsid w:val="00F15A7B"/>
    <w:rsid w:val="00F16D39"/>
    <w:rsid w:val="00F20613"/>
    <w:rsid w:val="00F21C4D"/>
    <w:rsid w:val="00F229B0"/>
    <w:rsid w:val="00F24686"/>
    <w:rsid w:val="00F26440"/>
    <w:rsid w:val="00F26C4C"/>
    <w:rsid w:val="00F27DF7"/>
    <w:rsid w:val="00F3180B"/>
    <w:rsid w:val="00F32760"/>
    <w:rsid w:val="00F33A1B"/>
    <w:rsid w:val="00F33FF3"/>
    <w:rsid w:val="00F34BDA"/>
    <w:rsid w:val="00F354B2"/>
    <w:rsid w:val="00F357A5"/>
    <w:rsid w:val="00F362EF"/>
    <w:rsid w:val="00F3656B"/>
    <w:rsid w:val="00F3728A"/>
    <w:rsid w:val="00F37CFC"/>
    <w:rsid w:val="00F404AF"/>
    <w:rsid w:val="00F405F4"/>
    <w:rsid w:val="00F40E87"/>
    <w:rsid w:val="00F40FC8"/>
    <w:rsid w:val="00F41398"/>
    <w:rsid w:val="00F428BE"/>
    <w:rsid w:val="00F44368"/>
    <w:rsid w:val="00F468EE"/>
    <w:rsid w:val="00F46B47"/>
    <w:rsid w:val="00F46F12"/>
    <w:rsid w:val="00F47219"/>
    <w:rsid w:val="00F47DAB"/>
    <w:rsid w:val="00F511A0"/>
    <w:rsid w:val="00F5158F"/>
    <w:rsid w:val="00F52B5A"/>
    <w:rsid w:val="00F5314C"/>
    <w:rsid w:val="00F536DF"/>
    <w:rsid w:val="00F53AF7"/>
    <w:rsid w:val="00F546E8"/>
    <w:rsid w:val="00F56D34"/>
    <w:rsid w:val="00F57A92"/>
    <w:rsid w:val="00F60C18"/>
    <w:rsid w:val="00F61D6A"/>
    <w:rsid w:val="00F61E7A"/>
    <w:rsid w:val="00F62815"/>
    <w:rsid w:val="00F62EFD"/>
    <w:rsid w:val="00F63260"/>
    <w:rsid w:val="00F64078"/>
    <w:rsid w:val="00F670E5"/>
    <w:rsid w:val="00F67D42"/>
    <w:rsid w:val="00F67E55"/>
    <w:rsid w:val="00F703BB"/>
    <w:rsid w:val="00F719F3"/>
    <w:rsid w:val="00F71B12"/>
    <w:rsid w:val="00F71E0E"/>
    <w:rsid w:val="00F73795"/>
    <w:rsid w:val="00F74A5A"/>
    <w:rsid w:val="00F74E94"/>
    <w:rsid w:val="00F75C98"/>
    <w:rsid w:val="00F76556"/>
    <w:rsid w:val="00F76AA7"/>
    <w:rsid w:val="00F80CD9"/>
    <w:rsid w:val="00F8225D"/>
    <w:rsid w:val="00F83EDA"/>
    <w:rsid w:val="00F8419D"/>
    <w:rsid w:val="00F856A0"/>
    <w:rsid w:val="00F86D47"/>
    <w:rsid w:val="00F87A39"/>
    <w:rsid w:val="00F901AF"/>
    <w:rsid w:val="00F9070A"/>
    <w:rsid w:val="00F914F9"/>
    <w:rsid w:val="00F93581"/>
    <w:rsid w:val="00F9386E"/>
    <w:rsid w:val="00F93AE2"/>
    <w:rsid w:val="00F9470D"/>
    <w:rsid w:val="00F94A1E"/>
    <w:rsid w:val="00F94A46"/>
    <w:rsid w:val="00F956EF"/>
    <w:rsid w:val="00FA2AF6"/>
    <w:rsid w:val="00FA416D"/>
    <w:rsid w:val="00FA62E4"/>
    <w:rsid w:val="00FA6C78"/>
    <w:rsid w:val="00FA7222"/>
    <w:rsid w:val="00FA7ABB"/>
    <w:rsid w:val="00FA7CED"/>
    <w:rsid w:val="00FB0877"/>
    <w:rsid w:val="00FB0ED7"/>
    <w:rsid w:val="00FB16E1"/>
    <w:rsid w:val="00FB2778"/>
    <w:rsid w:val="00FB280D"/>
    <w:rsid w:val="00FB3F6D"/>
    <w:rsid w:val="00FB6F5D"/>
    <w:rsid w:val="00FC0359"/>
    <w:rsid w:val="00FC0A75"/>
    <w:rsid w:val="00FC1136"/>
    <w:rsid w:val="00FC3336"/>
    <w:rsid w:val="00FC5AEA"/>
    <w:rsid w:val="00FC5F75"/>
    <w:rsid w:val="00FC69C6"/>
    <w:rsid w:val="00FC6B8E"/>
    <w:rsid w:val="00FC7020"/>
    <w:rsid w:val="00FC7591"/>
    <w:rsid w:val="00FD13E7"/>
    <w:rsid w:val="00FD1C15"/>
    <w:rsid w:val="00FD277F"/>
    <w:rsid w:val="00FD5BBB"/>
    <w:rsid w:val="00FD6815"/>
    <w:rsid w:val="00FD6ADE"/>
    <w:rsid w:val="00FD74C5"/>
    <w:rsid w:val="00FD7609"/>
    <w:rsid w:val="00FD7CBA"/>
    <w:rsid w:val="00FE0969"/>
    <w:rsid w:val="00FE09F7"/>
    <w:rsid w:val="00FE12AC"/>
    <w:rsid w:val="00FE2061"/>
    <w:rsid w:val="00FE2580"/>
    <w:rsid w:val="00FE55C5"/>
    <w:rsid w:val="00FE5E3A"/>
    <w:rsid w:val="00FE6DBD"/>
    <w:rsid w:val="00FE7D91"/>
    <w:rsid w:val="00FF0BB2"/>
    <w:rsid w:val="00FF107A"/>
    <w:rsid w:val="00FF1A35"/>
    <w:rsid w:val="00FF1E66"/>
    <w:rsid w:val="00FF2563"/>
    <w:rsid w:val="00FF2DFE"/>
    <w:rsid w:val="00FF2F5D"/>
    <w:rsid w:val="00FF30C9"/>
    <w:rsid w:val="00FF34D8"/>
    <w:rsid w:val="00FF3567"/>
    <w:rsid w:val="00FF43C2"/>
    <w:rsid w:val="00FF5D0A"/>
    <w:rsid w:val="00FF6119"/>
    <w:rsid w:val="00FF6B48"/>
    <w:rsid w:val="00FF7070"/>
    <w:rsid w:val="011C4D8A"/>
    <w:rsid w:val="012B0C1E"/>
    <w:rsid w:val="016C3D8E"/>
    <w:rsid w:val="01702D73"/>
    <w:rsid w:val="0174208A"/>
    <w:rsid w:val="0188685E"/>
    <w:rsid w:val="018D1B93"/>
    <w:rsid w:val="01A8450E"/>
    <w:rsid w:val="01BC1294"/>
    <w:rsid w:val="01C2207C"/>
    <w:rsid w:val="01C776E0"/>
    <w:rsid w:val="01CF13C4"/>
    <w:rsid w:val="01DB4E9F"/>
    <w:rsid w:val="01EB2BE1"/>
    <w:rsid w:val="02064BCD"/>
    <w:rsid w:val="02090068"/>
    <w:rsid w:val="02263C2A"/>
    <w:rsid w:val="02273298"/>
    <w:rsid w:val="023F3EF2"/>
    <w:rsid w:val="025B2DC4"/>
    <w:rsid w:val="02682FB0"/>
    <w:rsid w:val="02697A4B"/>
    <w:rsid w:val="027A6549"/>
    <w:rsid w:val="028A205E"/>
    <w:rsid w:val="029B3385"/>
    <w:rsid w:val="029E2BA4"/>
    <w:rsid w:val="029E662D"/>
    <w:rsid w:val="02BA4997"/>
    <w:rsid w:val="02C25610"/>
    <w:rsid w:val="02D931FC"/>
    <w:rsid w:val="02F0179C"/>
    <w:rsid w:val="02F405F4"/>
    <w:rsid w:val="030D3039"/>
    <w:rsid w:val="031239E5"/>
    <w:rsid w:val="03166EC9"/>
    <w:rsid w:val="031A3AA8"/>
    <w:rsid w:val="032300C2"/>
    <w:rsid w:val="033E39E2"/>
    <w:rsid w:val="03491CE5"/>
    <w:rsid w:val="035D0010"/>
    <w:rsid w:val="03621C97"/>
    <w:rsid w:val="0368271C"/>
    <w:rsid w:val="038208C8"/>
    <w:rsid w:val="03844A01"/>
    <w:rsid w:val="03C36F10"/>
    <w:rsid w:val="03C74DC2"/>
    <w:rsid w:val="03E624EB"/>
    <w:rsid w:val="03E80945"/>
    <w:rsid w:val="03E96C61"/>
    <w:rsid w:val="04075A39"/>
    <w:rsid w:val="040E47EE"/>
    <w:rsid w:val="041E40B7"/>
    <w:rsid w:val="042F09AF"/>
    <w:rsid w:val="04611A78"/>
    <w:rsid w:val="046D3876"/>
    <w:rsid w:val="04701B8C"/>
    <w:rsid w:val="04826287"/>
    <w:rsid w:val="04857980"/>
    <w:rsid w:val="04A24AA9"/>
    <w:rsid w:val="04B17104"/>
    <w:rsid w:val="04C51222"/>
    <w:rsid w:val="04D63E4A"/>
    <w:rsid w:val="04F06B51"/>
    <w:rsid w:val="04F811F7"/>
    <w:rsid w:val="052D3EE9"/>
    <w:rsid w:val="05351102"/>
    <w:rsid w:val="053E580B"/>
    <w:rsid w:val="05441E69"/>
    <w:rsid w:val="055D4726"/>
    <w:rsid w:val="05723253"/>
    <w:rsid w:val="05726DA2"/>
    <w:rsid w:val="05762920"/>
    <w:rsid w:val="0576360E"/>
    <w:rsid w:val="057E3893"/>
    <w:rsid w:val="05896DC4"/>
    <w:rsid w:val="058F7672"/>
    <w:rsid w:val="05AB4577"/>
    <w:rsid w:val="05B44425"/>
    <w:rsid w:val="05CF41D4"/>
    <w:rsid w:val="05D142B3"/>
    <w:rsid w:val="05DD5474"/>
    <w:rsid w:val="05E26410"/>
    <w:rsid w:val="05EE3B4E"/>
    <w:rsid w:val="06050737"/>
    <w:rsid w:val="060D2BB2"/>
    <w:rsid w:val="060F2BBF"/>
    <w:rsid w:val="0611431A"/>
    <w:rsid w:val="061F463E"/>
    <w:rsid w:val="062D3334"/>
    <w:rsid w:val="062E7477"/>
    <w:rsid w:val="06394F99"/>
    <w:rsid w:val="064047AA"/>
    <w:rsid w:val="066459AC"/>
    <w:rsid w:val="066525A4"/>
    <w:rsid w:val="06685DA0"/>
    <w:rsid w:val="066E5311"/>
    <w:rsid w:val="06757696"/>
    <w:rsid w:val="06763B4B"/>
    <w:rsid w:val="068151D0"/>
    <w:rsid w:val="06A94B4A"/>
    <w:rsid w:val="06AC7BDE"/>
    <w:rsid w:val="06B1626D"/>
    <w:rsid w:val="06CD0855"/>
    <w:rsid w:val="06F71148"/>
    <w:rsid w:val="06F72F04"/>
    <w:rsid w:val="06FD0DC2"/>
    <w:rsid w:val="070218EC"/>
    <w:rsid w:val="07180312"/>
    <w:rsid w:val="07183D02"/>
    <w:rsid w:val="071E3EF8"/>
    <w:rsid w:val="071F570D"/>
    <w:rsid w:val="073533AD"/>
    <w:rsid w:val="07476DC8"/>
    <w:rsid w:val="07484589"/>
    <w:rsid w:val="074A7978"/>
    <w:rsid w:val="07815C50"/>
    <w:rsid w:val="07B62C9C"/>
    <w:rsid w:val="07C22B6F"/>
    <w:rsid w:val="07EA291F"/>
    <w:rsid w:val="080808A0"/>
    <w:rsid w:val="081508A2"/>
    <w:rsid w:val="081749A7"/>
    <w:rsid w:val="08286DFB"/>
    <w:rsid w:val="083E2F25"/>
    <w:rsid w:val="08437EF3"/>
    <w:rsid w:val="08594498"/>
    <w:rsid w:val="085A7797"/>
    <w:rsid w:val="08692312"/>
    <w:rsid w:val="08706A66"/>
    <w:rsid w:val="087150EF"/>
    <w:rsid w:val="089036B7"/>
    <w:rsid w:val="089F7CA5"/>
    <w:rsid w:val="08B51453"/>
    <w:rsid w:val="08BD0EA0"/>
    <w:rsid w:val="08C064C0"/>
    <w:rsid w:val="08DB4B25"/>
    <w:rsid w:val="08E01BCE"/>
    <w:rsid w:val="08E216F0"/>
    <w:rsid w:val="08E26F45"/>
    <w:rsid w:val="08E3734A"/>
    <w:rsid w:val="08E702BF"/>
    <w:rsid w:val="08EA6987"/>
    <w:rsid w:val="08EB4EA1"/>
    <w:rsid w:val="08F54FFF"/>
    <w:rsid w:val="09081B56"/>
    <w:rsid w:val="0922699A"/>
    <w:rsid w:val="09404248"/>
    <w:rsid w:val="0940701D"/>
    <w:rsid w:val="09440304"/>
    <w:rsid w:val="09551130"/>
    <w:rsid w:val="09725318"/>
    <w:rsid w:val="098764AA"/>
    <w:rsid w:val="09A410A8"/>
    <w:rsid w:val="09BE52DE"/>
    <w:rsid w:val="09C304EB"/>
    <w:rsid w:val="09C53A21"/>
    <w:rsid w:val="09C557E9"/>
    <w:rsid w:val="09D30126"/>
    <w:rsid w:val="09D52BEB"/>
    <w:rsid w:val="09E737F2"/>
    <w:rsid w:val="09F84AA8"/>
    <w:rsid w:val="0A001631"/>
    <w:rsid w:val="0A0B76BA"/>
    <w:rsid w:val="0A106033"/>
    <w:rsid w:val="0A1B6F93"/>
    <w:rsid w:val="0A353749"/>
    <w:rsid w:val="0A3836C8"/>
    <w:rsid w:val="0A4213D2"/>
    <w:rsid w:val="0A4C10CD"/>
    <w:rsid w:val="0A501D24"/>
    <w:rsid w:val="0A514723"/>
    <w:rsid w:val="0A577DCC"/>
    <w:rsid w:val="0A681494"/>
    <w:rsid w:val="0A6D3C90"/>
    <w:rsid w:val="0A9D519E"/>
    <w:rsid w:val="0A9E3A18"/>
    <w:rsid w:val="0AA94BEF"/>
    <w:rsid w:val="0ABB1E85"/>
    <w:rsid w:val="0ABE5888"/>
    <w:rsid w:val="0AC24A92"/>
    <w:rsid w:val="0AC62D12"/>
    <w:rsid w:val="0AC7358C"/>
    <w:rsid w:val="0ACC6643"/>
    <w:rsid w:val="0AFF6668"/>
    <w:rsid w:val="0B0D528C"/>
    <w:rsid w:val="0B0F634B"/>
    <w:rsid w:val="0B1C1C00"/>
    <w:rsid w:val="0B1C6E34"/>
    <w:rsid w:val="0B1F4F7F"/>
    <w:rsid w:val="0B3253A5"/>
    <w:rsid w:val="0B326CC7"/>
    <w:rsid w:val="0B370769"/>
    <w:rsid w:val="0B562DAC"/>
    <w:rsid w:val="0B702D58"/>
    <w:rsid w:val="0B75201D"/>
    <w:rsid w:val="0B813677"/>
    <w:rsid w:val="0B8575F9"/>
    <w:rsid w:val="0BA42587"/>
    <w:rsid w:val="0BAA350D"/>
    <w:rsid w:val="0BB27E54"/>
    <w:rsid w:val="0BBA28F5"/>
    <w:rsid w:val="0BBD1EDC"/>
    <w:rsid w:val="0BCD12D7"/>
    <w:rsid w:val="0BCF7C16"/>
    <w:rsid w:val="0BDD6672"/>
    <w:rsid w:val="0BE814BE"/>
    <w:rsid w:val="0BEB6819"/>
    <w:rsid w:val="0BF77528"/>
    <w:rsid w:val="0BFA0045"/>
    <w:rsid w:val="0C136F73"/>
    <w:rsid w:val="0C1B06D7"/>
    <w:rsid w:val="0C4233AF"/>
    <w:rsid w:val="0C464A97"/>
    <w:rsid w:val="0C4B7053"/>
    <w:rsid w:val="0C615D96"/>
    <w:rsid w:val="0C89400B"/>
    <w:rsid w:val="0C8B6B05"/>
    <w:rsid w:val="0C8F5CD8"/>
    <w:rsid w:val="0C9469DE"/>
    <w:rsid w:val="0C976EF0"/>
    <w:rsid w:val="0C9873D4"/>
    <w:rsid w:val="0CA1259A"/>
    <w:rsid w:val="0CAF6A80"/>
    <w:rsid w:val="0CB0214B"/>
    <w:rsid w:val="0CB24D02"/>
    <w:rsid w:val="0CB67A09"/>
    <w:rsid w:val="0CD05EE3"/>
    <w:rsid w:val="0CDD5BB6"/>
    <w:rsid w:val="0CDE76B4"/>
    <w:rsid w:val="0CDF1FED"/>
    <w:rsid w:val="0CE40F52"/>
    <w:rsid w:val="0D024FD1"/>
    <w:rsid w:val="0D0716FB"/>
    <w:rsid w:val="0D14567F"/>
    <w:rsid w:val="0D1E6018"/>
    <w:rsid w:val="0D1F0FFB"/>
    <w:rsid w:val="0D240566"/>
    <w:rsid w:val="0D371CF2"/>
    <w:rsid w:val="0D3C56CB"/>
    <w:rsid w:val="0D443A47"/>
    <w:rsid w:val="0D54580D"/>
    <w:rsid w:val="0D6D251C"/>
    <w:rsid w:val="0D6E6DA1"/>
    <w:rsid w:val="0D747AB1"/>
    <w:rsid w:val="0D835ED7"/>
    <w:rsid w:val="0D9752D9"/>
    <w:rsid w:val="0D9A786B"/>
    <w:rsid w:val="0DB708BC"/>
    <w:rsid w:val="0DB72C42"/>
    <w:rsid w:val="0DC06C2B"/>
    <w:rsid w:val="0DDB5534"/>
    <w:rsid w:val="0DE04E29"/>
    <w:rsid w:val="0DE90D6E"/>
    <w:rsid w:val="0DF43E9C"/>
    <w:rsid w:val="0DF92721"/>
    <w:rsid w:val="0E2A3D48"/>
    <w:rsid w:val="0E48217E"/>
    <w:rsid w:val="0E4C6690"/>
    <w:rsid w:val="0E666C91"/>
    <w:rsid w:val="0E79499A"/>
    <w:rsid w:val="0E9E24A5"/>
    <w:rsid w:val="0EA73C6D"/>
    <w:rsid w:val="0EAC1173"/>
    <w:rsid w:val="0EB02422"/>
    <w:rsid w:val="0EB5640F"/>
    <w:rsid w:val="0EB8426F"/>
    <w:rsid w:val="0EBB3D1D"/>
    <w:rsid w:val="0EC23B23"/>
    <w:rsid w:val="0EDF6D79"/>
    <w:rsid w:val="0EF27A89"/>
    <w:rsid w:val="0F0D19D8"/>
    <w:rsid w:val="0F217D15"/>
    <w:rsid w:val="0F321715"/>
    <w:rsid w:val="0F3E131E"/>
    <w:rsid w:val="0F471525"/>
    <w:rsid w:val="0F5977B6"/>
    <w:rsid w:val="0F6A0D23"/>
    <w:rsid w:val="0FAF385C"/>
    <w:rsid w:val="0FBF197F"/>
    <w:rsid w:val="0FC32FB3"/>
    <w:rsid w:val="0FF54C4D"/>
    <w:rsid w:val="1005432D"/>
    <w:rsid w:val="1009448F"/>
    <w:rsid w:val="102C4A8E"/>
    <w:rsid w:val="1060768A"/>
    <w:rsid w:val="10616FD4"/>
    <w:rsid w:val="10726AB1"/>
    <w:rsid w:val="10904028"/>
    <w:rsid w:val="10951CC5"/>
    <w:rsid w:val="10BD62F9"/>
    <w:rsid w:val="10D4264C"/>
    <w:rsid w:val="10DD707D"/>
    <w:rsid w:val="10DF592B"/>
    <w:rsid w:val="10E636FF"/>
    <w:rsid w:val="11175E42"/>
    <w:rsid w:val="111854A2"/>
    <w:rsid w:val="112231F4"/>
    <w:rsid w:val="11290272"/>
    <w:rsid w:val="114A7AE3"/>
    <w:rsid w:val="118A1992"/>
    <w:rsid w:val="119F755E"/>
    <w:rsid w:val="11A23697"/>
    <w:rsid w:val="11B72EF1"/>
    <w:rsid w:val="11B82A44"/>
    <w:rsid w:val="11BA669D"/>
    <w:rsid w:val="11BC0ABD"/>
    <w:rsid w:val="11CA5AA2"/>
    <w:rsid w:val="11D973BC"/>
    <w:rsid w:val="11DA0BCE"/>
    <w:rsid w:val="11F53E16"/>
    <w:rsid w:val="12113CC6"/>
    <w:rsid w:val="121B516A"/>
    <w:rsid w:val="12231D95"/>
    <w:rsid w:val="12312C85"/>
    <w:rsid w:val="123C702A"/>
    <w:rsid w:val="12441B06"/>
    <w:rsid w:val="1249182D"/>
    <w:rsid w:val="125B2E40"/>
    <w:rsid w:val="12877439"/>
    <w:rsid w:val="129725E9"/>
    <w:rsid w:val="12B343B2"/>
    <w:rsid w:val="12C86981"/>
    <w:rsid w:val="12CF4C41"/>
    <w:rsid w:val="12D14661"/>
    <w:rsid w:val="12DD1218"/>
    <w:rsid w:val="12FD6E69"/>
    <w:rsid w:val="130E0A9E"/>
    <w:rsid w:val="13270EFD"/>
    <w:rsid w:val="13384EBF"/>
    <w:rsid w:val="13401D7B"/>
    <w:rsid w:val="13450C06"/>
    <w:rsid w:val="13485725"/>
    <w:rsid w:val="134E59DE"/>
    <w:rsid w:val="137F762D"/>
    <w:rsid w:val="138D3A49"/>
    <w:rsid w:val="13BC5F47"/>
    <w:rsid w:val="13C76AD9"/>
    <w:rsid w:val="13D24932"/>
    <w:rsid w:val="13DF2F86"/>
    <w:rsid w:val="13E16550"/>
    <w:rsid w:val="13E97AE8"/>
    <w:rsid w:val="13EE5A17"/>
    <w:rsid w:val="1406065E"/>
    <w:rsid w:val="140E6A2C"/>
    <w:rsid w:val="142C50B5"/>
    <w:rsid w:val="143417A2"/>
    <w:rsid w:val="143E3F4A"/>
    <w:rsid w:val="14576A07"/>
    <w:rsid w:val="146C05D1"/>
    <w:rsid w:val="14774747"/>
    <w:rsid w:val="147A40E5"/>
    <w:rsid w:val="14B645DD"/>
    <w:rsid w:val="14CF6367"/>
    <w:rsid w:val="1506170C"/>
    <w:rsid w:val="15304C6C"/>
    <w:rsid w:val="154A5A8D"/>
    <w:rsid w:val="156C40AE"/>
    <w:rsid w:val="156F1D08"/>
    <w:rsid w:val="15823A3D"/>
    <w:rsid w:val="1584702E"/>
    <w:rsid w:val="15946B6F"/>
    <w:rsid w:val="15B071CF"/>
    <w:rsid w:val="15D5286E"/>
    <w:rsid w:val="15F21A3A"/>
    <w:rsid w:val="15F36591"/>
    <w:rsid w:val="15F5236F"/>
    <w:rsid w:val="15FE48A1"/>
    <w:rsid w:val="160A0F52"/>
    <w:rsid w:val="160C313A"/>
    <w:rsid w:val="160C4353"/>
    <w:rsid w:val="162843BF"/>
    <w:rsid w:val="16346A72"/>
    <w:rsid w:val="1639477A"/>
    <w:rsid w:val="16421E79"/>
    <w:rsid w:val="16450461"/>
    <w:rsid w:val="16565231"/>
    <w:rsid w:val="166C5AE0"/>
    <w:rsid w:val="16756ED4"/>
    <w:rsid w:val="167911A4"/>
    <w:rsid w:val="168C097C"/>
    <w:rsid w:val="16A57952"/>
    <w:rsid w:val="16C31A06"/>
    <w:rsid w:val="16D534FC"/>
    <w:rsid w:val="16FD7C84"/>
    <w:rsid w:val="17053FFF"/>
    <w:rsid w:val="1710641E"/>
    <w:rsid w:val="1714609D"/>
    <w:rsid w:val="1737245C"/>
    <w:rsid w:val="17497D3D"/>
    <w:rsid w:val="174D2D72"/>
    <w:rsid w:val="17504F3A"/>
    <w:rsid w:val="175B185B"/>
    <w:rsid w:val="17614581"/>
    <w:rsid w:val="1765436B"/>
    <w:rsid w:val="17862906"/>
    <w:rsid w:val="179A02D4"/>
    <w:rsid w:val="17A45FCC"/>
    <w:rsid w:val="17AF029A"/>
    <w:rsid w:val="17C1359F"/>
    <w:rsid w:val="17C27980"/>
    <w:rsid w:val="17C36CC9"/>
    <w:rsid w:val="17DE53EE"/>
    <w:rsid w:val="17E3362C"/>
    <w:rsid w:val="17F008E6"/>
    <w:rsid w:val="17F14B2E"/>
    <w:rsid w:val="18183E97"/>
    <w:rsid w:val="181970D3"/>
    <w:rsid w:val="181C3DFB"/>
    <w:rsid w:val="181C6D74"/>
    <w:rsid w:val="181F6859"/>
    <w:rsid w:val="182227F9"/>
    <w:rsid w:val="18322A41"/>
    <w:rsid w:val="18431AD9"/>
    <w:rsid w:val="184A0E01"/>
    <w:rsid w:val="184B6C65"/>
    <w:rsid w:val="186C7E50"/>
    <w:rsid w:val="18787EF4"/>
    <w:rsid w:val="18B407EB"/>
    <w:rsid w:val="18B660F8"/>
    <w:rsid w:val="18BE41EE"/>
    <w:rsid w:val="18C45B23"/>
    <w:rsid w:val="18D17C0A"/>
    <w:rsid w:val="18D40073"/>
    <w:rsid w:val="18D813F2"/>
    <w:rsid w:val="18D97B1D"/>
    <w:rsid w:val="18EC168B"/>
    <w:rsid w:val="18F642EE"/>
    <w:rsid w:val="18F71715"/>
    <w:rsid w:val="18FD0335"/>
    <w:rsid w:val="19047A40"/>
    <w:rsid w:val="19311DAE"/>
    <w:rsid w:val="194E4DC2"/>
    <w:rsid w:val="19585F48"/>
    <w:rsid w:val="195F0793"/>
    <w:rsid w:val="196E0779"/>
    <w:rsid w:val="197F1A4D"/>
    <w:rsid w:val="19826508"/>
    <w:rsid w:val="198A4C43"/>
    <w:rsid w:val="19A32BBF"/>
    <w:rsid w:val="19AF7D5A"/>
    <w:rsid w:val="19C23939"/>
    <w:rsid w:val="19E06C66"/>
    <w:rsid w:val="19F8604D"/>
    <w:rsid w:val="1A182768"/>
    <w:rsid w:val="1A1C644E"/>
    <w:rsid w:val="1A225FD3"/>
    <w:rsid w:val="1A3C5DF4"/>
    <w:rsid w:val="1A3F3EC7"/>
    <w:rsid w:val="1A4C7DA7"/>
    <w:rsid w:val="1A637597"/>
    <w:rsid w:val="1A64443B"/>
    <w:rsid w:val="1A690D88"/>
    <w:rsid w:val="1A9D3EBF"/>
    <w:rsid w:val="1AA4068A"/>
    <w:rsid w:val="1AB04A42"/>
    <w:rsid w:val="1AB674F6"/>
    <w:rsid w:val="1ABC7B11"/>
    <w:rsid w:val="1ABD335D"/>
    <w:rsid w:val="1B0516FC"/>
    <w:rsid w:val="1B1D35F1"/>
    <w:rsid w:val="1B261436"/>
    <w:rsid w:val="1B441B4B"/>
    <w:rsid w:val="1B524CFD"/>
    <w:rsid w:val="1B8F198C"/>
    <w:rsid w:val="1B932E9D"/>
    <w:rsid w:val="1BF52347"/>
    <w:rsid w:val="1C081CA0"/>
    <w:rsid w:val="1C1E0910"/>
    <w:rsid w:val="1C220782"/>
    <w:rsid w:val="1C235610"/>
    <w:rsid w:val="1C301257"/>
    <w:rsid w:val="1C336944"/>
    <w:rsid w:val="1C4472B2"/>
    <w:rsid w:val="1C6E1B03"/>
    <w:rsid w:val="1C7945EF"/>
    <w:rsid w:val="1C7C2072"/>
    <w:rsid w:val="1C8468D5"/>
    <w:rsid w:val="1C967034"/>
    <w:rsid w:val="1CA02084"/>
    <w:rsid w:val="1CA27B15"/>
    <w:rsid w:val="1CAD2B96"/>
    <w:rsid w:val="1CB9135B"/>
    <w:rsid w:val="1CF27799"/>
    <w:rsid w:val="1CFB039E"/>
    <w:rsid w:val="1D5E6460"/>
    <w:rsid w:val="1D5F31C0"/>
    <w:rsid w:val="1D894D3C"/>
    <w:rsid w:val="1D8B75A9"/>
    <w:rsid w:val="1D9B1DF7"/>
    <w:rsid w:val="1DA51865"/>
    <w:rsid w:val="1DAA6B76"/>
    <w:rsid w:val="1DC46FF2"/>
    <w:rsid w:val="1DE25941"/>
    <w:rsid w:val="1DF338DF"/>
    <w:rsid w:val="1DF563BD"/>
    <w:rsid w:val="1E0D2F8B"/>
    <w:rsid w:val="1E157441"/>
    <w:rsid w:val="1E2D340E"/>
    <w:rsid w:val="1E492823"/>
    <w:rsid w:val="1E6F1FB2"/>
    <w:rsid w:val="1E7C28E8"/>
    <w:rsid w:val="1E7D2B5A"/>
    <w:rsid w:val="1E827D7E"/>
    <w:rsid w:val="1E8534F8"/>
    <w:rsid w:val="1E9721B3"/>
    <w:rsid w:val="1E9A240C"/>
    <w:rsid w:val="1E9A6994"/>
    <w:rsid w:val="1EA86A96"/>
    <w:rsid w:val="1EBF1537"/>
    <w:rsid w:val="1EC56616"/>
    <w:rsid w:val="1F3A1DB1"/>
    <w:rsid w:val="1F3D4D6E"/>
    <w:rsid w:val="1F4C2D8C"/>
    <w:rsid w:val="1F60412E"/>
    <w:rsid w:val="1F6720F9"/>
    <w:rsid w:val="1F6C6915"/>
    <w:rsid w:val="1F6F0C8C"/>
    <w:rsid w:val="1F7258E1"/>
    <w:rsid w:val="1F7D76DF"/>
    <w:rsid w:val="1F8C1EF8"/>
    <w:rsid w:val="1F8D6A01"/>
    <w:rsid w:val="1F9B50FB"/>
    <w:rsid w:val="1FB91067"/>
    <w:rsid w:val="1FBB3AE4"/>
    <w:rsid w:val="1FBE071B"/>
    <w:rsid w:val="1FC2289A"/>
    <w:rsid w:val="1FC23276"/>
    <w:rsid w:val="1FC85BAB"/>
    <w:rsid w:val="1FC95279"/>
    <w:rsid w:val="1FD43313"/>
    <w:rsid w:val="1FF17C2B"/>
    <w:rsid w:val="1FFF4E7B"/>
    <w:rsid w:val="202B6F7B"/>
    <w:rsid w:val="20323E6A"/>
    <w:rsid w:val="204A0ACB"/>
    <w:rsid w:val="20586827"/>
    <w:rsid w:val="20702B26"/>
    <w:rsid w:val="20780093"/>
    <w:rsid w:val="20907043"/>
    <w:rsid w:val="2091709B"/>
    <w:rsid w:val="20B81A77"/>
    <w:rsid w:val="20B84F06"/>
    <w:rsid w:val="20BE6AB2"/>
    <w:rsid w:val="20E36096"/>
    <w:rsid w:val="21030F54"/>
    <w:rsid w:val="2109527E"/>
    <w:rsid w:val="213D6CC6"/>
    <w:rsid w:val="21636D7B"/>
    <w:rsid w:val="216F71FD"/>
    <w:rsid w:val="21914B24"/>
    <w:rsid w:val="21C87D97"/>
    <w:rsid w:val="21CA3166"/>
    <w:rsid w:val="21CF326F"/>
    <w:rsid w:val="21D8702B"/>
    <w:rsid w:val="21DF6586"/>
    <w:rsid w:val="220A22BA"/>
    <w:rsid w:val="22180C02"/>
    <w:rsid w:val="222372A0"/>
    <w:rsid w:val="222C0C55"/>
    <w:rsid w:val="222F0FA7"/>
    <w:rsid w:val="222F46EE"/>
    <w:rsid w:val="22753E0A"/>
    <w:rsid w:val="227919AA"/>
    <w:rsid w:val="22811DE4"/>
    <w:rsid w:val="228A7081"/>
    <w:rsid w:val="22A243CB"/>
    <w:rsid w:val="22A42B75"/>
    <w:rsid w:val="22B62C3D"/>
    <w:rsid w:val="22BE307F"/>
    <w:rsid w:val="22C30C00"/>
    <w:rsid w:val="22D24498"/>
    <w:rsid w:val="22F9022B"/>
    <w:rsid w:val="23022971"/>
    <w:rsid w:val="2304021D"/>
    <w:rsid w:val="23105139"/>
    <w:rsid w:val="23251948"/>
    <w:rsid w:val="23372B85"/>
    <w:rsid w:val="2342491A"/>
    <w:rsid w:val="234E7127"/>
    <w:rsid w:val="23521D38"/>
    <w:rsid w:val="23613237"/>
    <w:rsid w:val="23677B55"/>
    <w:rsid w:val="237F49BB"/>
    <w:rsid w:val="23856A36"/>
    <w:rsid w:val="23A72E6D"/>
    <w:rsid w:val="23B12D40"/>
    <w:rsid w:val="23B20D3E"/>
    <w:rsid w:val="23C506D5"/>
    <w:rsid w:val="23C84470"/>
    <w:rsid w:val="23DD01B9"/>
    <w:rsid w:val="240115C5"/>
    <w:rsid w:val="240F6896"/>
    <w:rsid w:val="2425734F"/>
    <w:rsid w:val="24393FFA"/>
    <w:rsid w:val="24582D0C"/>
    <w:rsid w:val="245D3D13"/>
    <w:rsid w:val="24644151"/>
    <w:rsid w:val="2469029B"/>
    <w:rsid w:val="24695D13"/>
    <w:rsid w:val="246F05F7"/>
    <w:rsid w:val="24754746"/>
    <w:rsid w:val="24916C4A"/>
    <w:rsid w:val="24A4671B"/>
    <w:rsid w:val="24B753DA"/>
    <w:rsid w:val="24D87048"/>
    <w:rsid w:val="24D87381"/>
    <w:rsid w:val="24DB52FC"/>
    <w:rsid w:val="24E47DD8"/>
    <w:rsid w:val="25233450"/>
    <w:rsid w:val="25272813"/>
    <w:rsid w:val="2542408E"/>
    <w:rsid w:val="2558593D"/>
    <w:rsid w:val="255A64F0"/>
    <w:rsid w:val="258745AB"/>
    <w:rsid w:val="259B5417"/>
    <w:rsid w:val="25A345C7"/>
    <w:rsid w:val="25AC63C5"/>
    <w:rsid w:val="25BA0083"/>
    <w:rsid w:val="25CC7835"/>
    <w:rsid w:val="260F10C4"/>
    <w:rsid w:val="26312206"/>
    <w:rsid w:val="26361ABD"/>
    <w:rsid w:val="26386ABC"/>
    <w:rsid w:val="263E0227"/>
    <w:rsid w:val="26451DDC"/>
    <w:rsid w:val="26540875"/>
    <w:rsid w:val="26572E04"/>
    <w:rsid w:val="265A302E"/>
    <w:rsid w:val="268D1231"/>
    <w:rsid w:val="26995E1A"/>
    <w:rsid w:val="26A60B05"/>
    <w:rsid w:val="26BC1123"/>
    <w:rsid w:val="26EF0BA1"/>
    <w:rsid w:val="27124CDE"/>
    <w:rsid w:val="273B5402"/>
    <w:rsid w:val="273C3E45"/>
    <w:rsid w:val="274D57E8"/>
    <w:rsid w:val="27584838"/>
    <w:rsid w:val="275B152E"/>
    <w:rsid w:val="275F0664"/>
    <w:rsid w:val="27605DF0"/>
    <w:rsid w:val="276E3AFE"/>
    <w:rsid w:val="27737039"/>
    <w:rsid w:val="27791188"/>
    <w:rsid w:val="279B763B"/>
    <w:rsid w:val="27A87CA4"/>
    <w:rsid w:val="27EC1425"/>
    <w:rsid w:val="280669D8"/>
    <w:rsid w:val="280E08E2"/>
    <w:rsid w:val="281B0307"/>
    <w:rsid w:val="2820402B"/>
    <w:rsid w:val="283413A6"/>
    <w:rsid w:val="28810504"/>
    <w:rsid w:val="288D28A0"/>
    <w:rsid w:val="28B40502"/>
    <w:rsid w:val="28BF73A1"/>
    <w:rsid w:val="28C223DE"/>
    <w:rsid w:val="28C22C4B"/>
    <w:rsid w:val="28CD08FE"/>
    <w:rsid w:val="28DE60CD"/>
    <w:rsid w:val="28F71147"/>
    <w:rsid w:val="29321D97"/>
    <w:rsid w:val="29694A41"/>
    <w:rsid w:val="2999700F"/>
    <w:rsid w:val="299C1F80"/>
    <w:rsid w:val="29BB5357"/>
    <w:rsid w:val="29C06B34"/>
    <w:rsid w:val="29C14785"/>
    <w:rsid w:val="29DD07EB"/>
    <w:rsid w:val="29E73928"/>
    <w:rsid w:val="29F96867"/>
    <w:rsid w:val="29FE19BA"/>
    <w:rsid w:val="2A0D31C6"/>
    <w:rsid w:val="2A156AF0"/>
    <w:rsid w:val="2A3D0A69"/>
    <w:rsid w:val="2A3F34CF"/>
    <w:rsid w:val="2A576519"/>
    <w:rsid w:val="2A5C3BA7"/>
    <w:rsid w:val="2A650DC0"/>
    <w:rsid w:val="2AB51E86"/>
    <w:rsid w:val="2ABB16D3"/>
    <w:rsid w:val="2AC21E7D"/>
    <w:rsid w:val="2AC77008"/>
    <w:rsid w:val="2AE34015"/>
    <w:rsid w:val="2AF63DBB"/>
    <w:rsid w:val="2AFC0493"/>
    <w:rsid w:val="2B244005"/>
    <w:rsid w:val="2B344690"/>
    <w:rsid w:val="2B4E043B"/>
    <w:rsid w:val="2B501478"/>
    <w:rsid w:val="2B717896"/>
    <w:rsid w:val="2B835C97"/>
    <w:rsid w:val="2B852663"/>
    <w:rsid w:val="2B917598"/>
    <w:rsid w:val="2BA74BE2"/>
    <w:rsid w:val="2BD44729"/>
    <w:rsid w:val="2BE0448D"/>
    <w:rsid w:val="2BF2058C"/>
    <w:rsid w:val="2BF259E2"/>
    <w:rsid w:val="2C044214"/>
    <w:rsid w:val="2C053456"/>
    <w:rsid w:val="2C077995"/>
    <w:rsid w:val="2C15502A"/>
    <w:rsid w:val="2C2579E8"/>
    <w:rsid w:val="2C3B57A4"/>
    <w:rsid w:val="2C4922BA"/>
    <w:rsid w:val="2C6E5BE6"/>
    <w:rsid w:val="2C997D1F"/>
    <w:rsid w:val="2CCC5FED"/>
    <w:rsid w:val="2CCF2078"/>
    <w:rsid w:val="2CE528D0"/>
    <w:rsid w:val="2CE82603"/>
    <w:rsid w:val="2CEB55C6"/>
    <w:rsid w:val="2CEB5D27"/>
    <w:rsid w:val="2CFA7FE4"/>
    <w:rsid w:val="2D095E18"/>
    <w:rsid w:val="2D325C33"/>
    <w:rsid w:val="2D50593E"/>
    <w:rsid w:val="2D5313CF"/>
    <w:rsid w:val="2D5F578C"/>
    <w:rsid w:val="2D7D28CE"/>
    <w:rsid w:val="2D933446"/>
    <w:rsid w:val="2D9644A2"/>
    <w:rsid w:val="2DB60998"/>
    <w:rsid w:val="2DB7083D"/>
    <w:rsid w:val="2DB7125E"/>
    <w:rsid w:val="2DBE7284"/>
    <w:rsid w:val="2DC31A80"/>
    <w:rsid w:val="2DC42D0C"/>
    <w:rsid w:val="2DD4569D"/>
    <w:rsid w:val="2DDA5FA1"/>
    <w:rsid w:val="2DFA3C63"/>
    <w:rsid w:val="2E030BE7"/>
    <w:rsid w:val="2E034CE3"/>
    <w:rsid w:val="2E2145BE"/>
    <w:rsid w:val="2E393DE3"/>
    <w:rsid w:val="2E4C0045"/>
    <w:rsid w:val="2E5B6362"/>
    <w:rsid w:val="2E615D08"/>
    <w:rsid w:val="2E6C6861"/>
    <w:rsid w:val="2E9168DF"/>
    <w:rsid w:val="2E9E3D6B"/>
    <w:rsid w:val="2EA121BB"/>
    <w:rsid w:val="2EAA5E47"/>
    <w:rsid w:val="2ED70585"/>
    <w:rsid w:val="2EE15669"/>
    <w:rsid w:val="2EEA5F12"/>
    <w:rsid w:val="2EF2301B"/>
    <w:rsid w:val="2F4F7564"/>
    <w:rsid w:val="2F5C724D"/>
    <w:rsid w:val="2F5F0DB6"/>
    <w:rsid w:val="2F6F263B"/>
    <w:rsid w:val="2F7F6134"/>
    <w:rsid w:val="2F880E16"/>
    <w:rsid w:val="2FA467A5"/>
    <w:rsid w:val="2FAF79D6"/>
    <w:rsid w:val="2FCB5483"/>
    <w:rsid w:val="2FDF0E7B"/>
    <w:rsid w:val="2FEC7EAA"/>
    <w:rsid w:val="30012870"/>
    <w:rsid w:val="300316C2"/>
    <w:rsid w:val="30066EC1"/>
    <w:rsid w:val="301E127F"/>
    <w:rsid w:val="302E38EC"/>
    <w:rsid w:val="302F1EE3"/>
    <w:rsid w:val="3030226D"/>
    <w:rsid w:val="303A0D9D"/>
    <w:rsid w:val="304158B6"/>
    <w:rsid w:val="30480D2E"/>
    <w:rsid w:val="304914F9"/>
    <w:rsid w:val="30631B8F"/>
    <w:rsid w:val="30A81E1E"/>
    <w:rsid w:val="30B62E76"/>
    <w:rsid w:val="30BB364D"/>
    <w:rsid w:val="30C43E45"/>
    <w:rsid w:val="30CF509D"/>
    <w:rsid w:val="31067E7B"/>
    <w:rsid w:val="310E5FB5"/>
    <w:rsid w:val="31187A66"/>
    <w:rsid w:val="311D6212"/>
    <w:rsid w:val="31262BBA"/>
    <w:rsid w:val="31403265"/>
    <w:rsid w:val="31411D99"/>
    <w:rsid w:val="31480833"/>
    <w:rsid w:val="314C2989"/>
    <w:rsid w:val="317642CF"/>
    <w:rsid w:val="317654F8"/>
    <w:rsid w:val="318A7B30"/>
    <w:rsid w:val="31974C9E"/>
    <w:rsid w:val="31A262FD"/>
    <w:rsid w:val="31B40C75"/>
    <w:rsid w:val="31B64731"/>
    <w:rsid w:val="31BF11AD"/>
    <w:rsid w:val="31C56C6F"/>
    <w:rsid w:val="31C7383D"/>
    <w:rsid w:val="31C77AD7"/>
    <w:rsid w:val="31D3702E"/>
    <w:rsid w:val="31DA771A"/>
    <w:rsid w:val="31E64256"/>
    <w:rsid w:val="31F81538"/>
    <w:rsid w:val="320D4B45"/>
    <w:rsid w:val="320F36A7"/>
    <w:rsid w:val="322E3CDE"/>
    <w:rsid w:val="323143D1"/>
    <w:rsid w:val="323712C4"/>
    <w:rsid w:val="323A4620"/>
    <w:rsid w:val="32420517"/>
    <w:rsid w:val="325C728D"/>
    <w:rsid w:val="325F7BA1"/>
    <w:rsid w:val="32610881"/>
    <w:rsid w:val="326B3C7B"/>
    <w:rsid w:val="3284033F"/>
    <w:rsid w:val="32956911"/>
    <w:rsid w:val="32962418"/>
    <w:rsid w:val="32D83B01"/>
    <w:rsid w:val="32DB10F8"/>
    <w:rsid w:val="33015EF2"/>
    <w:rsid w:val="33182488"/>
    <w:rsid w:val="331B0EAF"/>
    <w:rsid w:val="333E0872"/>
    <w:rsid w:val="333F60DA"/>
    <w:rsid w:val="334A1395"/>
    <w:rsid w:val="33561C3F"/>
    <w:rsid w:val="336E55E8"/>
    <w:rsid w:val="338A31EF"/>
    <w:rsid w:val="338E5A4D"/>
    <w:rsid w:val="339F07DD"/>
    <w:rsid w:val="339F3BD0"/>
    <w:rsid w:val="33AD0337"/>
    <w:rsid w:val="33B0446E"/>
    <w:rsid w:val="33BD46B5"/>
    <w:rsid w:val="33C1779F"/>
    <w:rsid w:val="33D07F55"/>
    <w:rsid w:val="33D26387"/>
    <w:rsid w:val="33DB0DB0"/>
    <w:rsid w:val="33F67E2E"/>
    <w:rsid w:val="33FF139C"/>
    <w:rsid w:val="34050D4B"/>
    <w:rsid w:val="34126AB3"/>
    <w:rsid w:val="34207020"/>
    <w:rsid w:val="34341AA0"/>
    <w:rsid w:val="343926B5"/>
    <w:rsid w:val="343B04DD"/>
    <w:rsid w:val="34534056"/>
    <w:rsid w:val="34567B7B"/>
    <w:rsid w:val="345A1B9E"/>
    <w:rsid w:val="348E6394"/>
    <w:rsid w:val="34B63A90"/>
    <w:rsid w:val="34C7150A"/>
    <w:rsid w:val="34D1182B"/>
    <w:rsid w:val="35072CEF"/>
    <w:rsid w:val="351F2985"/>
    <w:rsid w:val="35671C85"/>
    <w:rsid w:val="356C37B0"/>
    <w:rsid w:val="35710C4C"/>
    <w:rsid w:val="35764B5C"/>
    <w:rsid w:val="358A5E61"/>
    <w:rsid w:val="35900ED5"/>
    <w:rsid w:val="35A756F7"/>
    <w:rsid w:val="35C11F31"/>
    <w:rsid w:val="35D31EB2"/>
    <w:rsid w:val="35F67483"/>
    <w:rsid w:val="35FD08E8"/>
    <w:rsid w:val="36111279"/>
    <w:rsid w:val="361163DE"/>
    <w:rsid w:val="3619279E"/>
    <w:rsid w:val="36194705"/>
    <w:rsid w:val="361A06C3"/>
    <w:rsid w:val="36211A21"/>
    <w:rsid w:val="364E1314"/>
    <w:rsid w:val="366F1447"/>
    <w:rsid w:val="367F78CD"/>
    <w:rsid w:val="368A4D4A"/>
    <w:rsid w:val="368B27AF"/>
    <w:rsid w:val="368C52E8"/>
    <w:rsid w:val="369D3ED8"/>
    <w:rsid w:val="36AF4BCB"/>
    <w:rsid w:val="36BE1A6B"/>
    <w:rsid w:val="36DB1B0B"/>
    <w:rsid w:val="36F52F4B"/>
    <w:rsid w:val="36FB536A"/>
    <w:rsid w:val="370A55DB"/>
    <w:rsid w:val="3711137C"/>
    <w:rsid w:val="371634C5"/>
    <w:rsid w:val="372312B2"/>
    <w:rsid w:val="3723179E"/>
    <w:rsid w:val="373F6779"/>
    <w:rsid w:val="37465E0D"/>
    <w:rsid w:val="374B6CF1"/>
    <w:rsid w:val="37782DDB"/>
    <w:rsid w:val="377B2222"/>
    <w:rsid w:val="377E0554"/>
    <w:rsid w:val="37916D10"/>
    <w:rsid w:val="379451B9"/>
    <w:rsid w:val="37A74F6E"/>
    <w:rsid w:val="37A872B8"/>
    <w:rsid w:val="37C86550"/>
    <w:rsid w:val="37CB133A"/>
    <w:rsid w:val="37D52F37"/>
    <w:rsid w:val="37DF616E"/>
    <w:rsid w:val="37E868EA"/>
    <w:rsid w:val="37ED6965"/>
    <w:rsid w:val="381F5D04"/>
    <w:rsid w:val="38420EEC"/>
    <w:rsid w:val="384E431A"/>
    <w:rsid w:val="38562FAB"/>
    <w:rsid w:val="386D62E0"/>
    <w:rsid w:val="38704A02"/>
    <w:rsid w:val="38714C38"/>
    <w:rsid w:val="38B439AB"/>
    <w:rsid w:val="38D073A9"/>
    <w:rsid w:val="38E4723D"/>
    <w:rsid w:val="38EC013B"/>
    <w:rsid w:val="3904328E"/>
    <w:rsid w:val="390C4BB8"/>
    <w:rsid w:val="39100D73"/>
    <w:rsid w:val="3914330A"/>
    <w:rsid w:val="3925101A"/>
    <w:rsid w:val="395122B2"/>
    <w:rsid w:val="3951491A"/>
    <w:rsid w:val="39625FC8"/>
    <w:rsid w:val="39633820"/>
    <w:rsid w:val="396E45E5"/>
    <w:rsid w:val="398A730D"/>
    <w:rsid w:val="398D5273"/>
    <w:rsid w:val="399D5069"/>
    <w:rsid w:val="39BF445A"/>
    <w:rsid w:val="39C8479B"/>
    <w:rsid w:val="39CC49BF"/>
    <w:rsid w:val="39E555E3"/>
    <w:rsid w:val="39E81D16"/>
    <w:rsid w:val="39E93843"/>
    <w:rsid w:val="3A093664"/>
    <w:rsid w:val="3A0D7F05"/>
    <w:rsid w:val="3A400A75"/>
    <w:rsid w:val="3A5C64E1"/>
    <w:rsid w:val="3A642B52"/>
    <w:rsid w:val="3A6F0C02"/>
    <w:rsid w:val="3A7F6D1B"/>
    <w:rsid w:val="3A8B7A82"/>
    <w:rsid w:val="3A8F0C96"/>
    <w:rsid w:val="3AA60192"/>
    <w:rsid w:val="3AA80233"/>
    <w:rsid w:val="3AAB0EB3"/>
    <w:rsid w:val="3AB62111"/>
    <w:rsid w:val="3AB96A17"/>
    <w:rsid w:val="3AC03A82"/>
    <w:rsid w:val="3ACD01E8"/>
    <w:rsid w:val="3ADE5C9C"/>
    <w:rsid w:val="3ADF4F82"/>
    <w:rsid w:val="3AE73303"/>
    <w:rsid w:val="3AF20A22"/>
    <w:rsid w:val="3AF754D7"/>
    <w:rsid w:val="3AFF7E2C"/>
    <w:rsid w:val="3B0063A3"/>
    <w:rsid w:val="3B051447"/>
    <w:rsid w:val="3B0E5A2C"/>
    <w:rsid w:val="3B241944"/>
    <w:rsid w:val="3B3F2CA7"/>
    <w:rsid w:val="3B54788C"/>
    <w:rsid w:val="3B5F76F5"/>
    <w:rsid w:val="3B6177D3"/>
    <w:rsid w:val="3B640142"/>
    <w:rsid w:val="3B775D80"/>
    <w:rsid w:val="3B920E16"/>
    <w:rsid w:val="3BAA64D6"/>
    <w:rsid w:val="3BBC7ABA"/>
    <w:rsid w:val="3C032B8A"/>
    <w:rsid w:val="3C1C05FF"/>
    <w:rsid w:val="3C324A5D"/>
    <w:rsid w:val="3C3B1FBA"/>
    <w:rsid w:val="3C3B7D13"/>
    <w:rsid w:val="3C4F32DD"/>
    <w:rsid w:val="3C5D77C4"/>
    <w:rsid w:val="3C6651F7"/>
    <w:rsid w:val="3C68076E"/>
    <w:rsid w:val="3C7448C1"/>
    <w:rsid w:val="3C771162"/>
    <w:rsid w:val="3C8F469B"/>
    <w:rsid w:val="3C955239"/>
    <w:rsid w:val="3C986F76"/>
    <w:rsid w:val="3CBE5019"/>
    <w:rsid w:val="3CCB2283"/>
    <w:rsid w:val="3CD265D5"/>
    <w:rsid w:val="3CD363A6"/>
    <w:rsid w:val="3CE31817"/>
    <w:rsid w:val="3CEA0C86"/>
    <w:rsid w:val="3CEE5B3A"/>
    <w:rsid w:val="3CFC3D7C"/>
    <w:rsid w:val="3CFE1C8B"/>
    <w:rsid w:val="3D016725"/>
    <w:rsid w:val="3D0A7209"/>
    <w:rsid w:val="3D0F7DF5"/>
    <w:rsid w:val="3D220E7D"/>
    <w:rsid w:val="3D502711"/>
    <w:rsid w:val="3D547F1F"/>
    <w:rsid w:val="3D5C0385"/>
    <w:rsid w:val="3D5F0191"/>
    <w:rsid w:val="3D6F4667"/>
    <w:rsid w:val="3D725A53"/>
    <w:rsid w:val="3D9A5BD2"/>
    <w:rsid w:val="3DAC026A"/>
    <w:rsid w:val="3DB34D94"/>
    <w:rsid w:val="3DCA0564"/>
    <w:rsid w:val="3DDD556C"/>
    <w:rsid w:val="3DE8419C"/>
    <w:rsid w:val="3E0B5732"/>
    <w:rsid w:val="3E3B533C"/>
    <w:rsid w:val="3E6137E1"/>
    <w:rsid w:val="3E665A51"/>
    <w:rsid w:val="3E7D3335"/>
    <w:rsid w:val="3E851149"/>
    <w:rsid w:val="3E973062"/>
    <w:rsid w:val="3E9B56C3"/>
    <w:rsid w:val="3EAE65CE"/>
    <w:rsid w:val="3EB5502E"/>
    <w:rsid w:val="3EBD7715"/>
    <w:rsid w:val="3EBF0128"/>
    <w:rsid w:val="3EE635DA"/>
    <w:rsid w:val="3EF10DF1"/>
    <w:rsid w:val="3EFC1673"/>
    <w:rsid w:val="3F000844"/>
    <w:rsid w:val="3F027066"/>
    <w:rsid w:val="3F0726FB"/>
    <w:rsid w:val="3F204392"/>
    <w:rsid w:val="3F3E53F2"/>
    <w:rsid w:val="3F4140B4"/>
    <w:rsid w:val="3F43173A"/>
    <w:rsid w:val="3F877D8F"/>
    <w:rsid w:val="3F9139AD"/>
    <w:rsid w:val="3FAF1D15"/>
    <w:rsid w:val="3FBD4959"/>
    <w:rsid w:val="3FCB1EEC"/>
    <w:rsid w:val="3FCD7F00"/>
    <w:rsid w:val="3FED1D39"/>
    <w:rsid w:val="400141B7"/>
    <w:rsid w:val="40032049"/>
    <w:rsid w:val="40124984"/>
    <w:rsid w:val="40201A50"/>
    <w:rsid w:val="402B30DC"/>
    <w:rsid w:val="40307D52"/>
    <w:rsid w:val="403E4DBF"/>
    <w:rsid w:val="40442975"/>
    <w:rsid w:val="405B0584"/>
    <w:rsid w:val="40647F02"/>
    <w:rsid w:val="406835CB"/>
    <w:rsid w:val="407856CA"/>
    <w:rsid w:val="40806DBD"/>
    <w:rsid w:val="408F2CC6"/>
    <w:rsid w:val="4098608C"/>
    <w:rsid w:val="40A2014F"/>
    <w:rsid w:val="40AC43A4"/>
    <w:rsid w:val="40B44059"/>
    <w:rsid w:val="40BD6488"/>
    <w:rsid w:val="40C60C7C"/>
    <w:rsid w:val="40CC5B1A"/>
    <w:rsid w:val="40D44550"/>
    <w:rsid w:val="41174D77"/>
    <w:rsid w:val="41364669"/>
    <w:rsid w:val="41412BA9"/>
    <w:rsid w:val="41545FF1"/>
    <w:rsid w:val="4174619E"/>
    <w:rsid w:val="418A540F"/>
    <w:rsid w:val="41B81A4B"/>
    <w:rsid w:val="41CB60F4"/>
    <w:rsid w:val="41D63219"/>
    <w:rsid w:val="41E06CA1"/>
    <w:rsid w:val="41F00EBF"/>
    <w:rsid w:val="42097B6B"/>
    <w:rsid w:val="421637D4"/>
    <w:rsid w:val="42367B8F"/>
    <w:rsid w:val="42430868"/>
    <w:rsid w:val="424D59C6"/>
    <w:rsid w:val="42875F49"/>
    <w:rsid w:val="42B32E72"/>
    <w:rsid w:val="42CC379C"/>
    <w:rsid w:val="42D15BE8"/>
    <w:rsid w:val="42D259CD"/>
    <w:rsid w:val="430E203F"/>
    <w:rsid w:val="43175D05"/>
    <w:rsid w:val="431E5D7A"/>
    <w:rsid w:val="432013FB"/>
    <w:rsid w:val="432E60A8"/>
    <w:rsid w:val="43314424"/>
    <w:rsid w:val="43364B9B"/>
    <w:rsid w:val="43406531"/>
    <w:rsid w:val="434331FA"/>
    <w:rsid w:val="436113EA"/>
    <w:rsid w:val="43841533"/>
    <w:rsid w:val="438B33AE"/>
    <w:rsid w:val="438E0CDB"/>
    <w:rsid w:val="43A079C1"/>
    <w:rsid w:val="43C62ADF"/>
    <w:rsid w:val="43E279FF"/>
    <w:rsid w:val="43E702A1"/>
    <w:rsid w:val="43F92F27"/>
    <w:rsid w:val="441E7344"/>
    <w:rsid w:val="442F4789"/>
    <w:rsid w:val="44392250"/>
    <w:rsid w:val="44690CC8"/>
    <w:rsid w:val="446C2AA4"/>
    <w:rsid w:val="447A5EDE"/>
    <w:rsid w:val="448A4A98"/>
    <w:rsid w:val="449B3BBD"/>
    <w:rsid w:val="44B8237D"/>
    <w:rsid w:val="44BB35ED"/>
    <w:rsid w:val="44D505C5"/>
    <w:rsid w:val="451D7F53"/>
    <w:rsid w:val="451E2EFD"/>
    <w:rsid w:val="451F5984"/>
    <w:rsid w:val="45276081"/>
    <w:rsid w:val="45340FC1"/>
    <w:rsid w:val="4545457C"/>
    <w:rsid w:val="455029A9"/>
    <w:rsid w:val="45705A68"/>
    <w:rsid w:val="457C4AD7"/>
    <w:rsid w:val="45A324DE"/>
    <w:rsid w:val="45BE209F"/>
    <w:rsid w:val="45DF0C0C"/>
    <w:rsid w:val="45EE672D"/>
    <w:rsid w:val="46036575"/>
    <w:rsid w:val="46150A9C"/>
    <w:rsid w:val="46275408"/>
    <w:rsid w:val="462A017F"/>
    <w:rsid w:val="462B4FF3"/>
    <w:rsid w:val="46475752"/>
    <w:rsid w:val="46475963"/>
    <w:rsid w:val="4657143B"/>
    <w:rsid w:val="466958B3"/>
    <w:rsid w:val="467D120F"/>
    <w:rsid w:val="468C4108"/>
    <w:rsid w:val="468E0A6E"/>
    <w:rsid w:val="46B6474D"/>
    <w:rsid w:val="46D2468C"/>
    <w:rsid w:val="46DF5310"/>
    <w:rsid w:val="46E247F9"/>
    <w:rsid w:val="46E46803"/>
    <w:rsid w:val="46FC333E"/>
    <w:rsid w:val="4713610D"/>
    <w:rsid w:val="472520BD"/>
    <w:rsid w:val="47315579"/>
    <w:rsid w:val="47370D5C"/>
    <w:rsid w:val="474D343B"/>
    <w:rsid w:val="4770372A"/>
    <w:rsid w:val="478C4FF0"/>
    <w:rsid w:val="47943893"/>
    <w:rsid w:val="47A20403"/>
    <w:rsid w:val="47A33AD8"/>
    <w:rsid w:val="47A9447F"/>
    <w:rsid w:val="47AB4803"/>
    <w:rsid w:val="47AF314A"/>
    <w:rsid w:val="47C8647F"/>
    <w:rsid w:val="47DF6F1B"/>
    <w:rsid w:val="47E84AB8"/>
    <w:rsid w:val="47F06738"/>
    <w:rsid w:val="4802743A"/>
    <w:rsid w:val="480A6764"/>
    <w:rsid w:val="48292150"/>
    <w:rsid w:val="48292D00"/>
    <w:rsid w:val="482B6AA8"/>
    <w:rsid w:val="48306AE6"/>
    <w:rsid w:val="48362813"/>
    <w:rsid w:val="48362B8F"/>
    <w:rsid w:val="486C11AD"/>
    <w:rsid w:val="487840D4"/>
    <w:rsid w:val="48817EE2"/>
    <w:rsid w:val="489C465D"/>
    <w:rsid w:val="48BB2874"/>
    <w:rsid w:val="48DA700F"/>
    <w:rsid w:val="48E70868"/>
    <w:rsid w:val="49003648"/>
    <w:rsid w:val="490078D6"/>
    <w:rsid w:val="492A5852"/>
    <w:rsid w:val="49336729"/>
    <w:rsid w:val="49422133"/>
    <w:rsid w:val="49481F51"/>
    <w:rsid w:val="494F451C"/>
    <w:rsid w:val="49503781"/>
    <w:rsid w:val="495C44D4"/>
    <w:rsid w:val="49724248"/>
    <w:rsid w:val="498D71F3"/>
    <w:rsid w:val="49924643"/>
    <w:rsid w:val="49B1277C"/>
    <w:rsid w:val="49B32963"/>
    <w:rsid w:val="49B35C2C"/>
    <w:rsid w:val="49BE2795"/>
    <w:rsid w:val="49CE2C0E"/>
    <w:rsid w:val="49D93B21"/>
    <w:rsid w:val="49ED435B"/>
    <w:rsid w:val="49F477F7"/>
    <w:rsid w:val="4A003368"/>
    <w:rsid w:val="4A045A8C"/>
    <w:rsid w:val="4A1173C4"/>
    <w:rsid w:val="4A154026"/>
    <w:rsid w:val="4A175A72"/>
    <w:rsid w:val="4A38281D"/>
    <w:rsid w:val="4A447A5F"/>
    <w:rsid w:val="4A457712"/>
    <w:rsid w:val="4A5633ED"/>
    <w:rsid w:val="4A5C1498"/>
    <w:rsid w:val="4A8608FF"/>
    <w:rsid w:val="4A885261"/>
    <w:rsid w:val="4A9341AD"/>
    <w:rsid w:val="4AA56943"/>
    <w:rsid w:val="4AB640D1"/>
    <w:rsid w:val="4AD80E43"/>
    <w:rsid w:val="4AFC731C"/>
    <w:rsid w:val="4B0E631E"/>
    <w:rsid w:val="4B1C6789"/>
    <w:rsid w:val="4B232D48"/>
    <w:rsid w:val="4B297309"/>
    <w:rsid w:val="4B2F5EF1"/>
    <w:rsid w:val="4B610E18"/>
    <w:rsid w:val="4B7A2A77"/>
    <w:rsid w:val="4B865E4D"/>
    <w:rsid w:val="4B9A7792"/>
    <w:rsid w:val="4BA142DC"/>
    <w:rsid w:val="4BB134C2"/>
    <w:rsid w:val="4BC64F54"/>
    <w:rsid w:val="4BD00E7B"/>
    <w:rsid w:val="4BDA233F"/>
    <w:rsid w:val="4BE07B8E"/>
    <w:rsid w:val="4BE11388"/>
    <w:rsid w:val="4BF17575"/>
    <w:rsid w:val="4C1B55F9"/>
    <w:rsid w:val="4C1D57B6"/>
    <w:rsid w:val="4C2F3138"/>
    <w:rsid w:val="4C2F44B9"/>
    <w:rsid w:val="4C4C1930"/>
    <w:rsid w:val="4C617F2E"/>
    <w:rsid w:val="4C64768C"/>
    <w:rsid w:val="4C727777"/>
    <w:rsid w:val="4C794241"/>
    <w:rsid w:val="4C9E7C7A"/>
    <w:rsid w:val="4CC129DC"/>
    <w:rsid w:val="4CC758A1"/>
    <w:rsid w:val="4CCA2CAB"/>
    <w:rsid w:val="4CF60AD0"/>
    <w:rsid w:val="4CFD27AB"/>
    <w:rsid w:val="4D0B785E"/>
    <w:rsid w:val="4D114375"/>
    <w:rsid w:val="4D235B56"/>
    <w:rsid w:val="4D3F4CEF"/>
    <w:rsid w:val="4D565BDF"/>
    <w:rsid w:val="4D764D27"/>
    <w:rsid w:val="4DA97155"/>
    <w:rsid w:val="4DB4080A"/>
    <w:rsid w:val="4DB53F90"/>
    <w:rsid w:val="4DD374A0"/>
    <w:rsid w:val="4DD96EF4"/>
    <w:rsid w:val="4DDE49A6"/>
    <w:rsid w:val="4E0348A7"/>
    <w:rsid w:val="4E0507F1"/>
    <w:rsid w:val="4E1344EB"/>
    <w:rsid w:val="4E281B86"/>
    <w:rsid w:val="4E361C9F"/>
    <w:rsid w:val="4E4C0D1C"/>
    <w:rsid w:val="4E6242A9"/>
    <w:rsid w:val="4E656439"/>
    <w:rsid w:val="4E6D3F2D"/>
    <w:rsid w:val="4E6F210D"/>
    <w:rsid w:val="4E757084"/>
    <w:rsid w:val="4E884C1B"/>
    <w:rsid w:val="4E9814DC"/>
    <w:rsid w:val="4EA61ED8"/>
    <w:rsid w:val="4EB7350B"/>
    <w:rsid w:val="4EFE010D"/>
    <w:rsid w:val="4F027246"/>
    <w:rsid w:val="4F2B0742"/>
    <w:rsid w:val="4F2C30D4"/>
    <w:rsid w:val="4F462F16"/>
    <w:rsid w:val="4F653279"/>
    <w:rsid w:val="4F685B2A"/>
    <w:rsid w:val="4F687CA9"/>
    <w:rsid w:val="4F6B4FCC"/>
    <w:rsid w:val="4FC5614B"/>
    <w:rsid w:val="4FCB274B"/>
    <w:rsid w:val="4FCC44FB"/>
    <w:rsid w:val="4FCE28F9"/>
    <w:rsid w:val="4FD21ED3"/>
    <w:rsid w:val="4FD34A84"/>
    <w:rsid w:val="4FDD43E5"/>
    <w:rsid w:val="4FE331CA"/>
    <w:rsid w:val="4FF25504"/>
    <w:rsid w:val="50004F60"/>
    <w:rsid w:val="50152642"/>
    <w:rsid w:val="501C556A"/>
    <w:rsid w:val="5028210C"/>
    <w:rsid w:val="50297B01"/>
    <w:rsid w:val="50304284"/>
    <w:rsid w:val="504F44E7"/>
    <w:rsid w:val="50633B3F"/>
    <w:rsid w:val="506604BA"/>
    <w:rsid w:val="507363BF"/>
    <w:rsid w:val="50930348"/>
    <w:rsid w:val="50951339"/>
    <w:rsid w:val="509E66BF"/>
    <w:rsid w:val="50A11AA3"/>
    <w:rsid w:val="50CA6EAA"/>
    <w:rsid w:val="50D27A0A"/>
    <w:rsid w:val="50E872C0"/>
    <w:rsid w:val="50FF7595"/>
    <w:rsid w:val="51186F2A"/>
    <w:rsid w:val="512F14C2"/>
    <w:rsid w:val="513A2BE3"/>
    <w:rsid w:val="51417175"/>
    <w:rsid w:val="514D38CD"/>
    <w:rsid w:val="518538E8"/>
    <w:rsid w:val="518C2832"/>
    <w:rsid w:val="51AD1BB3"/>
    <w:rsid w:val="51CC12AA"/>
    <w:rsid w:val="51CD579C"/>
    <w:rsid w:val="51D06AC2"/>
    <w:rsid w:val="51DE47BD"/>
    <w:rsid w:val="51FB1F66"/>
    <w:rsid w:val="52092C75"/>
    <w:rsid w:val="52145553"/>
    <w:rsid w:val="52160374"/>
    <w:rsid w:val="52210F7E"/>
    <w:rsid w:val="52465006"/>
    <w:rsid w:val="524D6727"/>
    <w:rsid w:val="52514B61"/>
    <w:rsid w:val="525F05B8"/>
    <w:rsid w:val="52641A60"/>
    <w:rsid w:val="526D7F2B"/>
    <w:rsid w:val="527010B5"/>
    <w:rsid w:val="52797078"/>
    <w:rsid w:val="527C619D"/>
    <w:rsid w:val="527D03E3"/>
    <w:rsid w:val="52800362"/>
    <w:rsid w:val="528B57FF"/>
    <w:rsid w:val="52C5363A"/>
    <w:rsid w:val="52CA77C1"/>
    <w:rsid w:val="52CC2E2D"/>
    <w:rsid w:val="52D74002"/>
    <w:rsid w:val="52E52C2B"/>
    <w:rsid w:val="52E706B0"/>
    <w:rsid w:val="52F64401"/>
    <w:rsid w:val="52F6649B"/>
    <w:rsid w:val="530731A9"/>
    <w:rsid w:val="530B0A16"/>
    <w:rsid w:val="533031A8"/>
    <w:rsid w:val="53354C48"/>
    <w:rsid w:val="5358440D"/>
    <w:rsid w:val="5362482F"/>
    <w:rsid w:val="5375181F"/>
    <w:rsid w:val="53832FC7"/>
    <w:rsid w:val="53894668"/>
    <w:rsid w:val="538C3048"/>
    <w:rsid w:val="53B53BCA"/>
    <w:rsid w:val="53BA69C7"/>
    <w:rsid w:val="53C66688"/>
    <w:rsid w:val="53D129A5"/>
    <w:rsid w:val="54027A3D"/>
    <w:rsid w:val="540E3026"/>
    <w:rsid w:val="540F1649"/>
    <w:rsid w:val="542B1000"/>
    <w:rsid w:val="542E3D8B"/>
    <w:rsid w:val="54323AE7"/>
    <w:rsid w:val="543C6793"/>
    <w:rsid w:val="54736410"/>
    <w:rsid w:val="54795B98"/>
    <w:rsid w:val="547A71A6"/>
    <w:rsid w:val="548B6133"/>
    <w:rsid w:val="549878E0"/>
    <w:rsid w:val="54A068BF"/>
    <w:rsid w:val="54D00696"/>
    <w:rsid w:val="54D20F09"/>
    <w:rsid w:val="54D26772"/>
    <w:rsid w:val="54D73949"/>
    <w:rsid w:val="54E8113A"/>
    <w:rsid w:val="54F70F58"/>
    <w:rsid w:val="54FB4913"/>
    <w:rsid w:val="550C22CB"/>
    <w:rsid w:val="552E4B10"/>
    <w:rsid w:val="5531351D"/>
    <w:rsid w:val="55321CBF"/>
    <w:rsid w:val="5553235C"/>
    <w:rsid w:val="555923B6"/>
    <w:rsid w:val="55723899"/>
    <w:rsid w:val="55833BB3"/>
    <w:rsid w:val="559D532A"/>
    <w:rsid w:val="559F3F84"/>
    <w:rsid w:val="559F6615"/>
    <w:rsid w:val="55AE5055"/>
    <w:rsid w:val="55BD10AA"/>
    <w:rsid w:val="55C02F7D"/>
    <w:rsid w:val="55C45892"/>
    <w:rsid w:val="55D87C51"/>
    <w:rsid w:val="55E0250C"/>
    <w:rsid w:val="55F43D19"/>
    <w:rsid w:val="55FC10F6"/>
    <w:rsid w:val="55FF309C"/>
    <w:rsid w:val="560960F4"/>
    <w:rsid w:val="560D13FF"/>
    <w:rsid w:val="56384344"/>
    <w:rsid w:val="56407F58"/>
    <w:rsid w:val="56637EEB"/>
    <w:rsid w:val="56657AFF"/>
    <w:rsid w:val="567A4719"/>
    <w:rsid w:val="56882188"/>
    <w:rsid w:val="56A42EFF"/>
    <w:rsid w:val="56C60B1B"/>
    <w:rsid w:val="56CE6199"/>
    <w:rsid w:val="56D67A3A"/>
    <w:rsid w:val="56DA134A"/>
    <w:rsid w:val="56DA1EDA"/>
    <w:rsid w:val="56F42ED2"/>
    <w:rsid w:val="570E062D"/>
    <w:rsid w:val="572D6163"/>
    <w:rsid w:val="57386B76"/>
    <w:rsid w:val="573C6D11"/>
    <w:rsid w:val="574A3A8D"/>
    <w:rsid w:val="575649E4"/>
    <w:rsid w:val="575F5961"/>
    <w:rsid w:val="576704A9"/>
    <w:rsid w:val="577328B1"/>
    <w:rsid w:val="57766966"/>
    <w:rsid w:val="577779A4"/>
    <w:rsid w:val="577F2164"/>
    <w:rsid w:val="578770C2"/>
    <w:rsid w:val="57887C2D"/>
    <w:rsid w:val="57AB05F5"/>
    <w:rsid w:val="57BA4236"/>
    <w:rsid w:val="57BB2CF9"/>
    <w:rsid w:val="57C57B84"/>
    <w:rsid w:val="57C957E0"/>
    <w:rsid w:val="57CD4BB7"/>
    <w:rsid w:val="57E4573A"/>
    <w:rsid w:val="58116040"/>
    <w:rsid w:val="58225E85"/>
    <w:rsid w:val="58263419"/>
    <w:rsid w:val="582A7332"/>
    <w:rsid w:val="582C4CEB"/>
    <w:rsid w:val="58386028"/>
    <w:rsid w:val="583A35CC"/>
    <w:rsid w:val="583C43C5"/>
    <w:rsid w:val="583F25E8"/>
    <w:rsid w:val="584624D1"/>
    <w:rsid w:val="5856016B"/>
    <w:rsid w:val="58607C16"/>
    <w:rsid w:val="5866678C"/>
    <w:rsid w:val="586B17C0"/>
    <w:rsid w:val="588A6348"/>
    <w:rsid w:val="58931150"/>
    <w:rsid w:val="589C780E"/>
    <w:rsid w:val="58BB2538"/>
    <w:rsid w:val="58BB43ED"/>
    <w:rsid w:val="58BD45E1"/>
    <w:rsid w:val="58CE5E3E"/>
    <w:rsid w:val="58DC4A95"/>
    <w:rsid w:val="58E53494"/>
    <w:rsid w:val="59053B5E"/>
    <w:rsid w:val="59436497"/>
    <w:rsid w:val="594A0A1F"/>
    <w:rsid w:val="594E0191"/>
    <w:rsid w:val="59531CE9"/>
    <w:rsid w:val="597F3CD5"/>
    <w:rsid w:val="59AB1F93"/>
    <w:rsid w:val="59C106EE"/>
    <w:rsid w:val="59CB15D9"/>
    <w:rsid w:val="59EF5B57"/>
    <w:rsid w:val="5A035BC8"/>
    <w:rsid w:val="5A0462BB"/>
    <w:rsid w:val="5A0600DB"/>
    <w:rsid w:val="5A10754C"/>
    <w:rsid w:val="5A1173EF"/>
    <w:rsid w:val="5A172017"/>
    <w:rsid w:val="5A176AE4"/>
    <w:rsid w:val="5A1C407A"/>
    <w:rsid w:val="5A23402C"/>
    <w:rsid w:val="5A2D32C4"/>
    <w:rsid w:val="5A3B6715"/>
    <w:rsid w:val="5A4C4AFC"/>
    <w:rsid w:val="5A5708CA"/>
    <w:rsid w:val="5A673A41"/>
    <w:rsid w:val="5A6E14F9"/>
    <w:rsid w:val="5A76432B"/>
    <w:rsid w:val="5A8032B2"/>
    <w:rsid w:val="5A96525B"/>
    <w:rsid w:val="5A9E48A8"/>
    <w:rsid w:val="5AA95C4D"/>
    <w:rsid w:val="5AC8101E"/>
    <w:rsid w:val="5AD47C48"/>
    <w:rsid w:val="5AFA611E"/>
    <w:rsid w:val="5AFE3B8D"/>
    <w:rsid w:val="5AFE695B"/>
    <w:rsid w:val="5B0071A9"/>
    <w:rsid w:val="5B0E1342"/>
    <w:rsid w:val="5B197E3E"/>
    <w:rsid w:val="5B276294"/>
    <w:rsid w:val="5B2F4088"/>
    <w:rsid w:val="5B4120BC"/>
    <w:rsid w:val="5B486682"/>
    <w:rsid w:val="5B7C3E8B"/>
    <w:rsid w:val="5B931A5F"/>
    <w:rsid w:val="5B962ECF"/>
    <w:rsid w:val="5BA003F9"/>
    <w:rsid w:val="5BA8515B"/>
    <w:rsid w:val="5BCF36E5"/>
    <w:rsid w:val="5BD37F8B"/>
    <w:rsid w:val="5BD54D17"/>
    <w:rsid w:val="5BDF0C9F"/>
    <w:rsid w:val="5BEA53DB"/>
    <w:rsid w:val="5BF205F9"/>
    <w:rsid w:val="5BFA33BB"/>
    <w:rsid w:val="5C03646F"/>
    <w:rsid w:val="5C090C9A"/>
    <w:rsid w:val="5C1325CC"/>
    <w:rsid w:val="5C150BC7"/>
    <w:rsid w:val="5C175CAB"/>
    <w:rsid w:val="5C1C4C86"/>
    <w:rsid w:val="5C232E88"/>
    <w:rsid w:val="5C234A62"/>
    <w:rsid w:val="5C316B42"/>
    <w:rsid w:val="5C495C8F"/>
    <w:rsid w:val="5C4D5AB6"/>
    <w:rsid w:val="5C520167"/>
    <w:rsid w:val="5C5D5C03"/>
    <w:rsid w:val="5C7C21EE"/>
    <w:rsid w:val="5C7D34D1"/>
    <w:rsid w:val="5C8A685A"/>
    <w:rsid w:val="5CAB3E27"/>
    <w:rsid w:val="5CB53B67"/>
    <w:rsid w:val="5CB75132"/>
    <w:rsid w:val="5CC40A78"/>
    <w:rsid w:val="5CC9559C"/>
    <w:rsid w:val="5D0B11D5"/>
    <w:rsid w:val="5D1A75D8"/>
    <w:rsid w:val="5D1E6D1F"/>
    <w:rsid w:val="5D243D32"/>
    <w:rsid w:val="5D264906"/>
    <w:rsid w:val="5D2A2DD2"/>
    <w:rsid w:val="5D2E7321"/>
    <w:rsid w:val="5D3F5D03"/>
    <w:rsid w:val="5D4159E6"/>
    <w:rsid w:val="5D426C92"/>
    <w:rsid w:val="5D6E6BA0"/>
    <w:rsid w:val="5D763476"/>
    <w:rsid w:val="5D8309BE"/>
    <w:rsid w:val="5D851FBD"/>
    <w:rsid w:val="5D8D7F9C"/>
    <w:rsid w:val="5DBA44C8"/>
    <w:rsid w:val="5DCE0823"/>
    <w:rsid w:val="5DDB7C6D"/>
    <w:rsid w:val="5DE258C5"/>
    <w:rsid w:val="5DE3698F"/>
    <w:rsid w:val="5DE9492E"/>
    <w:rsid w:val="5DF855E3"/>
    <w:rsid w:val="5DFE0C63"/>
    <w:rsid w:val="5DFF57B7"/>
    <w:rsid w:val="5E193D20"/>
    <w:rsid w:val="5E237FB0"/>
    <w:rsid w:val="5E284486"/>
    <w:rsid w:val="5E35775F"/>
    <w:rsid w:val="5E4539E6"/>
    <w:rsid w:val="5E483CCE"/>
    <w:rsid w:val="5E4F7C3E"/>
    <w:rsid w:val="5E7E3530"/>
    <w:rsid w:val="5E8F1E81"/>
    <w:rsid w:val="5EA94A1B"/>
    <w:rsid w:val="5EAB402C"/>
    <w:rsid w:val="5EBF7813"/>
    <w:rsid w:val="5EC605EC"/>
    <w:rsid w:val="5EC8428D"/>
    <w:rsid w:val="5ED01A16"/>
    <w:rsid w:val="5ED41357"/>
    <w:rsid w:val="5ED50B14"/>
    <w:rsid w:val="5EDC7172"/>
    <w:rsid w:val="5EF561AF"/>
    <w:rsid w:val="5EF70C14"/>
    <w:rsid w:val="5F285664"/>
    <w:rsid w:val="5F302568"/>
    <w:rsid w:val="5F3C45B7"/>
    <w:rsid w:val="5F3E50A3"/>
    <w:rsid w:val="5F447BB0"/>
    <w:rsid w:val="5F617F47"/>
    <w:rsid w:val="5F6C47D7"/>
    <w:rsid w:val="5F6D45E7"/>
    <w:rsid w:val="5F707C37"/>
    <w:rsid w:val="5F7E0234"/>
    <w:rsid w:val="5F82153A"/>
    <w:rsid w:val="5F8B6BDE"/>
    <w:rsid w:val="5F944528"/>
    <w:rsid w:val="5FA05BF4"/>
    <w:rsid w:val="5FA51876"/>
    <w:rsid w:val="5FB3405B"/>
    <w:rsid w:val="5FBE41D0"/>
    <w:rsid w:val="5FD55057"/>
    <w:rsid w:val="5FDE3E9A"/>
    <w:rsid w:val="5FFA226D"/>
    <w:rsid w:val="5FFB295B"/>
    <w:rsid w:val="60116091"/>
    <w:rsid w:val="601B7E39"/>
    <w:rsid w:val="602865AF"/>
    <w:rsid w:val="603C534C"/>
    <w:rsid w:val="60400BF0"/>
    <w:rsid w:val="60414505"/>
    <w:rsid w:val="6048008F"/>
    <w:rsid w:val="60723731"/>
    <w:rsid w:val="60785A6B"/>
    <w:rsid w:val="607B387F"/>
    <w:rsid w:val="607C6223"/>
    <w:rsid w:val="60B266BA"/>
    <w:rsid w:val="60D33281"/>
    <w:rsid w:val="60FB4822"/>
    <w:rsid w:val="60FD1DE9"/>
    <w:rsid w:val="61176C1A"/>
    <w:rsid w:val="6140228C"/>
    <w:rsid w:val="61546BBA"/>
    <w:rsid w:val="615E0514"/>
    <w:rsid w:val="61601B08"/>
    <w:rsid w:val="6163419B"/>
    <w:rsid w:val="616828E2"/>
    <w:rsid w:val="6175499D"/>
    <w:rsid w:val="618C38D3"/>
    <w:rsid w:val="61970898"/>
    <w:rsid w:val="61CA14D3"/>
    <w:rsid w:val="61D10E64"/>
    <w:rsid w:val="61E02DAC"/>
    <w:rsid w:val="61E7115C"/>
    <w:rsid w:val="6200468F"/>
    <w:rsid w:val="62037E7B"/>
    <w:rsid w:val="6208709F"/>
    <w:rsid w:val="62324E61"/>
    <w:rsid w:val="623D1D75"/>
    <w:rsid w:val="624C4D00"/>
    <w:rsid w:val="625560FE"/>
    <w:rsid w:val="626B054B"/>
    <w:rsid w:val="62731173"/>
    <w:rsid w:val="627D0EAE"/>
    <w:rsid w:val="627D0F0C"/>
    <w:rsid w:val="62D55D1A"/>
    <w:rsid w:val="62E219AE"/>
    <w:rsid w:val="62F11BBE"/>
    <w:rsid w:val="62F11FCB"/>
    <w:rsid w:val="631A4BA2"/>
    <w:rsid w:val="632B13DC"/>
    <w:rsid w:val="633579E3"/>
    <w:rsid w:val="633F2F95"/>
    <w:rsid w:val="63402B17"/>
    <w:rsid w:val="63486CC7"/>
    <w:rsid w:val="634D6B9A"/>
    <w:rsid w:val="634D7A80"/>
    <w:rsid w:val="6350605D"/>
    <w:rsid w:val="63570D4F"/>
    <w:rsid w:val="635B58F5"/>
    <w:rsid w:val="635E0F3D"/>
    <w:rsid w:val="636E73D6"/>
    <w:rsid w:val="637C71E4"/>
    <w:rsid w:val="637E4FF0"/>
    <w:rsid w:val="637F7F04"/>
    <w:rsid w:val="63942CCD"/>
    <w:rsid w:val="639A70FB"/>
    <w:rsid w:val="63C05976"/>
    <w:rsid w:val="63C86CFA"/>
    <w:rsid w:val="63D623B2"/>
    <w:rsid w:val="63E00632"/>
    <w:rsid w:val="63E41EF8"/>
    <w:rsid w:val="63EC3BDF"/>
    <w:rsid w:val="63F15196"/>
    <w:rsid w:val="64103E1C"/>
    <w:rsid w:val="642C7A1C"/>
    <w:rsid w:val="64403E24"/>
    <w:rsid w:val="644417BE"/>
    <w:rsid w:val="64483E40"/>
    <w:rsid w:val="644C3FF3"/>
    <w:rsid w:val="644E387F"/>
    <w:rsid w:val="646470FA"/>
    <w:rsid w:val="646933B1"/>
    <w:rsid w:val="64851666"/>
    <w:rsid w:val="649D1A1E"/>
    <w:rsid w:val="64A350CE"/>
    <w:rsid w:val="64B838A5"/>
    <w:rsid w:val="64BC1D6F"/>
    <w:rsid w:val="64BD7D1A"/>
    <w:rsid w:val="64C762CD"/>
    <w:rsid w:val="64F30A4B"/>
    <w:rsid w:val="64F4163A"/>
    <w:rsid w:val="64FB1B95"/>
    <w:rsid w:val="64FF4279"/>
    <w:rsid w:val="65003476"/>
    <w:rsid w:val="65051A72"/>
    <w:rsid w:val="65062204"/>
    <w:rsid w:val="653359FA"/>
    <w:rsid w:val="6548480B"/>
    <w:rsid w:val="65485F42"/>
    <w:rsid w:val="6558194B"/>
    <w:rsid w:val="655C27DB"/>
    <w:rsid w:val="656B19E1"/>
    <w:rsid w:val="65B059DA"/>
    <w:rsid w:val="65C86CD9"/>
    <w:rsid w:val="65D0103F"/>
    <w:rsid w:val="65D23214"/>
    <w:rsid w:val="65E5538A"/>
    <w:rsid w:val="65EE2245"/>
    <w:rsid w:val="65FA0C86"/>
    <w:rsid w:val="65FD3A76"/>
    <w:rsid w:val="660E73B6"/>
    <w:rsid w:val="66183B89"/>
    <w:rsid w:val="661C16B0"/>
    <w:rsid w:val="665D4D15"/>
    <w:rsid w:val="666C58EA"/>
    <w:rsid w:val="667514BC"/>
    <w:rsid w:val="667C127C"/>
    <w:rsid w:val="66B46841"/>
    <w:rsid w:val="66CC1E7A"/>
    <w:rsid w:val="66D37F6B"/>
    <w:rsid w:val="66D7717D"/>
    <w:rsid w:val="66EF2988"/>
    <w:rsid w:val="66F01F30"/>
    <w:rsid w:val="66F0795B"/>
    <w:rsid w:val="66F34A33"/>
    <w:rsid w:val="67013070"/>
    <w:rsid w:val="670E29A8"/>
    <w:rsid w:val="671C4115"/>
    <w:rsid w:val="672C32E9"/>
    <w:rsid w:val="67352B9C"/>
    <w:rsid w:val="67372AEA"/>
    <w:rsid w:val="674976B4"/>
    <w:rsid w:val="674B2D3D"/>
    <w:rsid w:val="6759001C"/>
    <w:rsid w:val="67743B07"/>
    <w:rsid w:val="67743B65"/>
    <w:rsid w:val="6778213D"/>
    <w:rsid w:val="677919E0"/>
    <w:rsid w:val="679A1306"/>
    <w:rsid w:val="67CF0E30"/>
    <w:rsid w:val="67E524DE"/>
    <w:rsid w:val="67E90436"/>
    <w:rsid w:val="67EC52BA"/>
    <w:rsid w:val="6812607A"/>
    <w:rsid w:val="682B41DA"/>
    <w:rsid w:val="684A728B"/>
    <w:rsid w:val="68602195"/>
    <w:rsid w:val="688C7D72"/>
    <w:rsid w:val="68C469AB"/>
    <w:rsid w:val="691A16FE"/>
    <w:rsid w:val="691A2777"/>
    <w:rsid w:val="691F0CB5"/>
    <w:rsid w:val="691F37A5"/>
    <w:rsid w:val="692302F8"/>
    <w:rsid w:val="692519C7"/>
    <w:rsid w:val="694E72F1"/>
    <w:rsid w:val="69563C12"/>
    <w:rsid w:val="69601B80"/>
    <w:rsid w:val="696273CC"/>
    <w:rsid w:val="69871792"/>
    <w:rsid w:val="699C507C"/>
    <w:rsid w:val="69A037F9"/>
    <w:rsid w:val="69B9103E"/>
    <w:rsid w:val="69C65FFE"/>
    <w:rsid w:val="69D95735"/>
    <w:rsid w:val="69DD3BEC"/>
    <w:rsid w:val="69EC69F7"/>
    <w:rsid w:val="6A0C3890"/>
    <w:rsid w:val="6A265F03"/>
    <w:rsid w:val="6A392806"/>
    <w:rsid w:val="6A3B77F3"/>
    <w:rsid w:val="6A3F73CE"/>
    <w:rsid w:val="6A460A7A"/>
    <w:rsid w:val="6A4C7395"/>
    <w:rsid w:val="6A572ABF"/>
    <w:rsid w:val="6A584B38"/>
    <w:rsid w:val="6A6179B3"/>
    <w:rsid w:val="6A6D269D"/>
    <w:rsid w:val="6A87428E"/>
    <w:rsid w:val="6A874AA8"/>
    <w:rsid w:val="6A8B102C"/>
    <w:rsid w:val="6A8F0512"/>
    <w:rsid w:val="6A976378"/>
    <w:rsid w:val="6AA55079"/>
    <w:rsid w:val="6AAD5248"/>
    <w:rsid w:val="6AB56452"/>
    <w:rsid w:val="6ABB4E2C"/>
    <w:rsid w:val="6ACF578F"/>
    <w:rsid w:val="6B1321A9"/>
    <w:rsid w:val="6B292598"/>
    <w:rsid w:val="6B3069E3"/>
    <w:rsid w:val="6B354780"/>
    <w:rsid w:val="6B470615"/>
    <w:rsid w:val="6B5E1012"/>
    <w:rsid w:val="6B6E7A8A"/>
    <w:rsid w:val="6B701F8A"/>
    <w:rsid w:val="6B7A0BBB"/>
    <w:rsid w:val="6B8616EB"/>
    <w:rsid w:val="6B9D798C"/>
    <w:rsid w:val="6BAF371F"/>
    <w:rsid w:val="6BC71348"/>
    <w:rsid w:val="6BC87F6C"/>
    <w:rsid w:val="6BE92141"/>
    <w:rsid w:val="6BF80185"/>
    <w:rsid w:val="6C090B05"/>
    <w:rsid w:val="6C2D30F2"/>
    <w:rsid w:val="6C3C4E4A"/>
    <w:rsid w:val="6C506B3E"/>
    <w:rsid w:val="6C747438"/>
    <w:rsid w:val="6C752A69"/>
    <w:rsid w:val="6C7F629D"/>
    <w:rsid w:val="6C8A0478"/>
    <w:rsid w:val="6C8F50C7"/>
    <w:rsid w:val="6C970F4F"/>
    <w:rsid w:val="6CA66243"/>
    <w:rsid w:val="6CBC3E12"/>
    <w:rsid w:val="6CBF5376"/>
    <w:rsid w:val="6CC255DF"/>
    <w:rsid w:val="6CC265FC"/>
    <w:rsid w:val="6CCA59DA"/>
    <w:rsid w:val="6CDA6271"/>
    <w:rsid w:val="6CE141AB"/>
    <w:rsid w:val="6CE74BF9"/>
    <w:rsid w:val="6CF4763F"/>
    <w:rsid w:val="6CF521E3"/>
    <w:rsid w:val="6D0B213A"/>
    <w:rsid w:val="6D313483"/>
    <w:rsid w:val="6D38141A"/>
    <w:rsid w:val="6D4856DD"/>
    <w:rsid w:val="6D553FBF"/>
    <w:rsid w:val="6D5E201C"/>
    <w:rsid w:val="6D695347"/>
    <w:rsid w:val="6D6D06FE"/>
    <w:rsid w:val="6D6E5582"/>
    <w:rsid w:val="6D7F17CD"/>
    <w:rsid w:val="6D8030A2"/>
    <w:rsid w:val="6D8609F1"/>
    <w:rsid w:val="6D8C28AC"/>
    <w:rsid w:val="6D963E3F"/>
    <w:rsid w:val="6D9A5C6B"/>
    <w:rsid w:val="6DE85C9A"/>
    <w:rsid w:val="6DF545B2"/>
    <w:rsid w:val="6DFB1388"/>
    <w:rsid w:val="6E031D07"/>
    <w:rsid w:val="6E2A6B30"/>
    <w:rsid w:val="6E5D7064"/>
    <w:rsid w:val="6E630E54"/>
    <w:rsid w:val="6E650422"/>
    <w:rsid w:val="6E665EE6"/>
    <w:rsid w:val="6E7372CF"/>
    <w:rsid w:val="6E7E2567"/>
    <w:rsid w:val="6E8607EC"/>
    <w:rsid w:val="6E9B6C29"/>
    <w:rsid w:val="6EC5035F"/>
    <w:rsid w:val="6EDB620F"/>
    <w:rsid w:val="6EDC149F"/>
    <w:rsid w:val="6EDF148B"/>
    <w:rsid w:val="6EE47C22"/>
    <w:rsid w:val="6EEE0AB3"/>
    <w:rsid w:val="6EEF1D13"/>
    <w:rsid w:val="6F0043B3"/>
    <w:rsid w:val="6F0F36D4"/>
    <w:rsid w:val="6F1C2869"/>
    <w:rsid w:val="6F264C76"/>
    <w:rsid w:val="6F3E73AD"/>
    <w:rsid w:val="6F5A501C"/>
    <w:rsid w:val="6F621577"/>
    <w:rsid w:val="6F6B60F5"/>
    <w:rsid w:val="6F8036EC"/>
    <w:rsid w:val="6F8F6824"/>
    <w:rsid w:val="6F914114"/>
    <w:rsid w:val="6F9F4EBA"/>
    <w:rsid w:val="6FAE1EFD"/>
    <w:rsid w:val="6FB44E15"/>
    <w:rsid w:val="6FD4676B"/>
    <w:rsid w:val="6FD867C1"/>
    <w:rsid w:val="6FF036F6"/>
    <w:rsid w:val="6FF84047"/>
    <w:rsid w:val="6FFF442E"/>
    <w:rsid w:val="701640C3"/>
    <w:rsid w:val="701A5AA5"/>
    <w:rsid w:val="702B4CA8"/>
    <w:rsid w:val="703E08A5"/>
    <w:rsid w:val="704768DE"/>
    <w:rsid w:val="70874FC3"/>
    <w:rsid w:val="70880060"/>
    <w:rsid w:val="708F29D8"/>
    <w:rsid w:val="70935481"/>
    <w:rsid w:val="709B7D36"/>
    <w:rsid w:val="70A33DCF"/>
    <w:rsid w:val="70A41616"/>
    <w:rsid w:val="70C75C49"/>
    <w:rsid w:val="70D256F5"/>
    <w:rsid w:val="70EA4B5A"/>
    <w:rsid w:val="70FE5EC3"/>
    <w:rsid w:val="71264748"/>
    <w:rsid w:val="713A1BE3"/>
    <w:rsid w:val="7168027F"/>
    <w:rsid w:val="71815A96"/>
    <w:rsid w:val="7185508C"/>
    <w:rsid w:val="718A3557"/>
    <w:rsid w:val="718E6821"/>
    <w:rsid w:val="719218CD"/>
    <w:rsid w:val="7195140E"/>
    <w:rsid w:val="719C3C19"/>
    <w:rsid w:val="71A20CAD"/>
    <w:rsid w:val="71C13275"/>
    <w:rsid w:val="71DB12C0"/>
    <w:rsid w:val="71EF4453"/>
    <w:rsid w:val="71F83C8D"/>
    <w:rsid w:val="720C3BED"/>
    <w:rsid w:val="7215661E"/>
    <w:rsid w:val="72232AC3"/>
    <w:rsid w:val="723932AD"/>
    <w:rsid w:val="723F2389"/>
    <w:rsid w:val="724D6A5C"/>
    <w:rsid w:val="724E591C"/>
    <w:rsid w:val="72591107"/>
    <w:rsid w:val="726D1A27"/>
    <w:rsid w:val="72837FB3"/>
    <w:rsid w:val="728B683A"/>
    <w:rsid w:val="72AF312B"/>
    <w:rsid w:val="72D53B48"/>
    <w:rsid w:val="72DC528A"/>
    <w:rsid w:val="72E05F51"/>
    <w:rsid w:val="72F3797D"/>
    <w:rsid w:val="73147496"/>
    <w:rsid w:val="73150860"/>
    <w:rsid w:val="732D00A1"/>
    <w:rsid w:val="733F3663"/>
    <w:rsid w:val="7340275D"/>
    <w:rsid w:val="735241E8"/>
    <w:rsid w:val="73680F71"/>
    <w:rsid w:val="736C20ED"/>
    <w:rsid w:val="737F24B3"/>
    <w:rsid w:val="738B4A50"/>
    <w:rsid w:val="739255B0"/>
    <w:rsid w:val="7397230A"/>
    <w:rsid w:val="73A04BD2"/>
    <w:rsid w:val="73A3445C"/>
    <w:rsid w:val="73BC53B2"/>
    <w:rsid w:val="73CC344D"/>
    <w:rsid w:val="73D272B0"/>
    <w:rsid w:val="73E22169"/>
    <w:rsid w:val="73E63E70"/>
    <w:rsid w:val="73ED71E2"/>
    <w:rsid w:val="73F10759"/>
    <w:rsid w:val="740A4CFC"/>
    <w:rsid w:val="74395419"/>
    <w:rsid w:val="74547BEE"/>
    <w:rsid w:val="74746D7C"/>
    <w:rsid w:val="749D7028"/>
    <w:rsid w:val="74A2256D"/>
    <w:rsid w:val="74AA43DB"/>
    <w:rsid w:val="74AC24F5"/>
    <w:rsid w:val="74B60A2F"/>
    <w:rsid w:val="74C1723C"/>
    <w:rsid w:val="74C3110D"/>
    <w:rsid w:val="74D774D1"/>
    <w:rsid w:val="74DF7BAB"/>
    <w:rsid w:val="74E729C3"/>
    <w:rsid w:val="74F12022"/>
    <w:rsid w:val="751D462F"/>
    <w:rsid w:val="75216E5D"/>
    <w:rsid w:val="753701F3"/>
    <w:rsid w:val="755456FF"/>
    <w:rsid w:val="755505AF"/>
    <w:rsid w:val="755D01A0"/>
    <w:rsid w:val="756C079A"/>
    <w:rsid w:val="75711F18"/>
    <w:rsid w:val="757D1AC1"/>
    <w:rsid w:val="759A27A6"/>
    <w:rsid w:val="75A037A5"/>
    <w:rsid w:val="75BB5BEE"/>
    <w:rsid w:val="75D06C6C"/>
    <w:rsid w:val="75E2742A"/>
    <w:rsid w:val="75E7565C"/>
    <w:rsid w:val="75E76425"/>
    <w:rsid w:val="75F4604D"/>
    <w:rsid w:val="760247AD"/>
    <w:rsid w:val="760250D2"/>
    <w:rsid w:val="760636A0"/>
    <w:rsid w:val="760F184D"/>
    <w:rsid w:val="76113A18"/>
    <w:rsid w:val="761F225E"/>
    <w:rsid w:val="762A5FF2"/>
    <w:rsid w:val="76320F51"/>
    <w:rsid w:val="76373D34"/>
    <w:rsid w:val="763F6A8B"/>
    <w:rsid w:val="764C2CB4"/>
    <w:rsid w:val="764C773E"/>
    <w:rsid w:val="765C39CA"/>
    <w:rsid w:val="7662101C"/>
    <w:rsid w:val="767945B8"/>
    <w:rsid w:val="76821E25"/>
    <w:rsid w:val="768F20DB"/>
    <w:rsid w:val="76A1125A"/>
    <w:rsid w:val="76AB0C14"/>
    <w:rsid w:val="76E01454"/>
    <w:rsid w:val="76EC329E"/>
    <w:rsid w:val="76EF1998"/>
    <w:rsid w:val="770F5577"/>
    <w:rsid w:val="771C5ED1"/>
    <w:rsid w:val="775E4133"/>
    <w:rsid w:val="77636631"/>
    <w:rsid w:val="77661A0F"/>
    <w:rsid w:val="77727A5A"/>
    <w:rsid w:val="777D07EB"/>
    <w:rsid w:val="779B611E"/>
    <w:rsid w:val="779C103C"/>
    <w:rsid w:val="77D60618"/>
    <w:rsid w:val="77FC7D69"/>
    <w:rsid w:val="77FF4DFE"/>
    <w:rsid w:val="78125987"/>
    <w:rsid w:val="78174746"/>
    <w:rsid w:val="781751F3"/>
    <w:rsid w:val="782E281E"/>
    <w:rsid w:val="78454984"/>
    <w:rsid w:val="785D6DF5"/>
    <w:rsid w:val="786243F7"/>
    <w:rsid w:val="78647781"/>
    <w:rsid w:val="78717535"/>
    <w:rsid w:val="78743F67"/>
    <w:rsid w:val="788855CA"/>
    <w:rsid w:val="7889382D"/>
    <w:rsid w:val="78A2331B"/>
    <w:rsid w:val="78BF3336"/>
    <w:rsid w:val="78DC3232"/>
    <w:rsid w:val="78E53671"/>
    <w:rsid w:val="78EE0A60"/>
    <w:rsid w:val="79041B17"/>
    <w:rsid w:val="791003AF"/>
    <w:rsid w:val="792D7EFF"/>
    <w:rsid w:val="792E06CC"/>
    <w:rsid w:val="793A3738"/>
    <w:rsid w:val="79460EDE"/>
    <w:rsid w:val="794A63C6"/>
    <w:rsid w:val="794F055C"/>
    <w:rsid w:val="795A0FA1"/>
    <w:rsid w:val="7976773A"/>
    <w:rsid w:val="798028DB"/>
    <w:rsid w:val="798F237E"/>
    <w:rsid w:val="799B7A09"/>
    <w:rsid w:val="79A40AEF"/>
    <w:rsid w:val="79A93B7F"/>
    <w:rsid w:val="79B00CFE"/>
    <w:rsid w:val="79BB7457"/>
    <w:rsid w:val="79C0226F"/>
    <w:rsid w:val="79C43F43"/>
    <w:rsid w:val="79C72E91"/>
    <w:rsid w:val="79D87A55"/>
    <w:rsid w:val="79EA261C"/>
    <w:rsid w:val="79EA6B56"/>
    <w:rsid w:val="79F31B43"/>
    <w:rsid w:val="79FD66BF"/>
    <w:rsid w:val="7A0B3584"/>
    <w:rsid w:val="7A2F70C4"/>
    <w:rsid w:val="7A372826"/>
    <w:rsid w:val="7A3B0D2D"/>
    <w:rsid w:val="7A451348"/>
    <w:rsid w:val="7A4610EA"/>
    <w:rsid w:val="7A492843"/>
    <w:rsid w:val="7A4A7061"/>
    <w:rsid w:val="7A4D46B1"/>
    <w:rsid w:val="7A522490"/>
    <w:rsid w:val="7A6348BA"/>
    <w:rsid w:val="7A6B26F7"/>
    <w:rsid w:val="7A74492B"/>
    <w:rsid w:val="7A8B398C"/>
    <w:rsid w:val="7A9654D2"/>
    <w:rsid w:val="7AC436AA"/>
    <w:rsid w:val="7AD6527E"/>
    <w:rsid w:val="7ADA256C"/>
    <w:rsid w:val="7ADC658F"/>
    <w:rsid w:val="7AE04774"/>
    <w:rsid w:val="7AE3081A"/>
    <w:rsid w:val="7AE37010"/>
    <w:rsid w:val="7AEB4E93"/>
    <w:rsid w:val="7AF764FA"/>
    <w:rsid w:val="7AFD3857"/>
    <w:rsid w:val="7AFF2D44"/>
    <w:rsid w:val="7B09782A"/>
    <w:rsid w:val="7B0A17DB"/>
    <w:rsid w:val="7B304435"/>
    <w:rsid w:val="7B3B07F5"/>
    <w:rsid w:val="7B5D1B94"/>
    <w:rsid w:val="7B5E7BA1"/>
    <w:rsid w:val="7B7840FC"/>
    <w:rsid w:val="7B8D438C"/>
    <w:rsid w:val="7BA50D4D"/>
    <w:rsid w:val="7BCF4F4A"/>
    <w:rsid w:val="7BDB3521"/>
    <w:rsid w:val="7BDE7397"/>
    <w:rsid w:val="7BE04399"/>
    <w:rsid w:val="7BEA728A"/>
    <w:rsid w:val="7C0B5A94"/>
    <w:rsid w:val="7C1C423A"/>
    <w:rsid w:val="7C7E4C0A"/>
    <w:rsid w:val="7C8A11F2"/>
    <w:rsid w:val="7CB30080"/>
    <w:rsid w:val="7CB97792"/>
    <w:rsid w:val="7CC51228"/>
    <w:rsid w:val="7CCA78C9"/>
    <w:rsid w:val="7CD8312B"/>
    <w:rsid w:val="7CF40A25"/>
    <w:rsid w:val="7CF770C4"/>
    <w:rsid w:val="7D0357EB"/>
    <w:rsid w:val="7D39266F"/>
    <w:rsid w:val="7D3C4634"/>
    <w:rsid w:val="7D406813"/>
    <w:rsid w:val="7D41687E"/>
    <w:rsid w:val="7D464F92"/>
    <w:rsid w:val="7D4A18A6"/>
    <w:rsid w:val="7D5B405C"/>
    <w:rsid w:val="7D6C5EC3"/>
    <w:rsid w:val="7DA309E3"/>
    <w:rsid w:val="7DB70D15"/>
    <w:rsid w:val="7DC5442D"/>
    <w:rsid w:val="7DF8495E"/>
    <w:rsid w:val="7DFF2780"/>
    <w:rsid w:val="7E0265B5"/>
    <w:rsid w:val="7E070AD1"/>
    <w:rsid w:val="7E190A95"/>
    <w:rsid w:val="7E270BC4"/>
    <w:rsid w:val="7E3012F6"/>
    <w:rsid w:val="7E36036B"/>
    <w:rsid w:val="7E56114F"/>
    <w:rsid w:val="7E5A1313"/>
    <w:rsid w:val="7E5F2A98"/>
    <w:rsid w:val="7E611BB9"/>
    <w:rsid w:val="7E6422AE"/>
    <w:rsid w:val="7E706A12"/>
    <w:rsid w:val="7E8161FD"/>
    <w:rsid w:val="7E955F38"/>
    <w:rsid w:val="7EC562F5"/>
    <w:rsid w:val="7EC87A85"/>
    <w:rsid w:val="7ECB3E04"/>
    <w:rsid w:val="7ED16786"/>
    <w:rsid w:val="7EF17A1B"/>
    <w:rsid w:val="7F17671C"/>
    <w:rsid w:val="7F1C70D5"/>
    <w:rsid w:val="7F340717"/>
    <w:rsid w:val="7F4D216F"/>
    <w:rsid w:val="7F4D721E"/>
    <w:rsid w:val="7F4F1CA8"/>
    <w:rsid w:val="7F865FB7"/>
    <w:rsid w:val="7F873E53"/>
    <w:rsid w:val="7F8A1CB4"/>
    <w:rsid w:val="7F8A4EF6"/>
    <w:rsid w:val="7F8D3F7F"/>
    <w:rsid w:val="7F9D49AE"/>
    <w:rsid w:val="7FA72FCA"/>
    <w:rsid w:val="7FB42A25"/>
    <w:rsid w:val="7FB73567"/>
    <w:rsid w:val="7FBE63AE"/>
    <w:rsid w:val="7FC16F99"/>
    <w:rsid w:val="7FC468A4"/>
    <w:rsid w:val="7FC65BA0"/>
    <w:rsid w:val="7FCE26FC"/>
    <w:rsid w:val="7FD02699"/>
    <w:rsid w:val="7FD762D3"/>
    <w:rsid w:val="7FDD0EBC"/>
    <w:rsid w:val="7FF049B3"/>
    <w:rsid w:val="7FFB0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宋体"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color w:val="000000"/>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sz w:val="44"/>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cs="Arial"/>
      <w:b/>
      <w:sz w:val="32"/>
      <w:szCs w:val="32"/>
    </w:rPr>
  </w:style>
  <w:style w:type="paragraph" w:styleId="6">
    <w:name w:val="heading 3"/>
    <w:basedOn w:val="1"/>
    <w:next w:val="1"/>
    <w:link w:val="94"/>
    <w:qFormat/>
    <w:uiPriority w:val="0"/>
    <w:pPr>
      <w:keepNext/>
      <w:keepLines/>
      <w:spacing w:before="260" w:after="260" w:line="413" w:lineRule="auto"/>
      <w:ind w:firstLine="137"/>
      <w:outlineLvl w:val="2"/>
    </w:pPr>
    <w:rPr>
      <w:rFonts w:ascii="黑体" w:hAnsi="黑体" w:eastAsia="黑体" w:cs="宋体"/>
      <w:sz w:val="28"/>
      <w:szCs w:val="28"/>
    </w:rPr>
  </w:style>
  <w:style w:type="paragraph" w:styleId="7">
    <w:name w:val="heading 4"/>
    <w:basedOn w:val="1"/>
    <w:next w:val="1"/>
    <w:qFormat/>
    <w:uiPriority w:val="0"/>
    <w:pPr>
      <w:keepNext/>
      <w:keepLines/>
      <w:spacing w:before="280" w:after="290" w:line="372" w:lineRule="auto"/>
      <w:outlineLvl w:val="3"/>
    </w:pPr>
    <w:rPr>
      <w:rFonts w:ascii="Arial" w:hAnsi="Arial" w:eastAsia="黑体" w:cs="Arial"/>
      <w:b/>
      <w:sz w:val="28"/>
      <w:szCs w:val="28"/>
    </w:rPr>
  </w:style>
  <w:style w:type="character" w:default="1" w:styleId="36">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0"/>
    <w:pPr>
      <w:ind w:firstLine="630"/>
    </w:pPr>
    <w:rPr>
      <w:rFonts w:hint="eastAsia" w:ascii="宋体" w:hAnsi="Times New Roman"/>
      <w:sz w:val="32"/>
      <w:szCs w:val="24"/>
    </w:rPr>
  </w:style>
  <w:style w:type="paragraph" w:styleId="8">
    <w:name w:val="toc 7"/>
    <w:basedOn w:val="1"/>
    <w:next w:val="1"/>
    <w:unhideWhenUsed/>
    <w:qFormat/>
    <w:uiPriority w:val="39"/>
    <w:pPr>
      <w:ind w:left="2520" w:leftChars="1200"/>
    </w:pPr>
    <w:rPr>
      <w:rFonts w:cs="Times New Roman"/>
      <w:color w:val="auto"/>
      <w:kern w:val="2"/>
    </w:rPr>
  </w:style>
  <w:style w:type="paragraph" w:styleId="9">
    <w:name w:val="index 8"/>
    <w:basedOn w:val="1"/>
    <w:next w:val="1"/>
    <w:unhideWhenUsed/>
    <w:qFormat/>
    <w:uiPriority w:val="99"/>
    <w:pPr>
      <w:ind w:left="1400" w:leftChars="1400"/>
    </w:pPr>
  </w:style>
  <w:style w:type="paragraph" w:styleId="10">
    <w:name w:val="Normal Indent"/>
    <w:basedOn w:val="1"/>
    <w:qFormat/>
    <w:uiPriority w:val="99"/>
    <w:pPr>
      <w:ind w:firstLine="420" w:firstLineChars="200"/>
    </w:pPr>
    <w:rPr>
      <w:rFonts w:ascii="Times New Roman" w:hAnsi="Times New Roman" w:cs="Times New Roman"/>
      <w:szCs w:val="24"/>
    </w:rPr>
  </w:style>
  <w:style w:type="paragraph" w:styleId="11">
    <w:name w:val="Document Map"/>
    <w:basedOn w:val="1"/>
    <w:qFormat/>
    <w:uiPriority w:val="0"/>
    <w:pPr>
      <w:shd w:val="clear" w:color="000000" w:fill="00007F"/>
    </w:pPr>
    <w:rPr>
      <w:kern w:val="1"/>
      <w:szCs w:val="24"/>
      <w:lang w:val="zh-CN"/>
    </w:rPr>
  </w:style>
  <w:style w:type="paragraph" w:styleId="12">
    <w:name w:val="annotation text"/>
    <w:basedOn w:val="1"/>
    <w:link w:val="43"/>
    <w:qFormat/>
    <w:uiPriority w:val="99"/>
    <w:pPr>
      <w:jc w:val="left"/>
    </w:pPr>
    <w:rPr>
      <w:sz w:val="20"/>
      <w:szCs w:val="24"/>
      <w:lang w:val="zh-CN"/>
    </w:rPr>
  </w:style>
  <w:style w:type="paragraph" w:styleId="13">
    <w:name w:val="Body Text 3"/>
    <w:basedOn w:val="1"/>
    <w:qFormat/>
    <w:uiPriority w:val="0"/>
    <w:rPr>
      <w:rFonts w:ascii="宋体" w:hAnsi="宋体" w:cs="宋体"/>
      <w:sz w:val="24"/>
      <w:szCs w:val="20"/>
    </w:rPr>
  </w:style>
  <w:style w:type="paragraph" w:styleId="14">
    <w:name w:val="Body Text"/>
    <w:basedOn w:val="1"/>
    <w:qFormat/>
    <w:uiPriority w:val="0"/>
    <w:pPr>
      <w:spacing w:after="120"/>
    </w:pPr>
    <w:rPr>
      <w:kern w:val="1"/>
    </w:rPr>
  </w:style>
  <w:style w:type="paragraph" w:styleId="15">
    <w:name w:val="Block Text"/>
    <w:basedOn w:val="1"/>
    <w:qFormat/>
    <w:uiPriority w:val="0"/>
    <w:pPr>
      <w:spacing w:before="120" w:after="120" w:line="360" w:lineRule="auto"/>
      <w:ind w:left="57" w:right="57" w:firstLine="468"/>
    </w:pPr>
    <w:rPr>
      <w:rFonts w:ascii="Arial" w:hAnsi="Arial" w:cs="Arial"/>
      <w:kern w:val="1"/>
      <w:sz w:val="24"/>
      <w:szCs w:val="20"/>
    </w:rPr>
  </w:style>
  <w:style w:type="paragraph" w:styleId="16">
    <w:name w:val="toc 5"/>
    <w:basedOn w:val="1"/>
    <w:next w:val="1"/>
    <w:unhideWhenUsed/>
    <w:qFormat/>
    <w:uiPriority w:val="39"/>
    <w:pPr>
      <w:ind w:left="1680" w:leftChars="800"/>
    </w:pPr>
    <w:rPr>
      <w:rFonts w:cs="Times New Roman"/>
      <w:color w:val="auto"/>
      <w:kern w:val="2"/>
    </w:rPr>
  </w:style>
  <w:style w:type="paragraph" w:styleId="17">
    <w:name w:val="toc 3"/>
    <w:basedOn w:val="1"/>
    <w:next w:val="1"/>
    <w:unhideWhenUsed/>
    <w:qFormat/>
    <w:uiPriority w:val="39"/>
    <w:pPr>
      <w:ind w:left="840" w:leftChars="400"/>
    </w:pPr>
  </w:style>
  <w:style w:type="paragraph" w:styleId="18">
    <w:name w:val="Plain Text"/>
    <w:basedOn w:val="1"/>
    <w:link w:val="88"/>
    <w:qFormat/>
    <w:uiPriority w:val="0"/>
    <w:rPr>
      <w:rFonts w:ascii="宋体" w:hAnsi="宋体" w:cs="Courier New"/>
      <w:sz w:val="20"/>
      <w:szCs w:val="20"/>
      <w:lang w:val="zh-CN"/>
    </w:rPr>
  </w:style>
  <w:style w:type="paragraph" w:styleId="19">
    <w:name w:val="toc 8"/>
    <w:basedOn w:val="1"/>
    <w:next w:val="1"/>
    <w:unhideWhenUsed/>
    <w:qFormat/>
    <w:uiPriority w:val="39"/>
    <w:pPr>
      <w:ind w:left="2940" w:leftChars="1400"/>
    </w:pPr>
    <w:rPr>
      <w:rFonts w:cs="Times New Roman"/>
      <w:color w:val="auto"/>
      <w:kern w:val="2"/>
    </w:rPr>
  </w:style>
  <w:style w:type="paragraph" w:styleId="20">
    <w:name w:val="Date"/>
    <w:basedOn w:val="1"/>
    <w:next w:val="1"/>
    <w:link w:val="87"/>
    <w:semiHidden/>
    <w:unhideWhenUsed/>
    <w:qFormat/>
    <w:uiPriority w:val="99"/>
    <w:pPr>
      <w:ind w:left="100" w:leftChars="2500"/>
    </w:pPr>
  </w:style>
  <w:style w:type="paragraph" w:styleId="21">
    <w:name w:val="Body Text Indent 2"/>
    <w:basedOn w:val="1"/>
    <w:qFormat/>
    <w:uiPriority w:val="0"/>
    <w:pPr>
      <w:spacing w:after="120" w:line="480" w:lineRule="auto"/>
      <w:ind w:left="420"/>
    </w:pPr>
    <w:rPr>
      <w:sz w:val="20"/>
      <w:szCs w:val="24"/>
    </w:rPr>
  </w:style>
  <w:style w:type="paragraph" w:styleId="22">
    <w:name w:val="Balloon Text"/>
    <w:basedOn w:val="1"/>
    <w:qFormat/>
    <w:uiPriority w:val="0"/>
    <w:rPr>
      <w:kern w:val="1"/>
      <w:sz w:val="18"/>
      <w:szCs w:val="18"/>
      <w:lang w:val="zh-CN"/>
    </w:rPr>
  </w:style>
  <w:style w:type="paragraph" w:styleId="23">
    <w:name w:val="footer"/>
    <w:basedOn w:val="1"/>
    <w:link w:val="45"/>
    <w:qFormat/>
    <w:uiPriority w:val="99"/>
    <w:pPr>
      <w:tabs>
        <w:tab w:val="center" w:pos="4153"/>
        <w:tab w:val="right" w:pos="8306"/>
      </w:tabs>
      <w:jc w:val="left"/>
    </w:pPr>
    <w:rPr>
      <w:rFonts w:cs="Times New Roman"/>
      <w:color w:val="auto"/>
      <w:sz w:val="18"/>
      <w:szCs w:val="24"/>
    </w:rPr>
  </w:style>
  <w:style w:type="paragraph" w:styleId="24">
    <w:name w:val="header"/>
    <w:basedOn w:val="1"/>
    <w:qFormat/>
    <w:uiPriority w:val="0"/>
    <w:pPr>
      <w:pBdr>
        <w:bottom w:val="single" w:color="000000" w:sz="6" w:space="1"/>
      </w:pBdr>
      <w:tabs>
        <w:tab w:val="center" w:pos="4153"/>
        <w:tab w:val="right" w:pos="8306"/>
      </w:tabs>
      <w:jc w:val="center"/>
    </w:pPr>
    <w:rPr>
      <w:sz w:val="18"/>
      <w:szCs w:val="18"/>
    </w:rPr>
  </w:style>
  <w:style w:type="paragraph" w:styleId="25">
    <w:name w:val="toc 1"/>
    <w:basedOn w:val="1"/>
    <w:next w:val="1"/>
    <w:qFormat/>
    <w:uiPriority w:val="39"/>
    <w:pPr>
      <w:spacing w:before="120" w:after="120"/>
      <w:jc w:val="left"/>
    </w:pPr>
    <w:rPr>
      <w:rFonts w:ascii="Times New Roman" w:hAnsi="Times New Roman" w:cs="Times New Roman"/>
      <w:b/>
      <w:caps/>
      <w:kern w:val="1"/>
      <w:sz w:val="20"/>
      <w:szCs w:val="20"/>
    </w:rPr>
  </w:style>
  <w:style w:type="paragraph" w:styleId="26">
    <w:name w:val="toc 4"/>
    <w:basedOn w:val="1"/>
    <w:next w:val="1"/>
    <w:unhideWhenUsed/>
    <w:qFormat/>
    <w:uiPriority w:val="39"/>
    <w:pPr>
      <w:ind w:left="1260" w:leftChars="600"/>
    </w:pPr>
    <w:rPr>
      <w:rFonts w:cs="Times New Roman"/>
      <w:color w:val="auto"/>
      <w:kern w:val="2"/>
    </w:rPr>
  </w:style>
  <w:style w:type="paragraph" w:styleId="27">
    <w:name w:val="toc 6"/>
    <w:basedOn w:val="1"/>
    <w:next w:val="1"/>
    <w:unhideWhenUsed/>
    <w:qFormat/>
    <w:uiPriority w:val="39"/>
    <w:pPr>
      <w:ind w:left="2100" w:leftChars="1000"/>
    </w:pPr>
    <w:rPr>
      <w:rFonts w:cs="Times New Roman"/>
      <w:color w:val="auto"/>
      <w:kern w:val="2"/>
    </w:rPr>
  </w:style>
  <w:style w:type="paragraph" w:styleId="28">
    <w:name w:val="Body Text Indent 3"/>
    <w:basedOn w:val="1"/>
    <w:unhideWhenUsed/>
    <w:qFormat/>
    <w:uiPriority w:val="0"/>
    <w:pPr>
      <w:spacing w:line="360" w:lineRule="auto"/>
      <w:ind w:left="1978" w:leftChars="942"/>
    </w:pPr>
    <w:rPr>
      <w:rFonts w:ascii="Times New Roman" w:hAnsi="宋体"/>
      <w:sz w:val="24"/>
      <w:szCs w:val="24"/>
    </w:rPr>
  </w:style>
  <w:style w:type="paragraph" w:styleId="29">
    <w:name w:val="toc 2"/>
    <w:basedOn w:val="1"/>
    <w:next w:val="1"/>
    <w:unhideWhenUsed/>
    <w:qFormat/>
    <w:uiPriority w:val="39"/>
    <w:pPr>
      <w:ind w:left="420" w:leftChars="200"/>
    </w:pPr>
  </w:style>
  <w:style w:type="paragraph" w:styleId="30">
    <w:name w:val="toc 9"/>
    <w:basedOn w:val="1"/>
    <w:next w:val="1"/>
    <w:unhideWhenUsed/>
    <w:qFormat/>
    <w:uiPriority w:val="39"/>
    <w:pPr>
      <w:ind w:left="3360" w:leftChars="1600"/>
    </w:pPr>
    <w:rPr>
      <w:rFonts w:cs="Times New Roman"/>
      <w:color w:val="auto"/>
      <w:kern w:val="2"/>
    </w:rPr>
  </w:style>
  <w:style w:type="paragraph" w:styleId="31">
    <w:name w:val="Body Text 2"/>
    <w:basedOn w:val="1"/>
    <w:qFormat/>
    <w:uiPriority w:val="0"/>
    <w:pPr>
      <w:spacing w:after="120" w:line="480" w:lineRule="auto"/>
    </w:pPr>
    <w:rPr>
      <w:sz w:val="20"/>
      <w:szCs w:val="24"/>
    </w:rPr>
  </w:style>
  <w:style w:type="paragraph" w:styleId="32">
    <w:name w:val="Normal (Web)"/>
    <w:basedOn w:val="1"/>
    <w:unhideWhenUsed/>
    <w:qFormat/>
    <w:uiPriority w:val="99"/>
    <w:rPr>
      <w:sz w:val="24"/>
    </w:rPr>
  </w:style>
  <w:style w:type="paragraph" w:styleId="33">
    <w:name w:val="annotation subject"/>
    <w:basedOn w:val="12"/>
    <w:next w:val="12"/>
    <w:qFormat/>
    <w:uiPriority w:val="0"/>
    <w:rPr>
      <w:b/>
      <w:kern w:val="1"/>
      <w:sz w:val="21"/>
      <w:szCs w:val="22"/>
    </w:rPr>
  </w:style>
  <w:style w:type="paragraph" w:styleId="34">
    <w:name w:val="Body Text First Indent"/>
    <w:basedOn w:val="14"/>
    <w:qFormat/>
    <w:uiPriority w:val="0"/>
    <w:pPr>
      <w:spacing w:line="312" w:lineRule="auto"/>
      <w:ind w:firstLine="420"/>
    </w:pPr>
  </w:style>
  <w:style w:type="character" w:styleId="37">
    <w:name w:val="page number"/>
    <w:basedOn w:val="36"/>
    <w:qFormat/>
    <w:uiPriority w:val="0"/>
  </w:style>
  <w:style w:type="character" w:styleId="38">
    <w:name w:val="Hyperlink"/>
    <w:unhideWhenUsed/>
    <w:qFormat/>
    <w:uiPriority w:val="99"/>
    <w:rPr>
      <w:color w:val="0000FF"/>
      <w:u w:val="single"/>
    </w:rPr>
  </w:style>
  <w:style w:type="character" w:styleId="39">
    <w:name w:val="annotation reference"/>
    <w:qFormat/>
    <w:uiPriority w:val="99"/>
    <w:rPr>
      <w:sz w:val="21"/>
      <w:szCs w:val="21"/>
    </w:rPr>
  </w:style>
  <w:style w:type="paragraph" w:customStyle="1" w:styleId="40">
    <w:name w:val="表格文字"/>
    <w:basedOn w:val="1"/>
    <w:next w:val="1"/>
    <w:unhideWhenUsed/>
    <w:qFormat/>
    <w:uiPriority w:val="0"/>
    <w:pPr>
      <w:spacing w:before="25" w:after="25"/>
      <w:jc w:val="left"/>
    </w:pPr>
    <w:rPr>
      <w:rFonts w:hint="eastAsia"/>
      <w:spacing w:val="10"/>
      <w:sz w:val="24"/>
      <w:szCs w:val="24"/>
    </w:rPr>
  </w:style>
  <w:style w:type="character" w:customStyle="1" w:styleId="41">
    <w:name w:val="批注框文本 Char"/>
    <w:qFormat/>
    <w:uiPriority w:val="0"/>
    <w:rPr>
      <w:kern w:val="1"/>
      <w:sz w:val="18"/>
      <w:szCs w:val="18"/>
    </w:rPr>
  </w:style>
  <w:style w:type="character" w:customStyle="1" w:styleId="42">
    <w:name w:val="纯文本 Char"/>
    <w:qFormat/>
    <w:uiPriority w:val="0"/>
    <w:rPr>
      <w:rFonts w:ascii="宋体" w:hAnsi="宋体"/>
    </w:rPr>
  </w:style>
  <w:style w:type="character" w:customStyle="1" w:styleId="43">
    <w:name w:val="批注文字 Char1"/>
    <w:link w:val="12"/>
    <w:qFormat/>
    <w:uiPriority w:val="99"/>
    <w:rPr>
      <w:rFonts w:ascii="Calibri" w:hAnsi="Calibri" w:eastAsia="宋体" w:cs="Calibri"/>
      <w:color w:val="000000"/>
      <w:szCs w:val="24"/>
      <w:lang w:val="zh-CN" w:eastAsia="zh-CN" w:bidi="ar-SA"/>
    </w:rPr>
  </w:style>
  <w:style w:type="character" w:customStyle="1" w:styleId="44">
    <w:name w:val="批注文字 Char"/>
    <w:qFormat/>
    <w:uiPriority w:val="0"/>
    <w:rPr>
      <w:szCs w:val="24"/>
    </w:rPr>
  </w:style>
  <w:style w:type="character" w:customStyle="1" w:styleId="45">
    <w:name w:val="页脚 Char"/>
    <w:link w:val="23"/>
    <w:qFormat/>
    <w:uiPriority w:val="99"/>
    <w:rPr>
      <w:sz w:val="18"/>
      <w:szCs w:val="24"/>
    </w:rPr>
  </w:style>
  <w:style w:type="character" w:customStyle="1" w:styleId="46">
    <w:name w:val="文档结构图 Char"/>
    <w:qFormat/>
    <w:uiPriority w:val="0"/>
    <w:rPr>
      <w:kern w:val="1"/>
      <w:sz w:val="21"/>
      <w:szCs w:val="24"/>
      <w:shd w:val="clear" w:color="auto" w:fill="00007F"/>
    </w:rPr>
  </w:style>
  <w:style w:type="character" w:customStyle="1" w:styleId="47">
    <w:name w:val="font01"/>
    <w:qFormat/>
    <w:uiPriority w:val="0"/>
    <w:rPr>
      <w:rFonts w:ascii="Times New Roman" w:hAnsi="Times New Roman" w:cs="Times New Roman"/>
      <w:color w:val="000000"/>
      <w:sz w:val="20"/>
      <w:szCs w:val="20"/>
    </w:rPr>
  </w:style>
  <w:style w:type="character" w:customStyle="1" w:styleId="48">
    <w:name w:val="文档结构图 Char1"/>
    <w:qFormat/>
    <w:uiPriority w:val="0"/>
    <w:rPr>
      <w:rFonts w:ascii="宋体" w:hAnsi="宋体"/>
      <w:kern w:val="1"/>
      <w:sz w:val="18"/>
      <w:szCs w:val="18"/>
    </w:rPr>
  </w:style>
  <w:style w:type="character" w:customStyle="1" w:styleId="49">
    <w:name w:val="apple-converted-space"/>
    <w:qFormat/>
    <w:uiPriority w:val="0"/>
  </w:style>
  <w:style w:type="character" w:customStyle="1" w:styleId="50">
    <w:name w:val="首行缩进两字 Char1"/>
    <w:link w:val="51"/>
    <w:qFormat/>
    <w:locked/>
    <w:uiPriority w:val="0"/>
    <w:rPr>
      <w:rFonts w:ascii="宋体" w:hAnsi="宋体"/>
      <w:color w:val="000000"/>
      <w:sz w:val="28"/>
    </w:rPr>
  </w:style>
  <w:style w:type="paragraph" w:customStyle="1" w:styleId="51">
    <w:name w:val="首行缩进两字"/>
    <w:basedOn w:val="1"/>
    <w:link w:val="50"/>
    <w:qFormat/>
    <w:uiPriority w:val="0"/>
    <w:pPr>
      <w:ind w:firstLine="549" w:firstLineChars="200"/>
      <w:jc w:val="left"/>
    </w:pPr>
    <w:rPr>
      <w:rFonts w:ascii="宋体" w:hAnsi="宋体" w:cs="Times New Roman"/>
      <w:sz w:val="28"/>
      <w:szCs w:val="20"/>
    </w:rPr>
  </w:style>
  <w:style w:type="character" w:customStyle="1" w:styleId="52">
    <w:name w:val="标题 2 Char"/>
    <w:qFormat/>
    <w:uiPriority w:val="0"/>
    <w:rPr>
      <w:rFonts w:ascii="Arial" w:hAnsi="Arial" w:eastAsia="黑体"/>
      <w:b/>
      <w:kern w:val="0"/>
      <w:sz w:val="32"/>
      <w:szCs w:val="32"/>
    </w:rPr>
  </w:style>
  <w:style w:type="character" w:customStyle="1" w:styleId="53">
    <w:name w:val="页脚 Char1"/>
    <w:qFormat/>
    <w:uiPriority w:val="0"/>
    <w:rPr>
      <w:kern w:val="2"/>
      <w:sz w:val="18"/>
      <w:szCs w:val="18"/>
    </w:rPr>
  </w:style>
  <w:style w:type="character" w:customStyle="1" w:styleId="54">
    <w:name w:val="_Style 8"/>
    <w:qFormat/>
    <w:uiPriority w:val="0"/>
    <w:rPr>
      <w:smallCaps/>
      <w:color w:val="C0504D"/>
      <w:u w:val="single"/>
    </w:rPr>
  </w:style>
  <w:style w:type="character" w:customStyle="1" w:styleId="55">
    <w:name w:val="font21"/>
    <w:qFormat/>
    <w:uiPriority w:val="0"/>
    <w:rPr>
      <w:rFonts w:ascii="宋体" w:hAnsi="宋体" w:eastAsia="宋体" w:cs="宋体"/>
      <w:color w:val="000000"/>
      <w:sz w:val="24"/>
      <w:szCs w:val="24"/>
      <w:u w:val="none"/>
    </w:rPr>
  </w:style>
  <w:style w:type="character" w:customStyle="1" w:styleId="56">
    <w:name w:val="批注主题 Char"/>
    <w:qFormat/>
    <w:uiPriority w:val="0"/>
    <w:rPr>
      <w:b/>
      <w:kern w:val="1"/>
      <w:sz w:val="21"/>
      <w:szCs w:val="22"/>
    </w:rPr>
  </w:style>
  <w:style w:type="paragraph" w:customStyle="1" w:styleId="57">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
    <w:name w:val="正文 New New New New New New New New New New New New New New New New New"/>
    <w:qFormat/>
    <w:uiPriority w:val="0"/>
    <w:pPr>
      <w:widowControl w:val="0"/>
      <w:spacing w:line="360" w:lineRule="auto"/>
      <w:jc w:val="both"/>
    </w:pPr>
    <w:rPr>
      <w:rFonts w:ascii="Calibri" w:hAnsi="Calibri" w:eastAsia="宋体" w:cs="Times New Roman"/>
      <w:kern w:val="2"/>
      <w:sz w:val="28"/>
      <w:szCs w:val="24"/>
      <w:lang w:val="en-US" w:eastAsia="zh-CN" w:bidi="ar-SA"/>
    </w:rPr>
  </w:style>
  <w:style w:type="paragraph" w:customStyle="1" w:styleId="59">
    <w:name w:val="标题 1 New"/>
    <w:basedOn w:val="60"/>
    <w:next w:val="60"/>
    <w:qFormat/>
    <w:uiPriority w:val="0"/>
    <w:pPr>
      <w:keepNext/>
      <w:keepLines/>
      <w:spacing w:line="576" w:lineRule="auto"/>
      <w:outlineLvl w:val="0"/>
    </w:pPr>
    <w:rPr>
      <w:b/>
      <w:sz w:val="44"/>
      <w:szCs w:val="44"/>
    </w:rPr>
  </w:style>
  <w:style w:type="paragraph" w:customStyle="1" w:styleId="60">
    <w:name w:val="正文 New"/>
    <w:next w:val="61"/>
    <w:qFormat/>
    <w:uiPriority w:val="0"/>
    <w:pPr>
      <w:widowControl w:val="0"/>
      <w:jc w:val="both"/>
    </w:pPr>
    <w:rPr>
      <w:rFonts w:ascii="Calibri" w:hAnsi="Calibri" w:eastAsia="宋体" w:cs="Calibri"/>
      <w:color w:val="000000"/>
      <w:sz w:val="21"/>
      <w:szCs w:val="22"/>
      <w:lang w:val="en-US" w:eastAsia="zh-CN" w:bidi="ar-SA"/>
    </w:rPr>
  </w:style>
  <w:style w:type="paragraph" w:customStyle="1" w:styleId="61">
    <w:name w:val="纯文本1"/>
    <w:basedOn w:val="60"/>
    <w:qFormat/>
    <w:uiPriority w:val="0"/>
    <w:rPr>
      <w:rFonts w:ascii="宋体" w:hAnsi="宋体" w:cs="Courier New"/>
      <w:sz w:val="20"/>
      <w:szCs w:val="20"/>
      <w:lang w:val="zh-CN"/>
    </w:rPr>
  </w:style>
  <w:style w:type="paragraph" w:styleId="62">
    <w:name w:val="List Paragraph"/>
    <w:basedOn w:val="1"/>
    <w:qFormat/>
    <w:uiPriority w:val="99"/>
    <w:pPr>
      <w:ind w:firstLine="420" w:firstLineChars="200"/>
    </w:pPr>
  </w:style>
  <w:style w:type="paragraph" w:customStyle="1" w:styleId="63">
    <w:name w:val="修订1"/>
    <w:qFormat/>
    <w:uiPriority w:val="0"/>
    <w:rPr>
      <w:rFonts w:ascii="Calibri" w:hAnsi="Calibri" w:eastAsia="宋体" w:cs="Calibri"/>
      <w:color w:val="000000"/>
      <w:kern w:val="1"/>
      <w:sz w:val="21"/>
      <w:szCs w:val="22"/>
      <w:lang w:val="en-US" w:eastAsia="zh-CN" w:bidi="ar-SA"/>
    </w:rPr>
  </w:style>
  <w:style w:type="paragraph" w:customStyle="1" w:styleId="64">
    <w:name w:val="List Paragraph*"/>
    <w:basedOn w:val="1"/>
    <w:qFormat/>
    <w:uiPriority w:val="0"/>
    <w:pPr>
      <w:spacing w:line="360" w:lineRule="auto"/>
      <w:ind w:firstLine="420"/>
    </w:pPr>
    <w:rPr>
      <w:rFonts w:ascii="仿宋_GB2312" w:hAnsi="仿宋_GB2312" w:eastAsia="仿宋_GB2312" w:cs="仿宋_GB2312"/>
      <w:kern w:val="1"/>
      <w:sz w:val="28"/>
    </w:rPr>
  </w:style>
  <w:style w:type="paragraph" w:customStyle="1" w:styleId="65">
    <w:name w:val="[基本段落]"/>
    <w:basedOn w:val="1"/>
    <w:qFormat/>
    <w:uiPriority w:val="0"/>
    <w:pPr>
      <w:autoSpaceDE w:val="0"/>
      <w:autoSpaceDN w:val="0"/>
      <w:spacing w:line="288" w:lineRule="auto"/>
      <w:ind w:firstLine="200" w:firstLineChars="200"/>
    </w:pPr>
    <w:rPr>
      <w:rFonts w:hint="eastAsia" w:ascii="Adobe 宋体 Std L" w:hAnsi="Adobe 宋体 Std L" w:eastAsia="Adobe 宋体 Std L" w:cs="Times New Roman"/>
      <w:sz w:val="24"/>
    </w:rPr>
  </w:style>
  <w:style w:type="paragraph" w:customStyle="1" w:styleId="66">
    <w:name w:val="_Style 3"/>
    <w:qFormat/>
    <w:uiPriority w:val="0"/>
    <w:pPr>
      <w:widowControl w:val="0"/>
      <w:jc w:val="both"/>
    </w:pPr>
    <w:rPr>
      <w:rFonts w:ascii="Calibri" w:hAnsi="Calibri" w:eastAsia="宋体" w:cs="Calibri"/>
      <w:kern w:val="2"/>
      <w:sz w:val="21"/>
      <w:szCs w:val="22"/>
      <w:lang w:val="en-US" w:eastAsia="zh-CN" w:bidi="ar-SA"/>
    </w:rPr>
  </w:style>
  <w:style w:type="paragraph" w:customStyle="1" w:styleId="67">
    <w:name w:val="报告正文A"/>
    <w:basedOn w:val="1"/>
    <w:qFormat/>
    <w:uiPriority w:val="0"/>
    <w:pPr>
      <w:adjustRightInd w:val="0"/>
      <w:snapToGrid w:val="0"/>
      <w:ind w:firstLine="200" w:firstLineChars="200"/>
    </w:pPr>
    <w:rPr>
      <w:rFonts w:ascii="Times New Roman" w:hAnsi="Times New Roman" w:eastAsia="仿宋_GB2312" w:cs="Times New Roman"/>
      <w:color w:val="auto"/>
      <w:kern w:val="2"/>
      <w:sz w:val="24"/>
      <w:szCs w:val="24"/>
    </w:rPr>
  </w:style>
  <w:style w:type="paragraph" w:customStyle="1" w:styleId="68">
    <w:name w:val="文一"/>
    <w:basedOn w:val="1"/>
    <w:qFormat/>
    <w:uiPriority w:val="0"/>
    <w:pPr>
      <w:spacing w:line="360" w:lineRule="auto"/>
      <w:ind w:firstLine="200"/>
    </w:pPr>
    <w:rPr>
      <w:spacing w:val="4"/>
      <w:sz w:val="24"/>
      <w:szCs w:val="24"/>
    </w:rPr>
  </w:style>
  <w:style w:type="paragraph" w:customStyle="1" w:styleId="69">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70">
    <w:name w:val="列出段落1"/>
    <w:basedOn w:val="1"/>
    <w:qFormat/>
    <w:uiPriority w:val="0"/>
    <w:pPr>
      <w:ind w:firstLine="420"/>
    </w:pPr>
    <w:rPr>
      <w:kern w:val="1"/>
      <w:szCs w:val="24"/>
    </w:rPr>
  </w:style>
  <w:style w:type="paragraph" w:customStyle="1" w:styleId="71">
    <w:name w:val="表头"/>
    <w:basedOn w:val="1"/>
    <w:qFormat/>
    <w:uiPriority w:val="0"/>
    <w:pPr>
      <w:spacing w:line="360" w:lineRule="auto"/>
      <w:jc w:val="center"/>
    </w:pPr>
    <w:rPr>
      <w:rFonts w:ascii="黑体" w:hAnsi="黑体" w:eastAsia="黑体" w:cs="Times New Roman"/>
      <w:sz w:val="24"/>
      <w:szCs w:val="20"/>
    </w:rPr>
  </w:style>
  <w:style w:type="paragraph" w:customStyle="1" w:styleId="72">
    <w:name w:val="普通(网站)1"/>
    <w:basedOn w:val="1"/>
    <w:qFormat/>
    <w:uiPriority w:val="0"/>
    <w:pPr>
      <w:spacing w:before="100" w:beforeAutospacing="1" w:after="100" w:afterAutospacing="1"/>
    </w:pPr>
    <w:rPr>
      <w:rFonts w:ascii="宋体" w:hAnsi="宋体" w:cs="宋体"/>
      <w:sz w:val="24"/>
      <w:szCs w:val="24"/>
    </w:rPr>
  </w:style>
  <w:style w:type="paragraph" w:customStyle="1" w:styleId="73">
    <w:name w:val="章节二"/>
    <w:basedOn w:val="1"/>
    <w:next w:val="1"/>
    <w:qFormat/>
    <w:uiPriority w:val="0"/>
    <w:pPr>
      <w:spacing w:before="156" w:after="156"/>
      <w:jc w:val="center"/>
      <w:outlineLvl w:val="1"/>
    </w:pPr>
    <w:rPr>
      <w:rFonts w:ascii="Times New Roman" w:hAnsi="Times New Roman" w:eastAsia="黑体" w:cs="Times New Roman"/>
      <w:b/>
      <w:spacing w:val="4"/>
      <w:sz w:val="30"/>
      <w:szCs w:val="30"/>
    </w:rPr>
  </w:style>
  <w:style w:type="paragraph" w:customStyle="1" w:styleId="74">
    <w:name w:val="修订2"/>
    <w:unhideWhenUsed/>
    <w:qFormat/>
    <w:uiPriority w:val="99"/>
    <w:rPr>
      <w:rFonts w:ascii="Calibri" w:hAnsi="Calibri" w:eastAsia="宋体" w:cs="Calibri"/>
      <w:color w:val="000000"/>
      <w:sz w:val="21"/>
      <w:szCs w:val="22"/>
      <w:lang w:val="en-US" w:eastAsia="zh-CN" w:bidi="ar-SA"/>
    </w:rPr>
  </w:style>
  <w:style w:type="paragraph" w:customStyle="1" w:styleId="75">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customStyle="1" w:styleId="76">
    <w:name w:val="正文 New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77">
    <w:name w:val="纯文本11"/>
    <w:basedOn w:val="60"/>
    <w:qFormat/>
    <w:uiPriority w:val="0"/>
    <w:rPr>
      <w:rFonts w:ascii="宋体" w:hAnsi="宋体" w:cs="Courier New"/>
      <w:sz w:val="20"/>
      <w:szCs w:val="20"/>
      <w:lang w:val="zh-CN"/>
    </w:rPr>
  </w:style>
  <w:style w:type="paragraph" w:customStyle="1" w:styleId="78">
    <w:name w:val="_Style 1"/>
    <w:basedOn w:val="1"/>
    <w:qFormat/>
    <w:uiPriority w:val="0"/>
    <w:rPr>
      <w:kern w:val="1"/>
      <w:sz w:val="20"/>
      <w:szCs w:val="20"/>
    </w:rPr>
  </w:style>
  <w:style w:type="paragraph" w:customStyle="1" w:styleId="79">
    <w:name w:val="样式1"/>
    <w:basedOn w:val="1"/>
    <w:next w:val="7"/>
    <w:qFormat/>
    <w:uiPriority w:val="0"/>
    <w:pPr>
      <w:spacing w:line="360" w:lineRule="auto"/>
      <w:ind w:firstLine="420"/>
    </w:pPr>
    <w:rPr>
      <w:rFonts w:ascii="宋体" w:hAnsi="宋体" w:cs="宋体"/>
      <w:kern w:val="1"/>
      <w:szCs w:val="21"/>
    </w:rPr>
  </w:style>
  <w:style w:type="paragraph" w:customStyle="1" w:styleId="80">
    <w:name w:val="标题 2 New"/>
    <w:basedOn w:val="60"/>
    <w:next w:val="60"/>
    <w:qFormat/>
    <w:uiPriority w:val="0"/>
    <w:pPr>
      <w:keepNext/>
      <w:keepLines/>
      <w:spacing w:line="413" w:lineRule="auto"/>
      <w:outlineLvl w:val="1"/>
    </w:pPr>
    <w:rPr>
      <w:rFonts w:ascii="Arial" w:hAnsi="Arial" w:eastAsia="黑体" w:cs="Arial"/>
      <w:b/>
      <w:sz w:val="32"/>
      <w:szCs w:val="32"/>
    </w:rPr>
  </w:style>
  <w:style w:type="paragraph" w:customStyle="1" w:styleId="81">
    <w:name w:val="文二"/>
    <w:basedOn w:val="1"/>
    <w:qFormat/>
    <w:uiPriority w:val="0"/>
    <w:pPr>
      <w:jc w:val="left"/>
    </w:pPr>
    <w:rPr>
      <w:rFonts w:ascii="宋体" w:hAnsi="宋体" w:cs="宋体"/>
      <w:kern w:val="1"/>
      <w:szCs w:val="21"/>
    </w:rPr>
  </w:style>
  <w:style w:type="paragraph" w:customStyle="1" w:styleId="82">
    <w:name w:val="发文落款"/>
    <w:basedOn w:val="69"/>
    <w:qFormat/>
    <w:uiPriority w:val="0"/>
    <w:pPr>
      <w:ind w:left="4094" w:right="607" w:firstLine="0"/>
      <w:jc w:val="center"/>
    </w:pPr>
  </w:style>
  <w:style w:type="paragraph" w:customStyle="1" w:styleId="83">
    <w:name w:val="正文 New New"/>
    <w:basedOn w:val="1"/>
    <w:qFormat/>
    <w:uiPriority w:val="0"/>
    <w:rPr>
      <w:rFonts w:ascii="Times New Roman" w:hAnsi="Times New Roman" w:cs="Times New Roman"/>
      <w:kern w:val="2"/>
      <w:szCs w:val="24"/>
    </w:rPr>
  </w:style>
  <w:style w:type="paragraph" w:customStyle="1" w:styleId="84">
    <w:name w:val="正题"/>
    <w:basedOn w:val="68"/>
    <w:next w:val="68"/>
    <w:qFormat/>
    <w:uiPriority w:val="0"/>
    <w:pPr>
      <w:ind w:firstLine="0"/>
      <w:jc w:val="center"/>
    </w:pPr>
    <w:rPr>
      <w:rFonts w:eastAsia="黑体"/>
      <w:b/>
      <w:sz w:val="36"/>
      <w:szCs w:val="36"/>
    </w:rPr>
  </w:style>
  <w:style w:type="paragraph" w:customStyle="1" w:styleId="85">
    <w:name w:val="正文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86">
    <w:name w:val="TOC 标题1"/>
    <w:basedOn w:val="4"/>
    <w:next w:val="1"/>
    <w:unhideWhenUsed/>
    <w:qFormat/>
    <w:uiPriority w:val="39"/>
    <w:pPr>
      <w:widowControl/>
      <w:spacing w:before="480" w:after="0" w:line="276" w:lineRule="auto"/>
      <w:jc w:val="left"/>
      <w:outlineLvl w:val="9"/>
    </w:pPr>
    <w:rPr>
      <w:rFonts w:ascii="Cambria" w:hAnsi="Cambria" w:cs="Times New Roman"/>
      <w:bCs/>
      <w:color w:val="366091"/>
      <w:sz w:val="28"/>
      <w:szCs w:val="28"/>
    </w:rPr>
  </w:style>
  <w:style w:type="character" w:customStyle="1" w:styleId="87">
    <w:name w:val="日期 Char"/>
    <w:link w:val="20"/>
    <w:semiHidden/>
    <w:qFormat/>
    <w:uiPriority w:val="99"/>
    <w:rPr>
      <w:rFonts w:ascii="Calibri" w:hAnsi="Calibri" w:cs="Calibri"/>
      <w:color w:val="000000"/>
      <w:sz w:val="21"/>
      <w:szCs w:val="22"/>
    </w:rPr>
  </w:style>
  <w:style w:type="character" w:customStyle="1" w:styleId="88">
    <w:name w:val="纯文本 Char1"/>
    <w:link w:val="18"/>
    <w:qFormat/>
    <w:uiPriority w:val="0"/>
    <w:rPr>
      <w:rFonts w:ascii="宋体" w:hAnsi="宋体" w:cs="Courier New"/>
      <w:color w:val="000000"/>
      <w:lang w:val="zh-CN"/>
    </w:rPr>
  </w:style>
  <w:style w:type="character" w:customStyle="1" w:styleId="89">
    <w:name w:val="正文 New New New Char Char"/>
    <w:link w:val="90"/>
    <w:qFormat/>
    <w:uiPriority w:val="0"/>
  </w:style>
  <w:style w:type="paragraph" w:customStyle="1" w:styleId="90">
    <w:name w:val="正文 New New New"/>
    <w:link w:val="89"/>
    <w:qFormat/>
    <w:uiPriority w:val="0"/>
    <w:pPr>
      <w:widowControl w:val="0"/>
      <w:jc w:val="both"/>
    </w:pPr>
    <w:rPr>
      <w:rFonts w:ascii="Times New Roman" w:hAnsi="Times New Roman" w:eastAsia="宋体" w:cs="Times New Roman"/>
      <w:lang w:val="en-US" w:eastAsia="zh-CN" w:bidi="ar-SA"/>
    </w:rPr>
  </w:style>
  <w:style w:type="character" w:customStyle="1" w:styleId="91">
    <w:name w:val="font11"/>
    <w:qFormat/>
    <w:uiPriority w:val="0"/>
    <w:rPr>
      <w:rFonts w:hint="eastAsia" w:ascii="仿宋" w:hAnsi="仿宋" w:eastAsia="仿宋" w:cs="仿宋"/>
      <w:color w:val="000000"/>
      <w:sz w:val="28"/>
      <w:szCs w:val="28"/>
      <w:u w:val="none"/>
    </w:rPr>
  </w:style>
  <w:style w:type="paragraph" w:customStyle="1" w:styleId="92">
    <w:name w:val="p0"/>
    <w:basedOn w:val="1"/>
    <w:qFormat/>
    <w:uiPriority w:val="99"/>
    <w:pPr>
      <w:widowControl/>
    </w:pPr>
    <w:rPr>
      <w:rFonts w:ascii="Times New Roman" w:hAnsi="Times New Roman" w:cs="Times New Roman"/>
      <w:color w:val="auto"/>
      <w:szCs w:val="21"/>
    </w:rPr>
  </w:style>
  <w:style w:type="paragraph" w:customStyle="1" w:styleId="93">
    <w:name w:val="TOC 标题2"/>
    <w:basedOn w:val="4"/>
    <w:next w:val="1"/>
    <w:semiHidden/>
    <w:unhideWhenUsed/>
    <w:qFormat/>
    <w:uiPriority w:val="39"/>
    <w:pPr>
      <w:spacing w:line="578" w:lineRule="auto"/>
      <w:outlineLvl w:val="9"/>
    </w:pPr>
    <w:rPr>
      <w:bCs/>
      <w:kern w:val="44"/>
    </w:rPr>
  </w:style>
  <w:style w:type="character" w:customStyle="1" w:styleId="94">
    <w:name w:val="标题 3 Char"/>
    <w:basedOn w:val="36"/>
    <w:link w:val="6"/>
    <w:qFormat/>
    <w:uiPriority w:val="0"/>
    <w:rPr>
      <w:rFonts w:ascii="黑体" w:hAnsi="黑体" w:eastAsia="黑体" w:cs="宋体"/>
      <w:color w:val="000000"/>
      <w:sz w:val="28"/>
      <w:szCs w:val="28"/>
    </w:rPr>
  </w:style>
  <w:style w:type="paragraph" w:customStyle="1" w:styleId="95">
    <w:name w:val="修订3"/>
    <w:hidden/>
    <w:semiHidden/>
    <w:qFormat/>
    <w:uiPriority w:val="99"/>
    <w:rPr>
      <w:rFonts w:ascii="Calibri" w:hAnsi="Calibri" w:eastAsia="宋体" w:cs="Calibri"/>
      <w:color w:val="000000"/>
      <w:sz w:val="21"/>
      <w:szCs w:val="22"/>
      <w:lang w:val="en-US" w:eastAsia="zh-CN" w:bidi="ar-SA"/>
    </w:rPr>
  </w:style>
  <w:style w:type="character" w:customStyle="1" w:styleId="96">
    <w:name w:val="font31"/>
    <w:basedOn w:val="36"/>
    <w:qFormat/>
    <w:uiPriority w:val="0"/>
    <w:rPr>
      <w:rFonts w:hint="eastAsia" w:ascii="宋体" w:hAnsi="宋体" w:eastAsia="宋体"/>
      <w:color w:val="000000"/>
      <w:sz w:val="21"/>
      <w:szCs w:val="21"/>
      <w:u w:val="none"/>
    </w:rPr>
  </w:style>
  <w:style w:type="character" w:customStyle="1" w:styleId="97">
    <w:name w:val="font51"/>
    <w:basedOn w:val="36"/>
    <w:qFormat/>
    <w:uiPriority w:val="0"/>
    <w:rPr>
      <w:rFonts w:hint="default" w:ascii="Calibri" w:hAnsi="Calibri" w:cs="Calibri"/>
      <w:strike/>
      <w:color w:val="000000"/>
      <w:sz w:val="21"/>
      <w:szCs w:val="21"/>
    </w:rPr>
  </w:style>
  <w:style w:type="character" w:customStyle="1" w:styleId="98">
    <w:name w:val="font41"/>
    <w:basedOn w:val="36"/>
    <w:qFormat/>
    <w:uiPriority w:val="0"/>
    <w:rPr>
      <w:rFonts w:hint="eastAsia" w:ascii="宋体" w:hAnsi="宋体" w:eastAsia="宋体"/>
      <w:strike/>
      <w:color w:val="000000"/>
      <w:sz w:val="21"/>
      <w:szCs w:val="21"/>
    </w:rPr>
  </w:style>
  <w:style w:type="paragraph" w:customStyle="1" w:styleId="99">
    <w:name w:val="样式 宋体 行距: 1.5 倍行距"/>
    <w:basedOn w:val="1"/>
    <w:qFormat/>
    <w:uiPriority w:val="0"/>
    <w:pPr>
      <w:jc w:val="center"/>
    </w:pPr>
    <w:rPr>
      <w:rFonts w:ascii="Times New Roman" w:hAnsi="Times New Roman"/>
      <w:b/>
    </w:rPr>
  </w:style>
  <w:style w:type="paragraph" w:customStyle="1" w:styleId="100">
    <w:name w:val="修订4"/>
    <w:hidden/>
    <w:semiHidden/>
    <w:qFormat/>
    <w:uiPriority w:val="99"/>
    <w:rPr>
      <w:rFonts w:ascii="Calibri" w:hAnsi="Calibri" w:eastAsia="宋体" w:cs="Calibri"/>
      <w:color w:val="000000"/>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DF7E9D-6B88-4EDD-8470-27D97B6019A7}">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78</Pages>
  <Words>34957</Words>
  <Characters>36532</Characters>
  <Lines>1302</Lines>
  <Paragraphs>366</Paragraphs>
  <TotalTime>8</TotalTime>
  <ScaleCrop>false</ScaleCrop>
  <LinksUpToDate>false</LinksUpToDate>
  <CharactersWithSpaces>39250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2023-02-16T09:34:00Z</dcterms:created>
  <dc:creator>KO</dc:creator>
  <cp:lastModifiedBy>WPS_1559531503</cp:lastModifiedBy>
  <cp:lastPrinted>2023-02-16T09:54:00Z</cp:lastPrinted>
  <dcterms:modified xsi:type="dcterms:W3CDTF">2023-09-08T10:07:39Z</dcterms:modified>
  <dc:title>设计施工总承包（EPC）</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A248D7C329F04612AB443355C24F5792_13</vt:lpwstr>
  </property>
</Properties>
</file>