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color w:val="auto"/>
          <w:sz w:val="32"/>
          <w:szCs w:val="28"/>
        </w:rPr>
      </w:pPr>
      <w:r>
        <w:rPr>
          <w:rFonts w:hint="eastAsia" w:ascii="宋体" w:hAnsi="宋体"/>
          <w:color w:val="auto"/>
          <w:kern w:val="2"/>
          <w:sz w:val="28"/>
          <w:szCs w:val="36"/>
        </w:rPr>
        <w:t>合同编号：</w:t>
      </w:r>
      <w:r>
        <w:rPr>
          <w:rFonts w:hint="eastAsia" w:ascii="宋体" w:hAnsi="宋体"/>
          <w:color w:val="auto"/>
          <w:kern w:val="2"/>
          <w:sz w:val="40"/>
          <w:szCs w:val="36"/>
        </w:rPr>
        <w:t xml:space="preserve">       </w:t>
      </w:r>
    </w:p>
    <w:p>
      <w:pPr>
        <w:adjustRightInd w:val="0"/>
        <w:snapToGrid w:val="0"/>
        <w:spacing w:line="360" w:lineRule="auto"/>
        <w:jc w:val="center"/>
        <w:rPr>
          <w:rFonts w:ascii="宋体" w:hAnsi="宋体"/>
          <w:b/>
          <w:color w:val="auto"/>
          <w:sz w:val="44"/>
        </w:rPr>
      </w:pPr>
    </w:p>
    <w:p>
      <w:pPr>
        <w:adjustRightInd w:val="0"/>
        <w:snapToGrid w:val="0"/>
        <w:spacing w:line="360" w:lineRule="auto"/>
        <w:jc w:val="center"/>
        <w:rPr>
          <w:rFonts w:ascii="宋体" w:hAnsi="宋体"/>
          <w:b/>
          <w:color w:val="auto"/>
          <w:sz w:val="44"/>
        </w:rPr>
      </w:pPr>
      <w:bookmarkStart w:id="5" w:name="_GoBack"/>
      <w:bookmarkEnd w:id="5"/>
    </w:p>
    <w:p>
      <w:pPr>
        <w:adjustRightInd w:val="0"/>
        <w:snapToGrid w:val="0"/>
        <w:spacing w:line="360" w:lineRule="auto"/>
        <w:jc w:val="center"/>
        <w:rPr>
          <w:rFonts w:ascii="宋体" w:hAnsi="宋体"/>
          <w:b/>
          <w:color w:val="auto"/>
          <w:kern w:val="2"/>
          <w:sz w:val="52"/>
          <w:szCs w:val="52"/>
        </w:rPr>
      </w:pPr>
      <w:r>
        <w:rPr>
          <w:rFonts w:hint="eastAsia" w:ascii="宋体" w:hAnsi="宋体"/>
          <w:b/>
          <w:color w:val="auto"/>
          <w:kern w:val="2"/>
          <w:sz w:val="52"/>
          <w:szCs w:val="52"/>
        </w:rPr>
        <w:t>王老吉大健康兰州生产基地项目</w:t>
      </w:r>
      <w:bookmarkStart w:id="0" w:name="_Hlk135208241"/>
    </w:p>
    <w:p>
      <w:pPr>
        <w:adjustRightInd w:val="0"/>
        <w:snapToGrid w:val="0"/>
        <w:spacing w:line="360" w:lineRule="auto"/>
        <w:jc w:val="center"/>
        <w:rPr>
          <w:rFonts w:ascii="宋体" w:hAnsi="宋体"/>
          <w:b/>
          <w:color w:val="auto"/>
          <w:kern w:val="2"/>
          <w:sz w:val="52"/>
          <w:szCs w:val="52"/>
        </w:rPr>
      </w:pPr>
      <w:r>
        <w:rPr>
          <w:rFonts w:hint="eastAsia" w:ascii="宋体" w:hAnsi="宋体" w:cs="宋体"/>
          <w:b/>
          <w:color w:val="auto"/>
          <w:sz w:val="52"/>
          <w:szCs w:val="52"/>
        </w:rPr>
        <w:t>前处理系统设备和中央控制系统设备采购安装及相关服务</w:t>
      </w:r>
    </w:p>
    <w:bookmarkEnd w:id="0"/>
    <w:p>
      <w:pPr>
        <w:adjustRightInd w:val="0"/>
        <w:snapToGrid w:val="0"/>
        <w:spacing w:line="360" w:lineRule="auto"/>
        <w:jc w:val="center"/>
        <w:rPr>
          <w:rFonts w:ascii="宋体" w:hAnsi="宋体"/>
          <w:b/>
          <w:color w:val="auto"/>
          <w:spacing w:val="200"/>
          <w:sz w:val="96"/>
          <w:szCs w:val="16"/>
        </w:rPr>
      </w:pPr>
      <w:r>
        <w:rPr>
          <w:rFonts w:hint="eastAsia" w:ascii="宋体" w:hAnsi="宋体"/>
          <w:b/>
          <w:color w:val="auto"/>
          <w:spacing w:val="200"/>
          <w:sz w:val="96"/>
          <w:szCs w:val="16"/>
        </w:rPr>
        <w:t xml:space="preserve"> 合</w:t>
      </w:r>
    </w:p>
    <w:p>
      <w:pPr>
        <w:adjustRightInd w:val="0"/>
        <w:snapToGrid w:val="0"/>
        <w:spacing w:line="360" w:lineRule="auto"/>
        <w:jc w:val="center"/>
        <w:rPr>
          <w:rFonts w:ascii="宋体" w:hAnsi="宋体"/>
          <w:b/>
          <w:color w:val="auto"/>
          <w:spacing w:val="200"/>
          <w:sz w:val="96"/>
          <w:szCs w:val="16"/>
        </w:rPr>
      </w:pPr>
      <w:r>
        <w:rPr>
          <w:rFonts w:hint="eastAsia" w:ascii="宋体" w:hAnsi="宋体"/>
          <w:b/>
          <w:color w:val="auto"/>
          <w:spacing w:val="200"/>
          <w:sz w:val="96"/>
          <w:szCs w:val="16"/>
        </w:rPr>
        <w:t xml:space="preserve"> 同</w:t>
      </w:r>
    </w:p>
    <w:p>
      <w:pPr>
        <w:adjustRightInd w:val="0"/>
        <w:snapToGrid w:val="0"/>
        <w:spacing w:line="360" w:lineRule="auto"/>
        <w:jc w:val="center"/>
        <w:rPr>
          <w:rFonts w:ascii="宋体" w:hAnsi="宋体"/>
          <w:b/>
          <w:color w:val="auto"/>
          <w:spacing w:val="200"/>
          <w:sz w:val="96"/>
          <w:szCs w:val="16"/>
        </w:rPr>
      </w:pPr>
      <w:r>
        <w:rPr>
          <w:rFonts w:hint="eastAsia" w:ascii="宋体" w:hAnsi="宋体"/>
          <w:b/>
          <w:color w:val="auto"/>
          <w:spacing w:val="200"/>
          <w:sz w:val="96"/>
          <w:szCs w:val="16"/>
        </w:rPr>
        <w:t xml:space="preserve"> 书</w:t>
      </w:r>
    </w:p>
    <w:p>
      <w:pPr>
        <w:pStyle w:val="32"/>
        <w:spacing w:line="520" w:lineRule="exact"/>
        <w:jc w:val="center"/>
        <w:rPr>
          <w:b/>
          <w:color w:val="auto"/>
          <w:sz w:val="32"/>
          <w:szCs w:val="28"/>
        </w:rPr>
      </w:pPr>
    </w:p>
    <w:p>
      <w:pPr>
        <w:pStyle w:val="32"/>
        <w:spacing w:line="520" w:lineRule="exact"/>
        <w:jc w:val="center"/>
        <w:rPr>
          <w:b/>
          <w:color w:val="auto"/>
          <w:sz w:val="32"/>
          <w:szCs w:val="28"/>
        </w:rPr>
      </w:pPr>
    </w:p>
    <w:p>
      <w:pPr>
        <w:pStyle w:val="32"/>
        <w:spacing w:line="520" w:lineRule="exact"/>
        <w:jc w:val="center"/>
        <w:rPr>
          <w:b/>
          <w:color w:val="auto"/>
          <w:sz w:val="32"/>
          <w:szCs w:val="28"/>
        </w:rPr>
      </w:pPr>
      <w:r>
        <w:rPr>
          <w:b/>
          <w:color w:val="auto"/>
          <w:sz w:val="32"/>
          <w:szCs w:val="28"/>
          <w:u w:val="single"/>
        </w:rPr>
        <w:t xml:space="preserve"> </w:t>
      </w:r>
      <w:r>
        <w:rPr>
          <w:rFonts w:hint="eastAsia"/>
          <w:b/>
          <w:color w:val="auto"/>
          <w:sz w:val="32"/>
          <w:szCs w:val="28"/>
          <w:u w:val="single"/>
        </w:rPr>
        <w:t>202</w:t>
      </w:r>
      <w:r>
        <w:rPr>
          <w:b/>
          <w:color w:val="auto"/>
          <w:sz w:val="32"/>
          <w:szCs w:val="28"/>
          <w:u w:val="single"/>
        </w:rPr>
        <w:t xml:space="preserve">3 </w:t>
      </w:r>
      <w:r>
        <w:rPr>
          <w:rFonts w:hint="eastAsia"/>
          <w:b/>
          <w:color w:val="auto"/>
          <w:sz w:val="32"/>
          <w:szCs w:val="28"/>
        </w:rPr>
        <w:t>年</w:t>
      </w:r>
      <w:r>
        <w:rPr>
          <w:rFonts w:hint="eastAsia"/>
          <w:b/>
          <w:color w:val="auto"/>
          <w:sz w:val="32"/>
          <w:szCs w:val="28"/>
          <w:u w:val="single"/>
        </w:rPr>
        <w:t xml:space="preserve">   </w:t>
      </w:r>
      <w:r>
        <w:rPr>
          <w:rFonts w:hint="eastAsia"/>
          <w:b/>
          <w:color w:val="auto"/>
          <w:sz w:val="32"/>
          <w:szCs w:val="28"/>
        </w:rPr>
        <w:t>月</w:t>
      </w:r>
    </w:p>
    <w:p>
      <w:pPr>
        <w:spacing w:line="360" w:lineRule="auto"/>
        <w:ind w:firstLine="565" w:firstLineChars="268"/>
        <w:rPr>
          <w:rFonts w:ascii="Tahoma" w:hAnsi="Tahoma" w:cs="Tahoma"/>
          <w:color w:val="auto"/>
          <w:kern w:val="28"/>
        </w:rPr>
      </w:pPr>
      <w:r>
        <w:rPr>
          <w:rFonts w:hint="eastAsia" w:ascii="Tahoma" w:hAnsi="Tahoma" w:cs="Tahoma"/>
          <w:b/>
          <w:bCs/>
          <w:color w:val="auto"/>
          <w:kern w:val="28"/>
          <w:u w:val="single"/>
        </w:rPr>
        <w:t>王老吉大健康产业（兰州）有限公司</w:t>
      </w:r>
      <w:r>
        <w:rPr>
          <w:rFonts w:hint="eastAsia" w:ascii="Tahoma" w:hAnsi="Tahoma" w:cs="Tahoma"/>
          <w:color w:val="auto"/>
          <w:kern w:val="28"/>
        </w:rPr>
        <w:t>（以下简称买方）与</w:t>
      </w:r>
      <w:r>
        <w:rPr>
          <w:rFonts w:hint="eastAsia" w:ascii="Tahoma" w:hAnsi="Tahoma" w:cs="Tahoma"/>
          <w:color w:val="auto"/>
          <w:kern w:val="28"/>
          <w:u w:val="single"/>
        </w:rPr>
        <w:t xml:space="preserve">               </w:t>
      </w:r>
      <w:r>
        <w:rPr>
          <w:rFonts w:ascii="Tahoma" w:hAnsi="Tahoma" w:cs="Tahoma"/>
          <w:color w:val="auto"/>
          <w:kern w:val="28"/>
          <w:u w:val="single"/>
        </w:rPr>
        <w:t xml:space="preserve">       </w:t>
      </w:r>
      <w:r>
        <w:rPr>
          <w:rFonts w:hint="eastAsia" w:ascii="Tahoma" w:hAnsi="Tahoma" w:cs="Tahoma"/>
          <w:color w:val="auto"/>
          <w:kern w:val="28"/>
        </w:rPr>
        <w:t>（以下简称卖方）就卖方向</w:t>
      </w:r>
      <w:r>
        <w:rPr>
          <w:rFonts w:hint="eastAsia" w:ascii="Tahoma" w:hAnsi="Tahoma" w:cs="Tahoma"/>
          <w:color w:val="auto"/>
        </w:rPr>
        <w:t>买方</w:t>
      </w:r>
      <w:r>
        <w:rPr>
          <w:rFonts w:hint="eastAsia" w:ascii="Tahoma" w:hAnsi="Tahoma" w:cs="Tahoma"/>
          <w:color w:val="auto"/>
          <w:kern w:val="28"/>
        </w:rPr>
        <w:t>提供</w:t>
      </w:r>
      <w:r>
        <w:rPr>
          <w:rFonts w:hint="eastAsia" w:ascii="Tahoma" w:hAnsi="Tahoma" w:cs="Tahoma"/>
          <w:color w:val="auto"/>
          <w:kern w:val="28"/>
          <w:u w:val="single"/>
        </w:rPr>
        <w:t xml:space="preserve">  </w:t>
      </w:r>
      <w:r>
        <w:rPr>
          <w:rFonts w:hint="eastAsia" w:ascii="宋体" w:hAnsi="宋体"/>
          <w:color w:val="auto"/>
          <w:kern w:val="2"/>
          <w:szCs w:val="21"/>
          <w:u w:val="single"/>
        </w:rPr>
        <w:t>王老吉大健康兰州生产基地项目</w:t>
      </w:r>
      <w:r>
        <w:rPr>
          <w:rFonts w:hint="eastAsia" w:ascii="宋体" w:hAnsi="宋体" w:cs="宋体"/>
          <w:color w:val="auto"/>
          <w:szCs w:val="21"/>
          <w:u w:val="single"/>
        </w:rPr>
        <w:t>前处理系统设备和中央控制系统设备采购安装及相关服务</w:t>
      </w:r>
      <w:r>
        <w:rPr>
          <w:rFonts w:ascii="Tahoma" w:hAnsi="Tahoma" w:cs="Tahoma"/>
          <w:color w:val="auto"/>
          <w:kern w:val="28"/>
          <w:u w:val="single"/>
        </w:rPr>
        <w:t xml:space="preserve">  </w:t>
      </w:r>
      <w:r>
        <w:rPr>
          <w:rFonts w:hint="eastAsia" w:ascii="Tahoma" w:hAnsi="Tahoma" w:cs="Tahoma"/>
          <w:color w:val="auto"/>
          <w:kern w:val="28"/>
        </w:rPr>
        <w:t>，经买卖双方协商一致，签订本合同，共同遵守如下条款：</w:t>
      </w:r>
    </w:p>
    <w:p>
      <w:pPr>
        <w:spacing w:before="180" w:line="360" w:lineRule="auto"/>
        <w:rPr>
          <w:rFonts w:ascii="宋体" w:hAnsi="宋体"/>
          <w:b/>
          <w:color w:val="auto"/>
          <w:sz w:val="24"/>
        </w:rPr>
      </w:pPr>
      <w:r>
        <w:rPr>
          <w:rFonts w:hint="eastAsia" w:ascii="宋体" w:hAnsi="宋体"/>
          <w:b/>
          <w:color w:val="auto"/>
          <w:sz w:val="24"/>
        </w:rPr>
        <w:t>一、合同标的</w:t>
      </w:r>
    </w:p>
    <w:p>
      <w:pPr>
        <w:numPr>
          <w:ilvl w:val="0"/>
          <w:numId w:val="2"/>
        </w:numPr>
        <w:spacing w:line="360" w:lineRule="auto"/>
        <w:rPr>
          <w:rFonts w:ascii="新宋体" w:hAnsi="宋体" w:eastAsia="新宋体"/>
          <w:color w:val="auto"/>
        </w:rPr>
      </w:pPr>
      <w:r>
        <w:rPr>
          <w:rFonts w:hint="eastAsia" w:ascii="新宋体" w:hAnsi="宋体" w:eastAsia="新宋体"/>
          <w:color w:val="auto"/>
        </w:rPr>
        <w:t>本合同标的物详见</w:t>
      </w:r>
      <w:r>
        <w:rPr>
          <w:rFonts w:hint="eastAsia" w:ascii="宋体"/>
          <w:color w:val="auto"/>
        </w:rPr>
        <w:t>《用户需求书》</w:t>
      </w:r>
      <w:r>
        <w:rPr>
          <w:rFonts w:hint="eastAsia" w:ascii="新宋体" w:hAnsi="宋体" w:eastAsia="新宋体"/>
          <w:color w:val="auto"/>
        </w:rPr>
        <w:t>，包括</w:t>
      </w:r>
      <w:r>
        <w:rPr>
          <w:rFonts w:hint="eastAsia" w:ascii="宋体" w:hAnsi="宋体"/>
          <w:color w:val="auto"/>
          <w:szCs w:val="21"/>
        </w:rPr>
        <w:t>本项目标的范围内所有设备的</w:t>
      </w:r>
      <w:r>
        <w:rPr>
          <w:rFonts w:hint="eastAsia" w:ascii="新宋体" w:hAnsi="宋体" w:eastAsia="新宋体"/>
          <w:color w:val="auto"/>
        </w:rPr>
        <w:t>设计、货物供货（制造或集成和运输）、安装、调试、培训、验收、技术服务（</w:t>
      </w:r>
      <w:r>
        <w:rPr>
          <w:rFonts w:hint="eastAsia" w:ascii="新宋体" w:eastAsia="新宋体"/>
          <w:color w:val="auto"/>
        </w:rPr>
        <w:t>包括技术资料、图纸的提供</w:t>
      </w:r>
      <w:r>
        <w:rPr>
          <w:rFonts w:hint="eastAsia" w:ascii="新宋体" w:hAnsi="宋体" w:eastAsia="新宋体"/>
          <w:color w:val="auto"/>
        </w:rPr>
        <w:t>）、质保期保障等的全部内容。</w:t>
      </w:r>
    </w:p>
    <w:p>
      <w:pPr>
        <w:numPr>
          <w:ilvl w:val="0"/>
          <w:numId w:val="2"/>
        </w:numPr>
        <w:spacing w:line="360" w:lineRule="auto"/>
        <w:jc w:val="both"/>
        <w:rPr>
          <w:rFonts w:ascii="新宋体" w:hAnsi="宋体" w:eastAsia="新宋体"/>
          <w:color w:val="auto"/>
        </w:rPr>
      </w:pPr>
      <w:r>
        <w:rPr>
          <w:rFonts w:hint="eastAsia" w:ascii="新宋体" w:hAnsi="宋体" w:eastAsia="新宋体"/>
          <w:color w:val="auto"/>
        </w:rPr>
        <w:t>供货货物名称（包括主要辅机、主要部件）、型号、规格、数量。</w:t>
      </w:r>
    </w:p>
    <w:tbl>
      <w:tblPr>
        <w:tblStyle w:val="36"/>
        <w:tblW w:w="7850" w:type="dxa"/>
        <w:tblInd w:w="390" w:type="dxa"/>
        <w:tblLayout w:type="fixed"/>
        <w:tblCellMar>
          <w:top w:w="0" w:type="dxa"/>
          <w:left w:w="30" w:type="dxa"/>
          <w:bottom w:w="0" w:type="dxa"/>
          <w:right w:w="30" w:type="dxa"/>
        </w:tblCellMar>
      </w:tblPr>
      <w:tblGrid>
        <w:gridCol w:w="504"/>
        <w:gridCol w:w="1010"/>
        <w:gridCol w:w="1192"/>
        <w:gridCol w:w="883"/>
        <w:gridCol w:w="785"/>
        <w:gridCol w:w="616"/>
        <w:gridCol w:w="616"/>
        <w:gridCol w:w="814"/>
        <w:gridCol w:w="814"/>
        <w:gridCol w:w="616"/>
      </w:tblGrid>
      <w:tr>
        <w:tblPrEx>
          <w:tblCellMar>
            <w:top w:w="0" w:type="dxa"/>
            <w:left w:w="30" w:type="dxa"/>
            <w:bottom w:w="0" w:type="dxa"/>
            <w:right w:w="30" w:type="dxa"/>
          </w:tblCellMar>
        </w:tblPrEx>
        <w:trPr>
          <w:cantSplit/>
          <w:trHeight w:val="437" w:hRule="atLeast"/>
        </w:trPr>
        <w:tc>
          <w:tcPr>
            <w:tcW w:w="50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r>
              <w:rPr>
                <w:rFonts w:hint="eastAsia"/>
                <w:color w:val="auto"/>
              </w:rPr>
              <w:t>序号</w:t>
            </w:r>
          </w:p>
        </w:tc>
        <w:tc>
          <w:tcPr>
            <w:tcW w:w="10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r>
              <w:rPr>
                <w:rFonts w:hint="eastAsia"/>
                <w:color w:val="auto"/>
              </w:rPr>
              <w:t>名称</w:t>
            </w:r>
          </w:p>
        </w:tc>
        <w:tc>
          <w:tcPr>
            <w:tcW w:w="119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r>
              <w:rPr>
                <w:rFonts w:hint="eastAsia"/>
                <w:color w:val="auto"/>
              </w:rPr>
              <w:t>型号规格</w:t>
            </w:r>
          </w:p>
        </w:tc>
        <w:tc>
          <w:tcPr>
            <w:tcW w:w="8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r>
              <w:rPr>
                <w:rFonts w:hint="eastAsia"/>
                <w:color w:val="auto"/>
              </w:rPr>
              <w:t>制造商/品牌</w:t>
            </w:r>
          </w:p>
        </w:tc>
        <w:tc>
          <w:tcPr>
            <w:tcW w:w="78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r>
              <w:rPr>
                <w:rFonts w:hint="eastAsia"/>
                <w:color w:val="auto"/>
              </w:rPr>
              <w:t>单位</w:t>
            </w: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r>
              <w:rPr>
                <w:rFonts w:hint="eastAsia"/>
                <w:color w:val="auto"/>
              </w:rPr>
              <w:t>数量</w:t>
            </w: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r>
              <w:rPr>
                <w:rFonts w:hint="eastAsia"/>
                <w:color w:val="auto"/>
              </w:rPr>
              <w:t>单价</w:t>
            </w:r>
          </w:p>
        </w:tc>
        <w:tc>
          <w:tcPr>
            <w:tcW w:w="81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r>
              <w:rPr>
                <w:rFonts w:hint="eastAsia"/>
                <w:color w:val="auto"/>
              </w:rPr>
              <w:t>合价</w:t>
            </w:r>
          </w:p>
        </w:tc>
        <w:tc>
          <w:tcPr>
            <w:tcW w:w="81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r>
              <w:rPr>
                <w:rFonts w:hint="eastAsia"/>
                <w:color w:val="auto"/>
              </w:rPr>
              <w:t>交货期</w:t>
            </w: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r>
              <w:rPr>
                <w:rFonts w:hint="eastAsia"/>
                <w:color w:val="auto"/>
              </w:rPr>
              <w:t>备注</w:t>
            </w:r>
          </w:p>
        </w:tc>
      </w:tr>
      <w:tr>
        <w:tblPrEx>
          <w:tblCellMar>
            <w:top w:w="0" w:type="dxa"/>
            <w:left w:w="30" w:type="dxa"/>
            <w:bottom w:w="0" w:type="dxa"/>
            <w:right w:w="30" w:type="dxa"/>
          </w:tblCellMar>
        </w:tblPrEx>
        <w:trPr>
          <w:trHeight w:val="291" w:hRule="atLeast"/>
        </w:trPr>
        <w:tc>
          <w:tcPr>
            <w:tcW w:w="50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0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19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78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1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1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r>
      <w:tr>
        <w:tblPrEx>
          <w:tblCellMar>
            <w:top w:w="0" w:type="dxa"/>
            <w:left w:w="30" w:type="dxa"/>
            <w:bottom w:w="0" w:type="dxa"/>
            <w:right w:w="30" w:type="dxa"/>
          </w:tblCellMar>
        </w:tblPrEx>
        <w:trPr>
          <w:trHeight w:val="291" w:hRule="atLeast"/>
        </w:trPr>
        <w:tc>
          <w:tcPr>
            <w:tcW w:w="50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0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19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78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1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1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r>
      <w:tr>
        <w:tblPrEx>
          <w:tblCellMar>
            <w:top w:w="0" w:type="dxa"/>
            <w:left w:w="30" w:type="dxa"/>
            <w:bottom w:w="0" w:type="dxa"/>
            <w:right w:w="30" w:type="dxa"/>
          </w:tblCellMar>
        </w:tblPrEx>
        <w:trPr>
          <w:trHeight w:val="291" w:hRule="atLeast"/>
        </w:trPr>
        <w:tc>
          <w:tcPr>
            <w:tcW w:w="50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0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19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78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1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1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r>
      <w:tr>
        <w:tblPrEx>
          <w:tblCellMar>
            <w:top w:w="0" w:type="dxa"/>
            <w:left w:w="30" w:type="dxa"/>
            <w:bottom w:w="0" w:type="dxa"/>
            <w:right w:w="30" w:type="dxa"/>
          </w:tblCellMar>
        </w:tblPrEx>
        <w:trPr>
          <w:trHeight w:val="291" w:hRule="atLeast"/>
        </w:trPr>
        <w:tc>
          <w:tcPr>
            <w:tcW w:w="50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0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19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78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1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1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r>
      <w:tr>
        <w:tblPrEx>
          <w:tblCellMar>
            <w:top w:w="0" w:type="dxa"/>
            <w:left w:w="30" w:type="dxa"/>
            <w:bottom w:w="0" w:type="dxa"/>
            <w:right w:w="30" w:type="dxa"/>
          </w:tblCellMar>
        </w:tblPrEx>
        <w:trPr>
          <w:trHeight w:val="291" w:hRule="atLeast"/>
        </w:trPr>
        <w:tc>
          <w:tcPr>
            <w:tcW w:w="50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0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19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78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1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1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r>
      <w:tr>
        <w:tblPrEx>
          <w:tblCellMar>
            <w:top w:w="0" w:type="dxa"/>
            <w:left w:w="30" w:type="dxa"/>
            <w:bottom w:w="0" w:type="dxa"/>
            <w:right w:w="30" w:type="dxa"/>
          </w:tblCellMar>
        </w:tblPrEx>
        <w:trPr>
          <w:trHeight w:val="291" w:hRule="atLeast"/>
        </w:trPr>
        <w:tc>
          <w:tcPr>
            <w:tcW w:w="50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0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19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78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1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1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r>
      <w:tr>
        <w:tblPrEx>
          <w:tblCellMar>
            <w:top w:w="0" w:type="dxa"/>
            <w:left w:w="30" w:type="dxa"/>
            <w:bottom w:w="0" w:type="dxa"/>
            <w:right w:w="30" w:type="dxa"/>
          </w:tblCellMar>
        </w:tblPrEx>
        <w:trPr>
          <w:trHeight w:val="291" w:hRule="atLeast"/>
        </w:trPr>
        <w:tc>
          <w:tcPr>
            <w:tcW w:w="50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0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19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78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1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1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r>
      <w:tr>
        <w:tblPrEx>
          <w:tblCellMar>
            <w:top w:w="0" w:type="dxa"/>
            <w:left w:w="30" w:type="dxa"/>
            <w:bottom w:w="0" w:type="dxa"/>
            <w:right w:w="30" w:type="dxa"/>
          </w:tblCellMar>
        </w:tblPrEx>
        <w:trPr>
          <w:trHeight w:val="291" w:hRule="atLeast"/>
        </w:trPr>
        <w:tc>
          <w:tcPr>
            <w:tcW w:w="50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0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19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78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1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1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r>
    </w:tbl>
    <w:p>
      <w:pPr>
        <w:pStyle w:val="20"/>
        <w:spacing w:before="60" w:line="360" w:lineRule="auto"/>
        <w:ind w:left="0" w:leftChars="0" w:firstLine="422" w:firstLineChars="200"/>
        <w:jc w:val="both"/>
        <w:rPr>
          <w:rFonts w:hAnsi="宋体"/>
          <w:b/>
          <w:color w:val="auto"/>
        </w:rPr>
      </w:pPr>
      <w:r>
        <w:rPr>
          <w:rFonts w:hint="eastAsia" w:hAnsi="宋体"/>
          <w:b/>
          <w:color w:val="auto"/>
        </w:rPr>
        <w:t>具体的供货范围、技术规格及技术图纸详见合同附件</w:t>
      </w:r>
      <w:r>
        <w:rPr>
          <w:rFonts w:hint="eastAsia" w:hAnsi="宋体"/>
          <w:b/>
          <w:color w:val="auto"/>
          <w:u w:val="single"/>
        </w:rPr>
        <w:t xml:space="preserve">      </w:t>
      </w:r>
      <w:r>
        <w:rPr>
          <w:rFonts w:hAnsi="宋体"/>
          <w:b/>
          <w:color w:val="auto"/>
          <w:u w:val="single"/>
        </w:rPr>
        <w:t xml:space="preserve"> </w:t>
      </w:r>
      <w:r>
        <w:rPr>
          <w:rFonts w:hint="eastAsia" w:hAnsi="宋体"/>
          <w:b/>
          <w:color w:val="auto"/>
        </w:rPr>
        <w:t>。</w:t>
      </w:r>
    </w:p>
    <w:p>
      <w:pPr>
        <w:numPr>
          <w:ilvl w:val="0"/>
          <w:numId w:val="2"/>
        </w:numPr>
        <w:spacing w:line="360" w:lineRule="auto"/>
        <w:jc w:val="both"/>
        <w:rPr>
          <w:rFonts w:ascii="新宋体" w:hAnsi="宋体" w:eastAsia="新宋体"/>
          <w:color w:val="auto"/>
        </w:rPr>
      </w:pPr>
      <w:r>
        <w:rPr>
          <w:rFonts w:hint="eastAsia" w:ascii="新宋体" w:hAnsi="宋体" w:eastAsia="新宋体"/>
          <w:color w:val="auto"/>
        </w:rPr>
        <w:t>卖方应对本合同项下其承担的全部工作实施有效管理，以确保实施进度符合要求。</w:t>
      </w:r>
    </w:p>
    <w:p>
      <w:pPr>
        <w:numPr>
          <w:ilvl w:val="0"/>
          <w:numId w:val="2"/>
        </w:numPr>
        <w:spacing w:line="360" w:lineRule="auto"/>
        <w:jc w:val="both"/>
        <w:rPr>
          <w:rFonts w:ascii="新宋体" w:hAnsi="宋体" w:eastAsia="新宋体"/>
          <w:color w:val="auto"/>
        </w:rPr>
      </w:pPr>
      <w:r>
        <w:rPr>
          <w:rFonts w:hint="eastAsia" w:ascii="新宋体" w:hAnsi="宋体" w:eastAsia="新宋体"/>
          <w:color w:val="auto"/>
        </w:rPr>
        <w:t>卖方应负责施工期间安全、场地垃圾清理、人员管理工作，并配合总包工作。</w:t>
      </w:r>
    </w:p>
    <w:p>
      <w:pPr>
        <w:numPr>
          <w:ilvl w:val="0"/>
          <w:numId w:val="2"/>
        </w:numPr>
        <w:spacing w:line="360" w:lineRule="auto"/>
        <w:jc w:val="both"/>
        <w:rPr>
          <w:rFonts w:ascii="新宋体" w:hAnsi="宋体" w:eastAsia="新宋体"/>
          <w:color w:val="auto"/>
        </w:rPr>
      </w:pPr>
      <w:r>
        <w:rPr>
          <w:rFonts w:hint="eastAsia" w:ascii="新宋体" w:hAnsi="宋体" w:eastAsia="新宋体"/>
          <w:color w:val="auto"/>
        </w:rPr>
        <w:t>合同履约期间的物价上涨、设备保管、设备配件的有效期等相关事项，由卖方负责。</w:t>
      </w:r>
    </w:p>
    <w:p>
      <w:pPr>
        <w:spacing w:before="180" w:line="360" w:lineRule="auto"/>
        <w:rPr>
          <w:rFonts w:ascii="宋体" w:hAnsi="宋体"/>
          <w:b/>
          <w:color w:val="auto"/>
          <w:sz w:val="24"/>
        </w:rPr>
      </w:pPr>
      <w:r>
        <w:rPr>
          <w:rFonts w:hint="eastAsia" w:ascii="宋体" w:hAnsi="宋体"/>
          <w:b/>
          <w:color w:val="auto"/>
          <w:sz w:val="24"/>
        </w:rPr>
        <w:t>二、价格</w:t>
      </w:r>
    </w:p>
    <w:p>
      <w:pPr>
        <w:numPr>
          <w:ilvl w:val="1"/>
          <w:numId w:val="3"/>
        </w:numPr>
        <w:tabs>
          <w:tab w:val="left" w:pos="426"/>
          <w:tab w:val="clear" w:pos="1050"/>
        </w:tabs>
        <w:spacing w:line="360" w:lineRule="auto"/>
        <w:ind w:left="720" w:hanging="720"/>
        <w:jc w:val="both"/>
        <w:rPr>
          <w:rFonts w:ascii="宋体" w:hAnsi="宋体"/>
          <w:color w:val="auto"/>
        </w:rPr>
      </w:pPr>
      <w:r>
        <w:rPr>
          <w:rFonts w:hint="eastAsia" w:ascii="宋体" w:hAnsi="宋体"/>
          <w:color w:val="auto"/>
        </w:rPr>
        <w:t>合同总价（含税价格）：</w:t>
      </w:r>
    </w:p>
    <w:p>
      <w:pPr>
        <w:tabs>
          <w:tab w:val="left" w:pos="0"/>
          <w:tab w:val="left" w:pos="426"/>
        </w:tabs>
        <w:spacing w:line="360" w:lineRule="auto"/>
        <w:ind w:firstLine="420" w:firstLineChars="200"/>
        <w:jc w:val="both"/>
        <w:rPr>
          <w:rFonts w:ascii="宋体" w:hAnsi="宋体"/>
          <w:color w:val="auto"/>
        </w:rPr>
      </w:pPr>
      <w:r>
        <w:rPr>
          <w:rFonts w:hint="eastAsia" w:ascii="宋体" w:hAnsi="宋体"/>
          <w:color w:val="auto"/>
          <w:szCs w:val="21"/>
        </w:rPr>
        <w:t>人民币（大写）</w:t>
      </w:r>
      <w:r>
        <w:rPr>
          <w:rFonts w:hint="eastAsia" w:ascii="宋体" w:hAnsi="宋体"/>
          <w:color w:val="auto"/>
          <w:szCs w:val="21"/>
          <w:u w:val="single"/>
        </w:rPr>
        <w:t xml:space="preserve">                 </w:t>
      </w:r>
      <w:r>
        <w:rPr>
          <w:rFonts w:hint="eastAsia" w:ascii="宋体" w:hAnsi="宋体"/>
          <w:color w:val="auto"/>
          <w:szCs w:val="21"/>
        </w:rPr>
        <w:t>（￥</w:t>
      </w:r>
      <w:r>
        <w:rPr>
          <w:rFonts w:hint="eastAsia" w:ascii="宋体" w:hAnsi="宋体"/>
          <w:color w:val="auto"/>
          <w:szCs w:val="21"/>
          <w:u w:val="single"/>
        </w:rPr>
        <w:t xml:space="preserve">                元 </w:t>
      </w:r>
      <w:r>
        <w:rPr>
          <w:rFonts w:hint="eastAsia" w:ascii="宋体" w:hAnsi="宋体"/>
          <w:color w:val="auto"/>
          <w:szCs w:val="21"/>
        </w:rPr>
        <w:t>），（税率：</w:t>
      </w:r>
      <w:r>
        <w:rPr>
          <w:rFonts w:ascii="宋体" w:hAnsi="宋体"/>
          <w:color w:val="auto"/>
          <w:szCs w:val="21"/>
          <w:u w:val="single"/>
        </w:rPr>
        <w:t xml:space="preserve">     % </w:t>
      </w:r>
      <w:r>
        <w:rPr>
          <w:rFonts w:hint="eastAsia" w:ascii="宋体" w:hAnsi="宋体"/>
          <w:color w:val="auto"/>
          <w:szCs w:val="21"/>
        </w:rPr>
        <w:t>）。</w:t>
      </w:r>
    </w:p>
    <w:p>
      <w:pPr>
        <w:pStyle w:val="17"/>
        <w:numPr>
          <w:ilvl w:val="0"/>
          <w:numId w:val="4"/>
        </w:numPr>
        <w:spacing w:line="360" w:lineRule="auto"/>
        <w:rPr>
          <w:color w:val="auto"/>
        </w:rPr>
      </w:pPr>
      <w:r>
        <w:rPr>
          <w:rFonts w:hint="eastAsia"/>
          <w:color w:val="auto"/>
        </w:rPr>
        <w:t>本合同计价遵循增值税“价税分离”的原则，合同总价包括了</w:t>
      </w:r>
      <w:r>
        <w:rPr>
          <w:rFonts w:hint="eastAsia" w:hAnsi="宋体" w:cs="宋体"/>
          <w:color w:val="auto"/>
          <w:szCs w:val="21"/>
        </w:rPr>
        <w:t>但不限于人工费、货物的设计、制造、包装、仓储、运输、保险以及卖方进行的安装、调试、试运行、验收、培训、技术服务（包括技术资料、图纸的提供）、安全文明措施费、报装报检、</w:t>
      </w:r>
      <w:r>
        <w:rPr>
          <w:rFonts w:hAnsi="宋体" w:cs="宋体"/>
          <w:color w:val="auto"/>
          <w:szCs w:val="21"/>
        </w:rPr>
        <w:t>使用</w:t>
      </w:r>
      <w:r>
        <w:rPr>
          <w:rFonts w:hint="eastAsia" w:hAnsi="宋体" w:cs="宋体"/>
          <w:color w:val="auto"/>
          <w:szCs w:val="21"/>
        </w:rPr>
        <w:t>登记证办理等、质保期保障服务、管理费和利润等的全部含税费用，也包括所有应向所有权人支付的专利权、著作权、商标权或其它知识产权的有关费用及全额增值税专用发票、合同明示或暗示的风险、责任和义务涉及费用、实施过程中应预见和不可预见费用等。如有进口设备需要支付关税、进口环节税、增值税、运保费等费用，视为包括在总价中，买方将不另行支付任何费用。合同总价含增值税，开具增值税专用发票时，增值税按国家相关规定执行。</w:t>
      </w:r>
    </w:p>
    <w:p>
      <w:pPr>
        <w:numPr>
          <w:ilvl w:val="0"/>
          <w:numId w:val="4"/>
        </w:numPr>
        <w:spacing w:line="360" w:lineRule="auto"/>
        <w:jc w:val="both"/>
        <w:rPr>
          <w:rFonts w:ascii="宋体"/>
          <w:color w:val="auto"/>
        </w:rPr>
      </w:pPr>
      <w:r>
        <w:rPr>
          <w:rFonts w:hint="eastAsia" w:ascii="宋体"/>
          <w:color w:val="auto"/>
        </w:rPr>
        <w:t>合同总价中包括招标文件中《用户需求书》中列明所需的备品备件。</w:t>
      </w:r>
      <w:r>
        <w:rPr>
          <w:rFonts w:hint="eastAsia" w:ascii="Tahoma" w:hAnsi="Tahoma" w:cs="Tahoma"/>
          <w:color w:val="auto"/>
        </w:rPr>
        <w:t>卖方提供设备正常运行所需的备品备件，以及备件参数表。</w:t>
      </w:r>
    </w:p>
    <w:p>
      <w:pPr>
        <w:numPr>
          <w:ilvl w:val="0"/>
          <w:numId w:val="4"/>
        </w:numPr>
        <w:spacing w:line="360" w:lineRule="auto"/>
        <w:jc w:val="both"/>
        <w:rPr>
          <w:rFonts w:ascii="宋体"/>
          <w:color w:val="auto"/>
        </w:rPr>
      </w:pPr>
      <w:r>
        <w:rPr>
          <w:rFonts w:hint="eastAsia" w:ascii="宋体"/>
          <w:color w:val="auto"/>
        </w:rPr>
        <w:t>本合同不含税价格为固定不变价。</w:t>
      </w:r>
    </w:p>
    <w:p>
      <w:pPr>
        <w:numPr>
          <w:ilvl w:val="0"/>
          <w:numId w:val="4"/>
        </w:numPr>
        <w:spacing w:line="360" w:lineRule="auto"/>
        <w:jc w:val="both"/>
        <w:rPr>
          <w:rFonts w:ascii="宋体"/>
          <w:color w:val="auto"/>
        </w:rPr>
      </w:pPr>
      <w:r>
        <w:rPr>
          <w:rFonts w:hint="eastAsia" w:ascii="宋体"/>
          <w:color w:val="auto"/>
        </w:rPr>
        <w:t>如果单价和数量的乘积与总价不一致时，以单价为准并修正总价。</w:t>
      </w:r>
    </w:p>
    <w:p>
      <w:pPr>
        <w:numPr>
          <w:ilvl w:val="0"/>
          <w:numId w:val="4"/>
        </w:numPr>
        <w:snapToGrid w:val="0"/>
        <w:spacing w:line="360" w:lineRule="auto"/>
        <w:rPr>
          <w:rFonts w:ascii="宋体"/>
          <w:color w:val="auto"/>
        </w:rPr>
      </w:pPr>
      <w:r>
        <w:rPr>
          <w:rFonts w:hint="eastAsia"/>
          <w:color w:val="auto"/>
        </w:rPr>
        <w:t>其他：卖方须服从总包单位的现场管理与协调安排（包括安全、进度、作业面、临水临电等）以及资料归档等本工程的所需工作，并与总包单位签订安全协议；卖方须按相关规定与相关单位办理场地移交手续。</w:t>
      </w:r>
    </w:p>
    <w:p>
      <w:pPr>
        <w:spacing w:before="180" w:line="360" w:lineRule="auto"/>
        <w:rPr>
          <w:rFonts w:ascii="宋体" w:hAnsi="宋体"/>
          <w:b/>
          <w:color w:val="auto"/>
          <w:sz w:val="24"/>
        </w:rPr>
      </w:pPr>
      <w:r>
        <w:rPr>
          <w:rFonts w:hint="eastAsia" w:ascii="宋体" w:hAnsi="宋体"/>
          <w:b/>
          <w:color w:val="auto"/>
          <w:sz w:val="24"/>
        </w:rPr>
        <w:t>三、货物产地及标准</w:t>
      </w:r>
    </w:p>
    <w:p>
      <w:pPr>
        <w:numPr>
          <w:ilvl w:val="1"/>
          <w:numId w:val="5"/>
        </w:numPr>
        <w:tabs>
          <w:tab w:val="left" w:pos="360"/>
          <w:tab w:val="clear" w:pos="1050"/>
        </w:tabs>
        <w:spacing w:line="360" w:lineRule="auto"/>
        <w:ind w:left="360" w:hanging="360"/>
        <w:jc w:val="both"/>
        <w:rPr>
          <w:rFonts w:ascii="宋体"/>
          <w:color w:val="auto"/>
        </w:rPr>
      </w:pPr>
      <w:r>
        <w:rPr>
          <w:rFonts w:hint="eastAsia" w:ascii="宋体"/>
          <w:color w:val="auto"/>
        </w:rPr>
        <w:t>货物为</w:t>
      </w:r>
      <w:r>
        <w:rPr>
          <w:rFonts w:hint="eastAsia" w:ascii="宋体"/>
          <w:color w:val="auto"/>
          <w:u w:val="single"/>
        </w:rPr>
        <w:t xml:space="preserve"> </w:t>
      </w:r>
      <w:r>
        <w:rPr>
          <w:rFonts w:hint="eastAsia" w:ascii="Tahoma" w:hAnsi="Tahoma" w:cs="Tahoma"/>
          <w:color w:val="auto"/>
          <w:kern w:val="28"/>
          <w:u w:val="single"/>
        </w:rPr>
        <w:t xml:space="preserve">                  </w:t>
      </w:r>
      <w:r>
        <w:rPr>
          <w:rFonts w:hint="eastAsia" w:ascii="宋体"/>
          <w:color w:val="auto"/>
        </w:rPr>
        <w:t>全新的原装产品。其质量、规格及包装均符合招标文件中《用户需求书》的要求。</w:t>
      </w:r>
    </w:p>
    <w:p>
      <w:pPr>
        <w:numPr>
          <w:ilvl w:val="1"/>
          <w:numId w:val="5"/>
        </w:numPr>
        <w:tabs>
          <w:tab w:val="left" w:pos="360"/>
          <w:tab w:val="clear" w:pos="1050"/>
        </w:tabs>
        <w:spacing w:line="360" w:lineRule="auto"/>
        <w:ind w:left="360" w:hanging="360"/>
        <w:jc w:val="both"/>
        <w:rPr>
          <w:rFonts w:ascii="宋体" w:hAnsi="宋体"/>
          <w:color w:val="auto"/>
        </w:rPr>
      </w:pPr>
      <w:r>
        <w:rPr>
          <w:rFonts w:hint="eastAsia" w:ascii="宋体" w:hAnsi="宋体"/>
          <w:color w:val="auto"/>
        </w:rPr>
        <w:t>标准</w:t>
      </w:r>
    </w:p>
    <w:p>
      <w:pPr>
        <w:tabs>
          <w:tab w:val="left" w:pos="360"/>
        </w:tabs>
        <w:spacing w:line="360" w:lineRule="auto"/>
        <w:ind w:left="360" w:firstLine="420" w:firstLineChars="200"/>
        <w:jc w:val="both"/>
        <w:rPr>
          <w:rFonts w:ascii="宋体" w:hAnsi="宋体"/>
          <w:color w:val="auto"/>
        </w:rPr>
      </w:pPr>
      <w:r>
        <w:rPr>
          <w:rFonts w:hint="eastAsia" w:ascii="宋体" w:hAnsi="宋体"/>
          <w:color w:val="auto"/>
        </w:rPr>
        <w:t>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合同附件的技术规格所述的标准有特别规定的，以其规定为准。</w:t>
      </w:r>
    </w:p>
    <w:p>
      <w:pPr>
        <w:numPr>
          <w:ilvl w:val="0"/>
          <w:numId w:val="6"/>
        </w:numPr>
        <w:spacing w:before="180" w:line="360" w:lineRule="auto"/>
        <w:rPr>
          <w:rFonts w:ascii="宋体" w:hAnsi="宋体"/>
          <w:b/>
          <w:color w:val="auto"/>
          <w:sz w:val="24"/>
        </w:rPr>
      </w:pPr>
      <w:r>
        <w:rPr>
          <w:rFonts w:hint="eastAsia" w:ascii="宋体" w:hAnsi="宋体"/>
          <w:b/>
          <w:color w:val="auto"/>
          <w:sz w:val="24"/>
        </w:rPr>
        <w:t>到货、安装的时间、地点</w:t>
      </w:r>
    </w:p>
    <w:p>
      <w:pPr>
        <w:pStyle w:val="55"/>
        <w:numPr>
          <w:ilvl w:val="0"/>
          <w:numId w:val="7"/>
        </w:numPr>
        <w:spacing w:line="360" w:lineRule="auto"/>
        <w:ind w:firstLineChars="0"/>
        <w:rPr>
          <w:rFonts w:ascii="宋体" w:hAnsi="宋体"/>
          <w:bCs/>
          <w:color w:val="auto"/>
          <w:kern w:val="0"/>
          <w:szCs w:val="21"/>
        </w:rPr>
      </w:pPr>
      <w:bookmarkStart w:id="1" w:name="_Hlk96525553"/>
      <w:bookmarkStart w:id="2" w:name="_Hlk104814309"/>
      <w:bookmarkStart w:id="3" w:name="_Hlk96525580"/>
      <w:r>
        <w:rPr>
          <w:rFonts w:hint="eastAsia" w:ascii="宋体" w:hAnsi="宋体"/>
          <w:bCs/>
          <w:color w:val="auto"/>
          <w:kern w:val="0"/>
          <w:szCs w:val="21"/>
        </w:rPr>
        <w:t>设备供货期：</w:t>
      </w:r>
      <w:bookmarkStart w:id="4" w:name="_Hlk100664757"/>
      <w:r>
        <w:rPr>
          <w:rFonts w:hint="eastAsia" w:ascii="宋体" w:hAnsi="宋体"/>
          <w:bCs/>
          <w:color w:val="auto"/>
          <w:kern w:val="0"/>
          <w:szCs w:val="21"/>
        </w:rPr>
        <w:t>从收到中标通知开始起计</w:t>
      </w:r>
      <w:r>
        <w:rPr>
          <w:rFonts w:hint="eastAsia" w:ascii="宋体" w:hAnsi="宋体"/>
          <w:bCs/>
          <w:color w:val="auto"/>
          <w:kern w:val="0"/>
          <w:szCs w:val="21"/>
          <w:u w:val="single"/>
        </w:rPr>
        <w:t xml:space="preserve"> </w:t>
      </w:r>
      <w:r>
        <w:rPr>
          <w:rFonts w:ascii="宋体" w:hAnsi="宋体"/>
          <w:bCs/>
          <w:color w:val="auto"/>
          <w:kern w:val="0"/>
          <w:szCs w:val="21"/>
          <w:u w:val="single"/>
        </w:rPr>
        <w:t xml:space="preserve">90 </w:t>
      </w:r>
      <w:r>
        <w:rPr>
          <w:rFonts w:ascii="宋体" w:hAnsi="宋体"/>
          <w:bCs/>
          <w:color w:val="auto"/>
          <w:kern w:val="0"/>
          <w:szCs w:val="21"/>
        </w:rPr>
        <w:t>个日历天</w:t>
      </w:r>
      <w:r>
        <w:rPr>
          <w:rFonts w:hint="eastAsia" w:ascii="宋体" w:hAnsi="宋体"/>
          <w:bCs/>
          <w:color w:val="auto"/>
          <w:kern w:val="0"/>
          <w:szCs w:val="21"/>
        </w:rPr>
        <w:t>，</w:t>
      </w:r>
      <w:r>
        <w:rPr>
          <w:rFonts w:ascii="宋体" w:hAnsi="宋体"/>
          <w:bCs/>
          <w:color w:val="auto"/>
          <w:kern w:val="0"/>
          <w:szCs w:val="21"/>
        </w:rPr>
        <w:t>货运到招标方要求地点</w:t>
      </w:r>
      <w:r>
        <w:rPr>
          <w:rFonts w:hint="eastAsia" w:ascii="宋体" w:hAnsi="宋体"/>
          <w:bCs/>
          <w:color w:val="auto"/>
          <w:kern w:val="0"/>
          <w:szCs w:val="21"/>
        </w:rPr>
        <w:t>。</w:t>
      </w:r>
      <w:r>
        <w:rPr>
          <w:rFonts w:hint="eastAsia" w:ascii="宋体" w:hAnsi="宋体"/>
          <w:color w:val="auto"/>
        </w:rPr>
        <w:t>具体供货时间双方根据项目进度确定，</w:t>
      </w:r>
      <w:r>
        <w:rPr>
          <w:rFonts w:hint="eastAsia" w:ascii="宋体" w:hAnsi="宋体"/>
          <w:bCs/>
          <w:color w:val="auto"/>
          <w:kern w:val="0"/>
          <w:szCs w:val="21"/>
        </w:rPr>
        <w:t>以买方通知为准。另外期间的物价上涨、设备保管、设备配件的有效期等相关事项、要求见招标文件</w:t>
      </w:r>
      <w:bookmarkEnd w:id="4"/>
      <w:r>
        <w:rPr>
          <w:rFonts w:hint="eastAsia" w:ascii="宋体" w:hAnsi="宋体"/>
          <w:bCs/>
          <w:color w:val="auto"/>
          <w:kern w:val="0"/>
          <w:szCs w:val="21"/>
        </w:rPr>
        <w:t>。</w:t>
      </w:r>
    </w:p>
    <w:p>
      <w:pPr>
        <w:numPr>
          <w:ilvl w:val="0"/>
          <w:numId w:val="7"/>
        </w:numPr>
        <w:spacing w:line="360" w:lineRule="auto"/>
        <w:rPr>
          <w:rFonts w:ascii="宋体" w:hAnsi="宋体"/>
          <w:bCs/>
          <w:color w:val="auto"/>
          <w:szCs w:val="21"/>
        </w:rPr>
      </w:pPr>
      <w:r>
        <w:rPr>
          <w:rFonts w:hint="eastAsia" w:ascii="宋体" w:hAnsi="宋体"/>
          <w:bCs/>
          <w:color w:val="auto"/>
          <w:szCs w:val="21"/>
        </w:rPr>
        <w:t>设备安装及报装期：</w:t>
      </w:r>
      <w:r>
        <w:rPr>
          <w:rFonts w:ascii="宋体" w:hAnsi="宋体"/>
          <w:bCs/>
          <w:color w:val="auto"/>
          <w:szCs w:val="21"/>
          <w:u w:val="single"/>
        </w:rPr>
        <w:t>45</w:t>
      </w:r>
      <w:r>
        <w:rPr>
          <w:rFonts w:hint="eastAsia" w:ascii="宋体" w:hAnsi="宋体"/>
          <w:bCs/>
          <w:color w:val="auto"/>
          <w:szCs w:val="21"/>
        </w:rPr>
        <w:t>个日历天；</w:t>
      </w:r>
    </w:p>
    <w:p>
      <w:pPr>
        <w:numPr>
          <w:ilvl w:val="0"/>
          <w:numId w:val="7"/>
        </w:numPr>
        <w:spacing w:line="360" w:lineRule="auto"/>
        <w:rPr>
          <w:rFonts w:ascii="宋体" w:hAnsi="宋体"/>
          <w:bCs/>
          <w:color w:val="auto"/>
          <w:szCs w:val="21"/>
        </w:rPr>
      </w:pPr>
      <w:r>
        <w:rPr>
          <w:rFonts w:hint="eastAsia" w:ascii="宋体" w:hAnsi="宋体"/>
          <w:bCs/>
          <w:color w:val="auto"/>
          <w:szCs w:val="21"/>
        </w:rPr>
        <w:t>设备调试期：从设备安装及报装完成后起</w:t>
      </w:r>
      <w:r>
        <w:rPr>
          <w:rFonts w:ascii="宋体" w:hAnsi="宋体"/>
          <w:bCs/>
          <w:color w:val="auto"/>
          <w:szCs w:val="21"/>
          <w:u w:val="single"/>
        </w:rPr>
        <w:t>30</w:t>
      </w:r>
      <w:r>
        <w:rPr>
          <w:rFonts w:hint="eastAsia" w:ascii="宋体" w:hAnsi="宋体"/>
          <w:bCs/>
          <w:color w:val="auto"/>
          <w:szCs w:val="21"/>
        </w:rPr>
        <w:t>个日历天，调试完成后进行初步试产；</w:t>
      </w:r>
    </w:p>
    <w:p>
      <w:pPr>
        <w:numPr>
          <w:ilvl w:val="0"/>
          <w:numId w:val="7"/>
        </w:numPr>
        <w:spacing w:line="360" w:lineRule="auto"/>
        <w:rPr>
          <w:rFonts w:ascii="宋体" w:hAnsi="宋体"/>
          <w:bCs/>
          <w:color w:val="auto"/>
          <w:szCs w:val="21"/>
        </w:rPr>
      </w:pPr>
      <w:r>
        <w:rPr>
          <w:rFonts w:hint="eastAsia" w:ascii="宋体" w:hAnsi="宋体"/>
          <w:bCs/>
          <w:color w:val="auto"/>
          <w:szCs w:val="21"/>
        </w:rPr>
        <w:t>设备验收期：设备稳定运行</w:t>
      </w:r>
      <w:r>
        <w:rPr>
          <w:rFonts w:hint="eastAsia" w:ascii="宋体" w:hAnsi="宋体"/>
          <w:bCs/>
          <w:color w:val="auto"/>
          <w:szCs w:val="21"/>
          <w:u w:val="single"/>
        </w:rPr>
        <w:t>3</w:t>
      </w:r>
      <w:r>
        <w:rPr>
          <w:rFonts w:hint="eastAsia" w:ascii="宋体" w:hAnsi="宋体"/>
          <w:bCs/>
          <w:color w:val="auto"/>
          <w:szCs w:val="21"/>
        </w:rPr>
        <w:t>个月后，由卖方提前</w:t>
      </w:r>
      <w:r>
        <w:rPr>
          <w:rFonts w:hint="eastAsia" w:ascii="宋体" w:hAnsi="宋体"/>
          <w:bCs/>
          <w:color w:val="auto"/>
          <w:szCs w:val="21"/>
          <w:u w:val="single"/>
        </w:rPr>
        <w:t>3</w:t>
      </w:r>
      <w:r>
        <w:rPr>
          <w:rFonts w:hint="eastAsia" w:ascii="宋体" w:hAnsi="宋体"/>
          <w:bCs/>
          <w:color w:val="auto"/>
          <w:szCs w:val="21"/>
        </w:rPr>
        <w:t>天书面申请开展验收</w:t>
      </w:r>
      <w:bookmarkEnd w:id="1"/>
      <w:r>
        <w:rPr>
          <w:rFonts w:hint="eastAsia" w:ascii="宋体" w:hAnsi="宋体"/>
          <w:bCs/>
          <w:color w:val="auto"/>
          <w:szCs w:val="21"/>
        </w:rPr>
        <w:t>。</w:t>
      </w:r>
      <w:bookmarkEnd w:id="2"/>
    </w:p>
    <w:bookmarkEnd w:id="3"/>
    <w:p>
      <w:pPr>
        <w:widowControl w:val="0"/>
        <w:numPr>
          <w:ilvl w:val="0"/>
          <w:numId w:val="8"/>
        </w:numPr>
        <w:spacing w:line="360" w:lineRule="auto"/>
        <w:jc w:val="both"/>
        <w:rPr>
          <w:rFonts w:ascii="宋体" w:hAnsi="宋体"/>
          <w:color w:val="auto"/>
          <w:szCs w:val="21"/>
        </w:rPr>
      </w:pPr>
      <w:r>
        <w:rPr>
          <w:rFonts w:hint="eastAsia" w:ascii="宋体" w:hAnsi="宋体"/>
          <w:color w:val="auto"/>
        </w:rPr>
        <w:t xml:space="preserve"> </w:t>
      </w:r>
      <w:r>
        <w:rPr>
          <w:rFonts w:ascii="宋体" w:hAnsi="宋体"/>
          <w:color w:val="auto"/>
        </w:rPr>
        <w:t xml:space="preserve"> </w:t>
      </w:r>
      <w:r>
        <w:rPr>
          <w:rFonts w:hint="eastAsia" w:ascii="宋体" w:hAnsi="宋体"/>
          <w:color w:val="auto"/>
        </w:rPr>
        <w:t>合同生效，卖方应按本合同要求的交付使用时</w:t>
      </w:r>
      <w:r>
        <w:rPr>
          <w:rFonts w:hint="eastAsia" w:ascii="宋体" w:hAnsi="宋体"/>
          <w:color w:val="auto"/>
          <w:szCs w:val="21"/>
        </w:rPr>
        <w:t>间将设备运至买方指定到货地点卸货，并按《用户</w:t>
      </w:r>
      <w:r>
        <w:rPr>
          <w:rFonts w:hint="eastAsia" w:ascii="宋体" w:hAnsi="宋体"/>
          <w:color w:val="auto"/>
        </w:rPr>
        <w:t>需求书》规定完成安装、调试</w:t>
      </w:r>
      <w:r>
        <w:rPr>
          <w:rFonts w:ascii="宋体" w:hAnsi="宋体"/>
          <w:color w:val="auto"/>
        </w:rPr>
        <w:t>和</w:t>
      </w:r>
      <w:r>
        <w:rPr>
          <w:rFonts w:hint="eastAsia" w:ascii="宋体" w:hAnsi="宋体"/>
          <w:color w:val="auto"/>
        </w:rPr>
        <w:t>验收等售后服务工作。卖方应在货物预计进场的三个工作日前通知买方。</w:t>
      </w:r>
    </w:p>
    <w:p>
      <w:pPr>
        <w:spacing w:before="180" w:line="360" w:lineRule="auto"/>
        <w:rPr>
          <w:rFonts w:ascii="宋体" w:hAnsi="宋体"/>
          <w:b/>
          <w:color w:val="auto"/>
          <w:sz w:val="24"/>
        </w:rPr>
      </w:pPr>
      <w:r>
        <w:rPr>
          <w:rFonts w:hint="eastAsia" w:ascii="宋体" w:hAnsi="宋体"/>
          <w:b/>
          <w:color w:val="auto"/>
          <w:sz w:val="24"/>
        </w:rPr>
        <w:t>五、保密</w:t>
      </w:r>
    </w:p>
    <w:p>
      <w:pPr>
        <w:numPr>
          <w:ilvl w:val="0"/>
          <w:numId w:val="9"/>
        </w:numPr>
        <w:tabs>
          <w:tab w:val="left" w:pos="824"/>
        </w:tabs>
        <w:spacing w:line="360" w:lineRule="auto"/>
        <w:ind w:left="425"/>
        <w:jc w:val="both"/>
        <w:rPr>
          <w:rFonts w:ascii="宋体" w:hAnsi="宋体"/>
          <w:color w:val="auto"/>
        </w:rPr>
      </w:pPr>
      <w:r>
        <w:rPr>
          <w:rFonts w:hint="eastAsia" w:ascii="宋体" w:hAnsi="宋体"/>
          <w:color w:val="auto"/>
        </w:rPr>
        <w:t>未经买方事先书面同意，卖方不得将由买方为本合同提供的条文、规格、计划、图纸、模型</w:t>
      </w:r>
      <w:r>
        <w:rPr>
          <w:rFonts w:hint="eastAsia" w:ascii="宋体" w:hAnsi="宋体"/>
          <w:color w:val="auto"/>
          <w:szCs w:val="21"/>
        </w:rPr>
        <w:t>、</w:t>
      </w:r>
      <w:r>
        <w:rPr>
          <w:rFonts w:hint="eastAsia" w:ascii="宋体" w:hAnsi="宋体"/>
          <w:color w:val="auto"/>
        </w:rPr>
        <w:t>样品或资料提供给与本合同无关的任何第三方，不得将其用于履行本合同之外的其它用途。即使向与履行本合同有关的人员提供，也应要求该等人员履行同等保密责任并限于履行合同所必需的范围。</w:t>
      </w:r>
    </w:p>
    <w:p>
      <w:pPr>
        <w:numPr>
          <w:ilvl w:val="0"/>
          <w:numId w:val="9"/>
        </w:numPr>
        <w:tabs>
          <w:tab w:val="left" w:pos="824"/>
        </w:tabs>
        <w:spacing w:line="360" w:lineRule="auto"/>
        <w:ind w:left="425"/>
        <w:jc w:val="both"/>
        <w:rPr>
          <w:rFonts w:ascii="宋体" w:hAnsi="宋体"/>
          <w:color w:val="auto"/>
        </w:rPr>
      </w:pPr>
      <w:r>
        <w:rPr>
          <w:rFonts w:hint="eastAsia" w:ascii="宋体" w:hAnsi="宋体"/>
          <w:color w:val="auto"/>
        </w:rPr>
        <w:t>除了合同本身之外，上款所列举的任何物件均是买方的财产。如果买方有要求，卖方在完成合同后应将这些物件及全部复制件还给买方。</w:t>
      </w:r>
    </w:p>
    <w:p>
      <w:pPr>
        <w:numPr>
          <w:ilvl w:val="0"/>
          <w:numId w:val="9"/>
        </w:numPr>
        <w:tabs>
          <w:tab w:val="left" w:pos="824"/>
        </w:tabs>
        <w:spacing w:line="360" w:lineRule="auto"/>
        <w:ind w:left="425"/>
        <w:jc w:val="both"/>
        <w:rPr>
          <w:rFonts w:ascii="宋体" w:hAnsi="宋体"/>
          <w:color w:val="auto"/>
        </w:rPr>
      </w:pPr>
      <w:r>
        <w:rPr>
          <w:rFonts w:hint="eastAsia" w:ascii="宋体" w:hAnsi="宋体"/>
          <w:color w:val="auto"/>
        </w:rPr>
        <w:t>卖方违反保密义务的，买方有权单方解除合同并没收履约保证金，保证金不足以弥补买方损失的，卖方应继续赔偿。</w:t>
      </w:r>
    </w:p>
    <w:p>
      <w:pPr>
        <w:spacing w:before="180" w:line="360" w:lineRule="auto"/>
        <w:rPr>
          <w:rFonts w:ascii="宋体" w:hAnsi="宋体"/>
          <w:b/>
          <w:color w:val="auto"/>
          <w:sz w:val="24"/>
        </w:rPr>
      </w:pPr>
      <w:r>
        <w:rPr>
          <w:rFonts w:hint="eastAsia" w:ascii="宋体" w:hAnsi="宋体"/>
          <w:b/>
          <w:color w:val="auto"/>
          <w:sz w:val="24"/>
        </w:rPr>
        <w:t>六、技术文件</w:t>
      </w:r>
    </w:p>
    <w:p>
      <w:pPr>
        <w:numPr>
          <w:ilvl w:val="1"/>
          <w:numId w:val="10"/>
        </w:numPr>
        <w:tabs>
          <w:tab w:val="left" w:pos="540"/>
        </w:tabs>
        <w:spacing w:line="360" w:lineRule="auto"/>
        <w:ind w:left="540" w:hanging="540"/>
        <w:jc w:val="both"/>
        <w:rPr>
          <w:rFonts w:ascii="宋体"/>
          <w:color w:val="auto"/>
        </w:rPr>
      </w:pPr>
      <w:r>
        <w:rPr>
          <w:rFonts w:hint="eastAsia" w:ascii="宋体"/>
          <w:color w:val="auto"/>
        </w:rPr>
        <w:t>卖方应在供货同时向买方提供所有有关本合同执行的技术文件。如果项目必需但合同又未作规定的要卖方才能提供的技术文件，卖方也应及时向买方提供。技术文件可以是手册、图纸或其他形式的文件资料。</w:t>
      </w:r>
    </w:p>
    <w:p>
      <w:pPr>
        <w:numPr>
          <w:ilvl w:val="1"/>
          <w:numId w:val="10"/>
        </w:numPr>
        <w:tabs>
          <w:tab w:val="left" w:pos="540"/>
        </w:tabs>
        <w:spacing w:line="360" w:lineRule="auto"/>
        <w:ind w:left="540" w:hanging="540"/>
        <w:jc w:val="both"/>
        <w:rPr>
          <w:rFonts w:ascii="宋体"/>
          <w:color w:val="auto"/>
        </w:rPr>
      </w:pPr>
      <w:r>
        <w:rPr>
          <w:rFonts w:hint="eastAsia" w:ascii="宋体"/>
          <w:color w:val="auto"/>
        </w:rPr>
        <w:t>上述技术文件应包含保证买方能够正确进行安装、操作、检查、维修、维护、测试、调试、验收和运作的需要的所有内容。</w:t>
      </w:r>
    </w:p>
    <w:p>
      <w:pPr>
        <w:numPr>
          <w:ilvl w:val="1"/>
          <w:numId w:val="10"/>
        </w:numPr>
        <w:tabs>
          <w:tab w:val="left" w:pos="540"/>
        </w:tabs>
        <w:spacing w:line="360" w:lineRule="auto"/>
        <w:ind w:left="540" w:hanging="540"/>
        <w:jc w:val="both"/>
        <w:rPr>
          <w:rFonts w:ascii="宋体"/>
          <w:color w:val="auto"/>
        </w:rPr>
      </w:pPr>
      <w:r>
        <w:rPr>
          <w:rFonts w:hint="eastAsia" w:ascii="宋体"/>
          <w:color w:val="auto"/>
        </w:rPr>
        <w:t>买方完全按照技术文件的指导进行的任何安装、操作、检查、维修、维护、测试、调试、验收和运作所引起的系统和</w:t>
      </w:r>
      <w:r>
        <w:rPr>
          <w:rFonts w:ascii="宋体"/>
          <w:color w:val="auto"/>
        </w:rPr>
        <w:t>/</w:t>
      </w:r>
      <w:r>
        <w:rPr>
          <w:rFonts w:hint="eastAsia" w:ascii="宋体"/>
          <w:color w:val="auto"/>
        </w:rPr>
        <w:t>或货物或其部件的损坏由卖方承担责任。</w:t>
      </w:r>
    </w:p>
    <w:p>
      <w:pPr>
        <w:numPr>
          <w:ilvl w:val="1"/>
          <w:numId w:val="10"/>
        </w:numPr>
        <w:tabs>
          <w:tab w:val="left" w:pos="540"/>
        </w:tabs>
        <w:spacing w:line="360" w:lineRule="auto"/>
        <w:ind w:left="540" w:hanging="540"/>
        <w:jc w:val="both"/>
        <w:rPr>
          <w:rFonts w:ascii="宋体"/>
          <w:color w:val="auto"/>
        </w:rPr>
      </w:pPr>
      <w:r>
        <w:rPr>
          <w:rFonts w:hint="eastAsia" w:ascii="宋体"/>
          <w:color w:val="auto"/>
        </w:rPr>
        <w:t>卖方应提供上述技术文件（符合档案标准规范的纸质文件）一式两套及电子文档一份给买方。</w:t>
      </w:r>
    </w:p>
    <w:p>
      <w:pPr>
        <w:numPr>
          <w:ilvl w:val="1"/>
          <w:numId w:val="10"/>
        </w:numPr>
        <w:tabs>
          <w:tab w:val="left" w:pos="540"/>
        </w:tabs>
        <w:spacing w:line="360" w:lineRule="auto"/>
        <w:ind w:left="540" w:hanging="540"/>
        <w:jc w:val="both"/>
        <w:rPr>
          <w:rFonts w:ascii="宋体"/>
          <w:color w:val="auto"/>
        </w:rPr>
      </w:pPr>
      <w:r>
        <w:rPr>
          <w:rFonts w:hint="eastAsia" w:ascii="宋体"/>
          <w:color w:val="auto"/>
        </w:rPr>
        <w:t>所有卖方提供的技术文件的全部费用已包含在合同货物价格中。</w:t>
      </w:r>
    </w:p>
    <w:p>
      <w:pPr>
        <w:numPr>
          <w:ilvl w:val="1"/>
          <w:numId w:val="10"/>
        </w:numPr>
        <w:tabs>
          <w:tab w:val="left" w:pos="540"/>
        </w:tabs>
        <w:spacing w:line="360" w:lineRule="auto"/>
        <w:ind w:left="540" w:hanging="540"/>
        <w:jc w:val="both"/>
        <w:rPr>
          <w:rFonts w:ascii="宋体"/>
          <w:color w:val="auto"/>
        </w:rPr>
      </w:pPr>
      <w:r>
        <w:rPr>
          <w:rFonts w:hint="eastAsia" w:ascii="宋体"/>
          <w:color w:val="auto"/>
        </w:rPr>
        <w:t>所有未列明交付时间的卖方应提供的技术文件，必须单独包装伴随货物按货物交付时间交付给买方。</w:t>
      </w:r>
    </w:p>
    <w:p>
      <w:pPr>
        <w:tabs>
          <w:tab w:val="left" w:pos="0"/>
          <w:tab w:val="left" w:pos="540"/>
          <w:tab w:val="left" w:pos="840"/>
        </w:tabs>
        <w:spacing w:line="360" w:lineRule="auto"/>
        <w:ind w:left="420" w:hanging="420" w:hangingChars="200"/>
        <w:jc w:val="both"/>
        <w:rPr>
          <w:rFonts w:ascii="宋体"/>
          <w:color w:val="auto"/>
        </w:rPr>
      </w:pPr>
      <w:r>
        <w:rPr>
          <w:rFonts w:hint="eastAsia" w:ascii="宋体"/>
          <w:color w:val="auto"/>
        </w:rPr>
        <w:t>7</w:t>
      </w:r>
      <w:r>
        <w:rPr>
          <w:rFonts w:ascii="宋体"/>
          <w:color w:val="auto"/>
        </w:rPr>
        <w:t xml:space="preserve">.  </w:t>
      </w:r>
      <w:r>
        <w:rPr>
          <w:rFonts w:hint="eastAsia" w:ascii="宋体"/>
          <w:color w:val="auto"/>
        </w:rPr>
        <w:t>到货后买方如发现卖方未提供有关文件，可以推迟付款且无需承担违约责任，直至卖方补齐有关文件。</w:t>
      </w:r>
    </w:p>
    <w:p>
      <w:pPr>
        <w:spacing w:before="180" w:line="360" w:lineRule="auto"/>
        <w:rPr>
          <w:rFonts w:ascii="宋体" w:hAnsi="宋体"/>
          <w:b/>
          <w:color w:val="auto"/>
          <w:sz w:val="24"/>
        </w:rPr>
      </w:pPr>
      <w:r>
        <w:rPr>
          <w:rFonts w:hint="eastAsia" w:ascii="宋体" w:hAnsi="宋体"/>
          <w:b/>
          <w:color w:val="auto"/>
          <w:sz w:val="24"/>
        </w:rPr>
        <w:t>七、知识产权</w:t>
      </w:r>
    </w:p>
    <w:p>
      <w:pPr>
        <w:numPr>
          <w:ilvl w:val="1"/>
          <w:numId w:val="11"/>
        </w:numPr>
        <w:tabs>
          <w:tab w:val="left" w:pos="540"/>
          <w:tab w:val="clear" w:pos="1050"/>
        </w:tabs>
        <w:spacing w:line="360" w:lineRule="auto"/>
        <w:ind w:left="540" w:hanging="540"/>
        <w:jc w:val="both"/>
        <w:rPr>
          <w:rFonts w:ascii="宋体"/>
          <w:color w:val="auto"/>
        </w:rPr>
      </w:pPr>
      <w:r>
        <w:rPr>
          <w:rFonts w:hint="eastAsia" w:ascii="宋体"/>
          <w:color w:val="auto"/>
        </w:rPr>
        <w:t>卖方应保证，买方在中华人民共和国使用该货物或货物的任何一部份时，免受第三方提出的侵犯其专利权、著作权、商标权或其他知识产权的主张或索赔。如发生此类纠纷，由卖方承担一切责任，并应赔偿买方为处理此类纠纷而支付的费用，包括但不限于差旅费、律师费、</w:t>
      </w:r>
      <w:r>
        <w:rPr>
          <w:rFonts w:ascii="宋体"/>
          <w:color w:val="auto"/>
        </w:rPr>
        <w:t>诉讼费</w:t>
      </w:r>
      <w:r>
        <w:rPr>
          <w:rFonts w:hint="eastAsia" w:ascii="宋体"/>
          <w:color w:val="auto"/>
        </w:rPr>
        <w:t>等。</w:t>
      </w:r>
    </w:p>
    <w:p>
      <w:pPr>
        <w:numPr>
          <w:ilvl w:val="1"/>
          <w:numId w:val="11"/>
        </w:numPr>
        <w:tabs>
          <w:tab w:val="left" w:pos="540"/>
          <w:tab w:val="clear" w:pos="1050"/>
        </w:tabs>
        <w:spacing w:line="360" w:lineRule="auto"/>
        <w:ind w:left="540" w:hanging="540"/>
        <w:jc w:val="both"/>
        <w:rPr>
          <w:rFonts w:ascii="宋体"/>
          <w:color w:val="auto"/>
        </w:rPr>
      </w:pPr>
      <w:r>
        <w:rPr>
          <w:rFonts w:hint="eastAsia" w:ascii="宋体"/>
          <w:color w:val="auto"/>
        </w:rPr>
        <w:t>卖方为执行本合同而提供的技术资料、软件的使用权归买方所有。</w:t>
      </w:r>
    </w:p>
    <w:p>
      <w:pPr>
        <w:numPr>
          <w:ilvl w:val="1"/>
          <w:numId w:val="11"/>
        </w:numPr>
        <w:tabs>
          <w:tab w:val="left" w:pos="540"/>
          <w:tab w:val="clear" w:pos="1050"/>
        </w:tabs>
        <w:spacing w:line="360" w:lineRule="auto"/>
        <w:ind w:left="540" w:hanging="540"/>
        <w:jc w:val="both"/>
        <w:rPr>
          <w:rFonts w:ascii="宋体"/>
          <w:color w:val="auto"/>
        </w:rPr>
      </w:pPr>
      <w:r>
        <w:rPr>
          <w:rFonts w:hint="eastAsia" w:ascii="宋体"/>
          <w:color w:val="auto"/>
        </w:rPr>
        <w:t>卖方所提供的产品及其构配件等如涉及知识产权，所涉及的知识产权具有合法的所有权或处置权。涉及第三方知识产权的，卖方须提供合法的授权使用证明。</w:t>
      </w:r>
    </w:p>
    <w:p>
      <w:pPr>
        <w:numPr>
          <w:ilvl w:val="1"/>
          <w:numId w:val="11"/>
        </w:numPr>
        <w:tabs>
          <w:tab w:val="left" w:pos="540"/>
          <w:tab w:val="clear" w:pos="1050"/>
        </w:tabs>
        <w:spacing w:line="360" w:lineRule="auto"/>
        <w:ind w:left="540" w:hanging="540"/>
        <w:jc w:val="both"/>
        <w:rPr>
          <w:rFonts w:ascii="宋体"/>
          <w:color w:val="auto"/>
        </w:rPr>
      </w:pPr>
      <w:r>
        <w:rPr>
          <w:rFonts w:hint="eastAsia" w:ascii="宋体"/>
          <w:color w:val="auto"/>
        </w:rPr>
        <w:t>对于上述知识产权，卖方许可买方在后续的产品销售和使用过程中使用，使用范围仅限产品本身，使用期限为产品的整个生命周期。</w:t>
      </w:r>
    </w:p>
    <w:p>
      <w:pPr>
        <w:numPr>
          <w:ilvl w:val="1"/>
          <w:numId w:val="11"/>
        </w:numPr>
        <w:tabs>
          <w:tab w:val="left" w:pos="540"/>
          <w:tab w:val="clear" w:pos="1050"/>
        </w:tabs>
        <w:spacing w:line="360" w:lineRule="auto"/>
        <w:ind w:left="540" w:hanging="540"/>
        <w:jc w:val="both"/>
        <w:rPr>
          <w:rFonts w:ascii="宋体"/>
          <w:color w:val="auto"/>
        </w:rPr>
      </w:pPr>
      <w:r>
        <w:rPr>
          <w:rFonts w:hint="eastAsia" w:ascii="宋体"/>
          <w:color w:val="auto"/>
        </w:rPr>
        <w:t>买方在卖方所供货物基础上进行后续改进创新而产生的知识产权归属于买方所有。</w:t>
      </w:r>
    </w:p>
    <w:p>
      <w:pPr>
        <w:spacing w:before="180" w:line="360" w:lineRule="auto"/>
        <w:rPr>
          <w:rFonts w:ascii="宋体" w:hAnsi="宋体"/>
          <w:b/>
          <w:color w:val="auto"/>
          <w:sz w:val="24"/>
        </w:rPr>
      </w:pPr>
      <w:r>
        <w:rPr>
          <w:rFonts w:hint="eastAsia" w:ascii="宋体" w:hAnsi="宋体"/>
          <w:b/>
          <w:color w:val="auto"/>
          <w:sz w:val="24"/>
        </w:rPr>
        <w:t>八、履约保证金</w:t>
      </w:r>
    </w:p>
    <w:p>
      <w:pPr>
        <w:tabs>
          <w:tab w:val="left" w:pos="824"/>
        </w:tabs>
        <w:spacing w:line="360" w:lineRule="auto"/>
        <w:ind w:firstLine="420" w:firstLineChars="200"/>
        <w:jc w:val="both"/>
        <w:rPr>
          <w:rFonts w:ascii="宋体" w:hAnsi="宋体"/>
          <w:color w:val="auto"/>
        </w:rPr>
      </w:pPr>
      <w:r>
        <w:rPr>
          <w:rFonts w:hint="eastAsia" w:ascii="宋体" w:hAnsi="宋体"/>
          <w:color w:val="auto"/>
        </w:rPr>
        <w:t>本项目需要提交履约保证金，卖方应在自中标通知书发出之日起20日历天内，向买方提交中</w:t>
      </w:r>
      <w:r>
        <w:rPr>
          <w:rFonts w:ascii="宋体" w:hAnsi="宋体"/>
          <w:color w:val="auto"/>
        </w:rPr>
        <w:t>标</w:t>
      </w:r>
      <w:r>
        <w:rPr>
          <w:rFonts w:hint="eastAsia" w:ascii="宋体" w:hAnsi="宋体"/>
          <w:color w:val="auto"/>
        </w:rPr>
        <w:t>总价的</w:t>
      </w:r>
      <w:r>
        <w:rPr>
          <w:rFonts w:ascii="宋体" w:hAnsi="宋体"/>
          <w:color w:val="auto"/>
          <w:u w:val="single"/>
        </w:rPr>
        <w:t>10</w:t>
      </w:r>
      <w:r>
        <w:rPr>
          <w:rFonts w:hint="eastAsia" w:ascii="宋体" w:hAnsi="宋体"/>
          <w:color w:val="auto"/>
          <w:u w:val="single"/>
        </w:rPr>
        <w:t>%</w:t>
      </w:r>
      <w:r>
        <w:rPr>
          <w:rFonts w:hint="eastAsia" w:ascii="宋体" w:hAnsi="宋体"/>
          <w:color w:val="auto"/>
        </w:rPr>
        <w:t>的现金作为履约保证金。</w:t>
      </w:r>
    </w:p>
    <w:p>
      <w:pPr>
        <w:tabs>
          <w:tab w:val="left" w:pos="824"/>
        </w:tabs>
        <w:spacing w:line="360" w:lineRule="auto"/>
        <w:ind w:firstLine="420" w:firstLineChars="200"/>
        <w:jc w:val="both"/>
        <w:rPr>
          <w:rFonts w:ascii="宋体" w:hAnsi="宋体"/>
          <w:color w:val="auto"/>
        </w:rPr>
      </w:pPr>
      <w:r>
        <w:rPr>
          <w:rFonts w:hint="eastAsia" w:hAnsi="宋体"/>
          <w:color w:val="auto"/>
        </w:rPr>
        <w:t>合同货物验收合格交付之前，因卖方的原因造成的损失（如货物的瑕疵，无法按买方要求的交货条件交货的，迟延交付，派驻买方场地的工作人员违反安全管理等情况）买方有权将在履约保证金中扣除相应金额，货物验收合格交付之时，履约保证金不足合同总额10%的，卖方应在交付前补足。</w:t>
      </w:r>
    </w:p>
    <w:p>
      <w:pPr>
        <w:pStyle w:val="4"/>
        <w:numPr>
          <w:ilvl w:val="1"/>
          <w:numId w:val="0"/>
        </w:numPr>
        <w:ind w:firstLine="583" w:firstLineChars="278"/>
        <w:jc w:val="left"/>
        <w:rPr>
          <w:rFonts w:hAnsi="宋体"/>
          <w:color w:val="auto"/>
          <w:u w:val="single"/>
        </w:rPr>
      </w:pPr>
      <w:r>
        <w:rPr>
          <w:rFonts w:hint="eastAsia" w:hAnsi="宋体"/>
          <w:color w:val="auto"/>
          <w:u w:val="single"/>
        </w:rPr>
        <w:t>履约保证金开户名：</w:t>
      </w:r>
      <w:r>
        <w:rPr>
          <w:rFonts w:hint="eastAsia" w:hAnsi="宋体"/>
          <w:bCs/>
          <w:color w:val="auto"/>
          <w:u w:val="single"/>
        </w:rPr>
        <w:t>王老吉大健康产业（兰州）有限公司</w:t>
      </w:r>
    </w:p>
    <w:p>
      <w:pPr>
        <w:pStyle w:val="4"/>
        <w:numPr>
          <w:ilvl w:val="0"/>
          <w:numId w:val="0"/>
        </w:numPr>
        <w:ind w:firstLine="583" w:firstLineChars="278"/>
        <w:jc w:val="left"/>
        <w:rPr>
          <w:rFonts w:hAnsi="宋体" w:cs="宋体"/>
          <w:color w:val="auto"/>
          <w:szCs w:val="21"/>
          <w:u w:val="single"/>
        </w:rPr>
      </w:pPr>
      <w:r>
        <w:rPr>
          <w:rFonts w:hint="eastAsia" w:hAnsi="宋体"/>
          <w:color w:val="auto"/>
          <w:u w:val="single"/>
        </w:rPr>
        <w:t xml:space="preserve">开户银行： </w:t>
      </w:r>
      <w:r>
        <w:rPr>
          <w:rFonts w:hint="eastAsia" w:hAnsi="宋体" w:cs="宋体"/>
          <w:color w:val="auto"/>
          <w:szCs w:val="21"/>
          <w:u w:val="single"/>
        </w:rPr>
        <w:t>中国建设银行股份有限公司榆中和平支行</w:t>
      </w:r>
    </w:p>
    <w:p>
      <w:pPr>
        <w:pStyle w:val="4"/>
        <w:numPr>
          <w:ilvl w:val="0"/>
          <w:numId w:val="0"/>
        </w:numPr>
        <w:ind w:firstLine="583" w:firstLineChars="278"/>
        <w:jc w:val="left"/>
        <w:rPr>
          <w:rFonts w:hAnsi="宋体"/>
          <w:color w:val="auto"/>
          <w:u w:val="single"/>
        </w:rPr>
      </w:pPr>
      <w:r>
        <w:rPr>
          <w:rFonts w:hint="eastAsia" w:hAnsi="宋体"/>
          <w:color w:val="auto"/>
          <w:u w:val="single"/>
        </w:rPr>
        <w:t>开户账号：</w:t>
      </w:r>
      <w:r>
        <w:rPr>
          <w:rFonts w:hint="eastAsia" w:hAnsi="宋体" w:cs="宋体"/>
          <w:color w:val="auto"/>
          <w:szCs w:val="21"/>
          <w:u w:val="single"/>
        </w:rPr>
        <w:t>62050136010200000459</w:t>
      </w:r>
      <w:r>
        <w:rPr>
          <w:rFonts w:hAnsi="宋体" w:cs="宋体"/>
          <w:color w:val="auto"/>
          <w:szCs w:val="21"/>
          <w:u w:val="single"/>
        </w:rPr>
        <w:t xml:space="preserve"> </w:t>
      </w:r>
    </w:p>
    <w:p>
      <w:pPr>
        <w:pStyle w:val="4"/>
        <w:numPr>
          <w:ilvl w:val="0"/>
          <w:numId w:val="0"/>
        </w:numPr>
        <w:ind w:firstLine="67" w:firstLineChars="28"/>
        <w:jc w:val="left"/>
        <w:rPr>
          <w:rFonts w:hAnsi="宋体"/>
          <w:b/>
          <w:color w:val="auto"/>
          <w:sz w:val="24"/>
        </w:rPr>
      </w:pPr>
      <w:r>
        <w:rPr>
          <w:rFonts w:hint="eastAsia" w:hAnsi="宋体"/>
          <w:b/>
          <w:color w:val="auto"/>
          <w:sz w:val="24"/>
        </w:rPr>
        <w:t>九、包装、装卸和运输，人员安全</w:t>
      </w:r>
    </w:p>
    <w:p>
      <w:pPr>
        <w:numPr>
          <w:ilvl w:val="0"/>
          <w:numId w:val="12"/>
        </w:numPr>
        <w:spacing w:line="360" w:lineRule="auto"/>
        <w:jc w:val="both"/>
        <w:rPr>
          <w:rFonts w:ascii="宋体"/>
          <w:color w:val="auto"/>
        </w:rPr>
      </w:pPr>
      <w:r>
        <w:rPr>
          <w:rFonts w:hint="eastAsia" w:hAnsi="宋体"/>
          <w:color w:val="auto"/>
        </w:rPr>
        <w:t>包装必须与运输方式相适应，包装方式的确定及包装费用均由卖方负责；由于不适当的包装而造成货物在运输过程中有任何损坏、丢失由卖方负责。</w:t>
      </w:r>
    </w:p>
    <w:p>
      <w:pPr>
        <w:numPr>
          <w:ilvl w:val="0"/>
          <w:numId w:val="12"/>
        </w:numPr>
        <w:spacing w:line="360" w:lineRule="auto"/>
        <w:jc w:val="both"/>
        <w:rPr>
          <w:rFonts w:ascii="宋体"/>
          <w:color w:val="auto"/>
        </w:rPr>
      </w:pPr>
      <w:r>
        <w:rPr>
          <w:rFonts w:hint="eastAsia" w:ascii="宋体" w:hAnsi="宋体"/>
          <w:color w:val="auto"/>
        </w:rPr>
        <w:t>包装应足以承受整个过程中的运输、转运、装卸、储存等，充分考虑到运输途中的各种情况（如暴露于恶劣气候等）和兰州地区的气候特点，以及露天存放的需要。</w:t>
      </w:r>
    </w:p>
    <w:p>
      <w:pPr>
        <w:numPr>
          <w:ilvl w:val="0"/>
          <w:numId w:val="12"/>
        </w:numPr>
        <w:spacing w:line="360" w:lineRule="auto"/>
        <w:jc w:val="both"/>
        <w:rPr>
          <w:rFonts w:ascii="宋体"/>
          <w:color w:val="auto"/>
        </w:rPr>
      </w:pPr>
      <w:r>
        <w:rPr>
          <w:rFonts w:hint="eastAsia" w:ascii="宋体" w:hAnsi="宋体"/>
          <w:color w:val="auto"/>
        </w:rPr>
        <w:t>专用工具及备品备件应分别包装，并在包装箱外加以注明其用处。</w:t>
      </w:r>
    </w:p>
    <w:p>
      <w:pPr>
        <w:numPr>
          <w:ilvl w:val="0"/>
          <w:numId w:val="12"/>
        </w:numPr>
        <w:spacing w:line="360" w:lineRule="auto"/>
        <w:jc w:val="both"/>
        <w:rPr>
          <w:rFonts w:ascii="宋体" w:hAnsi="宋体"/>
          <w:color w:val="auto"/>
        </w:rPr>
      </w:pPr>
      <w:r>
        <w:rPr>
          <w:rFonts w:hint="eastAsia" w:ascii="宋体" w:hAnsi="宋体"/>
          <w:color w:val="auto"/>
        </w:rPr>
        <w:t>每一包装箱两个侧面用不褪色的油漆和明显易见的中文字样做出标记。</w:t>
      </w:r>
    </w:p>
    <w:p>
      <w:pPr>
        <w:spacing w:line="360" w:lineRule="auto"/>
        <w:ind w:left="540"/>
        <w:jc w:val="both"/>
        <w:rPr>
          <w:rFonts w:ascii="宋体"/>
          <w:color w:val="auto"/>
        </w:rPr>
      </w:pPr>
      <w:r>
        <w:rPr>
          <w:rFonts w:hint="eastAsia" w:ascii="宋体" w:hAnsi="宋体"/>
          <w:color w:val="auto"/>
        </w:rPr>
        <w:t>标记内容包括：箱（件）号、装运标志（唛头）、毛重（kg）、尺码</w:t>
      </w:r>
      <w:r>
        <w:rPr>
          <w:rFonts w:hint="eastAsia" w:ascii="宋体"/>
          <w:color w:val="auto"/>
        </w:rPr>
        <w:t>（长×宽×高，用mm表示）</w:t>
      </w:r>
      <w:r>
        <w:rPr>
          <w:rFonts w:hint="eastAsia" w:ascii="宋体" w:hAnsi="宋体"/>
          <w:color w:val="auto"/>
        </w:rPr>
        <w:t>、净重（kg）、到货地址、收货人名称、货物名称、合同编号以及“勿近潮湿”、“小心轻放”、“此边向上”等。</w:t>
      </w:r>
    </w:p>
    <w:p>
      <w:pPr>
        <w:numPr>
          <w:ilvl w:val="0"/>
          <w:numId w:val="12"/>
        </w:numPr>
        <w:spacing w:line="360" w:lineRule="auto"/>
        <w:jc w:val="both"/>
        <w:rPr>
          <w:rFonts w:ascii="宋体" w:hAnsi="宋体"/>
          <w:color w:val="auto"/>
        </w:rPr>
      </w:pPr>
      <w:r>
        <w:rPr>
          <w:rFonts w:hint="eastAsia" w:ascii="宋体" w:hAnsi="宋体"/>
          <w:color w:val="auto"/>
        </w:rPr>
        <w:t>运输方式由卖方根据货物的运输要求予以选定，卖方应按照本合同要求的交付使用时间将货物运至本合同规定的到货地点。</w:t>
      </w:r>
    </w:p>
    <w:p>
      <w:pPr>
        <w:numPr>
          <w:ilvl w:val="0"/>
          <w:numId w:val="12"/>
        </w:numPr>
        <w:spacing w:line="360" w:lineRule="auto"/>
        <w:jc w:val="both"/>
        <w:rPr>
          <w:rFonts w:ascii="宋体" w:hAnsi="宋体"/>
          <w:color w:val="auto"/>
        </w:rPr>
      </w:pPr>
      <w:r>
        <w:rPr>
          <w:rFonts w:hint="eastAsia" w:ascii="宋体"/>
          <w:color w:val="auto"/>
        </w:rPr>
        <w:t>包装费、</w:t>
      </w:r>
      <w:r>
        <w:rPr>
          <w:rFonts w:hint="eastAsia" w:ascii="宋体" w:hAnsi="宋体"/>
          <w:color w:val="auto"/>
        </w:rPr>
        <w:t>运费、装卸费等均已包含在合同价内。</w:t>
      </w:r>
    </w:p>
    <w:p>
      <w:pPr>
        <w:numPr>
          <w:ilvl w:val="0"/>
          <w:numId w:val="12"/>
        </w:numPr>
        <w:spacing w:line="360" w:lineRule="auto"/>
        <w:jc w:val="both"/>
        <w:rPr>
          <w:rFonts w:ascii="宋体" w:hAnsi="宋体"/>
          <w:color w:val="auto"/>
        </w:rPr>
      </w:pPr>
      <w:r>
        <w:rPr>
          <w:rFonts w:hint="eastAsia" w:ascii="宋体" w:hAnsi="宋体"/>
          <w:color w:val="auto"/>
        </w:rPr>
        <w:t>卖方必须和买方签订买方制定的安全管理规定，派往买方服务的人员必须接受买方的安全培训，服从买方的安全管理。卖方在提供服务过程中应遵守安全、文明及环保守则，如提供服务过程中出现任何质量、安全、</w:t>
      </w:r>
      <w:r>
        <w:rPr>
          <w:rFonts w:ascii="宋体" w:hAnsi="宋体"/>
          <w:color w:val="auto"/>
        </w:rPr>
        <w:t>环保</w:t>
      </w:r>
      <w:r>
        <w:rPr>
          <w:rFonts w:hint="eastAsia" w:ascii="宋体" w:hAnsi="宋体"/>
          <w:color w:val="auto"/>
        </w:rPr>
        <w:t>事故，一切责任均由卖方承担，若因此造成买方受到追偿的，相关费用及损失（包括诉讼费、律师费等）由卖方负责。卖方应为派往买方服务的人员购买人身意外伤害险并自行承担费用，发生任何事故，无论事故原因如何均由卖方承担全部责任。</w:t>
      </w:r>
    </w:p>
    <w:p>
      <w:pPr>
        <w:spacing w:before="180" w:line="360" w:lineRule="auto"/>
        <w:rPr>
          <w:rFonts w:ascii="宋体" w:hAnsi="宋体"/>
          <w:b/>
          <w:color w:val="auto"/>
          <w:sz w:val="24"/>
        </w:rPr>
      </w:pPr>
      <w:r>
        <w:rPr>
          <w:rFonts w:hint="eastAsia" w:ascii="宋体" w:hAnsi="宋体"/>
          <w:b/>
          <w:color w:val="auto"/>
          <w:sz w:val="24"/>
        </w:rPr>
        <w:t>十、装运单证</w:t>
      </w:r>
    </w:p>
    <w:p>
      <w:pPr>
        <w:spacing w:before="180" w:line="360" w:lineRule="auto"/>
        <w:ind w:firstLine="420" w:firstLineChars="200"/>
        <w:rPr>
          <w:rFonts w:ascii="宋体" w:hAnsi="宋体"/>
          <w:b/>
          <w:color w:val="auto"/>
          <w:sz w:val="24"/>
        </w:rPr>
      </w:pPr>
      <w:r>
        <w:rPr>
          <w:rFonts w:hint="eastAsia" w:ascii="宋体" w:hAnsi="宋体"/>
          <w:color w:val="auto"/>
        </w:rPr>
        <w:t>采用铁路运输、船运或空运的以下单证原件在到货同时交给买方，其单证副本（或复印件）则应在到货前三天交给买方，否则买方有权延期付款：</w:t>
      </w:r>
    </w:p>
    <w:p>
      <w:pPr>
        <w:spacing w:line="360" w:lineRule="auto"/>
        <w:ind w:left="630" w:hanging="630"/>
        <w:jc w:val="both"/>
        <w:rPr>
          <w:rFonts w:ascii="宋体" w:hAnsi="宋体"/>
          <w:color w:val="auto"/>
        </w:rPr>
      </w:pPr>
      <w:r>
        <w:rPr>
          <w:rFonts w:hint="eastAsia" w:ascii="宋体" w:hAnsi="宋体"/>
          <w:color w:val="auto"/>
        </w:rPr>
        <w:t>1.装箱单一式三份，注明合同号、装运标志、货物内容、每件包装尺码及重量；</w:t>
      </w:r>
    </w:p>
    <w:p>
      <w:pPr>
        <w:spacing w:line="360" w:lineRule="auto"/>
        <w:ind w:left="630" w:hanging="630"/>
        <w:jc w:val="both"/>
        <w:rPr>
          <w:rFonts w:ascii="宋体" w:hAnsi="宋体"/>
          <w:color w:val="auto"/>
        </w:rPr>
      </w:pPr>
      <w:r>
        <w:rPr>
          <w:rFonts w:hint="eastAsia" w:ascii="宋体" w:hAnsi="宋体"/>
          <w:color w:val="auto"/>
        </w:rPr>
        <w:t>2.制造商出具的出厂质量及数量检验证明书各一式一份。</w:t>
      </w:r>
    </w:p>
    <w:p>
      <w:pPr>
        <w:spacing w:before="180" w:line="360" w:lineRule="auto"/>
        <w:rPr>
          <w:rFonts w:ascii="宋体" w:hAnsi="宋体"/>
          <w:b/>
          <w:color w:val="auto"/>
          <w:sz w:val="24"/>
        </w:rPr>
      </w:pPr>
      <w:r>
        <w:rPr>
          <w:rFonts w:hint="eastAsia" w:ascii="宋体" w:hAnsi="宋体"/>
          <w:b/>
          <w:color w:val="auto"/>
          <w:sz w:val="24"/>
        </w:rPr>
        <w:t>十一、付款</w:t>
      </w:r>
    </w:p>
    <w:p>
      <w:pPr>
        <w:tabs>
          <w:tab w:val="left" w:pos="1905"/>
        </w:tabs>
        <w:spacing w:line="360" w:lineRule="auto"/>
        <w:jc w:val="both"/>
        <w:rPr>
          <w:rFonts w:ascii="宋体" w:hAnsi="宋体"/>
          <w:color w:val="auto"/>
        </w:rPr>
      </w:pPr>
      <w:r>
        <w:rPr>
          <w:rFonts w:hint="eastAsia" w:ascii="宋体" w:hAnsi="宋体"/>
          <w:color w:val="auto"/>
        </w:rPr>
        <w:t>本合同按下列付款方式付款：</w:t>
      </w:r>
    </w:p>
    <w:p>
      <w:pPr>
        <w:numPr>
          <w:ilvl w:val="0"/>
          <w:numId w:val="13"/>
        </w:numPr>
        <w:tabs>
          <w:tab w:val="left" w:pos="1905"/>
        </w:tabs>
        <w:spacing w:line="360" w:lineRule="auto"/>
        <w:ind w:left="284" w:hanging="284"/>
        <w:jc w:val="both"/>
        <w:rPr>
          <w:rFonts w:ascii="宋体" w:hAnsi="宋体"/>
          <w:color w:val="auto"/>
        </w:rPr>
      </w:pPr>
      <w:r>
        <w:rPr>
          <w:rFonts w:hint="eastAsia" w:ascii="宋体" w:hAnsi="宋体"/>
          <w:color w:val="auto"/>
        </w:rPr>
        <w:t>本合同生效后，</w:t>
      </w:r>
      <w:r>
        <w:rPr>
          <w:rFonts w:hint="eastAsia" w:hAnsi="宋体"/>
          <w:color w:val="auto"/>
        </w:rPr>
        <w:t>由卖方提出申请，</w:t>
      </w:r>
      <w:r>
        <w:rPr>
          <w:rFonts w:hint="eastAsia" w:ascii="宋体" w:hAnsi="宋体"/>
          <w:color w:val="auto"/>
        </w:rPr>
        <w:t>买方在</w:t>
      </w:r>
      <w:r>
        <w:rPr>
          <w:rFonts w:ascii="宋体" w:hAnsi="宋体"/>
          <w:color w:val="auto"/>
        </w:rPr>
        <w:t>15</w:t>
      </w:r>
      <w:r>
        <w:rPr>
          <w:rFonts w:hint="eastAsia" w:ascii="宋体" w:hAnsi="宋体"/>
          <w:color w:val="auto"/>
        </w:rPr>
        <w:t>个工作日内凭卖方开具的等</w:t>
      </w:r>
      <w:r>
        <w:rPr>
          <w:rFonts w:ascii="宋体" w:hAnsi="宋体"/>
          <w:color w:val="auto"/>
        </w:rPr>
        <w:t>值</w:t>
      </w:r>
      <w:r>
        <w:rPr>
          <w:rFonts w:hint="eastAsia" w:ascii="宋体" w:hAnsi="宋体"/>
          <w:color w:val="auto"/>
        </w:rPr>
        <w:t>增值税专用发票支付合同总价的40％即￥</w:t>
      </w:r>
      <w:r>
        <w:rPr>
          <w:rFonts w:hint="eastAsia" w:ascii="宋体" w:hAnsi="宋体"/>
          <w:color w:val="auto"/>
          <w:u w:val="single"/>
        </w:rPr>
        <w:t xml:space="preserve">             </w:t>
      </w:r>
      <w:r>
        <w:rPr>
          <w:rFonts w:hint="eastAsia" w:ascii="宋体" w:hAnsi="宋体"/>
          <w:color w:val="auto"/>
        </w:rPr>
        <w:t>（大写：</w:t>
      </w:r>
      <w:r>
        <w:rPr>
          <w:rFonts w:hint="eastAsia" w:ascii="宋体" w:hAnsi="宋体"/>
          <w:color w:val="auto"/>
          <w:u w:val="single"/>
        </w:rPr>
        <w:t xml:space="preserve">              </w:t>
      </w:r>
      <w:r>
        <w:rPr>
          <w:rFonts w:hint="eastAsia" w:ascii="宋体" w:hAnsi="宋体"/>
          <w:color w:val="auto"/>
        </w:rPr>
        <w:t>）元给卖方作为预付款。</w:t>
      </w:r>
    </w:p>
    <w:p>
      <w:pPr>
        <w:numPr>
          <w:ilvl w:val="0"/>
          <w:numId w:val="13"/>
        </w:numPr>
        <w:spacing w:line="360" w:lineRule="auto"/>
        <w:ind w:left="284" w:hanging="284"/>
        <w:rPr>
          <w:rFonts w:ascii="宋体" w:hAnsi="宋体"/>
          <w:color w:val="auto"/>
        </w:rPr>
      </w:pPr>
      <w:r>
        <w:rPr>
          <w:rFonts w:hint="eastAsia" w:ascii="宋体" w:hAnsi="宋体"/>
          <w:color w:val="auto"/>
          <w:szCs w:val="21"/>
        </w:rPr>
        <w:t>在</w:t>
      </w:r>
      <w:r>
        <w:rPr>
          <w:rFonts w:ascii="宋体" w:hAnsi="宋体"/>
          <w:color w:val="auto"/>
          <w:szCs w:val="21"/>
        </w:rPr>
        <w:t>主要设备（</w:t>
      </w:r>
      <w:r>
        <w:rPr>
          <w:rFonts w:hint="eastAsia" w:ascii="宋体" w:hAnsi="宋体"/>
          <w:color w:val="auto"/>
          <w:szCs w:val="21"/>
        </w:rPr>
        <w:t>热水</w:t>
      </w:r>
      <w:r>
        <w:rPr>
          <w:rFonts w:ascii="宋体" w:hAnsi="宋体"/>
          <w:color w:val="auto"/>
          <w:szCs w:val="21"/>
        </w:rPr>
        <w:t>罐</w:t>
      </w:r>
      <w:r>
        <w:rPr>
          <w:rFonts w:hint="eastAsia" w:ascii="宋体" w:hAnsi="宋体"/>
          <w:color w:val="auto"/>
          <w:szCs w:val="21"/>
        </w:rPr>
        <w:t>、溶糖</w:t>
      </w:r>
      <w:r>
        <w:rPr>
          <w:rFonts w:ascii="宋体" w:hAnsi="宋体"/>
          <w:color w:val="auto"/>
          <w:szCs w:val="21"/>
        </w:rPr>
        <w:t>罐、储</w:t>
      </w:r>
      <w:r>
        <w:rPr>
          <w:rFonts w:hint="eastAsia" w:ascii="宋体" w:hAnsi="宋体"/>
          <w:color w:val="auto"/>
          <w:szCs w:val="21"/>
        </w:rPr>
        <w:t>糖</w:t>
      </w:r>
      <w:r>
        <w:rPr>
          <w:rFonts w:ascii="宋体" w:hAnsi="宋体"/>
          <w:color w:val="auto"/>
          <w:szCs w:val="21"/>
        </w:rPr>
        <w:t>罐、</w:t>
      </w:r>
      <w:r>
        <w:rPr>
          <w:rFonts w:hint="eastAsia" w:ascii="宋体" w:hAnsi="宋体" w:cs="宋体"/>
          <w:color w:val="auto"/>
          <w:szCs w:val="21"/>
        </w:rPr>
        <w:t>溶解罐、调配罐、中转罐、CIP</w:t>
      </w:r>
      <w:r>
        <w:rPr>
          <w:rFonts w:hint="eastAsia" w:ascii="宋体" w:hAnsi="宋体" w:cs="宋体"/>
          <w:color w:val="auto"/>
          <w:szCs w:val="21"/>
          <w:lang w:val="en-GB"/>
        </w:rPr>
        <w:t>酸/碱罐</w:t>
      </w:r>
      <w:r>
        <w:rPr>
          <w:rFonts w:hint="eastAsia" w:ascii="宋体" w:hAnsi="宋体" w:cs="宋体"/>
          <w:color w:val="auto"/>
          <w:szCs w:val="21"/>
        </w:rPr>
        <w:t>、</w:t>
      </w:r>
      <w:r>
        <w:rPr>
          <w:rFonts w:hint="eastAsia" w:ascii="宋体" w:hAnsi="宋体" w:cs="宋体"/>
          <w:color w:val="auto"/>
          <w:szCs w:val="21"/>
          <w:lang w:val="en-GB"/>
        </w:rPr>
        <w:t>热水罐、回收</w:t>
      </w:r>
      <w:r>
        <w:rPr>
          <w:rFonts w:hint="eastAsia" w:ascii="宋体" w:hAnsi="宋体" w:cs="宋体"/>
          <w:color w:val="auto"/>
          <w:szCs w:val="21"/>
        </w:rPr>
        <w:t>水</w:t>
      </w:r>
      <w:r>
        <w:rPr>
          <w:rFonts w:hint="eastAsia" w:ascii="宋体" w:hAnsi="宋体" w:cs="宋体"/>
          <w:color w:val="auto"/>
          <w:szCs w:val="21"/>
          <w:lang w:val="en-GB"/>
        </w:rPr>
        <w:t>罐、清水罐、</w:t>
      </w:r>
      <w:r>
        <w:rPr>
          <w:rFonts w:hint="eastAsia" w:ascii="宋体" w:hAnsi="宋体" w:cs="宋体"/>
          <w:color w:val="auto"/>
          <w:szCs w:val="21"/>
        </w:rPr>
        <w:t>果糖罐</w:t>
      </w:r>
      <w:r>
        <w:rPr>
          <w:rFonts w:hint="eastAsia" w:ascii="宋体" w:hAnsi="宋体"/>
          <w:color w:val="auto"/>
          <w:szCs w:val="21"/>
        </w:rPr>
        <w:t>）和配套电柜进</w:t>
      </w:r>
      <w:r>
        <w:rPr>
          <w:rFonts w:ascii="宋体" w:hAnsi="宋体"/>
          <w:color w:val="auto"/>
          <w:szCs w:val="21"/>
        </w:rPr>
        <w:t>厂</w:t>
      </w:r>
      <w:r>
        <w:rPr>
          <w:rFonts w:hint="eastAsia" w:ascii="宋体" w:hAnsi="宋体"/>
          <w:color w:val="auto"/>
        </w:rPr>
        <w:t>并经买方初步清点</w:t>
      </w:r>
      <w:r>
        <w:rPr>
          <w:rFonts w:ascii="宋体" w:hAnsi="宋体"/>
          <w:color w:val="auto"/>
        </w:rPr>
        <w:t>验收后</w:t>
      </w:r>
      <w:r>
        <w:rPr>
          <w:rFonts w:hint="eastAsia" w:ascii="宋体" w:hAnsi="宋体"/>
          <w:color w:val="auto"/>
        </w:rPr>
        <w:t>，买方在</w:t>
      </w:r>
      <w:r>
        <w:rPr>
          <w:rFonts w:ascii="宋体" w:hAnsi="宋体"/>
          <w:color w:val="auto"/>
        </w:rPr>
        <w:t>15</w:t>
      </w:r>
      <w:r>
        <w:rPr>
          <w:rFonts w:hint="eastAsia" w:ascii="宋体" w:hAnsi="宋体"/>
          <w:color w:val="auto"/>
        </w:rPr>
        <w:t>个工作日内凭卖方开具等值的增值税专用发票，支付合同总价的30％即￥</w:t>
      </w:r>
      <w:r>
        <w:rPr>
          <w:rFonts w:hint="eastAsia" w:ascii="宋体" w:hAnsi="宋体"/>
          <w:color w:val="auto"/>
          <w:u w:val="single"/>
        </w:rPr>
        <w:t xml:space="preserve">              </w:t>
      </w:r>
      <w:r>
        <w:rPr>
          <w:rFonts w:hint="eastAsia" w:ascii="宋体" w:hAnsi="宋体"/>
          <w:color w:val="auto"/>
        </w:rPr>
        <w:t>（大写：</w:t>
      </w:r>
      <w:r>
        <w:rPr>
          <w:rFonts w:hint="eastAsia" w:ascii="宋体" w:hAnsi="宋体"/>
          <w:color w:val="auto"/>
          <w:u w:val="single"/>
        </w:rPr>
        <w:t xml:space="preserve">            </w:t>
      </w:r>
      <w:r>
        <w:rPr>
          <w:rFonts w:hint="eastAsia" w:ascii="宋体" w:hAnsi="宋体"/>
          <w:color w:val="auto"/>
        </w:rPr>
        <w:t>）元给卖方。</w:t>
      </w:r>
    </w:p>
    <w:p>
      <w:pPr>
        <w:numPr>
          <w:ilvl w:val="0"/>
          <w:numId w:val="13"/>
        </w:numPr>
        <w:spacing w:line="360" w:lineRule="auto"/>
        <w:ind w:left="284" w:hanging="284"/>
        <w:rPr>
          <w:rFonts w:ascii="宋体" w:hAnsi="宋体"/>
          <w:color w:val="auto"/>
        </w:rPr>
      </w:pPr>
      <w:r>
        <w:rPr>
          <w:rFonts w:hint="eastAsia" w:ascii="宋体" w:hAnsi="宋体"/>
          <w:color w:val="auto"/>
        </w:rPr>
        <w:t>竣工验收合格后，买方在</w:t>
      </w:r>
      <w:r>
        <w:rPr>
          <w:rFonts w:ascii="宋体" w:hAnsi="宋体"/>
          <w:color w:val="auto"/>
        </w:rPr>
        <w:t>15</w:t>
      </w:r>
      <w:r>
        <w:rPr>
          <w:rFonts w:hint="eastAsia" w:ascii="宋体" w:hAnsi="宋体"/>
          <w:color w:val="auto"/>
        </w:rPr>
        <w:t>个工作日内凭卖方开具的等</w:t>
      </w:r>
      <w:r>
        <w:rPr>
          <w:rFonts w:ascii="宋体" w:hAnsi="宋体"/>
          <w:color w:val="auto"/>
        </w:rPr>
        <w:t>值</w:t>
      </w:r>
      <w:r>
        <w:rPr>
          <w:rFonts w:hint="eastAsia" w:ascii="宋体" w:hAnsi="宋体"/>
          <w:color w:val="auto"/>
        </w:rPr>
        <w:t>增值税专用发票支付合同总价的30％即￥</w:t>
      </w:r>
      <w:r>
        <w:rPr>
          <w:rFonts w:hint="eastAsia" w:ascii="宋体" w:hAnsi="宋体"/>
          <w:color w:val="auto"/>
          <w:u w:val="single"/>
        </w:rPr>
        <w:t xml:space="preserve">                </w:t>
      </w:r>
      <w:r>
        <w:rPr>
          <w:rFonts w:hint="eastAsia" w:ascii="宋体" w:hAnsi="宋体"/>
          <w:color w:val="auto"/>
        </w:rPr>
        <w:t>（大写：</w:t>
      </w:r>
      <w:r>
        <w:rPr>
          <w:rFonts w:hint="eastAsia" w:ascii="宋体" w:hAnsi="宋体"/>
          <w:color w:val="auto"/>
          <w:u w:val="single"/>
        </w:rPr>
        <w:t xml:space="preserve">            </w:t>
      </w:r>
      <w:r>
        <w:rPr>
          <w:rFonts w:hint="eastAsia" w:ascii="宋体" w:hAnsi="宋体"/>
          <w:color w:val="auto"/>
        </w:rPr>
        <w:t>）元给卖方。</w:t>
      </w:r>
    </w:p>
    <w:p>
      <w:pPr>
        <w:numPr>
          <w:ilvl w:val="0"/>
          <w:numId w:val="13"/>
        </w:numPr>
        <w:tabs>
          <w:tab w:val="left" w:pos="1905"/>
        </w:tabs>
        <w:spacing w:line="360" w:lineRule="auto"/>
        <w:jc w:val="both"/>
        <w:rPr>
          <w:rFonts w:ascii="宋体" w:hAnsi="宋体"/>
          <w:color w:val="auto"/>
        </w:rPr>
      </w:pPr>
      <w:r>
        <w:rPr>
          <w:rFonts w:hint="eastAsia" w:ascii="宋体" w:hAnsi="宋体"/>
          <w:color w:val="auto"/>
        </w:rPr>
        <w:t>付款方式：通过银行汇款方式支付。因卖方未按要求开具合格发票的，买方有权延迟付款并不承担违约责任。</w:t>
      </w:r>
    </w:p>
    <w:p>
      <w:pPr>
        <w:numPr>
          <w:ilvl w:val="0"/>
          <w:numId w:val="13"/>
        </w:numPr>
        <w:tabs>
          <w:tab w:val="left" w:pos="1905"/>
        </w:tabs>
        <w:spacing w:line="360" w:lineRule="auto"/>
        <w:rPr>
          <w:rFonts w:ascii="宋体" w:hAnsi="宋体"/>
          <w:color w:val="auto"/>
        </w:rPr>
      </w:pPr>
      <w:r>
        <w:rPr>
          <w:rFonts w:hint="eastAsia"/>
          <w:color w:val="auto"/>
          <w:szCs w:val="21"/>
        </w:rPr>
        <w:t>其他进度款：</w:t>
      </w:r>
      <w:r>
        <w:rPr>
          <w:rFonts w:hint="eastAsia"/>
          <w:color w:val="auto"/>
          <w:szCs w:val="21"/>
          <w:u w:val="single"/>
        </w:rPr>
        <w:t xml:space="preserve">    </w:t>
      </w:r>
      <w:r>
        <w:rPr>
          <w:rFonts w:hint="eastAsia"/>
          <w:b/>
          <w:color w:val="auto"/>
          <w:szCs w:val="21"/>
          <w:u w:val="single"/>
        </w:rPr>
        <w:t>无</w:t>
      </w:r>
      <w:r>
        <w:rPr>
          <w:rFonts w:hint="eastAsia"/>
          <w:color w:val="auto"/>
          <w:szCs w:val="21"/>
          <w:u w:val="single"/>
        </w:rPr>
        <w:t xml:space="preserve">      </w:t>
      </w:r>
    </w:p>
    <w:p>
      <w:pPr>
        <w:spacing w:before="180" w:line="360" w:lineRule="auto"/>
        <w:rPr>
          <w:rFonts w:ascii="宋体" w:hAnsi="宋体"/>
          <w:b/>
          <w:color w:val="auto"/>
          <w:sz w:val="24"/>
        </w:rPr>
      </w:pPr>
      <w:r>
        <w:rPr>
          <w:rFonts w:hint="eastAsia" w:ascii="宋体" w:hAnsi="宋体"/>
          <w:b/>
          <w:color w:val="auto"/>
          <w:sz w:val="24"/>
        </w:rPr>
        <w:t>十二、产权与风险转移</w:t>
      </w:r>
    </w:p>
    <w:p>
      <w:pPr>
        <w:numPr>
          <w:ilvl w:val="0"/>
          <w:numId w:val="14"/>
        </w:numPr>
        <w:tabs>
          <w:tab w:val="left" w:pos="540"/>
          <w:tab w:val="clear" w:pos="0"/>
        </w:tabs>
        <w:spacing w:line="360" w:lineRule="auto"/>
        <w:jc w:val="both"/>
        <w:rPr>
          <w:rFonts w:ascii="宋体"/>
          <w:color w:val="auto"/>
        </w:rPr>
      </w:pPr>
      <w:r>
        <w:rPr>
          <w:rFonts w:hint="eastAsia" w:ascii="宋体"/>
          <w:color w:val="auto"/>
        </w:rPr>
        <w:t>卖方交由承运人运输的在途货物，毁损、灭失的风险由卖方承担。</w:t>
      </w:r>
    </w:p>
    <w:p>
      <w:pPr>
        <w:numPr>
          <w:ilvl w:val="0"/>
          <w:numId w:val="14"/>
        </w:numPr>
        <w:tabs>
          <w:tab w:val="left" w:pos="540"/>
          <w:tab w:val="clear" w:pos="0"/>
        </w:tabs>
        <w:spacing w:line="360" w:lineRule="auto"/>
        <w:jc w:val="both"/>
        <w:rPr>
          <w:rFonts w:ascii="宋体"/>
          <w:color w:val="auto"/>
        </w:rPr>
      </w:pPr>
      <w:r>
        <w:rPr>
          <w:rFonts w:hint="eastAsia" w:ascii="宋体"/>
          <w:color w:val="auto"/>
        </w:rPr>
        <w:t>货物的产权，损坏、灭失的风险，在货物通过正式验收</w:t>
      </w:r>
      <w:r>
        <w:rPr>
          <w:rFonts w:ascii="宋体"/>
          <w:color w:val="auto"/>
        </w:rPr>
        <w:t>合格</w:t>
      </w:r>
      <w:r>
        <w:rPr>
          <w:rFonts w:hint="eastAsia" w:ascii="宋体"/>
          <w:color w:val="auto"/>
        </w:rPr>
        <w:t>交付使用时起由卖方转移至买方。货物通过正式验收</w:t>
      </w:r>
      <w:r>
        <w:rPr>
          <w:rFonts w:ascii="宋体"/>
          <w:color w:val="auto"/>
        </w:rPr>
        <w:t>合格</w:t>
      </w:r>
      <w:r>
        <w:rPr>
          <w:rFonts w:hint="eastAsia" w:ascii="宋体"/>
          <w:color w:val="auto"/>
        </w:rPr>
        <w:t>交付使用前，买方对货物不承担任何保管责任。</w:t>
      </w:r>
    </w:p>
    <w:p>
      <w:pPr>
        <w:numPr>
          <w:ilvl w:val="0"/>
          <w:numId w:val="14"/>
        </w:numPr>
        <w:tabs>
          <w:tab w:val="left" w:pos="540"/>
          <w:tab w:val="clear" w:pos="0"/>
        </w:tabs>
        <w:spacing w:line="360" w:lineRule="auto"/>
        <w:jc w:val="both"/>
        <w:rPr>
          <w:rFonts w:ascii="宋体"/>
          <w:color w:val="auto"/>
        </w:rPr>
      </w:pPr>
      <w:r>
        <w:rPr>
          <w:rFonts w:hint="eastAsia" w:ascii="宋体"/>
          <w:color w:val="auto"/>
        </w:rPr>
        <w:t>因货物验收不合格买方拒收，或双方已解除合同，货物毁损、灭失的风险由卖方承担。</w:t>
      </w:r>
    </w:p>
    <w:p>
      <w:pPr>
        <w:numPr>
          <w:ilvl w:val="0"/>
          <w:numId w:val="14"/>
        </w:numPr>
        <w:tabs>
          <w:tab w:val="left" w:pos="540"/>
          <w:tab w:val="clear" w:pos="0"/>
        </w:tabs>
        <w:spacing w:line="360" w:lineRule="auto"/>
        <w:jc w:val="both"/>
        <w:rPr>
          <w:rFonts w:ascii="宋体"/>
          <w:color w:val="auto"/>
          <w:spacing w:val="-4"/>
          <w:szCs w:val="21"/>
        </w:rPr>
      </w:pPr>
      <w:r>
        <w:rPr>
          <w:rFonts w:hint="eastAsia" w:ascii="宋体"/>
          <w:color w:val="auto"/>
          <w:spacing w:val="-4"/>
          <w:szCs w:val="21"/>
        </w:rPr>
        <w:t>产权和风险的转移，不影响因卖方履行义务不符合约定，买方要求其承担违约责任的权利。</w:t>
      </w:r>
    </w:p>
    <w:p>
      <w:pPr>
        <w:spacing w:before="180" w:line="360" w:lineRule="auto"/>
        <w:rPr>
          <w:rFonts w:ascii="宋体" w:hAnsi="宋体"/>
          <w:b/>
          <w:color w:val="auto"/>
          <w:sz w:val="24"/>
        </w:rPr>
      </w:pPr>
      <w:r>
        <w:rPr>
          <w:rFonts w:hint="eastAsia" w:ascii="宋体" w:hAnsi="宋体"/>
          <w:b/>
          <w:color w:val="auto"/>
          <w:sz w:val="24"/>
        </w:rPr>
        <w:t>十三、保险</w:t>
      </w:r>
    </w:p>
    <w:p>
      <w:pPr>
        <w:spacing w:line="360" w:lineRule="auto"/>
        <w:ind w:firstLine="420" w:firstLineChars="200"/>
        <w:jc w:val="both"/>
        <w:rPr>
          <w:rFonts w:ascii="宋体" w:hAnsi="宋体"/>
          <w:b/>
          <w:color w:val="auto"/>
        </w:rPr>
      </w:pPr>
      <w:r>
        <w:rPr>
          <w:rFonts w:hint="eastAsia" w:ascii="宋体" w:hAnsi="宋体"/>
          <w:color w:val="auto"/>
        </w:rPr>
        <w:t>根据本合同关于产权与风险转移条款规定，卖方承担货物到达交货地点并安装、验收合格交付使用之前的所有风险。因此，卖方应按货物总价的110％价值为货物投保一切险、为</w:t>
      </w:r>
      <w:r>
        <w:rPr>
          <w:rFonts w:hint="eastAsia" w:ascii="宋体"/>
          <w:color w:val="auto"/>
        </w:rPr>
        <w:t>派往买方服务的人员投保人身险、为货物交付前有关本项目活动可能涉及的第三方投保相关险种，保险费用及赔偿责任均</w:t>
      </w:r>
      <w:r>
        <w:rPr>
          <w:rFonts w:hint="eastAsia" w:ascii="宋体" w:hAnsi="宋体"/>
          <w:color w:val="auto"/>
        </w:rPr>
        <w:t>由卖方自行负责。</w:t>
      </w:r>
    </w:p>
    <w:p>
      <w:pPr>
        <w:spacing w:before="180" w:line="360" w:lineRule="auto"/>
        <w:rPr>
          <w:rFonts w:ascii="宋体" w:hAnsi="宋体"/>
          <w:b/>
          <w:color w:val="auto"/>
          <w:sz w:val="24"/>
        </w:rPr>
      </w:pPr>
      <w:r>
        <w:rPr>
          <w:rFonts w:hint="eastAsia" w:ascii="宋体" w:hAnsi="宋体"/>
          <w:b/>
          <w:color w:val="auto"/>
          <w:sz w:val="24"/>
        </w:rPr>
        <w:t>十四、检验与测试</w:t>
      </w:r>
    </w:p>
    <w:p>
      <w:pPr>
        <w:numPr>
          <w:ilvl w:val="0"/>
          <w:numId w:val="15"/>
        </w:numPr>
        <w:tabs>
          <w:tab w:val="left" w:pos="540"/>
          <w:tab w:val="clear" w:pos="840"/>
        </w:tabs>
        <w:spacing w:line="360" w:lineRule="auto"/>
        <w:ind w:left="540" w:hanging="540"/>
        <w:jc w:val="both"/>
        <w:rPr>
          <w:rFonts w:ascii="宋体"/>
          <w:color w:val="auto"/>
          <w:spacing w:val="-2"/>
          <w:szCs w:val="21"/>
        </w:rPr>
      </w:pPr>
      <w:r>
        <w:rPr>
          <w:rFonts w:hint="eastAsia" w:ascii="宋体"/>
          <w:color w:val="auto"/>
          <w:spacing w:val="-2"/>
          <w:szCs w:val="21"/>
        </w:rPr>
        <w:t>买方或其代表有权检验和测试货物，以确认货物是否符合合同规格的要求，并且不承担额外的费用。合同条款的技术规格将说明买方要求进行的检验和测试，以及在何处进行这些检验和测试。买方将及时以书面形式把进行检验和买方测试代表的身份通知卖方。</w:t>
      </w:r>
    </w:p>
    <w:p>
      <w:pPr>
        <w:numPr>
          <w:ilvl w:val="0"/>
          <w:numId w:val="15"/>
        </w:numPr>
        <w:tabs>
          <w:tab w:val="left" w:pos="540"/>
          <w:tab w:val="clear" w:pos="840"/>
        </w:tabs>
        <w:spacing w:line="360" w:lineRule="auto"/>
        <w:ind w:left="540" w:hanging="540"/>
        <w:jc w:val="both"/>
        <w:rPr>
          <w:rFonts w:ascii="宋体"/>
          <w:color w:val="auto"/>
          <w:spacing w:val="-2"/>
          <w:szCs w:val="21"/>
        </w:rPr>
      </w:pPr>
      <w:r>
        <w:rPr>
          <w:rFonts w:hint="eastAsia" w:ascii="宋体"/>
          <w:color w:val="auto"/>
          <w:spacing w:val="-2"/>
          <w:szCs w:val="21"/>
        </w:rPr>
        <w:t>检验和测试可以在卖方的驻地、交货地和货物的最终目的地进行。如果在卖方的驻地进行，检测人员应能得全部合理的设施和协助，买方不应承担费用。</w:t>
      </w:r>
    </w:p>
    <w:p>
      <w:pPr>
        <w:numPr>
          <w:ilvl w:val="0"/>
          <w:numId w:val="15"/>
        </w:numPr>
        <w:tabs>
          <w:tab w:val="left" w:pos="540"/>
          <w:tab w:val="clear" w:pos="840"/>
        </w:tabs>
        <w:spacing w:line="360" w:lineRule="auto"/>
        <w:ind w:left="540" w:hanging="540"/>
        <w:jc w:val="both"/>
        <w:rPr>
          <w:rFonts w:ascii="宋体"/>
          <w:color w:val="auto"/>
        </w:rPr>
      </w:pPr>
      <w:r>
        <w:rPr>
          <w:rFonts w:hint="eastAsia" w:ascii="宋体"/>
          <w:color w:val="auto"/>
        </w:rPr>
        <w:t>如果任何被检验或测试的货物不能满足规格的要求，买方可以拒绝接受该货物，卖方应更换被拒绝的货物，或者免费进行必要的修改以满足规格的要求。</w:t>
      </w:r>
    </w:p>
    <w:p>
      <w:pPr>
        <w:numPr>
          <w:ilvl w:val="0"/>
          <w:numId w:val="15"/>
        </w:numPr>
        <w:tabs>
          <w:tab w:val="left" w:pos="540"/>
          <w:tab w:val="clear" w:pos="840"/>
        </w:tabs>
        <w:spacing w:line="360" w:lineRule="auto"/>
        <w:ind w:left="540" w:hanging="540"/>
        <w:jc w:val="both"/>
        <w:rPr>
          <w:rFonts w:ascii="宋体"/>
          <w:color w:val="auto"/>
        </w:rPr>
      </w:pPr>
      <w:r>
        <w:rPr>
          <w:rFonts w:hint="eastAsia" w:ascii="宋体"/>
          <w:color w:val="auto"/>
        </w:rPr>
        <w:t>买方在货物到达的目的地后对货物进行检验、测试及必要时拒绝接受货物的权力将不会因为货物在卖方已通过了买方或其代表的检验、测试和认可而受到限制或放弃。</w:t>
      </w:r>
    </w:p>
    <w:p>
      <w:pPr>
        <w:numPr>
          <w:ilvl w:val="0"/>
          <w:numId w:val="15"/>
        </w:numPr>
        <w:tabs>
          <w:tab w:val="left" w:pos="540"/>
          <w:tab w:val="clear" w:pos="840"/>
        </w:tabs>
        <w:spacing w:line="360" w:lineRule="auto"/>
        <w:ind w:left="540" w:hanging="540"/>
        <w:jc w:val="both"/>
        <w:rPr>
          <w:rFonts w:ascii="宋体"/>
          <w:color w:val="auto"/>
        </w:rPr>
      </w:pPr>
      <w:r>
        <w:rPr>
          <w:rFonts w:hint="eastAsia" w:ascii="宋体"/>
          <w:color w:val="auto"/>
        </w:rPr>
        <w:t>交货时，卖方应将制造商对货物的质量、规格、性能、数量和重量等进行详细而全面检验、并出具证明货物符合合同规定的检验证书提交买方。检验证书是付款的文件依据之一，但不能作为有关质量、规格、性能、数量或重量的最终检验。制造商检验的结果和细节应附在质量检验证书后面。</w:t>
      </w:r>
    </w:p>
    <w:p>
      <w:pPr>
        <w:numPr>
          <w:ilvl w:val="0"/>
          <w:numId w:val="15"/>
        </w:numPr>
        <w:tabs>
          <w:tab w:val="left" w:pos="540"/>
          <w:tab w:val="clear" w:pos="840"/>
        </w:tabs>
        <w:spacing w:line="360" w:lineRule="auto"/>
        <w:ind w:left="540" w:hanging="540"/>
        <w:jc w:val="both"/>
        <w:rPr>
          <w:rFonts w:ascii="宋体"/>
          <w:color w:val="auto"/>
        </w:rPr>
      </w:pPr>
      <w:r>
        <w:rPr>
          <w:rFonts w:hint="eastAsia" w:ascii="宋体"/>
          <w:color w:val="auto"/>
        </w:rPr>
        <w:t>如果货物是进口产品，且属于强制检验商品，卖方应附上经中国国家商检部门对货物的质量、规格、数量和重量进行检验并合格的检验证书。</w:t>
      </w:r>
    </w:p>
    <w:p>
      <w:pPr>
        <w:numPr>
          <w:ilvl w:val="0"/>
          <w:numId w:val="15"/>
        </w:numPr>
        <w:tabs>
          <w:tab w:val="left" w:pos="540"/>
          <w:tab w:val="clear" w:pos="840"/>
        </w:tabs>
        <w:spacing w:line="360" w:lineRule="auto"/>
        <w:ind w:left="540" w:hanging="540"/>
        <w:jc w:val="both"/>
        <w:rPr>
          <w:rFonts w:ascii="宋体"/>
          <w:color w:val="auto"/>
        </w:rPr>
      </w:pPr>
      <w:r>
        <w:rPr>
          <w:rFonts w:hint="eastAsia" w:ascii="宋体"/>
          <w:color w:val="auto"/>
        </w:rPr>
        <w:t>本“检验与测试”的有关条款不能免除卖方在本合同项下的保证义务或其它义务。</w:t>
      </w:r>
    </w:p>
    <w:p>
      <w:pPr>
        <w:spacing w:before="180" w:line="360" w:lineRule="auto"/>
        <w:rPr>
          <w:rFonts w:ascii="宋体" w:hAnsi="宋体"/>
          <w:b/>
          <w:color w:val="auto"/>
          <w:sz w:val="24"/>
        </w:rPr>
      </w:pPr>
      <w:r>
        <w:rPr>
          <w:rFonts w:hint="eastAsia" w:ascii="宋体" w:hAnsi="宋体"/>
          <w:b/>
          <w:color w:val="auto"/>
          <w:sz w:val="24"/>
        </w:rPr>
        <w:t>十五、伴随服务</w:t>
      </w:r>
    </w:p>
    <w:p>
      <w:pPr>
        <w:widowControl w:val="0"/>
        <w:spacing w:line="360" w:lineRule="auto"/>
        <w:ind w:left="718" w:leftChars="342"/>
        <w:jc w:val="both"/>
        <w:rPr>
          <w:rFonts w:ascii="宋体"/>
          <w:color w:val="auto"/>
        </w:rPr>
      </w:pPr>
      <w:r>
        <w:rPr>
          <w:rFonts w:hint="eastAsia" w:ascii="宋体"/>
          <w:color w:val="auto"/>
        </w:rPr>
        <w:t>应买方要求，卖方应提供下列服务，以及《用户需求书》规定的附加服务（如果有的话）。除非另有约定，所有服务费用已包含在合同总价中。</w:t>
      </w:r>
    </w:p>
    <w:p>
      <w:pPr>
        <w:widowControl w:val="0"/>
        <w:numPr>
          <w:ilvl w:val="0"/>
          <w:numId w:val="16"/>
        </w:numPr>
        <w:spacing w:line="360" w:lineRule="auto"/>
        <w:jc w:val="both"/>
        <w:rPr>
          <w:rFonts w:ascii="宋体"/>
          <w:b/>
          <w:color w:val="auto"/>
        </w:rPr>
      </w:pPr>
      <w:r>
        <w:rPr>
          <w:rFonts w:hint="eastAsia" w:ascii="宋体"/>
          <w:b/>
          <w:color w:val="auto"/>
        </w:rPr>
        <w:t>安装、调试与试运行</w:t>
      </w:r>
    </w:p>
    <w:p>
      <w:pPr>
        <w:widowControl w:val="0"/>
        <w:numPr>
          <w:ilvl w:val="1"/>
          <w:numId w:val="16"/>
        </w:numPr>
        <w:spacing w:line="360" w:lineRule="auto"/>
        <w:jc w:val="both"/>
        <w:rPr>
          <w:rFonts w:ascii="宋体"/>
          <w:color w:val="auto"/>
        </w:rPr>
      </w:pPr>
      <w:r>
        <w:rPr>
          <w:rFonts w:hint="eastAsia" w:ascii="宋体"/>
          <w:color w:val="auto"/>
        </w:rPr>
        <w:t>卖方必须向买方提供合同货物安装所需的材料及技术资料以及组装/维修所需工具。</w:t>
      </w:r>
    </w:p>
    <w:p>
      <w:pPr>
        <w:widowControl w:val="0"/>
        <w:numPr>
          <w:ilvl w:val="1"/>
          <w:numId w:val="16"/>
        </w:numPr>
        <w:spacing w:line="360" w:lineRule="auto"/>
        <w:jc w:val="both"/>
        <w:rPr>
          <w:rFonts w:ascii="宋体"/>
          <w:color w:val="auto"/>
          <w:spacing w:val="-4"/>
          <w:szCs w:val="21"/>
        </w:rPr>
      </w:pPr>
      <w:r>
        <w:rPr>
          <w:rFonts w:hint="eastAsia" w:ascii="宋体"/>
          <w:color w:val="auto"/>
          <w:spacing w:val="-4"/>
          <w:szCs w:val="21"/>
        </w:rPr>
        <w:t>卖方在本合同规定的安装时间内必须派合适的人员到现场进行安装和调试。</w:t>
      </w:r>
    </w:p>
    <w:p>
      <w:pPr>
        <w:widowControl w:val="0"/>
        <w:numPr>
          <w:ilvl w:val="1"/>
          <w:numId w:val="16"/>
        </w:numPr>
        <w:spacing w:line="360" w:lineRule="auto"/>
        <w:jc w:val="both"/>
        <w:rPr>
          <w:rFonts w:ascii="宋体"/>
          <w:color w:val="auto"/>
        </w:rPr>
      </w:pPr>
      <w:r>
        <w:rPr>
          <w:rFonts w:hint="eastAsia" w:ascii="宋体"/>
          <w:color w:val="auto"/>
        </w:rPr>
        <w:t>卖方派出的安装人员应具备相关的专业知识、技术水平、相应资质和能力，熟悉本合同所述货物的规格、技术指标及安装工艺，有足够能力安装、调试本合同的货物并使之达到本合同要求；</w:t>
      </w:r>
    </w:p>
    <w:p>
      <w:pPr>
        <w:widowControl w:val="0"/>
        <w:numPr>
          <w:ilvl w:val="1"/>
          <w:numId w:val="16"/>
        </w:numPr>
        <w:spacing w:line="360" w:lineRule="auto"/>
        <w:jc w:val="both"/>
        <w:rPr>
          <w:rFonts w:ascii="宋体"/>
          <w:color w:val="auto"/>
        </w:rPr>
      </w:pPr>
      <w:r>
        <w:rPr>
          <w:rFonts w:hint="eastAsia" w:ascii="宋体"/>
          <w:color w:val="auto"/>
        </w:rPr>
        <w:t>卖方已对买方现场进行详细考察，完全了解现场的状况及环境要求，并承诺不因上述原因对买方索赔；</w:t>
      </w:r>
    </w:p>
    <w:p>
      <w:pPr>
        <w:widowControl w:val="0"/>
        <w:numPr>
          <w:ilvl w:val="1"/>
          <w:numId w:val="16"/>
        </w:numPr>
        <w:spacing w:line="360" w:lineRule="auto"/>
        <w:jc w:val="both"/>
        <w:rPr>
          <w:rFonts w:ascii="宋体"/>
          <w:color w:val="auto"/>
        </w:rPr>
      </w:pPr>
      <w:r>
        <w:rPr>
          <w:rFonts w:hint="eastAsia" w:ascii="宋体"/>
          <w:color w:val="auto"/>
        </w:rPr>
        <w:t>卖方人员实施及监督所供货物的试运行，并在双方商定的一定期限内对所供货物运行、维护实施监督指导，但监督指导并不能免除卖方在质量保证期内所承担的义务。</w:t>
      </w:r>
    </w:p>
    <w:p>
      <w:pPr>
        <w:widowControl w:val="0"/>
        <w:numPr>
          <w:ilvl w:val="0"/>
          <w:numId w:val="16"/>
        </w:numPr>
        <w:spacing w:line="360" w:lineRule="auto"/>
        <w:jc w:val="both"/>
        <w:rPr>
          <w:rFonts w:ascii="宋体"/>
          <w:b/>
          <w:color w:val="auto"/>
        </w:rPr>
      </w:pPr>
      <w:r>
        <w:rPr>
          <w:rFonts w:hint="eastAsia" w:ascii="宋体"/>
          <w:b/>
          <w:color w:val="auto"/>
        </w:rPr>
        <w:t>测试与验收</w:t>
      </w:r>
    </w:p>
    <w:p>
      <w:pPr>
        <w:widowControl w:val="0"/>
        <w:numPr>
          <w:ilvl w:val="1"/>
          <w:numId w:val="16"/>
        </w:numPr>
        <w:spacing w:line="360" w:lineRule="auto"/>
        <w:jc w:val="both"/>
        <w:rPr>
          <w:rFonts w:ascii="宋体"/>
          <w:color w:val="auto"/>
        </w:rPr>
      </w:pPr>
      <w:r>
        <w:rPr>
          <w:rFonts w:hint="eastAsia" w:ascii="宋体"/>
          <w:color w:val="auto"/>
        </w:rPr>
        <w:t>卖方必须在测试与验收前，向买方提供按</w:t>
      </w:r>
      <w:r>
        <w:rPr>
          <w:rFonts w:hint="eastAsia" w:ascii="宋体" w:hAnsi="宋体"/>
          <w:color w:val="auto"/>
        </w:rPr>
        <w:t>本合同的技术规格、技术规范的要求进行的</w:t>
      </w:r>
      <w:r>
        <w:rPr>
          <w:rFonts w:hint="eastAsia" w:ascii="宋体"/>
          <w:color w:val="auto"/>
        </w:rPr>
        <w:t>测试与验收方案。</w:t>
      </w:r>
    </w:p>
    <w:p>
      <w:pPr>
        <w:widowControl w:val="0"/>
        <w:numPr>
          <w:ilvl w:val="1"/>
          <w:numId w:val="16"/>
        </w:numPr>
        <w:spacing w:line="360" w:lineRule="auto"/>
        <w:jc w:val="both"/>
        <w:rPr>
          <w:rFonts w:ascii="宋体"/>
          <w:color w:val="auto"/>
        </w:rPr>
      </w:pPr>
      <w:r>
        <w:rPr>
          <w:rFonts w:hint="eastAsia" w:ascii="宋体"/>
          <w:color w:val="auto"/>
        </w:rPr>
        <w:t>在有关部门进行验收时，买方应及时配合卖方。</w:t>
      </w:r>
    </w:p>
    <w:p>
      <w:pPr>
        <w:numPr>
          <w:ilvl w:val="1"/>
          <w:numId w:val="16"/>
        </w:numPr>
        <w:spacing w:line="360" w:lineRule="auto"/>
        <w:jc w:val="both"/>
        <w:rPr>
          <w:rFonts w:ascii="宋体" w:hAnsi="宋体"/>
          <w:color w:val="auto"/>
        </w:rPr>
      </w:pPr>
      <w:r>
        <w:rPr>
          <w:rFonts w:hint="eastAsia" w:ascii="宋体" w:hAnsi="宋体"/>
          <w:color w:val="auto"/>
        </w:rPr>
        <w:t>卖方提供的货物不符合合同的质量要求，致使货物未达到买方要求的设计性能，买方可拒收货物或解除合同。</w:t>
      </w:r>
    </w:p>
    <w:p>
      <w:pPr>
        <w:widowControl w:val="0"/>
        <w:numPr>
          <w:ilvl w:val="1"/>
          <w:numId w:val="16"/>
        </w:numPr>
        <w:spacing w:line="360" w:lineRule="auto"/>
        <w:jc w:val="both"/>
        <w:rPr>
          <w:rFonts w:ascii="宋体"/>
          <w:color w:val="auto"/>
        </w:rPr>
      </w:pPr>
      <w:r>
        <w:rPr>
          <w:rFonts w:hint="eastAsia" w:ascii="宋体"/>
          <w:color w:val="auto"/>
        </w:rPr>
        <w:t>测试及验收工作由买方组织，验收合格后，买卖双方签署验收合格证书。</w:t>
      </w:r>
    </w:p>
    <w:p>
      <w:pPr>
        <w:widowControl w:val="0"/>
        <w:numPr>
          <w:ilvl w:val="1"/>
          <w:numId w:val="16"/>
        </w:numPr>
        <w:spacing w:line="360" w:lineRule="auto"/>
        <w:jc w:val="both"/>
        <w:rPr>
          <w:rFonts w:ascii="宋体"/>
          <w:color w:val="auto"/>
        </w:rPr>
      </w:pPr>
      <w:r>
        <w:rPr>
          <w:rFonts w:hint="eastAsia" w:ascii="宋体"/>
          <w:color w:val="auto"/>
        </w:rPr>
        <w:t>如果卖方没有按以上要求，按买方安排的时间进行有关工作，买方有权在相应的付款时间段推迟付款，直至卖方完成此时间段的工作。</w:t>
      </w:r>
    </w:p>
    <w:p>
      <w:pPr>
        <w:widowControl w:val="0"/>
        <w:numPr>
          <w:ilvl w:val="1"/>
          <w:numId w:val="16"/>
        </w:numPr>
        <w:spacing w:line="360" w:lineRule="auto"/>
        <w:jc w:val="both"/>
        <w:rPr>
          <w:rFonts w:ascii="宋体"/>
          <w:color w:val="auto"/>
        </w:rPr>
      </w:pPr>
      <w:r>
        <w:rPr>
          <w:rFonts w:hint="eastAsia" w:ascii="宋体"/>
          <w:color w:val="auto"/>
        </w:rPr>
        <w:t>前述验收包括初步验收及正式验收，卖方应按照《用户需求书》的要求办理验收手续。</w:t>
      </w:r>
    </w:p>
    <w:p>
      <w:pPr>
        <w:widowControl w:val="0"/>
        <w:numPr>
          <w:ilvl w:val="0"/>
          <w:numId w:val="16"/>
        </w:numPr>
        <w:spacing w:line="360" w:lineRule="auto"/>
        <w:jc w:val="both"/>
        <w:rPr>
          <w:rFonts w:ascii="宋体"/>
          <w:b/>
          <w:color w:val="auto"/>
        </w:rPr>
      </w:pPr>
      <w:r>
        <w:rPr>
          <w:rFonts w:hint="eastAsia" w:ascii="宋体"/>
          <w:b/>
          <w:color w:val="auto"/>
        </w:rPr>
        <w:t>培训</w:t>
      </w:r>
    </w:p>
    <w:p>
      <w:pPr>
        <w:widowControl w:val="0"/>
        <w:numPr>
          <w:ilvl w:val="1"/>
          <w:numId w:val="16"/>
        </w:numPr>
        <w:spacing w:line="360" w:lineRule="auto"/>
        <w:jc w:val="both"/>
        <w:rPr>
          <w:rFonts w:ascii="宋体"/>
          <w:color w:val="auto"/>
        </w:rPr>
      </w:pPr>
      <w:r>
        <w:rPr>
          <w:rFonts w:hint="eastAsia" w:ascii="宋体"/>
          <w:color w:val="auto"/>
        </w:rPr>
        <w:t>卖方负责提供现场操作、运行、维护、修理的培训方案及必需的培训资料。</w:t>
      </w:r>
    </w:p>
    <w:p>
      <w:pPr>
        <w:widowControl w:val="0"/>
        <w:numPr>
          <w:ilvl w:val="1"/>
          <w:numId w:val="16"/>
        </w:numPr>
        <w:spacing w:line="360" w:lineRule="auto"/>
        <w:jc w:val="both"/>
        <w:rPr>
          <w:rFonts w:ascii="宋体"/>
          <w:color w:val="auto"/>
        </w:rPr>
      </w:pPr>
      <w:r>
        <w:rPr>
          <w:rFonts w:hint="eastAsia" w:ascii="宋体"/>
          <w:color w:val="auto"/>
        </w:rPr>
        <w:t>卖方负责对买方受训人员进行操作培训、维修培训</w:t>
      </w:r>
    </w:p>
    <w:p>
      <w:pPr>
        <w:widowControl w:val="0"/>
        <w:numPr>
          <w:ilvl w:val="1"/>
          <w:numId w:val="16"/>
        </w:numPr>
        <w:spacing w:line="360" w:lineRule="auto"/>
        <w:jc w:val="both"/>
        <w:rPr>
          <w:rFonts w:ascii="宋体"/>
          <w:color w:val="auto"/>
        </w:rPr>
      </w:pPr>
      <w:r>
        <w:rPr>
          <w:rFonts w:hint="eastAsia" w:ascii="宋体"/>
          <w:color w:val="auto"/>
        </w:rPr>
        <w:t>其他应提供的伴随服务：如有，以《用户需求书》描述为准。</w:t>
      </w:r>
    </w:p>
    <w:p>
      <w:pPr>
        <w:spacing w:before="180" w:line="360" w:lineRule="auto"/>
        <w:rPr>
          <w:rFonts w:ascii="宋体" w:hAnsi="宋体"/>
          <w:b/>
          <w:color w:val="auto"/>
          <w:sz w:val="24"/>
        </w:rPr>
      </w:pPr>
      <w:r>
        <w:rPr>
          <w:rFonts w:hint="eastAsia" w:ascii="宋体" w:hAnsi="宋体"/>
          <w:b/>
          <w:color w:val="auto"/>
          <w:sz w:val="24"/>
        </w:rPr>
        <w:t>十六、合同转让与分包</w:t>
      </w:r>
    </w:p>
    <w:p>
      <w:pPr>
        <w:numPr>
          <w:ilvl w:val="0"/>
          <w:numId w:val="17"/>
        </w:numPr>
        <w:spacing w:line="360" w:lineRule="auto"/>
        <w:jc w:val="both"/>
        <w:rPr>
          <w:rFonts w:ascii="宋体"/>
          <w:color w:val="auto"/>
        </w:rPr>
      </w:pPr>
      <w:r>
        <w:rPr>
          <w:rFonts w:hint="eastAsia" w:ascii="宋体"/>
          <w:color w:val="auto"/>
        </w:rPr>
        <w:t>本合同卖方在任何情况下都不得全部或部份转让其应履行的合同义务。</w:t>
      </w:r>
    </w:p>
    <w:p>
      <w:pPr>
        <w:numPr>
          <w:ilvl w:val="0"/>
          <w:numId w:val="17"/>
        </w:numPr>
        <w:spacing w:line="360" w:lineRule="auto"/>
        <w:jc w:val="both"/>
        <w:rPr>
          <w:rFonts w:ascii="宋体"/>
          <w:color w:val="auto"/>
        </w:rPr>
      </w:pPr>
      <w:r>
        <w:rPr>
          <w:rFonts w:hint="eastAsia"/>
          <w:color w:val="auto"/>
        </w:rPr>
        <w:t>本合同不可以分包</w:t>
      </w:r>
      <w:r>
        <w:rPr>
          <w:rFonts w:hint="eastAsia" w:ascii="宋体"/>
          <w:color w:val="auto"/>
        </w:rPr>
        <w:t>（现场施工部分除外）</w:t>
      </w:r>
      <w:r>
        <w:rPr>
          <w:rFonts w:hint="eastAsia"/>
          <w:color w:val="auto"/>
        </w:rPr>
        <w:t>。</w:t>
      </w:r>
    </w:p>
    <w:p>
      <w:pPr>
        <w:spacing w:before="180" w:line="360" w:lineRule="auto"/>
        <w:rPr>
          <w:rFonts w:ascii="宋体" w:hAnsi="宋体"/>
          <w:b/>
          <w:color w:val="auto"/>
          <w:sz w:val="24"/>
        </w:rPr>
      </w:pPr>
      <w:r>
        <w:rPr>
          <w:rFonts w:hint="eastAsia" w:ascii="宋体" w:hAnsi="宋体"/>
          <w:b/>
          <w:color w:val="auto"/>
          <w:sz w:val="24"/>
        </w:rPr>
        <w:t>十七、质量保证及售后服务</w:t>
      </w:r>
    </w:p>
    <w:p>
      <w:pPr>
        <w:numPr>
          <w:ilvl w:val="0"/>
          <w:numId w:val="18"/>
        </w:numPr>
        <w:spacing w:line="360" w:lineRule="auto"/>
        <w:jc w:val="both"/>
        <w:rPr>
          <w:rFonts w:ascii="宋体"/>
          <w:b/>
          <w:color w:val="auto"/>
        </w:rPr>
      </w:pPr>
      <w:r>
        <w:rPr>
          <w:rFonts w:hint="eastAsia" w:ascii="宋体"/>
          <w:b/>
          <w:color w:val="auto"/>
        </w:rPr>
        <w:t>质量保证</w:t>
      </w:r>
    </w:p>
    <w:p>
      <w:pPr>
        <w:numPr>
          <w:ilvl w:val="1"/>
          <w:numId w:val="18"/>
        </w:numPr>
        <w:spacing w:line="360" w:lineRule="auto"/>
        <w:jc w:val="both"/>
        <w:rPr>
          <w:rFonts w:ascii="宋体"/>
          <w:color w:val="auto"/>
        </w:rPr>
      </w:pPr>
      <w:r>
        <w:rPr>
          <w:rFonts w:hint="eastAsia" w:ascii="宋体"/>
          <w:color w:val="auto"/>
        </w:rPr>
        <w:t>卖方应保证合同项下所供货物是全新的、未使用过的，是符合合同规定的型号。卖方进一步保证，合同项下提供的全部货物没有设计、材料或工艺上的缺陷，或者没有因卖方的行为或疏忽而产生的缺陷，这些缺陷是所供货物在我国现行条件下正常使用可能产生的。</w:t>
      </w:r>
    </w:p>
    <w:p>
      <w:pPr>
        <w:numPr>
          <w:ilvl w:val="1"/>
          <w:numId w:val="18"/>
        </w:numPr>
        <w:spacing w:line="360" w:lineRule="auto"/>
        <w:jc w:val="both"/>
        <w:rPr>
          <w:rFonts w:ascii="宋体"/>
          <w:color w:val="auto"/>
        </w:rPr>
      </w:pPr>
      <w:r>
        <w:rPr>
          <w:rFonts w:hint="eastAsia" w:ascii="宋体"/>
          <w:b/>
          <w:color w:val="auto"/>
        </w:rPr>
        <w:t>产品质量保证期从最终验收合格后双方签署正式验收移交文件时计起</w:t>
      </w:r>
      <w:r>
        <w:rPr>
          <w:rFonts w:ascii="宋体"/>
          <w:b/>
          <w:color w:val="auto"/>
          <w:u w:val="single"/>
        </w:rPr>
        <w:t xml:space="preserve"> 12 </w:t>
      </w:r>
      <w:r>
        <w:rPr>
          <w:rFonts w:hint="eastAsia" w:ascii="宋体"/>
          <w:b/>
          <w:color w:val="auto"/>
        </w:rPr>
        <w:t>个月</w:t>
      </w:r>
      <w:r>
        <w:rPr>
          <w:rFonts w:hint="eastAsia" w:ascii="宋体"/>
          <w:color w:val="auto"/>
        </w:rPr>
        <w:t>，在质保期内卖方免费提供货物正常使用情况下发生故障的维修服务（包含损坏零配件更换、差旅费等）。</w:t>
      </w:r>
    </w:p>
    <w:p>
      <w:pPr>
        <w:numPr>
          <w:ilvl w:val="1"/>
          <w:numId w:val="18"/>
        </w:numPr>
        <w:spacing w:line="360" w:lineRule="auto"/>
        <w:jc w:val="both"/>
        <w:rPr>
          <w:rFonts w:ascii="宋体"/>
          <w:color w:val="auto"/>
        </w:rPr>
      </w:pPr>
      <w:r>
        <w:rPr>
          <w:rFonts w:hint="eastAsia" w:ascii="宋体"/>
          <w:color w:val="auto"/>
        </w:rPr>
        <w:t>买方在质量保证期内发现缺陷应尽快通知卖方。卖方应保证具有售后维修服务机构，有专业的售后服务力量。对质保期内的故障报修，卖方应按《用户需求书》规定设置服务热线为</w:t>
      </w:r>
      <w:r>
        <w:rPr>
          <w:rFonts w:hint="eastAsia" w:ascii="宋体"/>
          <w:color w:val="auto"/>
          <w:u w:val="single"/>
        </w:rPr>
        <w:t xml:space="preserve"> </w:t>
      </w:r>
      <w:r>
        <w:rPr>
          <w:rFonts w:ascii="宋体" w:hAnsi="宋体" w:cs="宋体"/>
          <w:color w:val="auto"/>
          <w:sz w:val="22"/>
          <w:szCs w:val="22"/>
          <w:u w:val="single"/>
        </w:rPr>
        <w:t xml:space="preserve">          </w:t>
      </w:r>
      <w:r>
        <w:rPr>
          <w:rFonts w:hint="eastAsia" w:ascii="宋体"/>
          <w:color w:val="auto"/>
        </w:rPr>
        <w:t>，售后维修服务机构提供每天24小时电话报障服务，一旦设备出现问题，买方不能自行解决的，维修人员需在报障4</w:t>
      </w:r>
      <w:r>
        <w:rPr>
          <w:rFonts w:ascii="宋体"/>
          <w:color w:val="auto"/>
        </w:rPr>
        <w:t>8</w:t>
      </w:r>
      <w:r>
        <w:rPr>
          <w:rFonts w:hint="eastAsia" w:ascii="宋体"/>
          <w:color w:val="auto"/>
        </w:rPr>
        <w:t>小时内到达现场。卖方不能按时排除故障时，应提供备用设备给买方维持工作，否则应赔偿因此而给买方造成的损失。</w:t>
      </w:r>
    </w:p>
    <w:p>
      <w:pPr>
        <w:numPr>
          <w:ilvl w:val="1"/>
          <w:numId w:val="18"/>
        </w:numPr>
        <w:spacing w:line="360" w:lineRule="auto"/>
        <w:jc w:val="both"/>
        <w:rPr>
          <w:rFonts w:ascii="宋体"/>
          <w:color w:val="auto"/>
        </w:rPr>
      </w:pPr>
      <w:r>
        <w:rPr>
          <w:rFonts w:hint="eastAsia" w:ascii="宋体"/>
          <w:color w:val="auto"/>
        </w:rPr>
        <w:t>对质保期内的故障报修，如卖方未能做到上款的服务承诺，买方可采取必要的补救措施，但其风险和费用由卖方承担，买方</w:t>
      </w:r>
      <w:r>
        <w:rPr>
          <w:rFonts w:ascii="宋体"/>
          <w:color w:val="auto"/>
        </w:rPr>
        <w:t>有权</w:t>
      </w:r>
      <w:r>
        <w:rPr>
          <w:rFonts w:hint="eastAsia" w:ascii="宋体"/>
          <w:color w:val="auto"/>
        </w:rPr>
        <w:t>直接</w:t>
      </w:r>
      <w:r>
        <w:rPr>
          <w:rFonts w:ascii="宋体"/>
          <w:color w:val="auto"/>
        </w:rPr>
        <w:t>从</w:t>
      </w:r>
      <w:r>
        <w:rPr>
          <w:rFonts w:hint="eastAsia" w:ascii="宋体"/>
          <w:color w:val="auto"/>
        </w:rPr>
        <w:t>质保金中</w:t>
      </w:r>
      <w:r>
        <w:rPr>
          <w:rFonts w:ascii="宋体"/>
          <w:color w:val="auto"/>
        </w:rPr>
        <w:t>扣除，</w:t>
      </w:r>
      <w:r>
        <w:rPr>
          <w:rFonts w:hint="eastAsia" w:ascii="宋体"/>
          <w:color w:val="auto"/>
        </w:rPr>
        <w:t>买方根据合同规定对卖方行使的其它权力不受影响。由于卖方的质保服务不到位，质保期的到期时间将顺延。</w:t>
      </w:r>
    </w:p>
    <w:p>
      <w:pPr>
        <w:pStyle w:val="48"/>
        <w:numPr>
          <w:ilvl w:val="1"/>
          <w:numId w:val="18"/>
        </w:numPr>
        <w:tabs>
          <w:tab w:val="left" w:pos="425"/>
        </w:tabs>
        <w:spacing w:line="360" w:lineRule="auto"/>
        <w:ind w:firstLineChars="0"/>
        <w:rPr>
          <w:rFonts w:ascii="宋体"/>
          <w:color w:val="auto"/>
        </w:rPr>
      </w:pPr>
      <w:r>
        <w:rPr>
          <w:rFonts w:hint="eastAsia" w:ascii="宋体" w:hAnsi="宋体"/>
          <w:color w:val="auto"/>
          <w:szCs w:val="21"/>
        </w:rPr>
        <w:t xml:space="preserve"> 项目质保期内，卖方继续定期对货物进行跟踪访问，每</w:t>
      </w:r>
      <w:r>
        <w:rPr>
          <w:rFonts w:ascii="宋体" w:hAnsi="宋体"/>
          <w:color w:val="auto"/>
          <w:szCs w:val="21"/>
        </w:rPr>
        <w:t>2</w:t>
      </w:r>
      <w:r>
        <w:rPr>
          <w:rFonts w:hint="eastAsia" w:ascii="宋体" w:hAnsi="宋体"/>
          <w:color w:val="auto"/>
          <w:szCs w:val="21"/>
        </w:rPr>
        <w:t>个月</w:t>
      </w:r>
      <w:r>
        <w:rPr>
          <w:rFonts w:ascii="宋体" w:hAnsi="宋体"/>
          <w:color w:val="auto"/>
          <w:szCs w:val="21"/>
        </w:rPr>
        <w:t>1次派遣技术人员对买方进行走访并对项目进行系统巡检和维护保养，现场对系统进行测试及优化，及时发现系统潜在的故障，提早消除故障隐患，确保系统安全稳定的运行。每次系统巡检和维护保养时间确保在买方现场工作时间不少于1个工作日（8小时）。</w:t>
      </w:r>
    </w:p>
    <w:p>
      <w:pPr>
        <w:numPr>
          <w:ilvl w:val="1"/>
          <w:numId w:val="18"/>
        </w:numPr>
        <w:spacing w:line="360" w:lineRule="auto"/>
        <w:jc w:val="both"/>
        <w:rPr>
          <w:rFonts w:ascii="宋体"/>
          <w:color w:val="auto"/>
        </w:rPr>
      </w:pPr>
      <w:r>
        <w:rPr>
          <w:rFonts w:hint="eastAsia" w:ascii="宋体"/>
          <w:color w:val="auto"/>
        </w:rPr>
        <w:t>质保期内因用户使用、管理不当所造成的损失由买方承担，卖方提供有偿服务。</w:t>
      </w:r>
    </w:p>
    <w:p>
      <w:pPr>
        <w:numPr>
          <w:ilvl w:val="1"/>
          <w:numId w:val="18"/>
        </w:numPr>
        <w:spacing w:line="360" w:lineRule="auto"/>
        <w:jc w:val="both"/>
        <w:rPr>
          <w:rFonts w:ascii="宋体"/>
          <w:color w:val="auto"/>
        </w:rPr>
      </w:pPr>
      <w:r>
        <w:rPr>
          <w:rFonts w:hint="eastAsia" w:hAnsi="宋体"/>
          <w:color w:val="auto"/>
        </w:rPr>
        <w:t>在合同货物最终验</w:t>
      </w:r>
      <w:r>
        <w:rPr>
          <w:rFonts w:hint="eastAsia" w:ascii="宋体" w:hAnsi="宋体"/>
          <w:color w:val="auto"/>
        </w:rPr>
        <w:t>收合格交付买方之日起履约保证金自动转为质保金</w:t>
      </w:r>
      <w:r>
        <w:rPr>
          <w:rFonts w:hint="eastAsia" w:hAnsi="宋体"/>
          <w:color w:val="auto"/>
        </w:rPr>
        <w:t>，</w:t>
      </w:r>
      <w:r>
        <w:rPr>
          <w:rFonts w:hint="eastAsia" w:ascii="宋体" w:hAnsi="宋体"/>
          <w:color w:val="auto"/>
        </w:rPr>
        <w:t>质保金在质保期届满验</w:t>
      </w:r>
      <w:r>
        <w:rPr>
          <w:rFonts w:ascii="宋体" w:hAnsi="宋体"/>
          <w:color w:val="auto"/>
        </w:rPr>
        <w:t>收</w:t>
      </w:r>
      <w:r>
        <w:rPr>
          <w:rFonts w:hint="eastAsia" w:ascii="宋体" w:hAnsi="宋体"/>
          <w:color w:val="auto"/>
        </w:rPr>
        <w:t>合</w:t>
      </w:r>
      <w:r>
        <w:rPr>
          <w:rFonts w:ascii="宋体" w:hAnsi="宋体"/>
          <w:color w:val="auto"/>
        </w:rPr>
        <w:t>格</w:t>
      </w:r>
      <w:r>
        <w:rPr>
          <w:rFonts w:hint="eastAsia" w:ascii="宋体" w:hAnsi="宋体"/>
          <w:color w:val="auto"/>
        </w:rPr>
        <w:t>之日起</w:t>
      </w:r>
      <w:r>
        <w:rPr>
          <w:rFonts w:hint="eastAsia" w:hAnsi="宋体"/>
          <w:color w:val="auto"/>
        </w:rPr>
        <w:t>由卖方提出申请并提供相关资料，买方在</w:t>
      </w:r>
      <w:r>
        <w:rPr>
          <w:rFonts w:hint="eastAsia" w:ascii="宋体" w:hAnsi="宋体"/>
          <w:color w:val="auto"/>
          <w:u w:val="single"/>
        </w:rPr>
        <w:t>1</w:t>
      </w:r>
      <w:r>
        <w:rPr>
          <w:rFonts w:ascii="宋体" w:hAnsi="宋体"/>
          <w:color w:val="auto"/>
          <w:u w:val="single"/>
        </w:rPr>
        <w:t>5</w:t>
      </w:r>
      <w:r>
        <w:rPr>
          <w:rFonts w:hint="eastAsia" w:ascii="宋体" w:hAnsi="宋体"/>
          <w:color w:val="auto"/>
        </w:rPr>
        <w:t>个工作日内无息退回。</w:t>
      </w:r>
    </w:p>
    <w:p>
      <w:pPr>
        <w:numPr>
          <w:ilvl w:val="0"/>
          <w:numId w:val="18"/>
        </w:numPr>
        <w:spacing w:line="360" w:lineRule="auto"/>
        <w:jc w:val="both"/>
        <w:rPr>
          <w:rFonts w:ascii="宋体"/>
          <w:b/>
          <w:color w:val="auto"/>
        </w:rPr>
      </w:pPr>
      <w:r>
        <w:rPr>
          <w:rFonts w:hint="eastAsia" w:ascii="宋体"/>
          <w:b/>
          <w:color w:val="auto"/>
        </w:rPr>
        <w:t>质量保证期后服务</w:t>
      </w:r>
    </w:p>
    <w:p>
      <w:pPr>
        <w:numPr>
          <w:ilvl w:val="1"/>
          <w:numId w:val="18"/>
        </w:numPr>
        <w:spacing w:line="360" w:lineRule="auto"/>
        <w:jc w:val="both"/>
        <w:rPr>
          <w:rFonts w:ascii="宋体"/>
          <w:color w:val="auto"/>
        </w:rPr>
      </w:pPr>
      <w:r>
        <w:rPr>
          <w:rFonts w:hint="eastAsia" w:ascii="宋体" w:hAnsi="宋体"/>
          <w:color w:val="auto"/>
        </w:rPr>
        <w:t>质保期满后，若有零部件出现故障，属于寿命异常问题（明显短于该零部件正常寿命）时，则由卖方负责免费更换及维修。</w:t>
      </w:r>
    </w:p>
    <w:p>
      <w:pPr>
        <w:numPr>
          <w:ilvl w:val="1"/>
          <w:numId w:val="18"/>
        </w:numPr>
        <w:spacing w:line="360" w:lineRule="auto"/>
        <w:jc w:val="both"/>
        <w:rPr>
          <w:rFonts w:ascii="宋体" w:hAnsi="宋体"/>
          <w:color w:val="auto"/>
        </w:rPr>
      </w:pPr>
      <w:r>
        <w:rPr>
          <w:rFonts w:hint="eastAsia" w:ascii="宋体" w:hAnsi="宋体"/>
          <w:color w:val="auto"/>
        </w:rPr>
        <w:t>质保期满后，应买方要求，卖方应（参考当时的市场价格）按备品备件报价表的单价与买方签订定期维修保养合同及提供买方所需零配件。</w:t>
      </w:r>
    </w:p>
    <w:p>
      <w:pPr>
        <w:numPr>
          <w:ilvl w:val="1"/>
          <w:numId w:val="18"/>
        </w:numPr>
        <w:spacing w:line="360" w:lineRule="auto"/>
        <w:jc w:val="both"/>
        <w:rPr>
          <w:rFonts w:ascii="宋体"/>
          <w:color w:val="auto"/>
        </w:rPr>
      </w:pPr>
      <w:r>
        <w:rPr>
          <w:rFonts w:hint="eastAsia" w:ascii="宋体"/>
          <w:color w:val="auto"/>
        </w:rPr>
        <w:t>在备件停止生产的情况下，卖方应事先将要停止生产的计划通知买方，使买方有足够的时间采购所需备件；在备件停止生产后，卖方应免费向买方提供备件的图纸、资料。</w:t>
      </w:r>
    </w:p>
    <w:p>
      <w:pPr>
        <w:spacing w:before="180" w:line="360" w:lineRule="auto"/>
        <w:rPr>
          <w:rFonts w:ascii="宋体" w:hAnsi="宋体"/>
          <w:b/>
          <w:color w:val="auto"/>
          <w:sz w:val="24"/>
        </w:rPr>
      </w:pPr>
      <w:r>
        <w:rPr>
          <w:rFonts w:hint="eastAsia" w:ascii="宋体" w:hAnsi="宋体"/>
          <w:b/>
          <w:color w:val="auto"/>
          <w:sz w:val="24"/>
        </w:rPr>
        <w:t>十八、索赔</w:t>
      </w:r>
    </w:p>
    <w:p>
      <w:pPr>
        <w:snapToGrid w:val="0"/>
        <w:spacing w:line="360" w:lineRule="auto"/>
        <w:jc w:val="both"/>
        <w:rPr>
          <w:rFonts w:ascii="宋体" w:hAnsi="宋体"/>
          <w:color w:val="auto"/>
          <w:szCs w:val="21"/>
        </w:rPr>
      </w:pPr>
      <w:r>
        <w:rPr>
          <w:rFonts w:hint="eastAsia" w:ascii="宋体" w:hAnsi="宋体"/>
          <w:color w:val="auto"/>
          <w:szCs w:val="21"/>
        </w:rPr>
        <w:t>1</w:t>
      </w:r>
      <w:r>
        <w:rPr>
          <w:rFonts w:hint="eastAsia" w:ascii="宋体" w:hAnsi="宋体"/>
          <w:color w:val="auto"/>
        </w:rPr>
        <w:t>.</w:t>
      </w:r>
      <w:r>
        <w:rPr>
          <w:rFonts w:hint="eastAsia" w:ascii="宋体" w:hAnsi="宋体"/>
          <w:color w:val="auto"/>
          <w:szCs w:val="21"/>
        </w:rPr>
        <w:t>卖方在合同</w:t>
      </w:r>
      <w:r>
        <w:rPr>
          <w:rFonts w:ascii="宋体" w:hAnsi="宋体"/>
          <w:color w:val="auto"/>
          <w:szCs w:val="21"/>
        </w:rPr>
        <w:t>生效之日</w:t>
      </w:r>
      <w:r>
        <w:rPr>
          <w:rFonts w:hint="eastAsia" w:ascii="宋体" w:hAnsi="宋体"/>
          <w:color w:val="auto"/>
          <w:szCs w:val="21"/>
        </w:rPr>
        <w:t>后60个工作日内必须提</w:t>
      </w:r>
      <w:r>
        <w:rPr>
          <w:rFonts w:ascii="宋体" w:hAnsi="宋体"/>
          <w:color w:val="auto"/>
          <w:szCs w:val="21"/>
        </w:rPr>
        <w:t>供</w:t>
      </w:r>
      <w:r>
        <w:rPr>
          <w:rFonts w:hint="eastAsia" w:ascii="宋体" w:hAnsi="宋体"/>
          <w:color w:val="auto"/>
          <w:szCs w:val="21"/>
        </w:rPr>
        <w:t>储罐</w:t>
      </w:r>
      <w:r>
        <w:rPr>
          <w:rFonts w:ascii="宋体" w:hAnsi="宋体"/>
          <w:color w:val="auto"/>
          <w:szCs w:val="21"/>
        </w:rPr>
        <w:t>、</w:t>
      </w:r>
      <w:r>
        <w:rPr>
          <w:rFonts w:hint="eastAsia" w:ascii="宋体" w:hAnsi="宋体" w:cs="宋体"/>
          <w:color w:val="auto"/>
          <w:szCs w:val="21"/>
        </w:rPr>
        <w:t>离心泵、自吸泵、</w:t>
      </w:r>
      <w:r>
        <w:rPr>
          <w:rFonts w:hint="eastAsia" w:ascii="宋体" w:hAnsi="宋体" w:cs="Arial"/>
          <w:color w:val="auto"/>
          <w:szCs w:val="21"/>
        </w:rPr>
        <w:t>防混阀、</w:t>
      </w:r>
      <w:r>
        <w:rPr>
          <w:rFonts w:hint="eastAsia" w:ascii="宋体" w:hAnsi="宋体" w:cs="宋体"/>
          <w:color w:val="auto"/>
          <w:szCs w:val="21"/>
        </w:rPr>
        <w:t>转子泵、</w:t>
      </w:r>
      <w:r>
        <w:rPr>
          <w:rFonts w:hint="eastAsia" w:ascii="宋体" w:hAnsi="宋体"/>
          <w:color w:val="auto"/>
          <w:szCs w:val="21"/>
        </w:rPr>
        <w:t>L</w:t>
      </w:r>
      <w:r>
        <w:rPr>
          <w:rFonts w:ascii="宋体" w:hAnsi="宋体"/>
          <w:color w:val="auto"/>
          <w:szCs w:val="21"/>
        </w:rPr>
        <w:t>CD</w:t>
      </w:r>
      <w:r>
        <w:rPr>
          <w:rFonts w:hint="eastAsia" w:ascii="宋体" w:hAnsi="宋体"/>
          <w:color w:val="auto"/>
          <w:szCs w:val="21"/>
        </w:rPr>
        <w:t>拼接屏和配套电柜的设备</w:t>
      </w:r>
      <w:r>
        <w:rPr>
          <w:rFonts w:ascii="宋体" w:hAnsi="宋体"/>
          <w:color w:val="auto"/>
          <w:szCs w:val="21"/>
        </w:rPr>
        <w:t>或主要配件</w:t>
      </w:r>
      <w:r>
        <w:rPr>
          <w:rFonts w:hint="eastAsia" w:ascii="宋体" w:hAnsi="宋体"/>
          <w:color w:val="auto"/>
          <w:szCs w:val="21"/>
        </w:rPr>
        <w:t>/材料</w:t>
      </w:r>
      <w:r>
        <w:rPr>
          <w:rFonts w:ascii="宋体" w:hAnsi="宋体"/>
          <w:color w:val="auto"/>
          <w:szCs w:val="21"/>
        </w:rPr>
        <w:t>的</w:t>
      </w:r>
      <w:r>
        <w:rPr>
          <w:rFonts w:hint="eastAsia" w:ascii="宋体" w:hAnsi="宋体"/>
          <w:color w:val="auto"/>
          <w:szCs w:val="21"/>
        </w:rPr>
        <w:t>采</w:t>
      </w:r>
      <w:r>
        <w:rPr>
          <w:rFonts w:ascii="宋体" w:hAnsi="宋体"/>
          <w:color w:val="auto"/>
          <w:szCs w:val="21"/>
        </w:rPr>
        <w:t>购</w:t>
      </w:r>
      <w:r>
        <w:rPr>
          <w:rFonts w:hint="eastAsia" w:ascii="宋体" w:hAnsi="宋体"/>
          <w:color w:val="auto"/>
          <w:szCs w:val="21"/>
        </w:rPr>
        <w:t>相</w:t>
      </w:r>
      <w:r>
        <w:rPr>
          <w:rFonts w:ascii="宋体" w:hAnsi="宋体"/>
          <w:color w:val="auto"/>
          <w:szCs w:val="21"/>
        </w:rPr>
        <w:t>关证明</w:t>
      </w:r>
      <w:r>
        <w:rPr>
          <w:rFonts w:hint="eastAsia" w:ascii="宋体" w:hAnsi="宋体"/>
          <w:color w:val="auto"/>
          <w:szCs w:val="21"/>
        </w:rPr>
        <w:t>（如合同、发票、发货清单等资料的复印件加盖方公章），内容包括但不限于物料的品牌、产地、型号、规格、数量等，但涉及卖方商业秘密的内容可以涂黑处理）给买方。若卖方未能及时提供以上资料，卖方每拖延一天则按合同总额的1</w:t>
      </w:r>
      <w:r>
        <w:rPr>
          <w:rFonts w:ascii="宋体" w:hAnsi="宋体"/>
          <w:color w:val="auto"/>
          <w:szCs w:val="21"/>
        </w:rPr>
        <w:t>‰</w:t>
      </w:r>
      <w:r>
        <w:rPr>
          <w:rFonts w:hint="eastAsia" w:ascii="宋体" w:hAnsi="宋体"/>
          <w:color w:val="auto"/>
          <w:szCs w:val="21"/>
        </w:rPr>
        <w:t>向买方支付违约金，逾期超过【30】日的，买方有权单方面解除合同且</w:t>
      </w:r>
      <w:r>
        <w:rPr>
          <w:rFonts w:ascii="宋体" w:hAnsi="宋体"/>
          <w:color w:val="auto"/>
          <w:szCs w:val="21"/>
        </w:rPr>
        <w:t>不承认任何违约责任</w:t>
      </w:r>
      <w:r>
        <w:rPr>
          <w:rFonts w:hint="eastAsia" w:ascii="宋体" w:hAnsi="宋体"/>
          <w:color w:val="auto"/>
          <w:szCs w:val="21"/>
        </w:rPr>
        <w:t>。</w:t>
      </w:r>
    </w:p>
    <w:p>
      <w:pPr>
        <w:spacing w:before="180" w:line="360" w:lineRule="auto"/>
        <w:jc w:val="both"/>
        <w:rPr>
          <w:rFonts w:ascii="宋体" w:hAnsi="宋体"/>
          <w:b/>
          <w:color w:val="auto"/>
          <w:sz w:val="24"/>
        </w:rPr>
      </w:pPr>
      <w:r>
        <w:rPr>
          <w:rFonts w:hint="eastAsia" w:ascii="宋体" w:hAnsi="宋体"/>
          <w:color w:val="auto"/>
          <w:szCs w:val="21"/>
        </w:rPr>
        <w:t>2</w:t>
      </w:r>
      <w:r>
        <w:rPr>
          <w:rFonts w:hint="eastAsia" w:ascii="宋体" w:hAnsi="宋体"/>
          <w:color w:val="auto"/>
        </w:rPr>
        <w:t>.</w:t>
      </w:r>
      <w:r>
        <w:rPr>
          <w:rFonts w:hint="eastAsia" w:ascii="宋体" w:hAnsi="宋体"/>
          <w:color w:val="auto"/>
          <w:szCs w:val="21"/>
        </w:rPr>
        <w:t>卖方提供的所有材料设备均需严格按照相关技术规范和本合同要求选用，买方不定时到卖方生产场地抽查卖方执行本合同的所有材料和文件。若买方检查发现卖方所使用的材料与合同约定标准的任何一项不符合时，每次将对卖方处以合同总额1</w:t>
      </w:r>
      <w:r>
        <w:rPr>
          <w:rFonts w:ascii="宋体" w:hAnsi="宋体"/>
          <w:color w:val="auto"/>
          <w:szCs w:val="21"/>
        </w:rPr>
        <w:t>‰</w:t>
      </w:r>
      <w:r>
        <w:rPr>
          <w:rFonts w:hint="eastAsia" w:ascii="宋体" w:hAnsi="宋体"/>
          <w:color w:val="auto"/>
          <w:szCs w:val="21"/>
        </w:rPr>
        <w:t>的违约金，且卖方必须立即更正，并赔偿由此给买方造成的损失，累计达【3】次的，买方有权单方面解除合同且</w:t>
      </w:r>
      <w:r>
        <w:rPr>
          <w:rFonts w:ascii="宋体" w:hAnsi="宋体"/>
          <w:color w:val="auto"/>
          <w:szCs w:val="21"/>
        </w:rPr>
        <w:t>不承担任何违约责任</w:t>
      </w:r>
      <w:r>
        <w:rPr>
          <w:rFonts w:hint="eastAsia" w:ascii="宋体" w:hAnsi="宋体"/>
          <w:color w:val="auto"/>
          <w:szCs w:val="21"/>
        </w:rPr>
        <w:t>。</w:t>
      </w:r>
    </w:p>
    <w:p>
      <w:pPr>
        <w:spacing w:line="360" w:lineRule="auto"/>
        <w:jc w:val="both"/>
        <w:rPr>
          <w:rFonts w:ascii="宋体" w:hAnsi="宋体"/>
          <w:color w:val="auto"/>
        </w:rPr>
      </w:pPr>
      <w:r>
        <w:rPr>
          <w:rFonts w:ascii="宋体" w:hAnsi="宋体"/>
          <w:color w:val="auto"/>
        </w:rPr>
        <w:t>3</w:t>
      </w:r>
      <w:r>
        <w:rPr>
          <w:rFonts w:hint="eastAsia" w:ascii="宋体" w:hAnsi="宋体"/>
          <w:color w:val="auto"/>
        </w:rPr>
        <w:t>.卖方对所供货物与合同或投标文件承诺不符负有责任，如经检验证实不符或缺陷存在或品牌和性能相关指标与投标文件承诺不符的，包括潜在的缺陷或使用不合适的材料，买方可根据本合同有关质量保证或检验、安装、调试的规定提出索赔，卖方同意买方选择下述一种或多种结合的方法解决索赔事宜：</w:t>
      </w:r>
    </w:p>
    <w:p>
      <w:pPr>
        <w:tabs>
          <w:tab w:val="left" w:pos="540"/>
        </w:tabs>
        <w:spacing w:line="360" w:lineRule="auto"/>
        <w:ind w:firstLine="315" w:firstLineChars="150"/>
        <w:jc w:val="both"/>
        <w:rPr>
          <w:rFonts w:ascii="宋体" w:hAnsi="宋体"/>
          <w:color w:val="auto"/>
        </w:rPr>
      </w:pPr>
      <w:r>
        <w:rPr>
          <w:rFonts w:hint="eastAsia" w:ascii="宋体" w:hAnsi="宋体"/>
          <w:color w:val="auto"/>
        </w:rPr>
        <w:t>（1）买方退货并</w:t>
      </w:r>
      <w:r>
        <w:rPr>
          <w:rFonts w:ascii="宋体" w:hAnsi="宋体"/>
          <w:color w:val="auto"/>
        </w:rPr>
        <w:t>解除合同</w:t>
      </w:r>
      <w:r>
        <w:rPr>
          <w:rFonts w:hint="eastAsia" w:ascii="宋体" w:hAnsi="宋体"/>
          <w:color w:val="auto"/>
        </w:rPr>
        <w:t>，卖方将退货前买方已付的所有款项退还买方，卖方承担由此发生的一切损失和费用，包括利息、银行手续费、运费、保险费、检验费、仓储费、装卸费以及为保管、维护和退回货物所发生的其它必要费用并</w:t>
      </w:r>
      <w:r>
        <w:rPr>
          <w:rFonts w:ascii="宋体" w:hAnsi="宋体"/>
          <w:color w:val="auto"/>
        </w:rPr>
        <w:t>向买方</w:t>
      </w:r>
      <w:r>
        <w:rPr>
          <w:rFonts w:hint="eastAsia" w:ascii="宋体" w:hAnsi="宋体"/>
          <w:color w:val="auto"/>
        </w:rPr>
        <w:t>支付</w:t>
      </w:r>
      <w:r>
        <w:rPr>
          <w:rFonts w:ascii="宋体" w:hAnsi="宋体"/>
          <w:color w:val="auto"/>
        </w:rPr>
        <w:t>合同</w:t>
      </w:r>
      <w:r>
        <w:rPr>
          <w:rFonts w:hint="eastAsia" w:ascii="宋体" w:hAnsi="宋体"/>
          <w:color w:val="auto"/>
        </w:rPr>
        <w:t>总额</w:t>
      </w:r>
      <w:r>
        <w:rPr>
          <w:rFonts w:ascii="宋体" w:hAnsi="宋体"/>
          <w:color w:val="auto"/>
        </w:rPr>
        <w:t>的</w:t>
      </w:r>
      <w:r>
        <w:rPr>
          <w:rFonts w:hint="eastAsia" w:ascii="宋体" w:hAnsi="宋体"/>
          <w:color w:val="auto"/>
        </w:rPr>
        <w:t>15</w:t>
      </w:r>
      <w:r>
        <w:rPr>
          <w:rFonts w:ascii="宋体" w:hAnsi="宋体"/>
          <w:color w:val="auto"/>
        </w:rPr>
        <w:t>%</w:t>
      </w:r>
      <w:r>
        <w:rPr>
          <w:rFonts w:hint="eastAsia" w:ascii="宋体" w:hAnsi="宋体"/>
          <w:color w:val="auto"/>
        </w:rPr>
        <w:t>作为</w:t>
      </w:r>
      <w:r>
        <w:rPr>
          <w:rFonts w:ascii="宋体" w:hAnsi="宋体"/>
          <w:color w:val="auto"/>
        </w:rPr>
        <w:t>违约金</w:t>
      </w:r>
      <w:r>
        <w:rPr>
          <w:rFonts w:hint="eastAsia" w:ascii="宋体" w:hAnsi="宋体"/>
          <w:color w:val="auto"/>
        </w:rPr>
        <w:t>。</w:t>
      </w:r>
    </w:p>
    <w:p>
      <w:pPr>
        <w:tabs>
          <w:tab w:val="left" w:pos="540"/>
        </w:tabs>
        <w:spacing w:line="360" w:lineRule="auto"/>
        <w:ind w:firstLine="315" w:firstLineChars="150"/>
        <w:jc w:val="both"/>
        <w:rPr>
          <w:rFonts w:ascii="宋体" w:hAnsi="宋体"/>
          <w:color w:val="auto"/>
        </w:rPr>
      </w:pPr>
      <w:r>
        <w:rPr>
          <w:rFonts w:hint="eastAsia" w:ascii="宋体" w:hAnsi="宋体"/>
          <w:color w:val="auto"/>
        </w:rPr>
        <w:t>（2）根据货物的疵劣和受损程度以及买方因此遭受损失的金额，经买卖双方商定，降低货物成交价格。</w:t>
      </w:r>
    </w:p>
    <w:p>
      <w:pPr>
        <w:tabs>
          <w:tab w:val="left" w:pos="540"/>
        </w:tabs>
        <w:spacing w:line="360" w:lineRule="auto"/>
        <w:ind w:firstLine="315" w:firstLineChars="150"/>
        <w:jc w:val="both"/>
        <w:rPr>
          <w:rFonts w:ascii="宋体" w:hAnsi="宋体"/>
          <w:color w:val="auto"/>
        </w:rPr>
      </w:pPr>
      <w:r>
        <w:rPr>
          <w:rFonts w:hint="eastAsia" w:ascii="宋体" w:hAnsi="宋体"/>
          <w:color w:val="auto"/>
        </w:rPr>
        <w:t>（3）用符合合同规定的规格、质量和性能要求的新零件、部件或设备来更换有缺陷的部份或修补缺陷部份，以使货物达到合同规定的规格、质量和性能，卖方承担一切费用和风险并负担买方遭受的一切损失。同时卖方相应延长被更换货物的质保期。</w:t>
      </w:r>
    </w:p>
    <w:p>
      <w:pPr>
        <w:tabs>
          <w:tab w:val="left" w:pos="540"/>
        </w:tabs>
        <w:spacing w:line="360" w:lineRule="auto"/>
        <w:jc w:val="both"/>
        <w:rPr>
          <w:rFonts w:ascii="宋体" w:hAnsi="宋体"/>
          <w:color w:val="auto"/>
        </w:rPr>
      </w:pPr>
      <w:r>
        <w:rPr>
          <w:rFonts w:ascii="宋体" w:hAnsi="宋体"/>
          <w:color w:val="auto"/>
        </w:rPr>
        <w:t>4</w:t>
      </w:r>
      <w:r>
        <w:rPr>
          <w:rFonts w:hint="eastAsia" w:ascii="宋体" w:hAnsi="宋体"/>
          <w:color w:val="auto"/>
        </w:rPr>
        <w:t>.第一次验收不合格可进行整改，整改后再组织进行第二、第三次验收。经过上述方法还不能达到要求，则整个合同设备的产能（出入库能力）要求，每低一个百分点则扣0.5%的总合同款，若整个合同的产能（出入库能力）低于十个百分点（买方不可接受的）及以上，则买方有权在以下选项中择一进行处理。</w:t>
      </w:r>
    </w:p>
    <w:p>
      <w:pPr>
        <w:tabs>
          <w:tab w:val="left" w:pos="540"/>
        </w:tabs>
        <w:spacing w:line="360" w:lineRule="auto"/>
        <w:jc w:val="both"/>
        <w:rPr>
          <w:rFonts w:ascii="宋体" w:hAnsi="宋体"/>
          <w:color w:val="auto"/>
        </w:rPr>
      </w:pPr>
      <w:r>
        <w:rPr>
          <w:rFonts w:hint="eastAsia" w:ascii="宋体" w:hAnsi="宋体"/>
          <w:color w:val="auto"/>
        </w:rPr>
        <w:t>（1）买方退货并</w:t>
      </w:r>
      <w:r>
        <w:rPr>
          <w:rFonts w:ascii="宋体" w:hAnsi="宋体"/>
          <w:color w:val="auto"/>
        </w:rPr>
        <w:t>解除合同</w:t>
      </w:r>
      <w:r>
        <w:rPr>
          <w:rFonts w:hint="eastAsia" w:ascii="宋体" w:hAnsi="宋体"/>
          <w:color w:val="auto"/>
        </w:rPr>
        <w:t>，卖方将退货前买方已付的所有款项退还买方，卖方承担由此发生的一切损失和费用，并没收卖方的履约保证金。</w:t>
      </w:r>
    </w:p>
    <w:p>
      <w:pPr>
        <w:tabs>
          <w:tab w:val="left" w:pos="540"/>
        </w:tabs>
        <w:spacing w:line="360" w:lineRule="auto"/>
        <w:jc w:val="both"/>
        <w:rPr>
          <w:rFonts w:ascii="宋体" w:hAnsi="宋体"/>
          <w:color w:val="auto"/>
        </w:rPr>
      </w:pPr>
      <w:r>
        <w:rPr>
          <w:rFonts w:hint="eastAsia" w:ascii="宋体" w:hAnsi="宋体"/>
          <w:color w:val="auto"/>
        </w:rPr>
        <w:t>（2）买方退货并</w:t>
      </w:r>
      <w:r>
        <w:rPr>
          <w:rFonts w:ascii="宋体" w:hAnsi="宋体"/>
          <w:color w:val="auto"/>
        </w:rPr>
        <w:t>解除合同</w:t>
      </w:r>
      <w:r>
        <w:rPr>
          <w:rFonts w:hint="eastAsia" w:ascii="宋体" w:hAnsi="宋体"/>
          <w:color w:val="auto"/>
        </w:rPr>
        <w:t>，卖方将退货前买方已付的所有款项退还买方，卖方承担由此发生的一切损失和费用，并在买方重新采购的新设备到货之前无偿提供设备给买方使用，维持生产。</w:t>
      </w:r>
    </w:p>
    <w:p>
      <w:pPr>
        <w:tabs>
          <w:tab w:val="left" w:pos="540"/>
        </w:tabs>
        <w:spacing w:line="360" w:lineRule="auto"/>
        <w:jc w:val="both"/>
        <w:rPr>
          <w:rFonts w:ascii="宋体" w:hAnsi="宋体"/>
          <w:color w:val="auto"/>
        </w:rPr>
      </w:pPr>
      <w:r>
        <w:rPr>
          <w:rFonts w:ascii="宋体"/>
          <w:color w:val="auto"/>
        </w:rPr>
        <w:t>5</w:t>
      </w:r>
      <w:r>
        <w:rPr>
          <w:rFonts w:hint="eastAsia" w:ascii="宋体" w:hAnsi="宋体"/>
          <w:color w:val="auto"/>
        </w:rPr>
        <w:t>.</w:t>
      </w:r>
      <w:r>
        <w:rPr>
          <w:rFonts w:hint="eastAsia" w:ascii="宋体"/>
          <w:color w:val="auto"/>
        </w:rPr>
        <w:t>卖方收到索赔通知后10天内，未给买方书面答复的，视为索赔已被卖方接受。卖方未能在收到索赔通知后10天内，或征得买方同意的延长期限内，按照买方从上列方法中选择的方案解决索赔事宜的，买方将有权没收</w:t>
      </w:r>
      <w:r>
        <w:rPr>
          <w:rFonts w:ascii="宋体"/>
          <w:color w:val="auto"/>
        </w:rPr>
        <w:t>履约保证金</w:t>
      </w:r>
      <w:r>
        <w:rPr>
          <w:rFonts w:hint="eastAsia" w:ascii="宋体"/>
          <w:color w:val="auto"/>
        </w:rPr>
        <w:t>，</w:t>
      </w:r>
      <w:r>
        <w:rPr>
          <w:rFonts w:hint="eastAsia" w:ascii="宋体" w:hAnsi="宋体"/>
          <w:color w:val="auto"/>
        </w:rPr>
        <w:t>同时保留进一步要求索赔的权利。</w:t>
      </w:r>
    </w:p>
    <w:p>
      <w:pPr>
        <w:spacing w:line="360" w:lineRule="auto"/>
        <w:jc w:val="both"/>
        <w:rPr>
          <w:rFonts w:ascii="宋体" w:hAnsi="宋体"/>
          <w:color w:val="auto"/>
        </w:rPr>
      </w:pPr>
      <w:r>
        <w:rPr>
          <w:rFonts w:hint="eastAsia" w:ascii="宋体" w:hAnsi="宋体"/>
          <w:color w:val="auto"/>
        </w:rPr>
        <w:t>6.如买方选择退货方式，且货物已被运至本合同规定的到货地点或正在运输途中的，应由卖方自行负责将货物运回及承担由此发生的费用；卖方未能在买方通知的期限内将货物运回的，买方对货物不承担任何保管责任，且每逾期一日卖方应按合同总额的1‰向买方支付违约金。</w:t>
      </w:r>
    </w:p>
    <w:p>
      <w:pPr>
        <w:spacing w:line="360" w:lineRule="auto"/>
        <w:jc w:val="both"/>
        <w:rPr>
          <w:rFonts w:ascii="宋体" w:hAnsi="宋体"/>
          <w:color w:val="auto"/>
        </w:rPr>
      </w:pPr>
      <w:r>
        <w:rPr>
          <w:rFonts w:hint="eastAsia" w:ascii="宋体" w:hAnsi="宋体"/>
          <w:color w:val="auto"/>
        </w:rPr>
        <w:t>7.</w:t>
      </w:r>
      <w:r>
        <w:rPr>
          <w:rFonts w:hint="eastAsia"/>
          <w:color w:val="auto"/>
        </w:rPr>
        <w:t xml:space="preserve"> </w:t>
      </w:r>
      <w:r>
        <w:rPr>
          <w:rFonts w:hint="eastAsia" w:ascii="宋体" w:hAnsi="宋体"/>
          <w:color w:val="auto"/>
        </w:rPr>
        <w:t>若卖方违约导致买方通过诉讼途径主张权利的，买方为此支出的一切费用（包括但不限于诉讼费、律师费、保全担保费、鉴定费等）均由卖方承担。</w:t>
      </w:r>
    </w:p>
    <w:p>
      <w:pPr>
        <w:spacing w:before="180" w:line="360" w:lineRule="auto"/>
        <w:rPr>
          <w:rFonts w:ascii="宋体" w:hAnsi="宋体"/>
          <w:b/>
          <w:color w:val="auto"/>
          <w:sz w:val="24"/>
        </w:rPr>
      </w:pPr>
      <w:r>
        <w:rPr>
          <w:rFonts w:hint="eastAsia" w:ascii="宋体" w:hAnsi="宋体"/>
          <w:b/>
          <w:color w:val="auto"/>
          <w:sz w:val="24"/>
        </w:rPr>
        <w:t>十九、不可抗力</w:t>
      </w:r>
    </w:p>
    <w:p>
      <w:pPr>
        <w:numPr>
          <w:ilvl w:val="0"/>
          <w:numId w:val="19"/>
        </w:numPr>
        <w:tabs>
          <w:tab w:val="left" w:pos="540"/>
          <w:tab w:val="clear" w:pos="840"/>
        </w:tabs>
        <w:spacing w:line="360" w:lineRule="auto"/>
        <w:ind w:left="540" w:hanging="540"/>
        <w:jc w:val="both"/>
        <w:rPr>
          <w:rFonts w:ascii="宋体" w:hAnsi="宋体"/>
          <w:color w:val="auto"/>
          <w:sz w:val="24"/>
        </w:rPr>
      </w:pPr>
      <w:r>
        <w:rPr>
          <w:rFonts w:hint="eastAsia" w:ascii="宋体" w:hAnsi="宋体"/>
          <w:color w:val="auto"/>
        </w:rPr>
        <w:t>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严重水灾、火灾、洪水、台风、地震、政策变更等。</w:t>
      </w:r>
    </w:p>
    <w:p>
      <w:pPr>
        <w:numPr>
          <w:ilvl w:val="0"/>
          <w:numId w:val="19"/>
        </w:numPr>
        <w:tabs>
          <w:tab w:val="left" w:pos="540"/>
          <w:tab w:val="clear" w:pos="840"/>
        </w:tabs>
        <w:spacing w:line="360" w:lineRule="auto"/>
        <w:ind w:left="540" w:hanging="540"/>
        <w:jc w:val="both"/>
        <w:rPr>
          <w:rFonts w:ascii="宋体" w:hAnsi="宋体"/>
          <w:color w:val="auto"/>
          <w:sz w:val="24"/>
        </w:rPr>
      </w:pPr>
      <w:r>
        <w:rPr>
          <w:rFonts w:hint="eastAsia" w:ascii="宋体" w:hAnsi="宋体"/>
          <w:color w:val="auto"/>
        </w:rPr>
        <w:t>受阻一方应在不可抗力事件发生后，尽快用电报、传真或电传 通知对方，并于事件发生后14天内将有关部门出具的证明文件用特快专递或挂号信寄给对方审阅确认。一旦不可抗力事件的影响持续60天以上，双方应通过友好协商在合理的时间内达成进一步履行合同的协议或解除合同。</w:t>
      </w:r>
    </w:p>
    <w:p>
      <w:pPr>
        <w:spacing w:before="180" w:line="360" w:lineRule="auto"/>
        <w:rPr>
          <w:rFonts w:ascii="宋体" w:hAnsi="宋体"/>
          <w:b/>
          <w:color w:val="auto"/>
          <w:sz w:val="24"/>
        </w:rPr>
      </w:pPr>
      <w:r>
        <w:rPr>
          <w:rFonts w:hint="eastAsia" w:ascii="宋体" w:hAnsi="宋体"/>
          <w:b/>
          <w:color w:val="auto"/>
          <w:sz w:val="24"/>
        </w:rPr>
        <w:t>二十、逾期交货及逾期付款的赔偿</w:t>
      </w:r>
    </w:p>
    <w:p>
      <w:pPr>
        <w:numPr>
          <w:ilvl w:val="0"/>
          <w:numId w:val="20"/>
        </w:numPr>
        <w:tabs>
          <w:tab w:val="left" w:pos="540"/>
          <w:tab w:val="clear" w:pos="840"/>
        </w:tabs>
        <w:spacing w:line="360" w:lineRule="auto"/>
        <w:ind w:left="540" w:hanging="540"/>
        <w:jc w:val="both"/>
        <w:rPr>
          <w:rFonts w:ascii="宋体"/>
          <w:color w:val="auto"/>
        </w:rPr>
      </w:pPr>
      <w:r>
        <w:rPr>
          <w:rFonts w:hint="eastAsia" w:ascii="宋体" w:hAnsi="宋体"/>
          <w:color w:val="auto"/>
        </w:rPr>
        <w:t>如果卖方不能按照合同规定的时间交货（包括逾期到货、逾期安装、逾期试运行或逾期验收等情形）和提供服务，除应及时以书面形式将延迟的事实、可能延迟的时间和原因通知买方外，并应向买方支付违约金。违约金按合同总额的1‰/天计算。买方在不影响合同项下的其它补救措施情况下，可从合同未付款中扣除误期违约金。误期期限为30天，一旦达此限期，买方有权解除合同，并要求卖方按合同总金额的10％计付违约金。此时如果买方按合同支付了预付款的，买方有权选择要求卖方按预付款金额立即支付违约金。如按上述办法计算的违约金仍不足以补偿因卖方违约造成的损失，买方有权进一步向卖方提出索赔。</w:t>
      </w:r>
    </w:p>
    <w:p>
      <w:pPr>
        <w:numPr>
          <w:ilvl w:val="0"/>
          <w:numId w:val="20"/>
        </w:numPr>
        <w:tabs>
          <w:tab w:val="left" w:pos="540"/>
          <w:tab w:val="clear" w:pos="840"/>
        </w:tabs>
        <w:spacing w:line="360" w:lineRule="auto"/>
        <w:ind w:left="540" w:hanging="540"/>
        <w:jc w:val="both"/>
        <w:rPr>
          <w:rFonts w:ascii="宋体"/>
          <w:color w:val="auto"/>
        </w:rPr>
      </w:pPr>
      <w:r>
        <w:rPr>
          <w:rFonts w:hint="eastAsia" w:ascii="宋体" w:hAnsi="宋体"/>
          <w:color w:val="auto"/>
        </w:rPr>
        <w:t>如果买方不能按合同约定支付预付款，则卖方有权延期交货；迟付期限为30天，一旦达此限期，卖方有权解除合同，并要求买方按合同总金额的5％计付违约金。买方未按合同约定期限支付货款的，也应支付违约金。违约金按拖欠款金额的1‰/天计算。超过合同付款期限30天买方仍不付款，且造成卖方损失的，买方应支付赔偿予卖方。</w:t>
      </w:r>
    </w:p>
    <w:p>
      <w:pPr>
        <w:numPr>
          <w:ilvl w:val="0"/>
          <w:numId w:val="20"/>
        </w:numPr>
        <w:tabs>
          <w:tab w:val="left" w:pos="540"/>
          <w:tab w:val="clear" w:pos="840"/>
        </w:tabs>
        <w:spacing w:line="360" w:lineRule="auto"/>
        <w:ind w:left="540" w:hanging="540"/>
        <w:jc w:val="both"/>
        <w:rPr>
          <w:rFonts w:ascii="宋体" w:hAnsi="宋体"/>
          <w:color w:val="auto"/>
        </w:rPr>
      </w:pPr>
      <w:r>
        <w:rPr>
          <w:rFonts w:hint="eastAsia" w:ascii="宋体" w:hAnsi="宋体"/>
          <w:color w:val="auto"/>
        </w:rPr>
        <w:t>本合同中对于买方付款和卖方交付使用有先决条件约定的，按约定执行。</w:t>
      </w:r>
    </w:p>
    <w:p>
      <w:pPr>
        <w:spacing w:before="180" w:line="360" w:lineRule="auto"/>
        <w:rPr>
          <w:rFonts w:ascii="宋体" w:hAnsi="宋体"/>
          <w:b/>
          <w:color w:val="auto"/>
          <w:sz w:val="24"/>
        </w:rPr>
      </w:pPr>
      <w:r>
        <w:rPr>
          <w:rFonts w:hint="eastAsia" w:ascii="宋体" w:hAnsi="宋体"/>
          <w:b/>
          <w:color w:val="auto"/>
          <w:sz w:val="24"/>
        </w:rPr>
        <w:t>二十一、合同变更</w:t>
      </w:r>
    </w:p>
    <w:p>
      <w:pPr>
        <w:numPr>
          <w:ilvl w:val="1"/>
          <w:numId w:val="21"/>
        </w:numPr>
        <w:tabs>
          <w:tab w:val="left" w:pos="540"/>
        </w:tabs>
        <w:spacing w:line="360" w:lineRule="auto"/>
        <w:jc w:val="both"/>
        <w:rPr>
          <w:rFonts w:ascii="宋体" w:hAnsi="宋体"/>
          <w:color w:val="auto"/>
        </w:rPr>
      </w:pPr>
      <w:r>
        <w:rPr>
          <w:rFonts w:hint="eastAsia" w:ascii="宋体" w:hAnsi="宋体"/>
          <w:color w:val="auto"/>
        </w:rPr>
        <w:t>合同所有设备及零部件原则上不允许品牌变更。由于卖方的原因出现品牌变更，卖方提出申请获得买方批准后方可实施，并处以变更前品牌零部件金额的5%罚款，如变更后品牌零部件的金额变小则卖方需向买方补回相应的差价，如变更品牌后零部件对应的金额大于原金额，买方不向卖方补偿任何费用。零部件金额若投标文件报价明细表有同类设备的按投标文件报价确认，若投标文件中没有按市场询价后确定。</w:t>
      </w:r>
    </w:p>
    <w:p>
      <w:pPr>
        <w:numPr>
          <w:ilvl w:val="0"/>
          <w:numId w:val="21"/>
        </w:numPr>
        <w:spacing w:line="360" w:lineRule="auto"/>
        <w:jc w:val="both"/>
        <w:rPr>
          <w:rFonts w:ascii="宋体" w:hAnsi="宋体"/>
          <w:color w:val="auto"/>
        </w:rPr>
      </w:pPr>
      <w:r>
        <w:rPr>
          <w:rFonts w:hint="eastAsia" w:ascii="宋体"/>
          <w:color w:val="auto"/>
        </w:rPr>
        <w:t>因买方的原因变更合同货物的，买方应以书面形式通知卖方，并经双方协商一致签署有关变更文件。如因此造成卖方履行合同义务的价格或时间增减，将对合同价、交货时间、质保期进行公平调整。</w:t>
      </w:r>
      <w:r>
        <w:rPr>
          <w:rFonts w:hint="eastAsia" w:hAnsi="宋体"/>
          <w:color w:val="auto"/>
        </w:rPr>
        <w:t>卖方据此要求的调整必须在收到买方通知后30天内提出，否则视为同意买方变更方案</w:t>
      </w:r>
      <w:r>
        <w:rPr>
          <w:rFonts w:hint="eastAsia" w:ascii="宋体"/>
          <w:color w:val="auto"/>
        </w:rPr>
        <w:t>。</w:t>
      </w:r>
    </w:p>
    <w:p>
      <w:pPr>
        <w:numPr>
          <w:ilvl w:val="0"/>
          <w:numId w:val="21"/>
        </w:numPr>
        <w:spacing w:line="360" w:lineRule="auto"/>
        <w:jc w:val="both"/>
        <w:rPr>
          <w:rFonts w:ascii="宋体" w:hAnsi="宋体"/>
          <w:color w:val="auto"/>
        </w:rPr>
      </w:pPr>
      <w:r>
        <w:rPr>
          <w:rFonts w:hint="eastAsia" w:ascii="宋体"/>
          <w:color w:val="auto"/>
        </w:rPr>
        <w:t>因买方的原因，采购合同货物不变，到货之后安装的时间延迟的，安装调试、质保培训等内容的服务期限顺延。</w:t>
      </w:r>
    </w:p>
    <w:p>
      <w:pPr>
        <w:numPr>
          <w:ilvl w:val="0"/>
          <w:numId w:val="21"/>
        </w:numPr>
        <w:spacing w:line="360" w:lineRule="auto"/>
        <w:jc w:val="both"/>
        <w:rPr>
          <w:rFonts w:ascii="宋体" w:hAnsi="宋体"/>
          <w:color w:val="auto"/>
        </w:rPr>
      </w:pPr>
      <w:r>
        <w:rPr>
          <w:rFonts w:hint="eastAsia" w:ascii="宋体"/>
          <w:color w:val="auto"/>
        </w:rPr>
        <w:t>无论</w:t>
      </w:r>
      <w:r>
        <w:rPr>
          <w:rFonts w:hint="eastAsia" w:ascii="宋体" w:hAnsi="宋体"/>
          <w:color w:val="auto"/>
        </w:rPr>
        <w:t>是按原合同要求，或是根据现场实际情况作出变更提供货物，卖方都不能免除其对货物应承担的责任。</w:t>
      </w:r>
    </w:p>
    <w:p>
      <w:pPr>
        <w:numPr>
          <w:ilvl w:val="0"/>
          <w:numId w:val="21"/>
        </w:numPr>
        <w:spacing w:line="360" w:lineRule="auto"/>
        <w:jc w:val="both"/>
        <w:rPr>
          <w:rFonts w:ascii="宋体" w:hAnsi="宋体"/>
          <w:color w:val="auto"/>
        </w:rPr>
      </w:pPr>
      <w:r>
        <w:rPr>
          <w:rFonts w:hint="eastAsia" w:ascii="宋体" w:hAnsi="宋体"/>
          <w:color w:val="auto"/>
        </w:rPr>
        <w:t>若卖方在合同履约过程中任何</w:t>
      </w:r>
      <w:r>
        <w:rPr>
          <w:rFonts w:ascii="宋体" w:hAnsi="宋体"/>
          <w:color w:val="auto"/>
        </w:rPr>
        <w:t>经营信息或资格</w:t>
      </w:r>
      <w:r>
        <w:rPr>
          <w:rFonts w:hint="eastAsia" w:ascii="宋体" w:hAnsi="宋体"/>
          <w:color w:val="auto"/>
        </w:rPr>
        <w:t>发生变更，应即时以</w:t>
      </w:r>
      <w:r>
        <w:rPr>
          <w:rFonts w:ascii="宋体" w:hAnsi="宋体"/>
          <w:color w:val="auto"/>
        </w:rPr>
        <w:t>书面信息通知买方</w:t>
      </w:r>
      <w:r>
        <w:rPr>
          <w:rFonts w:hint="eastAsia" w:ascii="宋体" w:hAnsi="宋体"/>
          <w:color w:val="auto"/>
        </w:rPr>
        <w:t>。</w:t>
      </w:r>
    </w:p>
    <w:p>
      <w:pPr>
        <w:spacing w:before="180" w:line="360" w:lineRule="auto"/>
        <w:rPr>
          <w:rFonts w:ascii="宋体" w:hAnsi="宋体"/>
          <w:b/>
          <w:color w:val="auto"/>
          <w:sz w:val="24"/>
        </w:rPr>
      </w:pPr>
      <w:r>
        <w:rPr>
          <w:rFonts w:hint="eastAsia" w:ascii="宋体" w:hAnsi="宋体"/>
          <w:b/>
          <w:color w:val="auto"/>
          <w:sz w:val="24"/>
        </w:rPr>
        <w:t>二十二、合同解除和终止</w:t>
      </w:r>
    </w:p>
    <w:p>
      <w:pPr>
        <w:numPr>
          <w:ilvl w:val="0"/>
          <w:numId w:val="22"/>
        </w:numPr>
        <w:spacing w:line="360" w:lineRule="auto"/>
        <w:jc w:val="both"/>
        <w:rPr>
          <w:rFonts w:ascii="宋体" w:hAnsi="宋体"/>
          <w:color w:val="auto"/>
        </w:rPr>
      </w:pPr>
      <w:r>
        <w:rPr>
          <w:rFonts w:hint="eastAsia" w:ascii="宋体" w:hAnsi="宋体"/>
          <w:color w:val="auto"/>
        </w:rPr>
        <w:t>合同自然终止</w:t>
      </w:r>
    </w:p>
    <w:p>
      <w:pPr>
        <w:spacing w:line="360" w:lineRule="auto"/>
        <w:ind w:firstLine="420" w:firstLineChars="200"/>
        <w:jc w:val="both"/>
        <w:rPr>
          <w:rFonts w:ascii="宋体" w:hAnsi="宋体"/>
          <w:color w:val="auto"/>
        </w:rPr>
      </w:pPr>
      <w:r>
        <w:rPr>
          <w:rFonts w:hint="eastAsia" w:ascii="宋体" w:hAnsi="宋体"/>
          <w:color w:val="auto"/>
        </w:rPr>
        <w:t>买卖双方各自完成合同规定的责任和义务，合同自然终止。</w:t>
      </w:r>
    </w:p>
    <w:p>
      <w:pPr>
        <w:numPr>
          <w:ilvl w:val="0"/>
          <w:numId w:val="22"/>
        </w:numPr>
        <w:spacing w:line="360" w:lineRule="auto"/>
        <w:jc w:val="both"/>
        <w:rPr>
          <w:rFonts w:ascii="宋体" w:hAnsi="宋体"/>
          <w:color w:val="auto"/>
        </w:rPr>
      </w:pPr>
      <w:r>
        <w:rPr>
          <w:rFonts w:hint="eastAsia" w:ascii="宋体" w:hAnsi="宋体"/>
          <w:color w:val="auto"/>
        </w:rPr>
        <w:t>合同因买方原因而解除或终止。</w:t>
      </w:r>
    </w:p>
    <w:p>
      <w:pPr>
        <w:numPr>
          <w:ilvl w:val="1"/>
          <w:numId w:val="22"/>
        </w:numPr>
        <w:spacing w:line="360" w:lineRule="auto"/>
        <w:jc w:val="both"/>
        <w:rPr>
          <w:rFonts w:ascii="宋体" w:hAnsi="宋体"/>
          <w:color w:val="auto"/>
        </w:rPr>
      </w:pPr>
      <w:r>
        <w:rPr>
          <w:rFonts w:hint="eastAsia" w:ascii="宋体" w:hAnsi="宋体"/>
          <w:color w:val="auto"/>
        </w:rPr>
        <w:t>买方可在任何时候出于自身的原因向卖方发出书面通知终止或部份终止合同，终止通知应明确该终止合同是出于买方的原因，并明确合同终止的程度，以及终止的生效日期。</w:t>
      </w:r>
    </w:p>
    <w:p>
      <w:pPr>
        <w:numPr>
          <w:ilvl w:val="1"/>
          <w:numId w:val="22"/>
        </w:numPr>
        <w:spacing w:line="360" w:lineRule="auto"/>
        <w:jc w:val="both"/>
        <w:rPr>
          <w:rFonts w:ascii="宋体" w:hAnsi="宋体"/>
          <w:color w:val="auto"/>
        </w:rPr>
      </w:pPr>
      <w:r>
        <w:rPr>
          <w:rFonts w:hint="eastAsia" w:ascii="宋体" w:hAnsi="宋体"/>
          <w:color w:val="auto"/>
        </w:rPr>
        <w:t>对卖方在收到终止通知时已完成并准备装运的货物，买方应按合同价格和条款予以接收，对于剩下的货物，买方可在以下两种措施中择一：</w:t>
      </w:r>
    </w:p>
    <w:p>
      <w:pPr>
        <w:numPr>
          <w:ilvl w:val="2"/>
          <w:numId w:val="22"/>
        </w:numPr>
        <w:spacing w:line="360" w:lineRule="auto"/>
        <w:jc w:val="both"/>
        <w:rPr>
          <w:rFonts w:ascii="宋体" w:hAnsi="宋体"/>
          <w:color w:val="auto"/>
        </w:rPr>
      </w:pPr>
      <w:r>
        <w:rPr>
          <w:rFonts w:hint="eastAsia" w:ascii="宋体" w:hAnsi="宋体"/>
          <w:color w:val="auto"/>
        </w:rPr>
        <w:t>仅对部份货物按照原来合同价格和条款予以接受；</w:t>
      </w:r>
    </w:p>
    <w:p>
      <w:pPr>
        <w:numPr>
          <w:ilvl w:val="2"/>
          <w:numId w:val="22"/>
        </w:numPr>
        <w:spacing w:line="360" w:lineRule="auto"/>
        <w:jc w:val="both"/>
        <w:rPr>
          <w:rFonts w:ascii="宋体" w:hAnsi="宋体"/>
          <w:color w:val="auto"/>
        </w:rPr>
      </w:pPr>
      <w:r>
        <w:rPr>
          <w:rFonts w:hint="eastAsia" w:ascii="宋体" w:hAnsi="宋体"/>
          <w:color w:val="auto"/>
        </w:rPr>
        <w:t>取消对所剩货物的采购，并按双方商定的金额向卖方支付部份完成的货物和服务以及卖方以前已采购的材料和部件的费用，但该等材料和部件应交付给买方。</w:t>
      </w:r>
    </w:p>
    <w:p>
      <w:pPr>
        <w:numPr>
          <w:ilvl w:val="0"/>
          <w:numId w:val="22"/>
        </w:numPr>
        <w:spacing w:line="360" w:lineRule="auto"/>
        <w:jc w:val="both"/>
        <w:rPr>
          <w:rFonts w:ascii="宋体" w:hAnsi="宋体"/>
          <w:color w:val="auto"/>
        </w:rPr>
      </w:pPr>
      <w:r>
        <w:rPr>
          <w:rFonts w:hint="eastAsia" w:ascii="宋体" w:hAnsi="宋体"/>
          <w:color w:val="auto"/>
        </w:rPr>
        <w:t>违约违规终止合同</w:t>
      </w:r>
    </w:p>
    <w:p>
      <w:pPr>
        <w:spacing w:line="360" w:lineRule="auto"/>
        <w:ind w:left="540"/>
        <w:jc w:val="both"/>
        <w:rPr>
          <w:rFonts w:ascii="宋体" w:hAnsi="宋体"/>
          <w:color w:val="auto"/>
        </w:rPr>
      </w:pPr>
      <w:r>
        <w:rPr>
          <w:rFonts w:hint="eastAsia" w:ascii="宋体" w:hAnsi="宋体"/>
          <w:color w:val="auto"/>
        </w:rPr>
        <w:t>在买方对卖方违约违规而采取的任何补救措施不受影响的情况下，买方可向卖方发出书面的违约通知书，提出终止部份或全部合同：</w:t>
      </w:r>
    </w:p>
    <w:p>
      <w:pPr>
        <w:numPr>
          <w:ilvl w:val="1"/>
          <w:numId w:val="22"/>
        </w:numPr>
        <w:spacing w:line="360" w:lineRule="auto"/>
        <w:jc w:val="both"/>
        <w:rPr>
          <w:rFonts w:ascii="宋体" w:hAnsi="宋体"/>
          <w:color w:val="auto"/>
        </w:rPr>
      </w:pPr>
      <w:r>
        <w:rPr>
          <w:rFonts w:hint="eastAsia" w:ascii="宋体" w:hAnsi="宋体"/>
          <w:color w:val="auto"/>
        </w:rPr>
        <w:t>如果卖方未能在合同规定的期限内提供货物（参见本合同有关逾期交货的条款，包括逾期到货、逾期安装、逾期试运行或逾期验收等情）；</w:t>
      </w:r>
    </w:p>
    <w:p>
      <w:pPr>
        <w:numPr>
          <w:ilvl w:val="1"/>
          <w:numId w:val="22"/>
        </w:numPr>
        <w:spacing w:line="360" w:lineRule="auto"/>
        <w:jc w:val="both"/>
        <w:rPr>
          <w:rFonts w:ascii="宋体" w:hAnsi="宋体"/>
          <w:color w:val="auto"/>
        </w:rPr>
      </w:pPr>
      <w:r>
        <w:rPr>
          <w:rFonts w:hint="eastAsia" w:ascii="宋体" w:hAnsi="宋体"/>
          <w:color w:val="auto"/>
        </w:rPr>
        <w:t>如果卖方未能履行合同规定的其它任何义务；</w:t>
      </w:r>
    </w:p>
    <w:p>
      <w:pPr>
        <w:numPr>
          <w:ilvl w:val="1"/>
          <w:numId w:val="22"/>
        </w:numPr>
        <w:spacing w:line="360" w:lineRule="auto"/>
        <w:jc w:val="both"/>
        <w:rPr>
          <w:rFonts w:ascii="宋体" w:hAnsi="宋体"/>
          <w:color w:val="auto"/>
        </w:rPr>
      </w:pPr>
      <w:r>
        <w:rPr>
          <w:rFonts w:hint="eastAsia" w:ascii="宋体" w:hAnsi="宋体"/>
          <w:color w:val="auto"/>
        </w:rPr>
        <w:t>如果买方认为卖方在本合同的投标竞争和实施过程中有违反有关招标投标的法律、法规，涉嫌用不正当手段影响买方采购过程，包括谎报或隐瞒事实、损害买方利益、干扰买方、评委、采购代理机构的招标、评标等行为。</w:t>
      </w:r>
    </w:p>
    <w:p>
      <w:pPr>
        <w:spacing w:line="360" w:lineRule="auto"/>
        <w:ind w:left="540" w:leftChars="257" w:firstLine="464" w:firstLineChars="221"/>
        <w:jc w:val="both"/>
        <w:rPr>
          <w:rFonts w:ascii="宋体" w:hAnsi="宋体"/>
          <w:color w:val="auto"/>
        </w:rPr>
      </w:pPr>
      <w:r>
        <w:rPr>
          <w:rFonts w:hint="eastAsia" w:ascii="宋体" w:hAnsi="宋体"/>
          <w:color w:val="auto"/>
        </w:rPr>
        <w:t>如果买方根据本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numPr>
          <w:ilvl w:val="0"/>
          <w:numId w:val="22"/>
        </w:numPr>
        <w:spacing w:line="360" w:lineRule="auto"/>
        <w:jc w:val="both"/>
        <w:rPr>
          <w:rFonts w:ascii="宋体" w:hAnsi="宋体"/>
          <w:color w:val="auto"/>
        </w:rPr>
      </w:pPr>
      <w:r>
        <w:rPr>
          <w:rFonts w:hint="eastAsia" w:ascii="宋体" w:hAnsi="宋体"/>
          <w:color w:val="auto"/>
        </w:rPr>
        <w:t>因卖方破产而终止合同</w:t>
      </w:r>
    </w:p>
    <w:p>
      <w:pPr>
        <w:spacing w:line="360" w:lineRule="auto"/>
        <w:ind w:left="540" w:firstLine="420" w:firstLineChars="200"/>
        <w:jc w:val="both"/>
        <w:rPr>
          <w:rFonts w:ascii="宋体" w:hAnsi="宋体"/>
          <w:color w:val="auto"/>
        </w:rPr>
      </w:pPr>
      <w:r>
        <w:rPr>
          <w:rFonts w:hint="eastAsia" w:ascii="宋体" w:hAnsi="宋体"/>
          <w:color w:val="auto"/>
        </w:rPr>
        <w:t>如果卖方破产或无清偿能力，买方可在任何时候以书面形式通知卖方，提出终止合同并不给卖方补偿。该合同的终止将不损害或影响买方已经采取或将要采取的任何行动或补救措施的权力。</w:t>
      </w:r>
    </w:p>
    <w:p>
      <w:pPr>
        <w:spacing w:before="180" w:line="360" w:lineRule="auto"/>
        <w:rPr>
          <w:rFonts w:ascii="宋体" w:hAnsi="宋体"/>
          <w:b/>
          <w:color w:val="auto"/>
          <w:sz w:val="24"/>
        </w:rPr>
      </w:pPr>
      <w:r>
        <w:rPr>
          <w:rFonts w:hint="eastAsia" w:ascii="宋体" w:hAnsi="宋体"/>
          <w:b/>
          <w:color w:val="auto"/>
          <w:sz w:val="24"/>
        </w:rPr>
        <w:t>二十三、争端的解决</w:t>
      </w:r>
    </w:p>
    <w:p>
      <w:pPr>
        <w:numPr>
          <w:ilvl w:val="0"/>
          <w:numId w:val="23"/>
        </w:numPr>
        <w:tabs>
          <w:tab w:val="left" w:pos="540"/>
        </w:tabs>
        <w:spacing w:line="360" w:lineRule="auto"/>
        <w:jc w:val="both"/>
        <w:rPr>
          <w:rFonts w:ascii="宋体"/>
          <w:color w:val="auto"/>
        </w:rPr>
      </w:pPr>
      <w:r>
        <w:rPr>
          <w:rFonts w:hint="eastAsia" w:ascii="宋体"/>
          <w:color w:val="auto"/>
        </w:rPr>
        <w:t>凡与本合同有关的一切争议，买卖双方应首先通过友好协商解决，如经协商后仍不能达成协议时，任何一方可以向买方所在地有管辖权的人民法院提出诉讼。</w:t>
      </w:r>
    </w:p>
    <w:p>
      <w:pPr>
        <w:numPr>
          <w:ilvl w:val="0"/>
          <w:numId w:val="23"/>
        </w:numPr>
        <w:tabs>
          <w:tab w:val="left" w:pos="540"/>
        </w:tabs>
        <w:spacing w:line="360" w:lineRule="auto"/>
        <w:jc w:val="both"/>
        <w:rPr>
          <w:rFonts w:ascii="宋体"/>
          <w:color w:val="auto"/>
        </w:rPr>
      </w:pPr>
      <w:r>
        <w:rPr>
          <w:rFonts w:hint="eastAsia" w:ascii="宋体"/>
          <w:color w:val="auto"/>
        </w:rPr>
        <w:t>在法院审理期间，除提交法院审理的事项外，合同</w:t>
      </w:r>
      <w:r>
        <w:rPr>
          <w:rFonts w:hint="eastAsia" w:hAnsi="宋体"/>
          <w:color w:val="auto"/>
        </w:rPr>
        <w:t>其他部份</w:t>
      </w:r>
      <w:r>
        <w:rPr>
          <w:rFonts w:hint="eastAsia" w:ascii="宋体"/>
          <w:color w:val="auto"/>
        </w:rPr>
        <w:t>仍应继续履行。</w:t>
      </w:r>
    </w:p>
    <w:p>
      <w:pPr>
        <w:spacing w:before="180" w:line="360" w:lineRule="auto"/>
        <w:rPr>
          <w:rFonts w:ascii="宋体" w:hAnsi="宋体"/>
          <w:b/>
          <w:color w:val="auto"/>
          <w:sz w:val="24"/>
        </w:rPr>
      </w:pPr>
      <w:r>
        <w:rPr>
          <w:rFonts w:hint="eastAsia" w:ascii="宋体" w:hAnsi="宋体"/>
          <w:b/>
          <w:color w:val="auto"/>
          <w:sz w:val="24"/>
        </w:rPr>
        <w:t>二十四、适用法律</w:t>
      </w:r>
    </w:p>
    <w:p>
      <w:pPr>
        <w:numPr>
          <w:ilvl w:val="0"/>
          <w:numId w:val="24"/>
        </w:numPr>
        <w:tabs>
          <w:tab w:val="left" w:pos="540"/>
        </w:tabs>
        <w:spacing w:line="360" w:lineRule="auto"/>
        <w:ind w:hanging="1680"/>
        <w:jc w:val="both"/>
        <w:rPr>
          <w:rFonts w:ascii="宋体"/>
          <w:color w:val="auto"/>
        </w:rPr>
      </w:pPr>
      <w:r>
        <w:rPr>
          <w:rFonts w:hint="eastAsia" w:ascii="宋体"/>
          <w:color w:val="auto"/>
        </w:rPr>
        <w:t>本合同按照中华人民共和国的法律进行解释。</w:t>
      </w:r>
    </w:p>
    <w:p>
      <w:pPr>
        <w:spacing w:before="180" w:line="360" w:lineRule="auto"/>
        <w:rPr>
          <w:rFonts w:ascii="宋体" w:hAnsi="宋体"/>
          <w:b/>
          <w:color w:val="auto"/>
          <w:sz w:val="24"/>
        </w:rPr>
      </w:pPr>
      <w:r>
        <w:rPr>
          <w:rFonts w:hint="eastAsia" w:ascii="宋体" w:hAnsi="宋体"/>
          <w:b/>
          <w:color w:val="auto"/>
          <w:sz w:val="24"/>
        </w:rPr>
        <w:t>二十五、通知</w:t>
      </w:r>
    </w:p>
    <w:p>
      <w:pPr>
        <w:numPr>
          <w:ilvl w:val="6"/>
          <w:numId w:val="23"/>
        </w:numPr>
        <w:tabs>
          <w:tab w:val="left" w:pos="540"/>
          <w:tab w:val="clear" w:pos="2940"/>
        </w:tabs>
        <w:spacing w:line="360" w:lineRule="auto"/>
        <w:ind w:left="540" w:hanging="540"/>
        <w:jc w:val="both"/>
        <w:rPr>
          <w:rFonts w:ascii="宋体"/>
          <w:color w:val="auto"/>
        </w:rPr>
      </w:pPr>
      <w:r>
        <w:rPr>
          <w:rFonts w:hint="eastAsia" w:ascii="宋体"/>
          <w:color w:val="auto"/>
        </w:rPr>
        <w:t>本合同一方给对方的通知应用书面形式送达对方的地址，电传或传真要经对方的书面形式确认，以电报形式通知的，以邮电局发出电报的第二天视为送达。</w:t>
      </w:r>
    </w:p>
    <w:p>
      <w:pPr>
        <w:numPr>
          <w:ilvl w:val="6"/>
          <w:numId w:val="23"/>
        </w:numPr>
        <w:tabs>
          <w:tab w:val="left" w:pos="540"/>
          <w:tab w:val="clear" w:pos="2940"/>
        </w:tabs>
        <w:spacing w:line="360" w:lineRule="auto"/>
        <w:ind w:left="540" w:hanging="540"/>
        <w:jc w:val="both"/>
        <w:rPr>
          <w:rFonts w:ascii="宋体"/>
          <w:color w:val="auto"/>
        </w:rPr>
      </w:pPr>
      <w:r>
        <w:rPr>
          <w:rFonts w:hint="eastAsia" w:ascii="宋体"/>
          <w:color w:val="auto"/>
        </w:rPr>
        <w:t>通知以送到日期或通知书的生效日期为生效日期，两者中以较迟的日期为准。</w:t>
      </w:r>
    </w:p>
    <w:p>
      <w:pPr>
        <w:spacing w:before="180" w:line="360" w:lineRule="auto"/>
        <w:rPr>
          <w:rFonts w:ascii="宋体" w:hAnsi="宋体"/>
          <w:b/>
          <w:color w:val="auto"/>
          <w:sz w:val="24"/>
        </w:rPr>
      </w:pPr>
      <w:r>
        <w:rPr>
          <w:rFonts w:hint="eastAsia" w:ascii="宋体" w:hAnsi="宋体"/>
          <w:b/>
          <w:color w:val="auto"/>
          <w:sz w:val="24"/>
        </w:rPr>
        <w:t>二十六、税和关税</w:t>
      </w:r>
    </w:p>
    <w:p>
      <w:pPr>
        <w:numPr>
          <w:ilvl w:val="0"/>
          <w:numId w:val="25"/>
        </w:numPr>
        <w:spacing w:line="360" w:lineRule="auto"/>
        <w:jc w:val="both"/>
        <w:rPr>
          <w:rFonts w:ascii="宋体"/>
          <w:color w:val="auto"/>
        </w:rPr>
      </w:pPr>
      <w:r>
        <w:rPr>
          <w:rFonts w:hint="eastAsia" w:ascii="宋体"/>
          <w:color w:val="auto"/>
        </w:rPr>
        <w:t>根据中华人民共和国现行税法的有关规定执行，投标总价应包含税和关税，买家不另行支付任何税费。</w:t>
      </w:r>
    </w:p>
    <w:p>
      <w:pPr>
        <w:spacing w:before="180" w:line="360" w:lineRule="auto"/>
        <w:rPr>
          <w:rFonts w:ascii="宋体" w:hAnsi="宋体"/>
          <w:b/>
          <w:color w:val="auto"/>
          <w:sz w:val="24"/>
        </w:rPr>
      </w:pPr>
      <w:r>
        <w:rPr>
          <w:rFonts w:hint="eastAsia" w:ascii="宋体" w:hAnsi="宋体"/>
          <w:b/>
          <w:color w:val="auto"/>
          <w:sz w:val="24"/>
        </w:rPr>
        <w:t>二十七、合同生效</w:t>
      </w:r>
    </w:p>
    <w:p>
      <w:pPr>
        <w:spacing w:line="360" w:lineRule="auto"/>
        <w:ind w:left="357" w:hanging="357"/>
        <w:rPr>
          <w:rFonts w:ascii="宋体" w:hAnsi="宋体"/>
          <w:b/>
          <w:color w:val="auto"/>
          <w:sz w:val="24"/>
        </w:rPr>
      </w:pPr>
      <w:r>
        <w:rPr>
          <w:rFonts w:hint="eastAsia" w:ascii="宋体"/>
          <w:color w:val="auto"/>
        </w:rPr>
        <w:t>1．合同经双方加盖公章或</w:t>
      </w:r>
      <w:r>
        <w:rPr>
          <w:rFonts w:ascii="宋体"/>
          <w:color w:val="auto"/>
        </w:rPr>
        <w:t>合同专用章</w:t>
      </w:r>
      <w:r>
        <w:rPr>
          <w:rFonts w:hint="eastAsia" w:ascii="宋体"/>
          <w:color w:val="auto"/>
        </w:rPr>
        <w:t>，且买方收到卖方提交的履约保证金后生效，合同签署日期以较迟签注的日期为准。</w:t>
      </w:r>
    </w:p>
    <w:p>
      <w:pPr>
        <w:spacing w:before="180" w:line="360" w:lineRule="auto"/>
        <w:rPr>
          <w:rFonts w:ascii="宋体" w:hAnsi="宋体"/>
          <w:b/>
          <w:color w:val="auto"/>
          <w:sz w:val="24"/>
        </w:rPr>
      </w:pPr>
      <w:r>
        <w:rPr>
          <w:rFonts w:hint="eastAsia" w:ascii="宋体" w:hAnsi="宋体"/>
          <w:b/>
          <w:color w:val="auto"/>
          <w:sz w:val="24"/>
        </w:rPr>
        <w:t>二十八、其它</w:t>
      </w:r>
    </w:p>
    <w:p>
      <w:pPr>
        <w:numPr>
          <w:ilvl w:val="0"/>
          <w:numId w:val="26"/>
        </w:numPr>
        <w:spacing w:line="360" w:lineRule="auto"/>
        <w:jc w:val="both"/>
        <w:rPr>
          <w:rFonts w:ascii="宋体" w:hAnsi="宋体"/>
          <w:b/>
          <w:color w:val="auto"/>
          <w:sz w:val="24"/>
        </w:rPr>
      </w:pPr>
      <w:r>
        <w:rPr>
          <w:rFonts w:hint="eastAsia" w:ascii="宋体"/>
          <w:color w:val="auto"/>
        </w:rPr>
        <w:t>中标通知书、投标文件、</w:t>
      </w:r>
      <w:r>
        <w:rPr>
          <w:rFonts w:hint="eastAsia" w:ascii="宋体" w:hAnsi="宋体"/>
          <w:color w:val="auto"/>
        </w:rPr>
        <w:t>招标文件</w:t>
      </w:r>
      <w:r>
        <w:rPr>
          <w:rFonts w:hint="eastAsia" w:ascii="宋体"/>
          <w:color w:val="auto"/>
        </w:rPr>
        <w:t>及</w:t>
      </w:r>
      <w:r>
        <w:rPr>
          <w:rFonts w:hint="eastAsia" w:ascii="宋体" w:hAnsi="宋体"/>
          <w:color w:val="auto"/>
        </w:rPr>
        <w:t>本合同之所有附件均为本合同的有效组成部份，与本合同具有同样法律效力，解释的顺序以文件生成时间在后的为准。</w:t>
      </w:r>
    </w:p>
    <w:p>
      <w:pPr>
        <w:numPr>
          <w:ilvl w:val="0"/>
          <w:numId w:val="26"/>
        </w:numPr>
        <w:spacing w:line="360" w:lineRule="auto"/>
        <w:jc w:val="both"/>
        <w:rPr>
          <w:rFonts w:ascii="宋体" w:hAnsi="宋体"/>
          <w:b/>
          <w:color w:val="auto"/>
          <w:sz w:val="24"/>
        </w:rPr>
      </w:pPr>
      <w:r>
        <w:rPr>
          <w:rFonts w:hint="eastAsia" w:ascii="宋体" w:hAnsi="宋体"/>
          <w:color w:val="auto"/>
        </w:rPr>
        <w:t>在执行本合同的过程中，所有经买卖双方签署确认的文件（包括会议纪要、补充协议、合同修改书、往来信函等）均为本合同的有效组成部份，其生效日期为双方盖章或确认之日期。</w:t>
      </w:r>
    </w:p>
    <w:p>
      <w:pPr>
        <w:numPr>
          <w:ilvl w:val="0"/>
          <w:numId w:val="26"/>
        </w:numPr>
        <w:spacing w:line="360" w:lineRule="auto"/>
        <w:jc w:val="both"/>
        <w:rPr>
          <w:rFonts w:ascii="宋体" w:hAnsi="宋体"/>
          <w:b/>
          <w:color w:val="auto"/>
          <w:spacing w:val="-4"/>
          <w:sz w:val="24"/>
          <w:szCs w:val="21"/>
        </w:rPr>
      </w:pPr>
      <w:r>
        <w:rPr>
          <w:rFonts w:hint="eastAsia" w:ascii="宋体" w:hAnsi="宋体"/>
          <w:color w:val="auto"/>
          <w:spacing w:val="-4"/>
          <w:szCs w:val="21"/>
        </w:rPr>
        <w:t>除买方事先以书面形式确认同意外，卖方不得部份或全部转让其应履行的合同项下的义务。</w:t>
      </w:r>
    </w:p>
    <w:p>
      <w:pPr>
        <w:numPr>
          <w:ilvl w:val="0"/>
          <w:numId w:val="26"/>
        </w:numPr>
        <w:spacing w:line="360" w:lineRule="auto"/>
        <w:jc w:val="both"/>
        <w:rPr>
          <w:rFonts w:ascii="宋体" w:hAnsi="宋体"/>
          <w:b/>
          <w:color w:val="auto"/>
          <w:sz w:val="24"/>
        </w:rPr>
      </w:pPr>
      <w:r>
        <w:rPr>
          <w:rFonts w:hint="eastAsia" w:ascii="宋体"/>
          <w:color w:val="auto"/>
        </w:rPr>
        <w:t>本合同一式</w:t>
      </w:r>
      <w:r>
        <w:rPr>
          <w:rFonts w:hint="eastAsia" w:ascii="宋体"/>
          <w:color w:val="auto"/>
          <w:u w:val="single"/>
        </w:rPr>
        <w:t xml:space="preserve"> 捌 </w:t>
      </w:r>
      <w:r>
        <w:rPr>
          <w:rFonts w:hint="eastAsia" w:ascii="宋体"/>
          <w:color w:val="auto"/>
        </w:rPr>
        <w:t>份，买方执</w:t>
      </w:r>
      <w:r>
        <w:rPr>
          <w:rFonts w:hint="eastAsia" w:ascii="宋体"/>
          <w:color w:val="auto"/>
          <w:u w:val="single"/>
        </w:rPr>
        <w:t xml:space="preserve"> 伍 </w:t>
      </w:r>
      <w:r>
        <w:rPr>
          <w:rFonts w:hint="eastAsia" w:ascii="宋体"/>
          <w:color w:val="auto"/>
        </w:rPr>
        <w:t>份，卖方执</w:t>
      </w:r>
      <w:r>
        <w:rPr>
          <w:rFonts w:hint="eastAsia" w:ascii="宋体"/>
          <w:color w:val="auto"/>
          <w:u w:val="single"/>
        </w:rPr>
        <w:t xml:space="preserve"> 叁 </w:t>
      </w:r>
      <w:r>
        <w:rPr>
          <w:rFonts w:hint="eastAsia" w:ascii="宋体"/>
          <w:color w:val="auto"/>
        </w:rPr>
        <w:t>份。</w:t>
      </w:r>
    </w:p>
    <w:p>
      <w:pPr>
        <w:numPr>
          <w:ilvl w:val="0"/>
          <w:numId w:val="26"/>
        </w:numPr>
        <w:spacing w:line="360" w:lineRule="auto"/>
        <w:jc w:val="both"/>
        <w:rPr>
          <w:rFonts w:ascii="宋体" w:hAnsi="宋体"/>
          <w:b/>
          <w:color w:val="auto"/>
          <w:sz w:val="24"/>
        </w:rPr>
      </w:pPr>
      <w:r>
        <w:rPr>
          <w:rFonts w:hint="eastAsia" w:ascii="宋体"/>
          <w:color w:val="auto"/>
        </w:rPr>
        <w:t>本合同附件</w:t>
      </w:r>
    </w:p>
    <w:p>
      <w:pPr>
        <w:tabs>
          <w:tab w:val="left" w:pos="0"/>
        </w:tabs>
        <w:spacing w:line="360" w:lineRule="auto"/>
        <w:ind w:left="510"/>
        <w:jc w:val="both"/>
        <w:rPr>
          <w:rFonts w:ascii="宋体"/>
          <w:color w:val="auto"/>
        </w:rPr>
      </w:pPr>
      <w:r>
        <w:rPr>
          <w:rFonts w:hint="eastAsia" w:ascii="宋体"/>
          <w:color w:val="auto"/>
        </w:rPr>
        <w:t>附件1：廉洁协议</w:t>
      </w:r>
    </w:p>
    <w:p>
      <w:pPr>
        <w:tabs>
          <w:tab w:val="left" w:pos="0"/>
        </w:tabs>
        <w:spacing w:line="360" w:lineRule="auto"/>
        <w:ind w:left="510"/>
        <w:jc w:val="both"/>
        <w:rPr>
          <w:rFonts w:ascii="宋体"/>
          <w:color w:val="auto"/>
        </w:rPr>
      </w:pPr>
      <w:r>
        <w:rPr>
          <w:rFonts w:hint="eastAsia" w:ascii="宋体"/>
          <w:color w:val="auto"/>
        </w:rPr>
        <w:t>附件2：建设项目安全管理责任书</w:t>
      </w:r>
    </w:p>
    <w:p>
      <w:pPr>
        <w:tabs>
          <w:tab w:val="left" w:pos="0"/>
        </w:tabs>
        <w:spacing w:line="360" w:lineRule="auto"/>
        <w:ind w:left="510"/>
        <w:jc w:val="both"/>
        <w:rPr>
          <w:rFonts w:ascii="宋体"/>
          <w:color w:val="auto"/>
        </w:rPr>
      </w:pPr>
      <w:r>
        <w:rPr>
          <w:rFonts w:hint="eastAsia" w:ascii="宋体"/>
          <w:color w:val="auto"/>
        </w:rPr>
        <w:t>附件</w:t>
      </w:r>
      <w:r>
        <w:rPr>
          <w:rFonts w:ascii="宋体"/>
          <w:color w:val="auto"/>
        </w:rPr>
        <w:t>3</w:t>
      </w:r>
      <w:r>
        <w:rPr>
          <w:rFonts w:hint="eastAsia" w:ascii="宋体"/>
          <w:color w:val="auto"/>
        </w:rPr>
        <w:t>：保密协议</w:t>
      </w:r>
    </w:p>
    <w:p>
      <w:pPr>
        <w:tabs>
          <w:tab w:val="left" w:pos="0"/>
        </w:tabs>
        <w:spacing w:line="360" w:lineRule="auto"/>
        <w:ind w:left="510"/>
        <w:jc w:val="both"/>
        <w:rPr>
          <w:rFonts w:ascii="宋体"/>
          <w:color w:val="auto"/>
        </w:rPr>
      </w:pPr>
      <w:r>
        <w:rPr>
          <w:rFonts w:hint="eastAsia" w:ascii="宋体"/>
          <w:color w:val="auto"/>
        </w:rPr>
        <w:t>附件</w:t>
      </w:r>
      <w:r>
        <w:rPr>
          <w:rFonts w:ascii="宋体"/>
          <w:color w:val="auto"/>
        </w:rPr>
        <w:t>4</w:t>
      </w:r>
      <w:r>
        <w:rPr>
          <w:rFonts w:hint="eastAsia" w:ascii="宋体"/>
          <w:color w:val="auto"/>
        </w:rPr>
        <w:t>：《用户</w:t>
      </w:r>
      <w:r>
        <w:rPr>
          <w:rFonts w:ascii="宋体"/>
          <w:color w:val="auto"/>
        </w:rPr>
        <w:t>需求书》</w:t>
      </w:r>
    </w:p>
    <w:p>
      <w:pPr>
        <w:tabs>
          <w:tab w:val="left" w:pos="0"/>
        </w:tabs>
        <w:spacing w:line="360" w:lineRule="auto"/>
        <w:ind w:left="510"/>
        <w:jc w:val="both"/>
        <w:rPr>
          <w:rFonts w:ascii="宋体"/>
          <w:color w:val="auto"/>
        </w:rPr>
      </w:pPr>
    </w:p>
    <w:p>
      <w:pPr>
        <w:tabs>
          <w:tab w:val="left" w:pos="0"/>
        </w:tabs>
        <w:spacing w:line="360" w:lineRule="auto"/>
        <w:ind w:left="510"/>
        <w:jc w:val="both"/>
        <w:rPr>
          <w:rFonts w:ascii="宋体"/>
          <w:color w:val="auto"/>
        </w:rPr>
      </w:pPr>
    </w:p>
    <w:p>
      <w:pPr>
        <w:tabs>
          <w:tab w:val="left" w:pos="0"/>
        </w:tabs>
        <w:spacing w:line="360" w:lineRule="auto"/>
        <w:ind w:left="510"/>
        <w:jc w:val="both"/>
        <w:rPr>
          <w:rFonts w:ascii="宋体"/>
          <w:color w:val="auto"/>
        </w:rPr>
      </w:pPr>
    </w:p>
    <w:tbl>
      <w:tblPr>
        <w:tblStyle w:val="37"/>
        <w:tblW w:w="93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3"/>
        <w:gridCol w:w="282"/>
        <w:gridCol w:w="45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4573" w:type="dxa"/>
          </w:tcPr>
          <w:p>
            <w:pPr>
              <w:tabs>
                <w:tab w:val="left" w:pos="0"/>
              </w:tabs>
              <w:spacing w:line="276" w:lineRule="auto"/>
              <w:jc w:val="both"/>
              <w:rPr>
                <w:rFonts w:ascii="宋体" w:hAnsi="宋体"/>
                <w:color w:val="auto"/>
                <w:szCs w:val="21"/>
              </w:rPr>
            </w:pPr>
            <w:r>
              <w:rPr>
                <w:rFonts w:hint="eastAsia" w:ascii="宋体" w:hAnsi="宋体"/>
                <w:color w:val="auto"/>
                <w:szCs w:val="21"/>
              </w:rPr>
              <w:t>买方（盖章）：</w:t>
            </w:r>
          </w:p>
        </w:tc>
        <w:tc>
          <w:tcPr>
            <w:tcW w:w="282" w:type="dxa"/>
          </w:tcPr>
          <w:p>
            <w:pPr>
              <w:tabs>
                <w:tab w:val="left" w:pos="0"/>
              </w:tabs>
              <w:spacing w:line="276" w:lineRule="auto"/>
              <w:jc w:val="both"/>
              <w:rPr>
                <w:rFonts w:ascii="宋体" w:hAnsi="宋体"/>
                <w:color w:val="auto"/>
                <w:szCs w:val="21"/>
              </w:rPr>
            </w:pPr>
          </w:p>
        </w:tc>
        <w:tc>
          <w:tcPr>
            <w:tcW w:w="4537" w:type="dxa"/>
          </w:tcPr>
          <w:p>
            <w:pPr>
              <w:tabs>
                <w:tab w:val="left" w:pos="0"/>
              </w:tabs>
              <w:spacing w:line="276" w:lineRule="auto"/>
              <w:jc w:val="both"/>
              <w:rPr>
                <w:rFonts w:ascii="宋体" w:hAnsi="宋体"/>
                <w:color w:val="auto"/>
                <w:szCs w:val="21"/>
              </w:rPr>
            </w:pPr>
            <w:r>
              <w:rPr>
                <w:rFonts w:hint="eastAsia" w:ascii="宋体" w:hAnsi="宋体"/>
                <w:color w:val="auto"/>
                <w:szCs w:val="21"/>
              </w:rPr>
              <w:t>卖方（盖章）：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jc w:val="center"/>
        </w:trPr>
        <w:tc>
          <w:tcPr>
            <w:tcW w:w="4573" w:type="dxa"/>
          </w:tcPr>
          <w:p>
            <w:pPr>
              <w:tabs>
                <w:tab w:val="left" w:pos="0"/>
              </w:tabs>
              <w:spacing w:line="276" w:lineRule="auto"/>
              <w:jc w:val="both"/>
              <w:rPr>
                <w:rFonts w:ascii="宋体" w:hAnsi="宋体"/>
                <w:color w:val="auto"/>
                <w:szCs w:val="21"/>
              </w:rPr>
            </w:pPr>
            <w:r>
              <w:rPr>
                <w:rFonts w:hint="eastAsia" w:ascii="宋体" w:hAnsi="宋体"/>
                <w:b/>
                <w:bCs/>
                <w:color w:val="auto"/>
                <w:szCs w:val="21"/>
                <w:u w:val="single"/>
              </w:rPr>
              <w:t xml:space="preserve">王老吉大健康产业（兰州）有限公司 </w:t>
            </w:r>
          </w:p>
        </w:tc>
        <w:tc>
          <w:tcPr>
            <w:tcW w:w="282" w:type="dxa"/>
          </w:tcPr>
          <w:p>
            <w:pPr>
              <w:tabs>
                <w:tab w:val="left" w:pos="0"/>
              </w:tabs>
              <w:spacing w:line="276" w:lineRule="auto"/>
              <w:jc w:val="both"/>
              <w:rPr>
                <w:rFonts w:ascii="宋体" w:hAnsi="宋体"/>
                <w:b/>
                <w:bCs/>
                <w:color w:val="auto"/>
                <w:szCs w:val="21"/>
                <w:u w:val="single"/>
              </w:rPr>
            </w:pPr>
          </w:p>
        </w:tc>
        <w:tc>
          <w:tcPr>
            <w:tcW w:w="4537" w:type="dxa"/>
          </w:tcPr>
          <w:p>
            <w:pPr>
              <w:tabs>
                <w:tab w:val="left" w:pos="0"/>
              </w:tabs>
              <w:spacing w:line="276" w:lineRule="auto"/>
              <w:jc w:val="both"/>
              <w:rPr>
                <w:rFonts w:ascii="宋体" w:hAnsi="宋体"/>
                <w:color w:val="auto"/>
                <w:szCs w:val="21"/>
              </w:rPr>
            </w:pPr>
            <w:r>
              <w:rPr>
                <w:rFonts w:hint="eastAsia" w:ascii="宋体" w:hAnsi="宋体"/>
                <w:b/>
                <w:bCs/>
                <w:color w:val="auto"/>
                <w:szCs w:val="21"/>
                <w:u w:val="single"/>
              </w:rPr>
              <w:t xml:space="preserve"> </w:t>
            </w:r>
            <w:r>
              <w:rPr>
                <w:rFonts w:ascii="宋体" w:hAnsi="宋体"/>
                <w:b/>
                <w:bCs/>
                <w:color w:val="auto"/>
                <w:szCs w:val="21"/>
                <w:u w:val="single"/>
              </w:rPr>
              <w:t xml:space="preserve">                                   </w:t>
            </w:r>
            <w:r>
              <w:rPr>
                <w:rFonts w:ascii="宋体" w:hAnsi="宋体"/>
                <w:color w:val="auto"/>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4573" w:type="dxa"/>
          </w:tcPr>
          <w:p>
            <w:pPr>
              <w:tabs>
                <w:tab w:val="left" w:pos="0"/>
              </w:tabs>
              <w:spacing w:line="276" w:lineRule="auto"/>
              <w:jc w:val="both"/>
              <w:rPr>
                <w:rFonts w:ascii="宋体" w:hAnsi="宋体"/>
                <w:color w:val="auto"/>
                <w:szCs w:val="21"/>
              </w:rPr>
            </w:pPr>
            <w:r>
              <w:rPr>
                <w:rFonts w:hint="eastAsia" w:ascii="宋体" w:hAnsi="宋体"/>
                <w:color w:val="auto"/>
                <w:szCs w:val="21"/>
              </w:rPr>
              <w:t>通讯地址：</w:t>
            </w:r>
            <w:r>
              <w:rPr>
                <w:rFonts w:hint="eastAsia" w:ascii="宋体" w:hAnsi="宋体"/>
                <w:color w:val="auto"/>
                <w:szCs w:val="21"/>
                <w:u w:val="single"/>
              </w:rPr>
              <w:t>甘肃省兰州市榆中县定</w:t>
            </w:r>
            <w:r>
              <w:rPr>
                <w:rFonts w:ascii="宋体" w:hAnsi="宋体"/>
                <w:color w:val="auto"/>
                <w:szCs w:val="21"/>
                <w:u w:val="single"/>
              </w:rPr>
              <w:t>远镇</w:t>
            </w:r>
            <w:r>
              <w:rPr>
                <w:rFonts w:hint="eastAsia" w:ascii="宋体" w:hAnsi="宋体"/>
                <w:color w:val="auto"/>
                <w:szCs w:val="21"/>
                <w:u w:val="single"/>
              </w:rPr>
              <w:t>兰州</w:t>
            </w:r>
            <w:r>
              <w:rPr>
                <w:rFonts w:ascii="宋体" w:hAnsi="宋体"/>
                <w:color w:val="auto"/>
                <w:szCs w:val="21"/>
                <w:u w:val="single"/>
              </w:rPr>
              <w:t>高新区定连园区</w:t>
            </w:r>
            <w:r>
              <w:rPr>
                <w:rFonts w:hint="eastAsia" w:ascii="宋体" w:hAnsi="宋体"/>
                <w:color w:val="auto"/>
                <w:szCs w:val="21"/>
                <w:u w:val="single"/>
              </w:rPr>
              <w:t xml:space="preserve">纬二十五路以北、经三路以西 </w:t>
            </w:r>
          </w:p>
        </w:tc>
        <w:tc>
          <w:tcPr>
            <w:tcW w:w="282" w:type="dxa"/>
          </w:tcPr>
          <w:p>
            <w:pPr>
              <w:tabs>
                <w:tab w:val="left" w:pos="0"/>
              </w:tabs>
              <w:spacing w:line="276" w:lineRule="auto"/>
              <w:jc w:val="both"/>
              <w:rPr>
                <w:rFonts w:ascii="宋体" w:hAnsi="宋体"/>
                <w:color w:val="auto"/>
                <w:szCs w:val="21"/>
              </w:rPr>
            </w:pPr>
          </w:p>
        </w:tc>
        <w:tc>
          <w:tcPr>
            <w:tcW w:w="4537" w:type="dxa"/>
          </w:tcPr>
          <w:p>
            <w:pPr>
              <w:tabs>
                <w:tab w:val="left" w:pos="0"/>
              </w:tabs>
              <w:spacing w:line="276" w:lineRule="auto"/>
              <w:jc w:val="both"/>
              <w:rPr>
                <w:rFonts w:ascii="宋体" w:hAnsi="宋体"/>
                <w:color w:val="auto"/>
                <w:szCs w:val="21"/>
              </w:rPr>
            </w:pPr>
            <w:r>
              <w:rPr>
                <w:rFonts w:hint="eastAsia" w:ascii="宋体" w:hAnsi="宋体"/>
                <w:color w:val="auto"/>
                <w:szCs w:val="21"/>
              </w:rPr>
              <w:t>通讯地址：</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4573" w:type="dxa"/>
          </w:tcPr>
          <w:p>
            <w:pPr>
              <w:tabs>
                <w:tab w:val="left" w:pos="0"/>
              </w:tabs>
              <w:spacing w:line="276" w:lineRule="auto"/>
              <w:jc w:val="both"/>
              <w:rPr>
                <w:rFonts w:ascii="宋体" w:hAnsi="宋体"/>
                <w:color w:val="auto"/>
                <w:szCs w:val="21"/>
              </w:rPr>
            </w:pPr>
            <w:r>
              <w:rPr>
                <w:rFonts w:hint="eastAsia" w:ascii="宋体" w:hAnsi="宋体"/>
                <w:color w:val="auto"/>
                <w:szCs w:val="21"/>
              </w:rPr>
              <w:t xml:space="preserve">电 </w:t>
            </w:r>
            <w:r>
              <w:rPr>
                <w:rFonts w:ascii="宋体" w:hAnsi="宋体"/>
                <w:color w:val="auto"/>
                <w:szCs w:val="21"/>
              </w:rPr>
              <w:t xml:space="preserve">   </w:t>
            </w:r>
            <w:r>
              <w:rPr>
                <w:rFonts w:hint="eastAsia" w:ascii="宋体" w:hAnsi="宋体"/>
                <w:color w:val="auto"/>
                <w:szCs w:val="21"/>
              </w:rPr>
              <w:t>话：</w:t>
            </w:r>
            <w:r>
              <w:rPr>
                <w:rFonts w:hint="eastAsia" w:ascii="宋体" w:hAnsi="宋体"/>
                <w:color w:val="auto"/>
                <w:szCs w:val="21"/>
                <w:u w:val="single"/>
              </w:rPr>
              <w:t xml:space="preserve">                      </w:t>
            </w:r>
          </w:p>
        </w:tc>
        <w:tc>
          <w:tcPr>
            <w:tcW w:w="282" w:type="dxa"/>
          </w:tcPr>
          <w:p>
            <w:pPr>
              <w:tabs>
                <w:tab w:val="left" w:pos="0"/>
              </w:tabs>
              <w:spacing w:line="276" w:lineRule="auto"/>
              <w:jc w:val="both"/>
              <w:rPr>
                <w:rFonts w:ascii="宋体" w:hAnsi="宋体"/>
                <w:color w:val="auto"/>
                <w:szCs w:val="21"/>
              </w:rPr>
            </w:pPr>
          </w:p>
        </w:tc>
        <w:tc>
          <w:tcPr>
            <w:tcW w:w="4537" w:type="dxa"/>
          </w:tcPr>
          <w:p>
            <w:pPr>
              <w:tabs>
                <w:tab w:val="left" w:pos="0"/>
              </w:tabs>
              <w:spacing w:line="276" w:lineRule="auto"/>
              <w:jc w:val="both"/>
              <w:rPr>
                <w:rFonts w:ascii="宋体" w:hAnsi="宋体"/>
                <w:color w:val="auto"/>
                <w:szCs w:val="21"/>
              </w:rPr>
            </w:pPr>
            <w:r>
              <w:rPr>
                <w:rFonts w:hint="eastAsia" w:ascii="宋体" w:hAnsi="宋体"/>
                <w:color w:val="auto"/>
                <w:szCs w:val="21"/>
              </w:rPr>
              <w:t>电话：</w:t>
            </w:r>
            <w:r>
              <w:rPr>
                <w:rFonts w:hint="eastAsia" w:ascii="宋体" w:hAnsi="宋体"/>
                <w:color w:val="auto"/>
                <w:szCs w:val="21"/>
                <w:u w:val="single"/>
              </w:rPr>
              <w:t xml:space="preserve">  </w:t>
            </w:r>
            <w:r>
              <w:rPr>
                <w:rFonts w:ascii="宋体" w:hAnsi="宋体"/>
                <w:color w:val="auto"/>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73" w:type="dxa"/>
          </w:tcPr>
          <w:p>
            <w:pPr>
              <w:tabs>
                <w:tab w:val="left" w:pos="0"/>
              </w:tabs>
              <w:spacing w:line="276" w:lineRule="auto"/>
              <w:jc w:val="both"/>
              <w:rPr>
                <w:rFonts w:ascii="宋体" w:hAnsi="宋体"/>
                <w:color w:val="auto"/>
                <w:szCs w:val="21"/>
              </w:rPr>
            </w:pPr>
            <w:r>
              <w:rPr>
                <w:rFonts w:hint="eastAsia" w:ascii="宋体" w:hAnsi="宋体"/>
                <w:color w:val="auto"/>
                <w:szCs w:val="21"/>
              </w:rPr>
              <w:t>开户银行：</w:t>
            </w:r>
            <w:r>
              <w:rPr>
                <w:rFonts w:hint="eastAsia" w:ascii="宋体" w:hAnsi="宋体"/>
                <w:color w:val="auto"/>
                <w:szCs w:val="21"/>
                <w:u w:val="single"/>
              </w:rPr>
              <w:t xml:space="preserve">中国建设银行股份有限公司榆中和平支行 </w:t>
            </w:r>
          </w:p>
        </w:tc>
        <w:tc>
          <w:tcPr>
            <w:tcW w:w="282" w:type="dxa"/>
          </w:tcPr>
          <w:p>
            <w:pPr>
              <w:tabs>
                <w:tab w:val="left" w:pos="0"/>
              </w:tabs>
              <w:spacing w:line="276" w:lineRule="auto"/>
              <w:jc w:val="both"/>
              <w:rPr>
                <w:rFonts w:ascii="宋体" w:hAnsi="宋体"/>
                <w:color w:val="auto"/>
                <w:szCs w:val="21"/>
              </w:rPr>
            </w:pPr>
          </w:p>
        </w:tc>
        <w:tc>
          <w:tcPr>
            <w:tcW w:w="4537" w:type="dxa"/>
          </w:tcPr>
          <w:p>
            <w:pPr>
              <w:tabs>
                <w:tab w:val="left" w:pos="0"/>
              </w:tabs>
              <w:spacing w:line="276" w:lineRule="auto"/>
              <w:jc w:val="both"/>
              <w:rPr>
                <w:rFonts w:ascii="宋体" w:hAnsi="宋体"/>
                <w:color w:val="auto"/>
                <w:szCs w:val="21"/>
              </w:rPr>
            </w:pPr>
            <w:r>
              <w:rPr>
                <w:rFonts w:hint="eastAsia" w:ascii="宋体" w:hAnsi="宋体"/>
                <w:color w:val="auto"/>
                <w:szCs w:val="21"/>
              </w:rPr>
              <w:t>开户银行：</w:t>
            </w:r>
            <w:r>
              <w:rPr>
                <w:rFonts w:hint="eastAsia" w:ascii="宋体" w:hAnsi="宋体"/>
                <w:color w:val="auto"/>
                <w:szCs w:val="21"/>
                <w:u w:val="single"/>
              </w:rPr>
              <w:t xml:space="preserve"> </w:t>
            </w:r>
            <w:r>
              <w:rPr>
                <w:rFonts w:ascii="宋体" w:hAnsi="宋体"/>
                <w:color w:val="auto"/>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4573" w:type="dxa"/>
          </w:tcPr>
          <w:p>
            <w:pPr>
              <w:tabs>
                <w:tab w:val="left" w:pos="0"/>
              </w:tabs>
              <w:spacing w:line="276" w:lineRule="auto"/>
              <w:jc w:val="both"/>
              <w:rPr>
                <w:rFonts w:ascii="宋体" w:hAnsi="宋体"/>
                <w:color w:val="auto"/>
                <w:szCs w:val="21"/>
              </w:rPr>
            </w:pPr>
            <w:r>
              <w:rPr>
                <w:rFonts w:hint="eastAsia" w:ascii="宋体" w:hAnsi="宋体"/>
                <w:color w:val="auto"/>
                <w:szCs w:val="21"/>
              </w:rPr>
              <w:t>银行账号：</w:t>
            </w:r>
            <w:r>
              <w:rPr>
                <w:rFonts w:hint="eastAsia" w:ascii="宋体" w:hAnsi="宋体"/>
                <w:color w:val="auto"/>
                <w:szCs w:val="21"/>
                <w:u w:val="single"/>
              </w:rPr>
              <w:t>62050136010200000459</w:t>
            </w:r>
            <w:r>
              <w:rPr>
                <w:rFonts w:ascii="宋体" w:hAnsi="宋体"/>
                <w:color w:val="auto"/>
                <w:szCs w:val="21"/>
                <w:u w:val="single"/>
              </w:rPr>
              <w:t xml:space="preserve"> </w:t>
            </w:r>
          </w:p>
        </w:tc>
        <w:tc>
          <w:tcPr>
            <w:tcW w:w="282" w:type="dxa"/>
          </w:tcPr>
          <w:p>
            <w:pPr>
              <w:tabs>
                <w:tab w:val="left" w:pos="0"/>
              </w:tabs>
              <w:spacing w:line="276" w:lineRule="auto"/>
              <w:jc w:val="both"/>
              <w:rPr>
                <w:rFonts w:ascii="宋体" w:hAnsi="宋体"/>
                <w:color w:val="auto"/>
                <w:szCs w:val="21"/>
              </w:rPr>
            </w:pPr>
          </w:p>
        </w:tc>
        <w:tc>
          <w:tcPr>
            <w:tcW w:w="4537" w:type="dxa"/>
          </w:tcPr>
          <w:p>
            <w:pPr>
              <w:tabs>
                <w:tab w:val="left" w:pos="0"/>
              </w:tabs>
              <w:spacing w:line="276" w:lineRule="auto"/>
              <w:jc w:val="both"/>
              <w:rPr>
                <w:rFonts w:ascii="宋体" w:hAnsi="宋体"/>
                <w:color w:val="auto"/>
                <w:szCs w:val="21"/>
                <w:u w:val="single"/>
              </w:rPr>
            </w:pPr>
            <w:r>
              <w:rPr>
                <w:rFonts w:hint="eastAsia" w:ascii="宋体" w:hAnsi="宋体"/>
                <w:color w:val="auto"/>
                <w:szCs w:val="21"/>
              </w:rPr>
              <w:t>银行账号：</w:t>
            </w:r>
            <w:r>
              <w:rPr>
                <w:rFonts w:ascii="宋体" w:hAnsi="宋体"/>
                <w:color w:val="auto"/>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4573" w:type="dxa"/>
          </w:tcPr>
          <w:p>
            <w:pPr>
              <w:tabs>
                <w:tab w:val="left" w:pos="0"/>
              </w:tabs>
              <w:spacing w:line="276" w:lineRule="auto"/>
              <w:jc w:val="both"/>
              <w:rPr>
                <w:rFonts w:ascii="宋体" w:hAnsi="宋体"/>
                <w:color w:val="auto"/>
                <w:szCs w:val="21"/>
              </w:rPr>
            </w:pPr>
            <w:r>
              <w:rPr>
                <w:rFonts w:hint="eastAsia" w:ascii="宋体" w:hAnsi="宋体"/>
                <w:color w:val="auto"/>
                <w:szCs w:val="21"/>
              </w:rPr>
              <w:t xml:space="preserve">日期：   </w:t>
            </w:r>
            <w:r>
              <w:rPr>
                <w:rFonts w:ascii="宋体" w:hAnsi="宋体"/>
                <w:color w:val="auto"/>
                <w:szCs w:val="21"/>
              </w:rPr>
              <w:t xml:space="preserve"> </w:t>
            </w:r>
            <w:r>
              <w:rPr>
                <w:rFonts w:hint="eastAsia" w:ascii="宋体" w:hAnsi="宋体"/>
                <w:color w:val="auto"/>
                <w:szCs w:val="21"/>
              </w:rPr>
              <w:t xml:space="preserve"> 年  </w:t>
            </w:r>
            <w:r>
              <w:rPr>
                <w:rFonts w:ascii="宋体" w:hAnsi="宋体"/>
                <w:color w:val="auto"/>
                <w:szCs w:val="21"/>
              </w:rPr>
              <w:t xml:space="preserve"> </w:t>
            </w:r>
            <w:r>
              <w:rPr>
                <w:rFonts w:hint="eastAsia" w:ascii="宋体" w:hAnsi="宋体"/>
                <w:color w:val="auto"/>
                <w:szCs w:val="21"/>
              </w:rPr>
              <w:t xml:space="preserve"> 月 </w:t>
            </w: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日</w:t>
            </w:r>
          </w:p>
        </w:tc>
        <w:tc>
          <w:tcPr>
            <w:tcW w:w="282" w:type="dxa"/>
          </w:tcPr>
          <w:p>
            <w:pPr>
              <w:tabs>
                <w:tab w:val="left" w:pos="0"/>
              </w:tabs>
              <w:spacing w:line="276" w:lineRule="auto"/>
              <w:jc w:val="both"/>
              <w:rPr>
                <w:rFonts w:ascii="宋体" w:hAnsi="宋体"/>
                <w:color w:val="auto"/>
                <w:szCs w:val="21"/>
              </w:rPr>
            </w:pPr>
          </w:p>
        </w:tc>
        <w:tc>
          <w:tcPr>
            <w:tcW w:w="4537" w:type="dxa"/>
          </w:tcPr>
          <w:p>
            <w:pPr>
              <w:tabs>
                <w:tab w:val="left" w:pos="0"/>
              </w:tabs>
              <w:spacing w:line="276" w:lineRule="auto"/>
              <w:jc w:val="both"/>
              <w:rPr>
                <w:rFonts w:ascii="宋体" w:hAnsi="宋体"/>
                <w:color w:val="auto"/>
                <w:szCs w:val="21"/>
              </w:rPr>
            </w:pPr>
            <w:r>
              <w:rPr>
                <w:rFonts w:hint="eastAsia" w:ascii="宋体" w:hAnsi="宋体"/>
                <w:color w:val="auto"/>
                <w:szCs w:val="21"/>
              </w:rPr>
              <w:t xml:space="preserve">日期：   </w:t>
            </w:r>
            <w:r>
              <w:rPr>
                <w:rFonts w:ascii="宋体" w:hAnsi="宋体"/>
                <w:color w:val="auto"/>
                <w:szCs w:val="21"/>
              </w:rPr>
              <w:t xml:space="preserve"> </w:t>
            </w:r>
            <w:r>
              <w:rPr>
                <w:rFonts w:hint="eastAsia" w:ascii="宋体" w:hAnsi="宋体"/>
                <w:color w:val="auto"/>
                <w:szCs w:val="21"/>
              </w:rPr>
              <w:t xml:space="preserve"> 年  </w:t>
            </w:r>
            <w:r>
              <w:rPr>
                <w:rFonts w:ascii="宋体" w:hAnsi="宋体"/>
                <w:color w:val="auto"/>
                <w:szCs w:val="21"/>
              </w:rPr>
              <w:t xml:space="preserve"> </w:t>
            </w:r>
            <w:r>
              <w:rPr>
                <w:rFonts w:hint="eastAsia" w:ascii="宋体" w:hAnsi="宋体"/>
                <w:color w:val="auto"/>
                <w:szCs w:val="21"/>
              </w:rPr>
              <w:t xml:space="preserve"> 月 </w:t>
            </w: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日</w:t>
            </w:r>
          </w:p>
        </w:tc>
      </w:tr>
    </w:tbl>
    <w:p>
      <w:pPr>
        <w:tabs>
          <w:tab w:val="left" w:pos="0"/>
        </w:tabs>
        <w:spacing w:line="360" w:lineRule="auto"/>
        <w:ind w:left="510"/>
        <w:jc w:val="both"/>
        <w:rPr>
          <w:rFonts w:ascii="宋体"/>
          <w:color w:val="auto"/>
        </w:rPr>
      </w:pPr>
    </w:p>
    <w:p>
      <w:pPr>
        <w:spacing w:line="360" w:lineRule="auto"/>
        <w:rPr>
          <w:rFonts w:ascii="宋体"/>
          <w:b/>
          <w:bCs/>
          <w:color w:val="auto"/>
        </w:rPr>
      </w:pPr>
      <w:r>
        <w:rPr>
          <w:rFonts w:hint="eastAsia" w:ascii="宋体"/>
          <w:b/>
          <w:bCs/>
          <w:color w:val="auto"/>
        </w:rPr>
        <w:t>附件1：</w:t>
      </w:r>
    </w:p>
    <w:p>
      <w:pPr>
        <w:spacing w:line="360" w:lineRule="auto"/>
        <w:jc w:val="center"/>
        <w:rPr>
          <w:b/>
          <w:color w:val="auto"/>
          <w:sz w:val="28"/>
          <w:szCs w:val="28"/>
        </w:rPr>
      </w:pPr>
      <w:r>
        <w:rPr>
          <w:b/>
          <w:color w:val="auto"/>
          <w:sz w:val="28"/>
          <w:szCs w:val="28"/>
        </w:rPr>
        <w:t>廉洁协议</w:t>
      </w:r>
    </w:p>
    <w:p>
      <w:pPr>
        <w:spacing w:line="360" w:lineRule="auto"/>
        <w:rPr>
          <w:b/>
          <w:color w:val="auto"/>
          <w:szCs w:val="21"/>
        </w:rPr>
      </w:pPr>
    </w:p>
    <w:p>
      <w:pPr>
        <w:spacing w:line="360" w:lineRule="auto"/>
        <w:rPr>
          <w:rFonts w:ascii="宋体" w:hAnsi="宋体"/>
          <w:color w:val="auto"/>
          <w:szCs w:val="21"/>
          <w:u w:val="single"/>
          <w:shd w:val="clear" w:color="auto" w:fill="FFFFFF"/>
        </w:rPr>
      </w:pPr>
      <w:r>
        <w:rPr>
          <w:rFonts w:ascii="宋体" w:hAnsi="宋体"/>
          <w:color w:val="auto"/>
          <w:szCs w:val="21"/>
          <w:shd w:val="clear" w:color="auto" w:fill="FFFFFF"/>
        </w:rPr>
        <w:t>买方：</w:t>
      </w:r>
      <w:r>
        <w:rPr>
          <w:rFonts w:hint="eastAsia" w:ascii="宋体" w:hAnsi="宋体"/>
          <w:color w:val="auto"/>
          <w:szCs w:val="21"/>
          <w:shd w:val="clear" w:color="auto" w:fill="FFFFFF"/>
        </w:rPr>
        <w:t>王老吉大健康产业（兰州）有限公司</w:t>
      </w:r>
      <w:r>
        <w:rPr>
          <w:rFonts w:ascii="宋体" w:hAnsi="宋体"/>
          <w:color w:val="auto"/>
          <w:szCs w:val="21"/>
        </w:rPr>
        <w:br w:type="textWrapping"/>
      </w:r>
      <w:r>
        <w:rPr>
          <w:rFonts w:ascii="宋体" w:hAnsi="宋体"/>
          <w:color w:val="auto"/>
          <w:szCs w:val="21"/>
          <w:shd w:val="clear" w:color="auto" w:fill="FFFFFF"/>
        </w:rPr>
        <w:t>卖方：</w:t>
      </w:r>
      <w:r>
        <w:rPr>
          <w:rFonts w:hint="eastAsia" w:ascii="宋体" w:hAnsi="宋体"/>
          <w:color w:val="auto"/>
          <w:szCs w:val="21"/>
          <w:u w:val="single"/>
          <w:shd w:val="clear" w:color="auto" w:fill="FFFFFF"/>
        </w:rPr>
        <w:t xml:space="preserve">  </w:t>
      </w:r>
      <w:r>
        <w:rPr>
          <w:rFonts w:ascii="宋体" w:hAnsi="宋体"/>
          <w:color w:val="auto"/>
          <w:szCs w:val="21"/>
          <w:u w:val="single"/>
          <w:shd w:val="clear" w:color="auto" w:fill="FFFFFF"/>
        </w:rPr>
        <w:t xml:space="preserve">                           </w:t>
      </w:r>
      <w:r>
        <w:rPr>
          <w:rFonts w:hint="eastAsia" w:ascii="宋体" w:hAnsi="宋体"/>
          <w:color w:val="auto"/>
          <w:szCs w:val="21"/>
          <w:u w:val="single"/>
          <w:shd w:val="clear" w:color="auto" w:fill="FFFFFF"/>
        </w:rPr>
        <w:t xml:space="preserve">  </w:t>
      </w:r>
    </w:p>
    <w:p>
      <w:pPr>
        <w:spacing w:line="360" w:lineRule="auto"/>
        <w:ind w:firstLine="420" w:firstLineChars="200"/>
        <w:rPr>
          <w:rFonts w:ascii="宋体" w:hAnsi="宋体"/>
          <w:color w:val="auto"/>
          <w:szCs w:val="21"/>
          <w:shd w:val="clear" w:color="auto" w:fill="FFFFFF"/>
        </w:rPr>
      </w:pPr>
      <w:r>
        <w:rPr>
          <w:rFonts w:ascii="宋体" w:hAnsi="宋体"/>
          <w:color w:val="auto"/>
          <w:szCs w:val="21"/>
          <w:shd w:val="clear" w:color="auto" w:fill="FFFFFF"/>
        </w:rPr>
        <w:t>为了在</w:t>
      </w:r>
      <w:r>
        <w:rPr>
          <w:rFonts w:hint="eastAsia" w:ascii="宋体" w:hAnsi="宋体"/>
          <w:color w:val="auto"/>
          <w:szCs w:val="21"/>
          <w:shd w:val="clear" w:color="auto" w:fill="FFFFFF"/>
        </w:rPr>
        <w:t>招标代理过程</w:t>
      </w:r>
      <w:r>
        <w:rPr>
          <w:rFonts w:ascii="宋体" w:hAnsi="宋体"/>
          <w:color w:val="auto"/>
          <w:szCs w:val="21"/>
          <w:shd w:val="clear" w:color="auto" w:fill="FFFFFF"/>
        </w:rPr>
        <w:t>中防止各种不正当行为的发生</w:t>
      </w:r>
      <w:r>
        <w:rPr>
          <w:rFonts w:hint="eastAsia" w:ascii="宋体" w:hAnsi="宋体"/>
          <w:color w:val="auto"/>
          <w:szCs w:val="21"/>
          <w:shd w:val="clear" w:color="auto" w:fill="FFFFFF"/>
        </w:rPr>
        <w:t>，保护招投标人的合法权益，预防招标活动中、合同履行中的商业贿赂，打击商业活动中的违法犯罪行为，根据国家有关法律、法规规定，拟定本协议：</w:t>
      </w:r>
    </w:p>
    <w:p>
      <w:pPr>
        <w:numPr>
          <w:ilvl w:val="0"/>
          <w:numId w:val="27"/>
        </w:numPr>
        <w:spacing w:line="360" w:lineRule="auto"/>
        <w:rPr>
          <w:rFonts w:ascii="宋体" w:hAnsi="宋体"/>
          <w:color w:val="auto"/>
          <w:szCs w:val="21"/>
          <w:shd w:val="clear" w:color="auto" w:fill="FFFFFF"/>
        </w:rPr>
      </w:pPr>
      <w:r>
        <w:rPr>
          <w:rFonts w:ascii="宋体" w:hAnsi="宋体"/>
          <w:color w:val="auto"/>
          <w:szCs w:val="21"/>
          <w:shd w:val="clear" w:color="auto" w:fill="FFFFFF"/>
        </w:rPr>
        <w:t>双方应当共同自觉遵守</w:t>
      </w:r>
      <w:r>
        <w:rPr>
          <w:rFonts w:hint="eastAsia" w:ascii="宋体" w:hAnsi="宋体"/>
          <w:color w:val="auto"/>
          <w:szCs w:val="21"/>
          <w:shd w:val="clear" w:color="auto" w:fill="FFFFFF"/>
        </w:rPr>
        <w:t>《中华人民共和国反不正当竞争法》、《中华人民共和国招标投标法》、《关于禁止商业贿赂行为的暂行规定》以及买方的招标、邀标规定，保证诚信、廉洁地参与。</w:t>
      </w:r>
    </w:p>
    <w:p>
      <w:pPr>
        <w:spacing w:before="150" w:after="150" w:line="360" w:lineRule="auto"/>
        <w:ind w:firstLine="420" w:firstLineChars="200"/>
        <w:rPr>
          <w:rFonts w:ascii="宋体" w:hAnsi="宋体"/>
          <w:b/>
          <w:color w:val="auto"/>
          <w:szCs w:val="21"/>
        </w:rPr>
      </w:pPr>
      <w:r>
        <w:rPr>
          <w:rFonts w:ascii="宋体" w:hAnsi="宋体"/>
          <w:color w:val="auto"/>
          <w:szCs w:val="21"/>
          <w:shd w:val="clear" w:color="auto" w:fill="FFFFFF"/>
        </w:rPr>
        <w:t>买方及其工作人员应做到：</w:t>
      </w:r>
      <w:r>
        <w:rPr>
          <w:color w:val="auto"/>
          <w:szCs w:val="21"/>
        </w:rPr>
        <w:br w:type="textWrapping"/>
      </w:r>
      <w:r>
        <w:rPr>
          <w:rFonts w:ascii="宋体" w:hAnsi="宋体"/>
          <w:color w:val="auto"/>
          <w:szCs w:val="21"/>
          <w:shd w:val="clear" w:color="auto" w:fill="FFFFFF"/>
        </w:rPr>
        <w:t>　　（一）买方工作人员（含家属、子女，下同）不得以任何形式向卖方索要赞助和收受回扣等好处费。</w:t>
      </w:r>
      <w:r>
        <w:rPr>
          <w:color w:val="auto"/>
          <w:szCs w:val="21"/>
        </w:rPr>
        <w:br w:type="textWrapping"/>
      </w:r>
      <w:r>
        <w:rPr>
          <w:rFonts w:ascii="宋体" w:hAnsi="宋体"/>
          <w:color w:val="auto"/>
          <w:szCs w:val="21"/>
          <w:shd w:val="clear" w:color="auto" w:fill="FFFFFF"/>
        </w:rPr>
        <w:t>　　（二）买方工作人员应当保持与卖方的正常业务交往，不得接受卖方的礼金、有价证券和贵重物品，不得向卖方索要（或接受）通讯工具、交通工具、家电及高档办公用品，不得在卖方报销任何应由单位或个人支付的费用。</w:t>
      </w:r>
      <w:r>
        <w:rPr>
          <w:color w:val="auto"/>
          <w:szCs w:val="21"/>
        </w:rPr>
        <w:br w:type="textWrapping"/>
      </w:r>
      <w:r>
        <w:rPr>
          <w:rFonts w:ascii="宋体" w:hAnsi="宋体"/>
          <w:color w:val="auto"/>
          <w:szCs w:val="21"/>
          <w:shd w:val="clear" w:color="auto" w:fill="FFFFFF"/>
        </w:rPr>
        <w:t>　　（三）买方工作人员不得参加可能影响公正执行公务的宴请和高消费的娱乐活动。</w:t>
      </w:r>
      <w:r>
        <w:rPr>
          <w:color w:val="auto"/>
          <w:szCs w:val="21"/>
        </w:rPr>
        <w:br w:type="textWrapping"/>
      </w:r>
      <w:r>
        <w:rPr>
          <w:rFonts w:ascii="宋体" w:hAnsi="宋体"/>
          <w:color w:val="auto"/>
          <w:szCs w:val="21"/>
          <w:shd w:val="clear" w:color="auto" w:fill="FFFFFF"/>
        </w:rPr>
        <w:t>　　（四）买方工作人员不得要求或者接受卖方为其住房装修、婚丧嫁娶、家属和子女的工作安排，以及出国出境提供方便。</w:t>
      </w:r>
      <w:r>
        <w:rPr>
          <w:color w:val="auto"/>
          <w:szCs w:val="21"/>
        </w:rPr>
        <w:br w:type="textWrapping"/>
      </w:r>
      <w:r>
        <w:rPr>
          <w:rFonts w:ascii="宋体" w:hAnsi="宋体"/>
          <w:color w:val="auto"/>
          <w:szCs w:val="21"/>
          <w:shd w:val="clear" w:color="auto" w:fill="FFFFFF"/>
        </w:rPr>
        <w:t>　　（五）买方工作人员不得以考察、参观等名义参加卖方安排的国内外旅游活动。</w:t>
      </w:r>
      <w:r>
        <w:rPr>
          <w:color w:val="auto"/>
          <w:szCs w:val="21"/>
        </w:rPr>
        <w:br w:type="textWrapping"/>
      </w:r>
      <w:r>
        <w:rPr>
          <w:rFonts w:ascii="宋体" w:hAnsi="宋体"/>
          <w:color w:val="auto"/>
          <w:szCs w:val="21"/>
          <w:shd w:val="clear" w:color="auto" w:fill="FFFFFF"/>
        </w:rPr>
        <w:t>　　（六）买方工作人员不得向卖方介绍家属或亲友从事与买方工程有关的材料设备供应、工程分包等经济活动。</w:t>
      </w:r>
      <w:r>
        <w:rPr>
          <w:color w:val="auto"/>
          <w:szCs w:val="21"/>
        </w:rPr>
        <w:br w:type="textWrapping"/>
      </w:r>
      <w:r>
        <w:rPr>
          <w:rFonts w:ascii="宋体" w:hAnsi="宋体"/>
          <w:color w:val="auto"/>
          <w:szCs w:val="21"/>
          <w:shd w:val="clear" w:color="auto" w:fill="FFFFFF"/>
        </w:rPr>
        <w:t>　　</w:t>
      </w:r>
      <w:r>
        <w:rPr>
          <w:rFonts w:ascii="宋体" w:hAnsi="宋体"/>
          <w:b/>
          <w:color w:val="auto"/>
          <w:szCs w:val="21"/>
          <w:shd w:val="clear" w:color="auto" w:fill="FFFFFF"/>
        </w:rPr>
        <w:t>三、</w:t>
      </w:r>
      <w:r>
        <w:rPr>
          <w:rFonts w:ascii="宋体" w:hAnsi="宋体"/>
          <w:color w:val="auto"/>
          <w:szCs w:val="21"/>
          <w:shd w:val="clear" w:color="auto" w:fill="FFFFFF"/>
        </w:rPr>
        <w:t>卖方及其工作人员应当做到：</w:t>
      </w:r>
      <w:r>
        <w:rPr>
          <w:color w:val="auto"/>
          <w:szCs w:val="21"/>
        </w:rPr>
        <w:br w:type="textWrapping"/>
      </w:r>
      <w:r>
        <w:rPr>
          <w:rFonts w:ascii="宋体" w:hAnsi="宋体"/>
          <w:color w:val="auto"/>
          <w:szCs w:val="21"/>
          <w:shd w:val="clear" w:color="auto" w:fill="FFFFFF"/>
        </w:rPr>
        <w:t>　　（一）卖方应当通过正常途径开展相对业务工作，不得为获取某些不正当利益而向买方工作人员（含家属、子女，下同）赠送礼金、有价证券和贵重物品等。</w:t>
      </w:r>
      <w:r>
        <w:rPr>
          <w:color w:val="auto"/>
          <w:szCs w:val="21"/>
        </w:rPr>
        <w:br w:type="textWrapping"/>
      </w:r>
      <w:r>
        <w:rPr>
          <w:rFonts w:ascii="宋体" w:hAnsi="宋体"/>
          <w:color w:val="auto"/>
          <w:szCs w:val="21"/>
          <w:shd w:val="clear" w:color="auto" w:fill="FFFFFF"/>
        </w:rPr>
        <w:t>　　（二）卖方工作人员不得为谋取私利擅自与买方工作人员私下商谈或者达成默契。</w:t>
      </w:r>
      <w:r>
        <w:rPr>
          <w:color w:val="auto"/>
          <w:szCs w:val="21"/>
        </w:rPr>
        <w:br w:type="textWrapping"/>
      </w:r>
      <w:r>
        <w:rPr>
          <w:rFonts w:ascii="宋体" w:hAnsi="宋体"/>
          <w:color w:val="auto"/>
          <w:szCs w:val="21"/>
          <w:shd w:val="clear" w:color="auto" w:fill="FFFFFF"/>
        </w:rPr>
        <w:t>　</w:t>
      </w:r>
      <w:r>
        <w:rPr>
          <w:rFonts w:hint="eastAsia" w:ascii="宋体" w:hAnsi="宋体"/>
          <w:color w:val="auto"/>
          <w:szCs w:val="21"/>
          <w:shd w:val="clear" w:color="auto" w:fill="FFFFFF"/>
        </w:rPr>
        <w:t xml:space="preserve">  </w:t>
      </w:r>
      <w:r>
        <w:rPr>
          <w:rFonts w:ascii="宋体" w:hAnsi="宋体"/>
          <w:color w:val="auto"/>
          <w:szCs w:val="21"/>
          <w:shd w:val="clear" w:color="auto" w:fill="FFFFFF"/>
        </w:rPr>
        <w:t>（三）卖方不得以洽谈业务、签订经济合同等为借口，邀请买方工作人员外出旅游或进入营业性高档娱乐场所。</w:t>
      </w:r>
      <w:r>
        <w:rPr>
          <w:color w:val="auto"/>
          <w:szCs w:val="21"/>
        </w:rPr>
        <w:br w:type="textWrapping"/>
      </w:r>
      <w:r>
        <w:rPr>
          <w:rFonts w:ascii="宋体" w:hAnsi="宋体"/>
          <w:color w:val="auto"/>
          <w:szCs w:val="21"/>
          <w:shd w:val="clear" w:color="auto" w:fill="FFFFFF"/>
        </w:rPr>
        <w:t>　　（四）卖方不得为买方单位和个人购置或者提供通讯工具、交通工具、家电及高档办公用品等物品。</w:t>
      </w:r>
      <w:r>
        <w:rPr>
          <w:color w:val="auto"/>
          <w:szCs w:val="21"/>
        </w:rPr>
        <w:br w:type="textWrapping"/>
      </w:r>
      <w:r>
        <w:rPr>
          <w:rFonts w:hint="eastAsia" w:ascii="宋体" w:hAnsi="宋体"/>
          <w:color w:val="auto"/>
          <w:szCs w:val="21"/>
          <w:shd w:val="clear" w:color="auto" w:fill="FFFFFF"/>
        </w:rPr>
        <w:t xml:space="preserve">    </w:t>
      </w:r>
      <w:r>
        <w:rPr>
          <w:rFonts w:ascii="宋体" w:hAnsi="宋体"/>
          <w:color w:val="auto"/>
          <w:szCs w:val="21"/>
          <w:shd w:val="clear" w:color="auto" w:fill="FFFFFF"/>
        </w:rPr>
        <w:t>四、卖方如发现买方及其工作人员有违反上述协议者，应当向买方领导或者买方上级单位举报，买方不得找任何借口对卖方进行报复或刁难、延误工作。</w:t>
      </w:r>
      <w:r>
        <w:rPr>
          <w:color w:val="auto"/>
          <w:szCs w:val="21"/>
        </w:rPr>
        <w:br w:type="textWrapping"/>
      </w:r>
      <w:r>
        <w:rPr>
          <w:rFonts w:ascii="宋体" w:hAnsi="宋体"/>
          <w:color w:val="auto"/>
          <w:szCs w:val="21"/>
          <w:shd w:val="clear" w:color="auto" w:fill="FFFFFF"/>
        </w:rPr>
        <w:t>　　五、买方发现卖方有违反本协议或者采用不正当的手段贿赂买方工作人员，买方应向卖方上级领导或有关部门举报，由此给买方单位造成的损失均由卖方承担。</w:t>
      </w:r>
      <w:r>
        <w:rPr>
          <w:color w:val="auto"/>
          <w:szCs w:val="21"/>
        </w:rPr>
        <w:br w:type="textWrapping"/>
      </w:r>
      <w:r>
        <w:rPr>
          <w:rFonts w:ascii="宋体" w:hAnsi="宋体"/>
          <w:color w:val="auto"/>
          <w:szCs w:val="21"/>
          <w:shd w:val="clear" w:color="auto" w:fill="FFFFFF"/>
        </w:rPr>
        <w:t>　　六、本协议作为</w:t>
      </w:r>
      <w:r>
        <w:rPr>
          <w:rFonts w:hint="eastAsia" w:ascii="宋体" w:hAnsi="宋体"/>
          <w:color w:val="auto"/>
          <w:szCs w:val="21"/>
          <w:shd w:val="clear" w:color="auto" w:fill="FFFFFF"/>
        </w:rPr>
        <w:t>合同的</w:t>
      </w:r>
      <w:r>
        <w:rPr>
          <w:rFonts w:ascii="宋体" w:hAnsi="宋体"/>
          <w:color w:val="auto"/>
          <w:szCs w:val="21"/>
          <w:shd w:val="clear" w:color="auto" w:fill="FFFFFF"/>
        </w:rPr>
        <w:t>附件，经协议双方</w:t>
      </w:r>
      <w:r>
        <w:rPr>
          <w:rFonts w:hint="eastAsia" w:ascii="宋体" w:hAnsi="宋体"/>
          <w:color w:val="auto"/>
          <w:szCs w:val="21"/>
          <w:shd w:val="clear" w:color="auto" w:fill="FFFFFF"/>
        </w:rPr>
        <w:t>加盖公章或合同专用章</w:t>
      </w:r>
      <w:r>
        <w:rPr>
          <w:rFonts w:ascii="宋体" w:hAnsi="宋体"/>
          <w:color w:val="auto"/>
          <w:szCs w:val="21"/>
          <w:shd w:val="clear" w:color="auto" w:fill="FFFFFF"/>
        </w:rPr>
        <w:t>后立即生效。　　</w:t>
      </w:r>
      <w:r>
        <w:rPr>
          <w:color w:val="auto"/>
          <w:szCs w:val="21"/>
        </w:rPr>
        <w:br w:type="textWrapping"/>
      </w:r>
      <w:r>
        <w:rPr>
          <w:rFonts w:hint="eastAsia" w:ascii="宋体" w:hAnsi="宋体" w:cs="宋体"/>
          <w:color w:val="auto"/>
          <w:szCs w:val="21"/>
        </w:rPr>
        <w:t>（以下无正文）</w:t>
      </w:r>
    </w:p>
    <w:p>
      <w:pPr>
        <w:tabs>
          <w:tab w:val="left" w:pos="7740"/>
        </w:tabs>
        <w:spacing w:before="156" w:beforeLines="50" w:line="360" w:lineRule="auto"/>
        <w:rPr>
          <w:rFonts w:ascii="宋体" w:hAnsi="宋体"/>
          <w:b/>
          <w:color w:val="auto"/>
          <w:szCs w:val="21"/>
        </w:rPr>
      </w:pPr>
    </w:p>
    <w:p>
      <w:pPr>
        <w:tabs>
          <w:tab w:val="left" w:pos="7740"/>
        </w:tabs>
        <w:spacing w:before="156" w:beforeLines="50" w:line="360" w:lineRule="auto"/>
        <w:rPr>
          <w:rFonts w:ascii="宋体" w:hAnsi="宋体"/>
          <w:b/>
          <w:color w:val="auto"/>
          <w:szCs w:val="21"/>
        </w:rPr>
      </w:pPr>
    </w:p>
    <w:tbl>
      <w:tblPr>
        <w:tblStyle w:val="37"/>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92"/>
        <w:gridCol w:w="284"/>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4392" w:type="dxa"/>
          </w:tcPr>
          <w:p>
            <w:pPr>
              <w:tabs>
                <w:tab w:val="left" w:pos="0"/>
              </w:tabs>
              <w:spacing w:line="276" w:lineRule="auto"/>
              <w:jc w:val="both"/>
              <w:rPr>
                <w:rFonts w:ascii="宋体" w:hAnsi="宋体"/>
                <w:color w:val="auto"/>
                <w:szCs w:val="21"/>
              </w:rPr>
            </w:pPr>
            <w:r>
              <w:rPr>
                <w:rFonts w:hint="eastAsia" w:ascii="宋体" w:hAnsi="宋体"/>
                <w:color w:val="auto"/>
                <w:szCs w:val="21"/>
              </w:rPr>
              <w:t>买方（盖章）：</w:t>
            </w:r>
          </w:p>
        </w:tc>
        <w:tc>
          <w:tcPr>
            <w:tcW w:w="284" w:type="dxa"/>
          </w:tcPr>
          <w:p>
            <w:pPr>
              <w:tabs>
                <w:tab w:val="left" w:pos="0"/>
              </w:tabs>
              <w:spacing w:line="276" w:lineRule="auto"/>
              <w:jc w:val="both"/>
              <w:rPr>
                <w:rFonts w:ascii="宋体" w:hAnsi="宋体"/>
                <w:color w:val="auto"/>
                <w:szCs w:val="21"/>
              </w:rPr>
            </w:pPr>
          </w:p>
        </w:tc>
        <w:tc>
          <w:tcPr>
            <w:tcW w:w="4395" w:type="dxa"/>
          </w:tcPr>
          <w:p>
            <w:pPr>
              <w:tabs>
                <w:tab w:val="left" w:pos="0"/>
              </w:tabs>
              <w:spacing w:line="276" w:lineRule="auto"/>
              <w:jc w:val="both"/>
              <w:rPr>
                <w:rFonts w:ascii="宋体" w:hAnsi="宋体"/>
                <w:color w:val="auto"/>
                <w:szCs w:val="21"/>
              </w:rPr>
            </w:pPr>
            <w:r>
              <w:rPr>
                <w:rFonts w:hint="eastAsia" w:ascii="宋体" w:hAnsi="宋体"/>
                <w:color w:val="auto"/>
                <w:szCs w:val="21"/>
              </w:rPr>
              <w:t>卖方（盖章）：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4392" w:type="dxa"/>
          </w:tcPr>
          <w:p>
            <w:pPr>
              <w:tabs>
                <w:tab w:val="left" w:pos="0"/>
              </w:tabs>
              <w:spacing w:line="276" w:lineRule="auto"/>
              <w:jc w:val="both"/>
              <w:rPr>
                <w:rFonts w:ascii="宋体" w:hAnsi="宋体"/>
                <w:color w:val="auto"/>
                <w:szCs w:val="21"/>
              </w:rPr>
            </w:pPr>
            <w:r>
              <w:rPr>
                <w:rFonts w:hint="eastAsia" w:ascii="宋体" w:hAnsi="宋体"/>
                <w:b/>
                <w:bCs/>
                <w:color w:val="auto"/>
                <w:szCs w:val="21"/>
                <w:u w:val="single"/>
              </w:rPr>
              <w:t xml:space="preserve">王老吉大健康产业（兰州）有限公司 </w:t>
            </w:r>
          </w:p>
        </w:tc>
        <w:tc>
          <w:tcPr>
            <w:tcW w:w="284" w:type="dxa"/>
          </w:tcPr>
          <w:p>
            <w:pPr>
              <w:tabs>
                <w:tab w:val="left" w:pos="0"/>
              </w:tabs>
              <w:spacing w:line="276" w:lineRule="auto"/>
              <w:jc w:val="both"/>
              <w:rPr>
                <w:rFonts w:ascii="宋体" w:hAnsi="宋体"/>
                <w:b/>
                <w:bCs/>
                <w:color w:val="auto"/>
                <w:szCs w:val="21"/>
                <w:u w:val="single"/>
              </w:rPr>
            </w:pPr>
          </w:p>
        </w:tc>
        <w:tc>
          <w:tcPr>
            <w:tcW w:w="4395" w:type="dxa"/>
          </w:tcPr>
          <w:p>
            <w:pPr>
              <w:tabs>
                <w:tab w:val="left" w:pos="0"/>
              </w:tabs>
              <w:spacing w:line="276" w:lineRule="auto"/>
              <w:jc w:val="both"/>
              <w:rPr>
                <w:rFonts w:ascii="宋体" w:hAnsi="宋体"/>
                <w:color w:val="auto"/>
                <w:szCs w:val="21"/>
              </w:rPr>
            </w:pPr>
            <w:r>
              <w:rPr>
                <w:rFonts w:hint="eastAsia" w:ascii="宋体" w:hAnsi="宋体"/>
                <w:b/>
                <w:bCs/>
                <w:color w:val="auto"/>
                <w:szCs w:val="21"/>
                <w:u w:val="single"/>
              </w:rPr>
              <w:t xml:space="preserve"> </w:t>
            </w:r>
            <w:r>
              <w:rPr>
                <w:rFonts w:ascii="宋体" w:hAnsi="宋体"/>
                <w:b/>
                <w:bCs/>
                <w:color w:val="auto"/>
                <w:szCs w:val="21"/>
                <w:u w:val="single"/>
              </w:rPr>
              <w:t xml:space="preserve">                          </w:t>
            </w:r>
            <w:r>
              <w:rPr>
                <w:rFonts w:ascii="宋体" w:hAnsi="宋体"/>
                <w:color w:val="auto"/>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4392" w:type="dxa"/>
          </w:tcPr>
          <w:p>
            <w:pPr>
              <w:tabs>
                <w:tab w:val="left" w:pos="0"/>
              </w:tabs>
              <w:spacing w:line="276" w:lineRule="auto"/>
              <w:jc w:val="both"/>
              <w:rPr>
                <w:rFonts w:ascii="宋体" w:hAnsi="宋体"/>
                <w:color w:val="auto"/>
                <w:szCs w:val="21"/>
              </w:rPr>
            </w:pPr>
            <w:r>
              <w:rPr>
                <w:rFonts w:hint="eastAsia" w:ascii="宋体" w:hAnsi="宋体"/>
                <w:color w:val="auto"/>
                <w:szCs w:val="21"/>
              </w:rPr>
              <w:t xml:space="preserve">签订日期：   </w:t>
            </w:r>
            <w:r>
              <w:rPr>
                <w:rFonts w:ascii="宋体" w:hAnsi="宋体"/>
                <w:color w:val="auto"/>
                <w:szCs w:val="21"/>
              </w:rPr>
              <w:t xml:space="preserve"> </w:t>
            </w:r>
            <w:r>
              <w:rPr>
                <w:rFonts w:hint="eastAsia" w:ascii="宋体" w:hAnsi="宋体"/>
                <w:color w:val="auto"/>
                <w:szCs w:val="21"/>
              </w:rPr>
              <w:t xml:space="preserve"> 年  </w:t>
            </w:r>
            <w:r>
              <w:rPr>
                <w:rFonts w:ascii="宋体" w:hAnsi="宋体"/>
                <w:color w:val="auto"/>
                <w:szCs w:val="21"/>
              </w:rPr>
              <w:t xml:space="preserve"> </w:t>
            </w:r>
            <w:r>
              <w:rPr>
                <w:rFonts w:hint="eastAsia" w:ascii="宋体" w:hAnsi="宋体"/>
                <w:color w:val="auto"/>
                <w:szCs w:val="21"/>
              </w:rPr>
              <w:t xml:space="preserve"> 月 </w:t>
            </w: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日</w:t>
            </w:r>
          </w:p>
        </w:tc>
        <w:tc>
          <w:tcPr>
            <w:tcW w:w="284" w:type="dxa"/>
          </w:tcPr>
          <w:p>
            <w:pPr>
              <w:tabs>
                <w:tab w:val="left" w:pos="0"/>
              </w:tabs>
              <w:spacing w:line="276" w:lineRule="auto"/>
              <w:jc w:val="both"/>
              <w:rPr>
                <w:rFonts w:ascii="宋体" w:hAnsi="宋体"/>
                <w:color w:val="auto"/>
                <w:szCs w:val="21"/>
              </w:rPr>
            </w:pPr>
          </w:p>
        </w:tc>
        <w:tc>
          <w:tcPr>
            <w:tcW w:w="4395" w:type="dxa"/>
          </w:tcPr>
          <w:p>
            <w:pPr>
              <w:tabs>
                <w:tab w:val="left" w:pos="0"/>
              </w:tabs>
              <w:spacing w:line="276" w:lineRule="auto"/>
              <w:jc w:val="both"/>
              <w:rPr>
                <w:rFonts w:ascii="宋体" w:hAnsi="宋体"/>
                <w:color w:val="auto"/>
                <w:szCs w:val="21"/>
              </w:rPr>
            </w:pPr>
            <w:r>
              <w:rPr>
                <w:rFonts w:hint="eastAsia" w:ascii="宋体" w:hAnsi="宋体"/>
                <w:color w:val="auto"/>
                <w:szCs w:val="21"/>
              </w:rPr>
              <w:t xml:space="preserve">签订日期：   </w:t>
            </w:r>
            <w:r>
              <w:rPr>
                <w:rFonts w:ascii="宋体" w:hAnsi="宋体"/>
                <w:color w:val="auto"/>
                <w:szCs w:val="21"/>
              </w:rPr>
              <w:t xml:space="preserve"> </w:t>
            </w:r>
            <w:r>
              <w:rPr>
                <w:rFonts w:hint="eastAsia" w:ascii="宋体" w:hAnsi="宋体"/>
                <w:color w:val="auto"/>
                <w:szCs w:val="21"/>
              </w:rPr>
              <w:t xml:space="preserve"> 年  </w:t>
            </w:r>
            <w:r>
              <w:rPr>
                <w:rFonts w:ascii="宋体" w:hAnsi="宋体"/>
                <w:color w:val="auto"/>
                <w:szCs w:val="21"/>
              </w:rPr>
              <w:t xml:space="preserve"> </w:t>
            </w:r>
            <w:r>
              <w:rPr>
                <w:rFonts w:hint="eastAsia" w:ascii="宋体" w:hAnsi="宋体"/>
                <w:color w:val="auto"/>
                <w:szCs w:val="21"/>
              </w:rPr>
              <w:t xml:space="preserve"> 月 </w:t>
            </w: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日</w:t>
            </w:r>
          </w:p>
        </w:tc>
      </w:tr>
    </w:tbl>
    <w:p>
      <w:pPr>
        <w:tabs>
          <w:tab w:val="left" w:pos="7740"/>
        </w:tabs>
        <w:spacing w:before="156" w:beforeLines="50" w:line="360" w:lineRule="auto"/>
        <w:rPr>
          <w:rFonts w:ascii="宋体" w:hAnsi="宋体"/>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Cs w:val="21"/>
        </w:rPr>
      </w:pPr>
      <w:r>
        <w:rPr>
          <w:b/>
          <w:color w:val="auto"/>
          <w:szCs w:val="21"/>
        </w:rPr>
        <w:br w:type="page"/>
      </w:r>
    </w:p>
    <w:p>
      <w:pPr>
        <w:rPr>
          <w:rFonts w:ascii="宋体" w:hAnsi="宋体"/>
          <w:b/>
          <w:color w:val="auto"/>
          <w:sz w:val="30"/>
          <w:szCs w:val="30"/>
        </w:rPr>
      </w:pPr>
      <w:r>
        <w:rPr>
          <w:rFonts w:hint="eastAsia"/>
          <w:b/>
          <w:color w:val="auto"/>
          <w:szCs w:val="21"/>
        </w:rPr>
        <w:t>附件2：</w:t>
      </w:r>
    </w:p>
    <w:p>
      <w:pPr>
        <w:jc w:val="center"/>
        <w:rPr>
          <w:b/>
          <w:color w:val="auto"/>
          <w:sz w:val="28"/>
          <w:szCs w:val="28"/>
        </w:rPr>
      </w:pPr>
      <w:r>
        <w:rPr>
          <w:rFonts w:hint="eastAsia" w:ascii="宋体" w:hAnsi="宋体"/>
          <w:b/>
          <w:color w:val="auto"/>
          <w:sz w:val="28"/>
          <w:szCs w:val="28"/>
        </w:rPr>
        <w:t>建设项目安全管理责任书</w:t>
      </w:r>
    </w:p>
    <w:p>
      <w:pPr>
        <w:spacing w:line="360" w:lineRule="auto"/>
        <w:rPr>
          <w:rFonts w:ascii="宋体" w:hAnsi="宋体"/>
          <w:color w:val="auto"/>
          <w:szCs w:val="21"/>
        </w:rPr>
      </w:pPr>
    </w:p>
    <w:p>
      <w:pPr>
        <w:spacing w:line="360" w:lineRule="auto"/>
        <w:rPr>
          <w:rFonts w:ascii="宋体" w:hAnsi="宋体"/>
          <w:color w:val="auto"/>
          <w:szCs w:val="21"/>
        </w:rPr>
      </w:pPr>
      <w:r>
        <w:rPr>
          <w:rFonts w:hint="eastAsia" w:ascii="宋体" w:hAnsi="宋体"/>
          <w:b/>
          <w:color w:val="auto"/>
          <w:szCs w:val="21"/>
        </w:rPr>
        <w:t>买方</w:t>
      </w:r>
      <w:r>
        <w:rPr>
          <w:rFonts w:hAnsi="宋体"/>
          <w:b/>
          <w:bCs/>
          <w:color w:val="auto"/>
          <w:szCs w:val="21"/>
        </w:rPr>
        <w:t>：</w:t>
      </w:r>
      <w:r>
        <w:rPr>
          <w:rFonts w:hint="eastAsia" w:ascii="宋体" w:hAnsi="宋体"/>
          <w:color w:val="auto"/>
          <w:szCs w:val="21"/>
        </w:rPr>
        <w:t>王老吉大健康产业（兰州）</w:t>
      </w:r>
      <w:r>
        <w:rPr>
          <w:rFonts w:ascii="宋体" w:hAnsi="宋体"/>
          <w:color w:val="auto"/>
          <w:szCs w:val="21"/>
        </w:rPr>
        <w:t>有限</w:t>
      </w:r>
      <w:r>
        <w:rPr>
          <w:rFonts w:hint="eastAsia" w:ascii="宋体" w:hAnsi="宋体"/>
          <w:color w:val="auto"/>
          <w:szCs w:val="21"/>
        </w:rPr>
        <w:t xml:space="preserve">公司               </w:t>
      </w:r>
      <w:r>
        <w:rPr>
          <w:rFonts w:ascii="宋体" w:hAnsi="宋体"/>
          <w:color w:val="auto"/>
          <w:szCs w:val="21"/>
        </w:rPr>
        <w:t xml:space="preserve"> </w:t>
      </w:r>
      <w:r>
        <w:rPr>
          <w:rFonts w:hint="eastAsia" w:ascii="宋体" w:hAnsi="宋体"/>
          <w:color w:val="auto"/>
          <w:szCs w:val="21"/>
        </w:rPr>
        <w:t xml:space="preserve"> </w:t>
      </w:r>
    </w:p>
    <w:p>
      <w:pPr>
        <w:spacing w:line="360" w:lineRule="auto"/>
        <w:rPr>
          <w:rFonts w:ascii="宋体" w:hAnsi="宋体"/>
          <w:b/>
          <w:color w:val="auto"/>
          <w:szCs w:val="21"/>
        </w:rPr>
      </w:pPr>
      <w:r>
        <w:rPr>
          <w:rFonts w:hint="eastAsia" w:ascii="宋体" w:hAnsi="宋体"/>
          <w:b/>
          <w:color w:val="auto"/>
          <w:szCs w:val="21"/>
        </w:rPr>
        <w:t>卖方</w:t>
      </w:r>
      <w:r>
        <w:rPr>
          <w:rFonts w:hint="eastAsia" w:hAnsi="宋体"/>
          <w:b/>
          <w:bCs/>
          <w:color w:val="auto"/>
          <w:szCs w:val="21"/>
        </w:rPr>
        <w:t>：</w:t>
      </w:r>
      <w:r>
        <w:rPr>
          <w:rFonts w:hint="eastAsia" w:ascii="宋体" w:hAnsi="宋体"/>
          <w:color w:val="auto"/>
          <w:szCs w:val="21"/>
          <w:u w:val="single"/>
          <w:shd w:val="clear" w:color="auto" w:fill="FFFFFF"/>
        </w:rPr>
        <w:t xml:space="preserve">  </w:t>
      </w:r>
      <w:r>
        <w:rPr>
          <w:rFonts w:ascii="宋体" w:hAnsi="宋体"/>
          <w:color w:val="auto"/>
          <w:szCs w:val="21"/>
          <w:u w:val="single"/>
          <w:shd w:val="clear" w:color="auto" w:fill="FFFFFF"/>
        </w:rPr>
        <w:t xml:space="preserve">                           </w:t>
      </w:r>
      <w:r>
        <w:rPr>
          <w:rFonts w:hint="eastAsia" w:ascii="宋体" w:hAnsi="宋体"/>
          <w:color w:val="auto"/>
          <w:szCs w:val="21"/>
          <w:u w:val="single"/>
          <w:shd w:val="clear" w:color="auto" w:fill="FFFFFF"/>
        </w:rPr>
        <w:t xml:space="preserve">  </w:t>
      </w:r>
      <w:r>
        <w:rPr>
          <w:rFonts w:ascii="宋体" w:hAnsi="宋体"/>
          <w:b/>
          <w:color w:val="auto"/>
          <w:szCs w:val="21"/>
        </w:rPr>
        <w:t xml:space="preserve">          </w:t>
      </w:r>
      <w:r>
        <w:rPr>
          <w:rFonts w:hint="eastAsia" w:ascii="宋体" w:hAnsi="宋体"/>
          <w:b/>
          <w:color w:val="auto"/>
          <w:szCs w:val="21"/>
        </w:rPr>
        <w:t xml:space="preserve">         </w:t>
      </w:r>
    </w:p>
    <w:p>
      <w:pPr>
        <w:adjustRightInd w:val="0"/>
        <w:snapToGrid w:val="0"/>
        <w:spacing w:line="440" w:lineRule="exact"/>
        <w:ind w:firstLine="420" w:firstLineChars="200"/>
        <w:rPr>
          <w:rFonts w:ascii="宋体" w:hAnsi="宋体"/>
          <w:b/>
          <w:color w:val="auto"/>
          <w:szCs w:val="21"/>
        </w:rPr>
      </w:pPr>
      <w:r>
        <w:rPr>
          <w:rFonts w:hint="eastAsia" w:ascii="宋体" w:hAnsi="宋体"/>
          <w:color w:val="auto"/>
          <w:szCs w:val="21"/>
        </w:rPr>
        <w:t>为认真贯彻“安全第一、预防为主”的方针，做到施工安全管理工作的标准化与规范化，确保建设工程项目安全、优质、按期完成，同时为进一步明确有关各方的安全职责，杜绝重大伤亡事故的发生。依照《中华人民共和国建筑法》、《建设工程安全生产管理条例》、《建筑施工安全检查标准》及其他有关法律、行政法规，遵循平等、自愿、公平和诚实信用的原则，买卖双方就本建设工程施工安全事项协商一致，特订立本工程施工安全管理目标责任书。</w:t>
      </w:r>
    </w:p>
    <w:p>
      <w:pPr>
        <w:pStyle w:val="45"/>
        <w:spacing w:line="440" w:lineRule="exact"/>
        <w:rPr>
          <w:rFonts w:ascii="宋体" w:hAnsi="宋体"/>
          <w:b/>
          <w:color w:val="auto"/>
          <w:sz w:val="21"/>
          <w:szCs w:val="21"/>
        </w:rPr>
      </w:pPr>
      <w:r>
        <w:rPr>
          <w:rFonts w:hint="eastAsia" w:ascii="宋体" w:hAnsi="宋体"/>
          <w:b/>
          <w:color w:val="auto"/>
          <w:sz w:val="21"/>
          <w:szCs w:val="21"/>
        </w:rPr>
        <w:t xml:space="preserve">1. </w:t>
      </w:r>
      <w:r>
        <w:rPr>
          <w:rFonts w:ascii="宋体" w:hAnsi="宋体"/>
          <w:b/>
          <w:color w:val="auto"/>
          <w:sz w:val="21"/>
          <w:szCs w:val="21"/>
        </w:rPr>
        <w:t xml:space="preserve"> </w:t>
      </w:r>
      <w:r>
        <w:rPr>
          <w:rFonts w:hint="eastAsia" w:ascii="宋体" w:hAnsi="宋体"/>
          <w:b/>
          <w:color w:val="auto"/>
          <w:sz w:val="21"/>
          <w:szCs w:val="21"/>
        </w:rPr>
        <w:t>卖方安全事故管理目标：</w:t>
      </w:r>
    </w:p>
    <w:p>
      <w:pPr>
        <w:pStyle w:val="45"/>
        <w:numPr>
          <w:ilvl w:val="0"/>
          <w:numId w:val="28"/>
        </w:numPr>
        <w:spacing w:line="440" w:lineRule="exact"/>
        <w:ind w:right="0"/>
        <w:rPr>
          <w:rFonts w:ascii="宋体" w:hAnsi="宋体"/>
          <w:color w:val="auto"/>
          <w:sz w:val="21"/>
          <w:szCs w:val="21"/>
        </w:rPr>
      </w:pPr>
      <w:r>
        <w:rPr>
          <w:rFonts w:hint="eastAsia" w:ascii="宋体" w:hAnsi="宋体"/>
          <w:color w:val="auto"/>
          <w:sz w:val="21"/>
          <w:szCs w:val="21"/>
        </w:rPr>
        <w:t>安全事故率为“零”；</w:t>
      </w:r>
    </w:p>
    <w:p>
      <w:pPr>
        <w:pStyle w:val="45"/>
        <w:numPr>
          <w:ilvl w:val="0"/>
          <w:numId w:val="28"/>
        </w:numPr>
        <w:spacing w:line="440" w:lineRule="exact"/>
        <w:ind w:right="0"/>
        <w:rPr>
          <w:rFonts w:ascii="宋体" w:hAnsi="宋体"/>
          <w:color w:val="auto"/>
          <w:sz w:val="21"/>
          <w:szCs w:val="21"/>
        </w:rPr>
      </w:pPr>
      <w:r>
        <w:rPr>
          <w:rFonts w:hint="eastAsia" w:ascii="宋体" w:hAnsi="宋体"/>
          <w:color w:val="auto"/>
          <w:sz w:val="21"/>
          <w:szCs w:val="21"/>
        </w:rPr>
        <w:t>安全事故隐患整改率100%。</w:t>
      </w:r>
    </w:p>
    <w:p>
      <w:pPr>
        <w:pStyle w:val="45"/>
        <w:spacing w:line="440" w:lineRule="exact"/>
        <w:rPr>
          <w:rFonts w:ascii="宋体" w:hAnsi="宋体"/>
          <w:b/>
          <w:color w:val="auto"/>
          <w:sz w:val="21"/>
          <w:szCs w:val="21"/>
        </w:rPr>
      </w:pPr>
      <w:r>
        <w:rPr>
          <w:rFonts w:hint="eastAsia" w:ascii="宋体" w:hAnsi="宋体"/>
          <w:b/>
          <w:color w:val="auto"/>
          <w:sz w:val="21"/>
          <w:szCs w:val="21"/>
        </w:rPr>
        <w:t>2.</w:t>
      </w:r>
      <w:r>
        <w:rPr>
          <w:rFonts w:ascii="宋体" w:hAnsi="宋体"/>
          <w:b/>
          <w:color w:val="auto"/>
          <w:sz w:val="21"/>
          <w:szCs w:val="21"/>
        </w:rPr>
        <w:t xml:space="preserve">  </w:t>
      </w:r>
      <w:r>
        <w:rPr>
          <w:rFonts w:hint="eastAsia" w:ascii="宋体" w:hAnsi="宋体"/>
          <w:b/>
          <w:color w:val="auto"/>
          <w:sz w:val="21"/>
          <w:szCs w:val="21"/>
        </w:rPr>
        <w:t>卖方安全管理承诺：</w:t>
      </w:r>
    </w:p>
    <w:p>
      <w:pPr>
        <w:pStyle w:val="45"/>
        <w:numPr>
          <w:ilvl w:val="0"/>
          <w:numId w:val="29"/>
        </w:numPr>
        <w:spacing w:line="440" w:lineRule="exact"/>
        <w:ind w:right="0"/>
        <w:rPr>
          <w:rFonts w:ascii="宋体" w:hAnsi="宋体"/>
          <w:color w:val="auto"/>
          <w:sz w:val="21"/>
          <w:szCs w:val="21"/>
        </w:rPr>
      </w:pPr>
      <w:r>
        <w:rPr>
          <w:rFonts w:hint="eastAsia" w:ascii="宋体" w:hAnsi="宋体"/>
          <w:color w:val="auto"/>
          <w:sz w:val="21"/>
          <w:szCs w:val="21"/>
        </w:rPr>
        <w:t>卖方在进场时应将单位资质、安全生产资格证书、特种作业上岗证、安全生产条件有关资料复印件送给买方审核备案，并对资料真实性负责。</w:t>
      </w:r>
    </w:p>
    <w:p>
      <w:pPr>
        <w:pStyle w:val="45"/>
        <w:numPr>
          <w:ilvl w:val="0"/>
          <w:numId w:val="29"/>
        </w:numPr>
        <w:spacing w:line="440" w:lineRule="exact"/>
        <w:ind w:right="0"/>
        <w:rPr>
          <w:rFonts w:ascii="宋体" w:hAnsi="宋体"/>
          <w:color w:val="auto"/>
          <w:sz w:val="21"/>
          <w:szCs w:val="21"/>
        </w:rPr>
      </w:pPr>
      <w:r>
        <w:rPr>
          <w:rFonts w:hint="eastAsia" w:ascii="宋体" w:hAnsi="宋体"/>
          <w:color w:val="auto"/>
          <w:sz w:val="21"/>
          <w:szCs w:val="21"/>
        </w:rPr>
        <w:t>按照施工组织设计中采取的安全措施的项目执行率达到100%；</w:t>
      </w:r>
    </w:p>
    <w:p>
      <w:pPr>
        <w:pStyle w:val="45"/>
        <w:numPr>
          <w:ilvl w:val="0"/>
          <w:numId w:val="29"/>
        </w:numPr>
        <w:spacing w:line="440" w:lineRule="exact"/>
        <w:ind w:right="0"/>
        <w:rPr>
          <w:rFonts w:ascii="宋体" w:hAnsi="宋体"/>
          <w:color w:val="auto"/>
          <w:sz w:val="21"/>
          <w:szCs w:val="21"/>
        </w:rPr>
      </w:pPr>
      <w:r>
        <w:rPr>
          <w:rFonts w:ascii="宋体" w:hAnsi="宋体"/>
          <w:color w:val="auto"/>
          <w:sz w:val="21"/>
          <w:szCs w:val="21"/>
        </w:rPr>
        <w:t>施工现场每</w:t>
      </w:r>
      <w:r>
        <w:rPr>
          <w:rFonts w:hint="eastAsia" w:ascii="宋体" w:hAnsi="宋体"/>
          <w:color w:val="auto"/>
          <w:sz w:val="21"/>
          <w:szCs w:val="21"/>
        </w:rPr>
        <w:t>周至少</w:t>
      </w:r>
      <w:r>
        <w:rPr>
          <w:rFonts w:ascii="宋体" w:hAnsi="宋体"/>
          <w:color w:val="auto"/>
          <w:sz w:val="21"/>
          <w:szCs w:val="21"/>
        </w:rPr>
        <w:t>组织2次由</w:t>
      </w:r>
      <w:r>
        <w:rPr>
          <w:rFonts w:hint="eastAsia" w:ascii="宋体" w:hAnsi="宋体"/>
          <w:color w:val="auto"/>
          <w:sz w:val="21"/>
          <w:szCs w:val="21"/>
        </w:rPr>
        <w:t>现场负责人和安全员</w:t>
      </w:r>
      <w:r>
        <w:rPr>
          <w:rFonts w:ascii="宋体" w:hAnsi="宋体"/>
          <w:color w:val="auto"/>
          <w:sz w:val="21"/>
          <w:szCs w:val="21"/>
        </w:rPr>
        <w:t>组织的安全</w:t>
      </w:r>
      <w:r>
        <w:rPr>
          <w:rFonts w:hint="eastAsia" w:ascii="宋体" w:hAnsi="宋体"/>
          <w:color w:val="auto"/>
          <w:sz w:val="21"/>
          <w:szCs w:val="21"/>
        </w:rPr>
        <w:t>大</w:t>
      </w:r>
      <w:r>
        <w:rPr>
          <w:rFonts w:ascii="宋体" w:hAnsi="宋体"/>
          <w:color w:val="auto"/>
          <w:sz w:val="21"/>
          <w:szCs w:val="21"/>
        </w:rPr>
        <w:t>检查</w:t>
      </w:r>
      <w:r>
        <w:rPr>
          <w:rFonts w:hint="eastAsia" w:ascii="宋体" w:hAnsi="宋体"/>
          <w:color w:val="auto"/>
          <w:sz w:val="21"/>
          <w:szCs w:val="21"/>
        </w:rPr>
        <w:t>；</w:t>
      </w:r>
    </w:p>
    <w:p>
      <w:pPr>
        <w:pStyle w:val="45"/>
        <w:numPr>
          <w:ilvl w:val="0"/>
          <w:numId w:val="29"/>
        </w:numPr>
        <w:spacing w:line="440" w:lineRule="exact"/>
        <w:ind w:right="0"/>
        <w:rPr>
          <w:rFonts w:ascii="宋体" w:hAnsi="宋体"/>
          <w:color w:val="auto"/>
          <w:sz w:val="21"/>
          <w:szCs w:val="21"/>
        </w:rPr>
      </w:pPr>
      <w:r>
        <w:rPr>
          <w:rFonts w:ascii="宋体" w:hAnsi="宋体"/>
          <w:color w:val="auto"/>
          <w:sz w:val="21"/>
          <w:szCs w:val="21"/>
        </w:rPr>
        <w:t>施工现场各级职能人员岗位责任制、目标责任书执行率达到100%</w:t>
      </w:r>
      <w:r>
        <w:rPr>
          <w:rFonts w:hint="eastAsia" w:ascii="宋体" w:hAnsi="宋体"/>
          <w:color w:val="auto"/>
          <w:sz w:val="21"/>
          <w:szCs w:val="21"/>
        </w:rPr>
        <w:t>；</w:t>
      </w:r>
    </w:p>
    <w:p>
      <w:pPr>
        <w:pStyle w:val="45"/>
        <w:numPr>
          <w:ilvl w:val="0"/>
          <w:numId w:val="29"/>
        </w:numPr>
        <w:spacing w:line="440" w:lineRule="exact"/>
        <w:ind w:right="0"/>
        <w:rPr>
          <w:rFonts w:ascii="宋体" w:hAnsi="宋体"/>
          <w:color w:val="auto"/>
          <w:sz w:val="21"/>
          <w:szCs w:val="21"/>
        </w:rPr>
      </w:pPr>
      <w:r>
        <w:rPr>
          <w:rFonts w:ascii="宋体" w:hAnsi="宋体"/>
          <w:color w:val="auto"/>
          <w:sz w:val="21"/>
          <w:szCs w:val="21"/>
        </w:rPr>
        <w:t>卖方</w:t>
      </w:r>
      <w:r>
        <w:rPr>
          <w:rFonts w:hint="eastAsia" w:ascii="宋体" w:hAnsi="宋体"/>
          <w:color w:val="auto"/>
          <w:sz w:val="21"/>
          <w:szCs w:val="21"/>
        </w:rPr>
        <w:t>在</w:t>
      </w:r>
      <w:r>
        <w:rPr>
          <w:rFonts w:ascii="宋体" w:hAnsi="宋体"/>
          <w:color w:val="auto"/>
          <w:sz w:val="21"/>
          <w:szCs w:val="21"/>
        </w:rPr>
        <w:t>施工现场设</w:t>
      </w:r>
      <w:r>
        <w:rPr>
          <w:rFonts w:hint="eastAsia" w:ascii="宋体" w:hAnsi="宋体"/>
          <w:color w:val="auto"/>
          <w:sz w:val="21"/>
          <w:szCs w:val="21"/>
        </w:rPr>
        <w:t>有</w:t>
      </w:r>
      <w:r>
        <w:rPr>
          <w:rFonts w:ascii="宋体" w:hAnsi="宋体"/>
          <w:color w:val="auto"/>
          <w:sz w:val="21"/>
          <w:szCs w:val="21"/>
        </w:rPr>
        <w:t>安全员不少于1人</w:t>
      </w:r>
      <w:r>
        <w:rPr>
          <w:rFonts w:hint="eastAsia" w:ascii="宋体" w:hAnsi="宋体"/>
          <w:color w:val="auto"/>
          <w:sz w:val="21"/>
          <w:szCs w:val="21"/>
        </w:rPr>
        <w:t>；</w:t>
      </w:r>
    </w:p>
    <w:p>
      <w:pPr>
        <w:pStyle w:val="45"/>
        <w:numPr>
          <w:ilvl w:val="0"/>
          <w:numId w:val="29"/>
        </w:numPr>
        <w:spacing w:line="440" w:lineRule="exact"/>
        <w:ind w:right="0"/>
        <w:rPr>
          <w:rFonts w:ascii="宋体" w:hAnsi="宋体"/>
          <w:color w:val="auto"/>
          <w:sz w:val="21"/>
          <w:szCs w:val="21"/>
        </w:rPr>
      </w:pPr>
      <w:r>
        <w:rPr>
          <w:rFonts w:ascii="宋体" w:hAnsi="宋体"/>
          <w:color w:val="auto"/>
          <w:sz w:val="21"/>
          <w:szCs w:val="21"/>
        </w:rPr>
        <w:t>施工现场脚手架及高处作业防护、施工用电、施工机械及物料运输提升设施验收合格率达到100%</w:t>
      </w:r>
      <w:r>
        <w:rPr>
          <w:rFonts w:hint="eastAsia" w:ascii="宋体" w:hAnsi="宋体"/>
          <w:color w:val="auto"/>
          <w:sz w:val="21"/>
          <w:szCs w:val="21"/>
        </w:rPr>
        <w:t>；</w:t>
      </w:r>
    </w:p>
    <w:p>
      <w:pPr>
        <w:pStyle w:val="45"/>
        <w:numPr>
          <w:ilvl w:val="0"/>
          <w:numId w:val="29"/>
        </w:numPr>
        <w:spacing w:line="440" w:lineRule="exact"/>
        <w:ind w:right="0"/>
        <w:rPr>
          <w:rFonts w:ascii="宋体" w:hAnsi="宋体"/>
          <w:color w:val="auto"/>
          <w:sz w:val="21"/>
          <w:szCs w:val="21"/>
        </w:rPr>
      </w:pPr>
      <w:r>
        <w:rPr>
          <w:rFonts w:ascii="宋体" w:hAnsi="宋体"/>
          <w:color w:val="auto"/>
          <w:sz w:val="21"/>
          <w:szCs w:val="21"/>
        </w:rPr>
        <w:t>施工现场各类机械、机电设备完好率达到100%</w:t>
      </w:r>
      <w:r>
        <w:rPr>
          <w:rFonts w:hint="eastAsia" w:ascii="宋体" w:hAnsi="宋体"/>
          <w:color w:val="auto"/>
          <w:sz w:val="21"/>
          <w:szCs w:val="21"/>
        </w:rPr>
        <w:t>；</w:t>
      </w:r>
      <w:r>
        <w:rPr>
          <w:rFonts w:ascii="宋体" w:hAnsi="宋体"/>
          <w:color w:val="auto"/>
          <w:sz w:val="21"/>
          <w:szCs w:val="21"/>
        </w:rPr>
        <w:t>工人岗前安全教育率达到</w:t>
      </w:r>
      <w:r>
        <w:rPr>
          <w:rFonts w:hint="eastAsia" w:ascii="宋体" w:hAnsi="宋体"/>
          <w:color w:val="auto"/>
          <w:sz w:val="21"/>
          <w:szCs w:val="21"/>
        </w:rPr>
        <w:t>100</w:t>
      </w:r>
      <w:r>
        <w:rPr>
          <w:rFonts w:ascii="宋体" w:hAnsi="宋体"/>
          <w:color w:val="auto"/>
          <w:sz w:val="21"/>
          <w:szCs w:val="21"/>
        </w:rPr>
        <w:t>%，特种工人持证上岗率达到100 %；施工管理人员安全培训</w:t>
      </w:r>
      <w:r>
        <w:rPr>
          <w:rFonts w:hint="eastAsia" w:ascii="宋体" w:hAnsi="宋体"/>
          <w:color w:val="auto"/>
          <w:sz w:val="21"/>
          <w:szCs w:val="21"/>
        </w:rPr>
        <w:t>持证</w:t>
      </w:r>
      <w:r>
        <w:rPr>
          <w:rFonts w:ascii="宋体" w:hAnsi="宋体"/>
          <w:color w:val="auto"/>
          <w:sz w:val="21"/>
          <w:szCs w:val="21"/>
        </w:rPr>
        <w:t>率达到100%</w:t>
      </w:r>
      <w:r>
        <w:rPr>
          <w:rFonts w:hint="eastAsia" w:ascii="宋体" w:hAnsi="宋体"/>
          <w:color w:val="auto"/>
          <w:sz w:val="21"/>
          <w:szCs w:val="21"/>
        </w:rPr>
        <w:t>。</w:t>
      </w:r>
    </w:p>
    <w:p>
      <w:pPr>
        <w:pStyle w:val="45"/>
        <w:spacing w:line="440" w:lineRule="exact"/>
        <w:ind w:right="0"/>
        <w:rPr>
          <w:rFonts w:ascii="宋体" w:hAnsi="宋体"/>
          <w:b/>
          <w:color w:val="auto"/>
          <w:sz w:val="21"/>
          <w:szCs w:val="21"/>
        </w:rPr>
      </w:pPr>
      <w:r>
        <w:rPr>
          <w:rFonts w:hint="eastAsia" w:ascii="宋体" w:hAnsi="宋体"/>
          <w:b/>
          <w:color w:val="auto"/>
          <w:sz w:val="21"/>
          <w:szCs w:val="21"/>
        </w:rPr>
        <w:t>3.</w:t>
      </w:r>
      <w:r>
        <w:rPr>
          <w:rFonts w:ascii="宋体" w:hAnsi="宋体"/>
          <w:b/>
          <w:color w:val="auto"/>
          <w:sz w:val="21"/>
          <w:szCs w:val="21"/>
        </w:rPr>
        <w:t xml:space="preserve"> </w:t>
      </w:r>
      <w:r>
        <w:rPr>
          <w:rFonts w:hint="eastAsia" w:ascii="宋体" w:hAnsi="宋体"/>
          <w:b/>
          <w:color w:val="auto"/>
          <w:sz w:val="21"/>
          <w:szCs w:val="21"/>
        </w:rPr>
        <w:t xml:space="preserve">买方义务： </w:t>
      </w:r>
    </w:p>
    <w:p>
      <w:pPr>
        <w:pStyle w:val="45"/>
        <w:spacing w:line="440" w:lineRule="exact"/>
        <w:ind w:right="0"/>
        <w:rPr>
          <w:rFonts w:ascii="宋体" w:hAnsi="宋体"/>
          <w:color w:val="auto"/>
          <w:sz w:val="21"/>
          <w:szCs w:val="21"/>
        </w:rPr>
      </w:pPr>
      <w:r>
        <w:rPr>
          <w:rFonts w:hint="eastAsia" w:ascii="宋体" w:hAnsi="宋体"/>
          <w:color w:val="auto"/>
          <w:sz w:val="21"/>
          <w:szCs w:val="21"/>
        </w:rPr>
        <w:t>买方除了履行主合同其他条款规定的义务以外，还应履行以下义务：</w:t>
      </w:r>
    </w:p>
    <w:p>
      <w:pPr>
        <w:pStyle w:val="45"/>
        <w:numPr>
          <w:ilvl w:val="0"/>
          <w:numId w:val="30"/>
        </w:numPr>
        <w:spacing w:line="440" w:lineRule="exact"/>
        <w:ind w:right="0"/>
        <w:rPr>
          <w:rFonts w:ascii="宋体" w:hAnsi="宋体"/>
          <w:color w:val="auto"/>
          <w:sz w:val="21"/>
          <w:szCs w:val="21"/>
        </w:rPr>
      </w:pPr>
      <w:r>
        <w:rPr>
          <w:rFonts w:hint="eastAsia" w:ascii="宋体" w:hAnsi="宋体"/>
          <w:color w:val="auto"/>
          <w:sz w:val="21"/>
          <w:szCs w:val="21"/>
        </w:rPr>
        <w:t>买方应当向卖方提供施工现场及毗邻区域内供水、排水、供电、供气、供热、通信、广播电视等地下管线资料，相邻建</w:t>
      </w:r>
      <w:r>
        <w:rPr>
          <w:rFonts w:ascii="宋体" w:hAnsi="宋体"/>
          <w:color w:val="auto"/>
          <w:sz w:val="21"/>
          <w:szCs w:val="21"/>
        </w:rPr>
        <w:t>筑物和构筑物、地下工程的有关资料，并保证资料的真实、准确、完整。</w:t>
      </w:r>
    </w:p>
    <w:p>
      <w:pPr>
        <w:pStyle w:val="45"/>
        <w:numPr>
          <w:ilvl w:val="0"/>
          <w:numId w:val="30"/>
        </w:numPr>
        <w:spacing w:line="440" w:lineRule="exact"/>
        <w:ind w:right="0"/>
        <w:rPr>
          <w:rFonts w:ascii="宋体" w:hAnsi="宋体"/>
          <w:color w:val="auto"/>
          <w:sz w:val="21"/>
          <w:szCs w:val="21"/>
        </w:rPr>
      </w:pPr>
      <w:r>
        <w:rPr>
          <w:rFonts w:hint="eastAsia" w:ascii="宋体" w:hAnsi="宋体"/>
          <w:color w:val="auto"/>
          <w:sz w:val="21"/>
          <w:szCs w:val="21"/>
        </w:rPr>
        <w:t xml:space="preserve">卖方设备进场时，买方应进行施工现场清理，道路平整等工作，使施工场地具备进场条件； </w:t>
      </w:r>
    </w:p>
    <w:p>
      <w:pPr>
        <w:pStyle w:val="45"/>
        <w:numPr>
          <w:ilvl w:val="0"/>
          <w:numId w:val="30"/>
        </w:numPr>
        <w:spacing w:line="440" w:lineRule="exact"/>
        <w:ind w:right="0"/>
        <w:rPr>
          <w:rFonts w:ascii="宋体" w:hAnsi="宋体"/>
          <w:color w:val="auto"/>
          <w:sz w:val="21"/>
          <w:szCs w:val="21"/>
        </w:rPr>
      </w:pPr>
      <w:r>
        <w:rPr>
          <w:rFonts w:hint="eastAsia" w:ascii="宋体" w:hAnsi="宋体"/>
          <w:color w:val="auto"/>
          <w:sz w:val="21"/>
          <w:szCs w:val="21"/>
        </w:rPr>
        <w:t>协调处理施工现场周围建（构）筑物和地下管线的保护；</w:t>
      </w:r>
    </w:p>
    <w:p>
      <w:pPr>
        <w:pStyle w:val="45"/>
        <w:numPr>
          <w:ilvl w:val="0"/>
          <w:numId w:val="30"/>
        </w:numPr>
        <w:spacing w:line="440" w:lineRule="exact"/>
        <w:ind w:right="0"/>
        <w:rPr>
          <w:rFonts w:ascii="宋体" w:hAnsi="宋体"/>
          <w:color w:val="auto"/>
          <w:sz w:val="21"/>
          <w:szCs w:val="21"/>
        </w:rPr>
      </w:pPr>
      <w:r>
        <w:rPr>
          <w:rFonts w:ascii="宋体" w:hAnsi="宋体"/>
          <w:color w:val="auto"/>
          <w:sz w:val="21"/>
          <w:szCs w:val="21"/>
        </w:rPr>
        <w:t>对安全生产工作进行整体布置，管理，负责开展日常的安全生产监督检查，对发现的的问题及薄弱环节，督促卖方限期整改</w:t>
      </w:r>
      <w:r>
        <w:rPr>
          <w:rFonts w:hint="eastAsia" w:ascii="宋体" w:hAnsi="宋体"/>
          <w:color w:val="auto"/>
          <w:sz w:val="21"/>
          <w:szCs w:val="21"/>
        </w:rPr>
        <w:t>；</w:t>
      </w:r>
    </w:p>
    <w:p>
      <w:pPr>
        <w:pStyle w:val="45"/>
        <w:numPr>
          <w:ilvl w:val="0"/>
          <w:numId w:val="30"/>
        </w:numPr>
        <w:spacing w:line="440" w:lineRule="exact"/>
        <w:ind w:right="0"/>
        <w:rPr>
          <w:rFonts w:ascii="宋体" w:hAnsi="宋体"/>
          <w:color w:val="auto"/>
          <w:sz w:val="21"/>
          <w:szCs w:val="21"/>
        </w:rPr>
      </w:pPr>
      <w:r>
        <w:rPr>
          <w:rFonts w:ascii="宋体" w:hAnsi="宋体"/>
          <w:color w:val="auto"/>
          <w:sz w:val="21"/>
          <w:szCs w:val="21"/>
        </w:rPr>
        <w:t>对卖方提出的安全生产方面的问题，买方应及时答复或三天内处理、解决</w:t>
      </w:r>
      <w:r>
        <w:rPr>
          <w:rFonts w:hint="eastAsia" w:ascii="宋体" w:hAnsi="宋体"/>
          <w:color w:val="auto"/>
          <w:sz w:val="21"/>
          <w:szCs w:val="21"/>
        </w:rPr>
        <w:t>；</w:t>
      </w:r>
    </w:p>
    <w:p>
      <w:pPr>
        <w:pStyle w:val="45"/>
        <w:numPr>
          <w:ilvl w:val="0"/>
          <w:numId w:val="30"/>
        </w:numPr>
        <w:spacing w:line="440" w:lineRule="exact"/>
        <w:ind w:right="0"/>
        <w:rPr>
          <w:rFonts w:ascii="宋体" w:hAnsi="宋体"/>
          <w:color w:val="auto"/>
          <w:sz w:val="21"/>
          <w:szCs w:val="21"/>
        </w:rPr>
      </w:pPr>
      <w:r>
        <w:rPr>
          <w:rFonts w:ascii="宋体" w:hAnsi="宋体"/>
          <w:color w:val="auto"/>
          <w:sz w:val="21"/>
          <w:szCs w:val="21"/>
        </w:rPr>
        <w:t>负责</w:t>
      </w:r>
      <w:r>
        <w:rPr>
          <w:rFonts w:hint="eastAsia" w:ascii="宋体" w:hAnsi="宋体"/>
          <w:color w:val="auto"/>
          <w:sz w:val="21"/>
          <w:szCs w:val="21"/>
        </w:rPr>
        <w:t>监督</w:t>
      </w:r>
      <w:r>
        <w:rPr>
          <w:rFonts w:ascii="宋体" w:hAnsi="宋体"/>
          <w:color w:val="auto"/>
          <w:sz w:val="21"/>
          <w:szCs w:val="21"/>
        </w:rPr>
        <w:t>卖方</w:t>
      </w:r>
      <w:r>
        <w:rPr>
          <w:rFonts w:hint="eastAsia" w:ascii="宋体" w:hAnsi="宋体"/>
          <w:color w:val="auto"/>
          <w:sz w:val="21"/>
          <w:szCs w:val="21"/>
        </w:rPr>
        <w:t>做好</w:t>
      </w:r>
      <w:r>
        <w:rPr>
          <w:rFonts w:ascii="宋体" w:hAnsi="宋体"/>
          <w:color w:val="auto"/>
          <w:sz w:val="21"/>
          <w:szCs w:val="21"/>
        </w:rPr>
        <w:t>施工前的安全技术交底工作</w:t>
      </w:r>
      <w:r>
        <w:rPr>
          <w:rFonts w:hint="eastAsia" w:ascii="宋体" w:hAnsi="宋体"/>
          <w:color w:val="auto"/>
          <w:sz w:val="21"/>
          <w:szCs w:val="21"/>
        </w:rPr>
        <w:t>及</w:t>
      </w:r>
      <w:r>
        <w:rPr>
          <w:rFonts w:ascii="宋体" w:hAnsi="宋体"/>
          <w:color w:val="auto"/>
          <w:sz w:val="21"/>
          <w:szCs w:val="21"/>
        </w:rPr>
        <w:t>三级安全教育</w:t>
      </w:r>
      <w:r>
        <w:rPr>
          <w:rFonts w:hint="eastAsia" w:ascii="宋体" w:hAnsi="宋体"/>
          <w:color w:val="auto"/>
          <w:sz w:val="21"/>
          <w:szCs w:val="21"/>
        </w:rPr>
        <w:t>；</w:t>
      </w:r>
    </w:p>
    <w:p>
      <w:pPr>
        <w:pStyle w:val="45"/>
        <w:numPr>
          <w:ilvl w:val="0"/>
          <w:numId w:val="30"/>
        </w:numPr>
        <w:spacing w:line="440" w:lineRule="exact"/>
        <w:ind w:right="0"/>
        <w:rPr>
          <w:rFonts w:ascii="宋体" w:hAnsi="宋体"/>
          <w:color w:val="auto"/>
          <w:sz w:val="21"/>
          <w:szCs w:val="21"/>
        </w:rPr>
      </w:pPr>
      <w:r>
        <w:rPr>
          <w:rFonts w:ascii="宋体" w:hAnsi="宋体"/>
          <w:color w:val="auto"/>
          <w:sz w:val="21"/>
          <w:szCs w:val="21"/>
        </w:rPr>
        <w:t>向卖方及时传达上级、地方政府部门等关于安全生产的有关文件精神。</w:t>
      </w:r>
    </w:p>
    <w:p>
      <w:pPr>
        <w:pStyle w:val="45"/>
        <w:spacing w:line="440" w:lineRule="exact"/>
        <w:ind w:left="425" w:right="0"/>
        <w:rPr>
          <w:rFonts w:ascii="宋体" w:hAnsi="宋体"/>
          <w:b/>
          <w:color w:val="auto"/>
          <w:sz w:val="21"/>
          <w:szCs w:val="21"/>
        </w:rPr>
      </w:pPr>
      <w:r>
        <w:rPr>
          <w:rFonts w:hint="eastAsia" w:ascii="宋体" w:hAnsi="宋体"/>
          <w:b/>
          <w:color w:val="auto"/>
          <w:sz w:val="21"/>
          <w:szCs w:val="21"/>
        </w:rPr>
        <w:t>4.卖方义务：</w:t>
      </w:r>
    </w:p>
    <w:p>
      <w:pPr>
        <w:pStyle w:val="45"/>
        <w:spacing w:line="440" w:lineRule="exact"/>
        <w:ind w:left="567" w:right="0"/>
        <w:rPr>
          <w:rFonts w:ascii="宋体" w:hAnsi="宋体"/>
          <w:color w:val="auto"/>
          <w:sz w:val="21"/>
          <w:szCs w:val="21"/>
        </w:rPr>
      </w:pPr>
      <w:r>
        <w:rPr>
          <w:rFonts w:hint="eastAsia" w:ascii="宋体" w:hAnsi="宋体"/>
          <w:color w:val="auto"/>
          <w:sz w:val="21"/>
          <w:szCs w:val="21"/>
        </w:rPr>
        <w:t>卖方除了履行主合同其他条款规定的义务以外，还应履行以下义务：</w:t>
      </w:r>
    </w:p>
    <w:p>
      <w:pPr>
        <w:pStyle w:val="45"/>
        <w:numPr>
          <w:ilvl w:val="0"/>
          <w:numId w:val="31"/>
        </w:numPr>
        <w:spacing w:line="440" w:lineRule="exact"/>
        <w:ind w:right="0"/>
        <w:rPr>
          <w:rFonts w:ascii="宋体" w:hAnsi="宋体"/>
          <w:color w:val="auto"/>
          <w:sz w:val="21"/>
          <w:szCs w:val="21"/>
        </w:rPr>
      </w:pPr>
      <w:r>
        <w:rPr>
          <w:rFonts w:hint="eastAsia" w:ascii="宋体" w:hAnsi="宋体"/>
          <w:color w:val="auto"/>
          <w:sz w:val="21"/>
          <w:szCs w:val="21"/>
        </w:rPr>
        <w:t>卖方现场负责人：</w:t>
      </w:r>
      <w:r>
        <w:rPr>
          <w:rFonts w:hint="eastAsia" w:ascii="宋体" w:hAnsi="宋体"/>
          <w:color w:val="auto"/>
          <w:sz w:val="21"/>
          <w:szCs w:val="21"/>
          <w:u w:val="single"/>
        </w:rPr>
        <w:t xml:space="preserve">       </w:t>
      </w:r>
      <w:r>
        <w:rPr>
          <w:rFonts w:hint="eastAsia" w:ascii="宋体" w:hAnsi="宋体"/>
          <w:color w:val="auto"/>
          <w:sz w:val="21"/>
          <w:szCs w:val="21"/>
        </w:rPr>
        <w:t>；安全员：</w:t>
      </w:r>
      <w:r>
        <w:rPr>
          <w:rFonts w:hint="eastAsia" w:ascii="宋体" w:hAnsi="宋体"/>
          <w:color w:val="auto"/>
          <w:sz w:val="21"/>
          <w:szCs w:val="21"/>
          <w:u w:val="single"/>
        </w:rPr>
        <w:t xml:space="preserve"> </w:t>
      </w:r>
      <w:r>
        <w:rPr>
          <w:rFonts w:hint="eastAsia" w:ascii="等线" w:hAnsi="等线" w:eastAsia="等线" w:cs="宋体"/>
          <w:color w:val="auto"/>
          <w:sz w:val="22"/>
          <w:szCs w:val="22"/>
          <w:u w:val="single"/>
        </w:rPr>
        <w:t xml:space="preserve">  </w:t>
      </w:r>
      <w:r>
        <w:rPr>
          <w:rFonts w:hint="eastAsia" w:ascii="宋体" w:hAnsi="宋体"/>
          <w:color w:val="auto"/>
          <w:sz w:val="21"/>
          <w:szCs w:val="21"/>
          <w:u w:val="single"/>
        </w:rPr>
        <w:t xml:space="preserve">    </w:t>
      </w:r>
      <w:r>
        <w:rPr>
          <w:rFonts w:hint="eastAsia" w:ascii="宋体" w:hAnsi="宋体"/>
          <w:color w:val="auto"/>
          <w:sz w:val="21"/>
          <w:szCs w:val="21"/>
        </w:rPr>
        <w:t>；</w:t>
      </w:r>
    </w:p>
    <w:p>
      <w:pPr>
        <w:pStyle w:val="45"/>
        <w:numPr>
          <w:ilvl w:val="0"/>
          <w:numId w:val="31"/>
        </w:numPr>
        <w:spacing w:line="440" w:lineRule="exact"/>
        <w:ind w:right="0"/>
        <w:rPr>
          <w:rFonts w:ascii="宋体" w:hAnsi="宋体"/>
          <w:color w:val="auto"/>
          <w:sz w:val="21"/>
          <w:szCs w:val="21"/>
        </w:rPr>
      </w:pPr>
      <w:r>
        <w:rPr>
          <w:rFonts w:ascii="宋体" w:hAnsi="宋体"/>
          <w:color w:val="auto"/>
          <w:sz w:val="21"/>
          <w:szCs w:val="21"/>
        </w:rPr>
        <w:t>认真贯彻执行国家、省和市的安全生产方针、政策及法规；</w:t>
      </w:r>
    </w:p>
    <w:p>
      <w:pPr>
        <w:pStyle w:val="45"/>
        <w:numPr>
          <w:ilvl w:val="0"/>
          <w:numId w:val="31"/>
        </w:numPr>
        <w:spacing w:line="440" w:lineRule="exact"/>
        <w:ind w:right="0"/>
        <w:rPr>
          <w:rFonts w:ascii="宋体" w:hAnsi="宋体"/>
          <w:color w:val="auto"/>
          <w:sz w:val="21"/>
          <w:szCs w:val="21"/>
        </w:rPr>
      </w:pPr>
      <w:r>
        <w:rPr>
          <w:rFonts w:ascii="宋体" w:hAnsi="宋体"/>
          <w:color w:val="auto"/>
          <w:sz w:val="21"/>
          <w:szCs w:val="21"/>
        </w:rPr>
        <w:t>严格按</w:t>
      </w:r>
      <w:r>
        <w:rPr>
          <w:rFonts w:hint="eastAsia" w:ascii="宋体" w:hAnsi="宋体"/>
          <w:color w:val="auto"/>
          <w:sz w:val="21"/>
          <w:szCs w:val="21"/>
        </w:rPr>
        <w:t>《建筑施工安全检查标准》</w:t>
      </w:r>
      <w:r>
        <w:rPr>
          <w:rFonts w:ascii="宋体" w:hAnsi="宋体"/>
          <w:color w:val="auto"/>
          <w:sz w:val="21"/>
          <w:szCs w:val="21"/>
        </w:rPr>
        <w:t>所规定的</w:t>
      </w:r>
      <w:r>
        <w:rPr>
          <w:rFonts w:hint="eastAsia" w:ascii="宋体" w:hAnsi="宋体"/>
          <w:color w:val="auto"/>
          <w:sz w:val="21"/>
          <w:szCs w:val="21"/>
        </w:rPr>
        <w:t>安全管理、文明工地、脚手架、基坑支护与模板工程、“三宝”“四口”“五临边”防护、施工用电、物料提升机与起重吊装和施工机具</w:t>
      </w:r>
      <w:r>
        <w:rPr>
          <w:rFonts w:ascii="宋体" w:hAnsi="宋体"/>
          <w:color w:val="auto"/>
          <w:sz w:val="21"/>
          <w:szCs w:val="21"/>
        </w:rPr>
        <w:t>要求落实安全措施；并按规定做好分部、分项的使用前检查、验收、签字</w:t>
      </w:r>
      <w:r>
        <w:rPr>
          <w:rFonts w:hint="eastAsia" w:ascii="宋体" w:hAnsi="宋体"/>
          <w:color w:val="auto"/>
          <w:sz w:val="21"/>
          <w:szCs w:val="21"/>
        </w:rPr>
        <w:t>；</w:t>
      </w:r>
    </w:p>
    <w:p>
      <w:pPr>
        <w:pStyle w:val="45"/>
        <w:numPr>
          <w:ilvl w:val="0"/>
          <w:numId w:val="31"/>
        </w:numPr>
        <w:spacing w:line="440" w:lineRule="exact"/>
        <w:ind w:right="0"/>
        <w:rPr>
          <w:rFonts w:ascii="宋体" w:hAnsi="宋体"/>
          <w:color w:val="auto"/>
          <w:sz w:val="21"/>
          <w:szCs w:val="21"/>
        </w:rPr>
      </w:pPr>
      <w:r>
        <w:rPr>
          <w:rFonts w:hint="eastAsia" w:ascii="宋体" w:hAnsi="宋体"/>
          <w:color w:val="auto"/>
          <w:sz w:val="21"/>
          <w:szCs w:val="21"/>
        </w:rPr>
        <w:t>安全管理应包括：安全生产责任制、目标管理、施工组织设计，分部（分项）工程安全技术交底、安全检查、安全教育、班前安全活动、特种作业持证上岗、工伤事故处理和安全标志十项内容；</w:t>
      </w:r>
    </w:p>
    <w:p>
      <w:pPr>
        <w:pStyle w:val="45"/>
        <w:numPr>
          <w:ilvl w:val="0"/>
          <w:numId w:val="31"/>
        </w:numPr>
        <w:spacing w:line="440" w:lineRule="exact"/>
        <w:ind w:right="0"/>
        <w:rPr>
          <w:rFonts w:ascii="宋体" w:hAnsi="宋体"/>
          <w:color w:val="auto"/>
          <w:sz w:val="21"/>
          <w:szCs w:val="21"/>
        </w:rPr>
      </w:pPr>
      <w:r>
        <w:rPr>
          <w:rFonts w:ascii="宋体" w:hAnsi="宋体"/>
          <w:color w:val="auto"/>
          <w:sz w:val="21"/>
          <w:szCs w:val="21"/>
        </w:rPr>
        <w:t>卖方应制定安全生产规章制度和操作规程，对所承担的建设工程进行定期和安全检查</w:t>
      </w:r>
      <w:r>
        <w:rPr>
          <w:rFonts w:hint="eastAsia" w:ascii="宋体" w:hAnsi="宋体"/>
          <w:color w:val="auto"/>
          <w:sz w:val="21"/>
          <w:szCs w:val="21"/>
        </w:rPr>
        <w:t>；</w:t>
      </w:r>
    </w:p>
    <w:p>
      <w:pPr>
        <w:pStyle w:val="45"/>
        <w:numPr>
          <w:ilvl w:val="0"/>
          <w:numId w:val="31"/>
        </w:numPr>
        <w:spacing w:line="440" w:lineRule="exact"/>
        <w:ind w:right="0"/>
        <w:rPr>
          <w:rFonts w:ascii="宋体" w:hAnsi="宋体"/>
          <w:color w:val="auto"/>
          <w:sz w:val="21"/>
          <w:szCs w:val="21"/>
        </w:rPr>
      </w:pPr>
      <w:r>
        <w:rPr>
          <w:rFonts w:hint="eastAsia" w:ascii="宋体" w:hAnsi="宋体"/>
          <w:color w:val="auto"/>
          <w:sz w:val="21"/>
          <w:szCs w:val="21"/>
        </w:rPr>
        <w:t>卖方应建立安全技术交底制度，内容应包括工作场所的安全防护设施、安全操作规程、安全注意事项等，既要做到有针对性，又要简单明了；</w:t>
      </w:r>
    </w:p>
    <w:p>
      <w:pPr>
        <w:pStyle w:val="45"/>
        <w:numPr>
          <w:ilvl w:val="0"/>
          <w:numId w:val="31"/>
        </w:numPr>
        <w:spacing w:line="440" w:lineRule="exact"/>
        <w:ind w:right="0"/>
        <w:rPr>
          <w:rFonts w:ascii="宋体" w:hAnsi="宋体"/>
          <w:color w:val="auto"/>
          <w:sz w:val="21"/>
          <w:szCs w:val="21"/>
        </w:rPr>
      </w:pPr>
      <w:r>
        <w:rPr>
          <w:rFonts w:ascii="宋体" w:hAnsi="宋体"/>
          <w:color w:val="auto"/>
          <w:sz w:val="21"/>
          <w:szCs w:val="21"/>
        </w:rPr>
        <w:t>卖方</w:t>
      </w:r>
      <w:r>
        <w:rPr>
          <w:rFonts w:hint="eastAsia" w:ascii="宋体" w:hAnsi="宋体"/>
          <w:color w:val="auto"/>
          <w:sz w:val="21"/>
          <w:szCs w:val="21"/>
        </w:rPr>
        <w:t>安全员参</w:t>
      </w:r>
      <w:r>
        <w:rPr>
          <w:rFonts w:ascii="宋体" w:hAnsi="宋体"/>
          <w:color w:val="auto"/>
          <w:sz w:val="21"/>
          <w:szCs w:val="21"/>
        </w:rPr>
        <w:t>与安全生产活动</w:t>
      </w:r>
      <w:r>
        <w:rPr>
          <w:rFonts w:hint="eastAsia" w:ascii="宋体" w:hAnsi="宋体"/>
          <w:color w:val="auto"/>
          <w:sz w:val="21"/>
          <w:szCs w:val="21"/>
        </w:rPr>
        <w:t>，</w:t>
      </w:r>
      <w:r>
        <w:rPr>
          <w:rFonts w:ascii="宋体" w:hAnsi="宋体"/>
          <w:color w:val="auto"/>
          <w:sz w:val="21"/>
          <w:szCs w:val="21"/>
        </w:rPr>
        <w:t>施工现场做到每日一查，对查出的隐患做到定人、定时间、</w:t>
      </w:r>
      <w:r>
        <w:rPr>
          <w:rFonts w:hint="eastAsia" w:ascii="宋体" w:hAnsi="宋体"/>
          <w:color w:val="auto"/>
          <w:sz w:val="21"/>
          <w:szCs w:val="21"/>
        </w:rPr>
        <w:t>定</w:t>
      </w:r>
      <w:r>
        <w:rPr>
          <w:rFonts w:ascii="宋体" w:hAnsi="宋体"/>
          <w:color w:val="auto"/>
          <w:sz w:val="21"/>
          <w:szCs w:val="21"/>
        </w:rPr>
        <w:t>措施</w:t>
      </w:r>
      <w:r>
        <w:rPr>
          <w:rFonts w:hint="eastAsia" w:ascii="宋体" w:hAnsi="宋体"/>
          <w:color w:val="auto"/>
          <w:sz w:val="21"/>
          <w:szCs w:val="21"/>
        </w:rPr>
        <w:t>，买方</w:t>
      </w:r>
      <w:r>
        <w:rPr>
          <w:rFonts w:ascii="宋体" w:hAnsi="宋体"/>
          <w:color w:val="auto"/>
          <w:sz w:val="21"/>
          <w:szCs w:val="21"/>
        </w:rPr>
        <w:t>跟踪整改</w:t>
      </w:r>
      <w:r>
        <w:rPr>
          <w:rFonts w:hint="eastAsia" w:ascii="宋体" w:hAnsi="宋体"/>
          <w:color w:val="auto"/>
          <w:sz w:val="21"/>
          <w:szCs w:val="21"/>
        </w:rPr>
        <w:t>必须</w:t>
      </w:r>
      <w:r>
        <w:rPr>
          <w:rFonts w:ascii="宋体" w:hAnsi="宋体"/>
          <w:color w:val="auto"/>
          <w:sz w:val="21"/>
          <w:szCs w:val="21"/>
        </w:rPr>
        <w:t>到位</w:t>
      </w:r>
      <w:r>
        <w:rPr>
          <w:rFonts w:hint="eastAsia" w:ascii="宋体" w:hAnsi="宋体"/>
          <w:color w:val="auto"/>
          <w:sz w:val="21"/>
          <w:szCs w:val="21"/>
        </w:rPr>
        <w:t>；</w:t>
      </w:r>
    </w:p>
    <w:p>
      <w:pPr>
        <w:pStyle w:val="45"/>
        <w:numPr>
          <w:ilvl w:val="0"/>
          <w:numId w:val="31"/>
        </w:numPr>
        <w:spacing w:line="440" w:lineRule="exact"/>
        <w:ind w:right="0"/>
        <w:rPr>
          <w:rFonts w:ascii="宋体" w:hAnsi="宋体"/>
          <w:color w:val="auto"/>
          <w:sz w:val="21"/>
          <w:szCs w:val="21"/>
        </w:rPr>
      </w:pPr>
      <w:r>
        <w:rPr>
          <w:rFonts w:ascii="宋体" w:hAnsi="宋体"/>
          <w:color w:val="auto"/>
          <w:sz w:val="21"/>
          <w:szCs w:val="21"/>
        </w:rPr>
        <w:t>卖方必须在施工现场建立消防安全责任制度，确定消防安全责任人，制定用火、用电、使用易燃易爆材料等各项消防安全管理制度和操作规程，配备消防设施和灭火器材，并在施工现场入口处设置明显标志</w:t>
      </w:r>
      <w:r>
        <w:rPr>
          <w:rFonts w:hint="eastAsia" w:ascii="宋体" w:hAnsi="宋体"/>
          <w:color w:val="auto"/>
          <w:sz w:val="21"/>
          <w:szCs w:val="21"/>
        </w:rPr>
        <w:t>；</w:t>
      </w:r>
    </w:p>
    <w:p>
      <w:pPr>
        <w:pStyle w:val="45"/>
        <w:numPr>
          <w:ilvl w:val="0"/>
          <w:numId w:val="31"/>
        </w:numPr>
        <w:spacing w:line="440" w:lineRule="exact"/>
        <w:ind w:right="0"/>
        <w:rPr>
          <w:rFonts w:ascii="宋体" w:hAnsi="宋体"/>
          <w:color w:val="auto"/>
          <w:sz w:val="21"/>
          <w:szCs w:val="21"/>
        </w:rPr>
      </w:pPr>
      <w:r>
        <w:rPr>
          <w:rFonts w:ascii="宋体" w:hAnsi="宋体"/>
          <w:color w:val="auto"/>
          <w:sz w:val="21"/>
          <w:szCs w:val="21"/>
        </w:rPr>
        <w:t>实现目标管理，加大施工现场事故隐患治理力度，坚决遏制重特大安全事故发生，杜绝死亡事故的发生</w:t>
      </w:r>
      <w:r>
        <w:rPr>
          <w:rFonts w:hint="eastAsia" w:ascii="宋体" w:hAnsi="宋体"/>
          <w:color w:val="auto"/>
          <w:sz w:val="21"/>
          <w:szCs w:val="21"/>
        </w:rPr>
        <w:t>；</w:t>
      </w:r>
    </w:p>
    <w:p>
      <w:pPr>
        <w:pStyle w:val="45"/>
        <w:numPr>
          <w:ilvl w:val="0"/>
          <w:numId w:val="31"/>
        </w:numPr>
        <w:spacing w:line="440" w:lineRule="exact"/>
        <w:ind w:right="0"/>
        <w:rPr>
          <w:rFonts w:ascii="宋体" w:hAnsi="宋体"/>
          <w:color w:val="auto"/>
          <w:sz w:val="21"/>
          <w:szCs w:val="21"/>
        </w:rPr>
      </w:pPr>
      <w:r>
        <w:rPr>
          <w:rFonts w:ascii="宋体" w:hAnsi="宋体"/>
          <w:color w:val="auto"/>
          <w:sz w:val="21"/>
          <w:szCs w:val="21"/>
        </w:rPr>
        <w:t>需认真执行劳动保护条例，为职工配备劳保用品，并随时关注班组内工人的身体及心理、思想动态</w:t>
      </w:r>
      <w:r>
        <w:rPr>
          <w:rFonts w:hint="eastAsia" w:ascii="宋体" w:hAnsi="宋体"/>
          <w:color w:val="auto"/>
          <w:sz w:val="21"/>
          <w:szCs w:val="21"/>
        </w:rPr>
        <w:t>；</w:t>
      </w:r>
    </w:p>
    <w:p>
      <w:pPr>
        <w:pStyle w:val="45"/>
        <w:numPr>
          <w:ilvl w:val="0"/>
          <w:numId w:val="31"/>
        </w:numPr>
        <w:spacing w:line="440" w:lineRule="exact"/>
        <w:ind w:right="0"/>
        <w:rPr>
          <w:rFonts w:ascii="宋体" w:hAnsi="宋体"/>
          <w:color w:val="auto"/>
          <w:sz w:val="21"/>
          <w:szCs w:val="21"/>
        </w:rPr>
      </w:pPr>
      <w:r>
        <w:rPr>
          <w:rFonts w:hint="eastAsia" w:ascii="宋体" w:hAnsi="宋体"/>
          <w:color w:val="auto"/>
          <w:sz w:val="21"/>
          <w:szCs w:val="21"/>
        </w:rPr>
        <w:t>卖方自行负责施工现场的安全防护工作，定期对劳保用品进行检验、试验和更新，做好安全工器具的检测，确保合格、有效</w:t>
      </w:r>
    </w:p>
    <w:p>
      <w:pPr>
        <w:pStyle w:val="45"/>
        <w:numPr>
          <w:ilvl w:val="0"/>
          <w:numId w:val="31"/>
        </w:numPr>
        <w:spacing w:line="440" w:lineRule="exact"/>
        <w:ind w:right="0"/>
        <w:rPr>
          <w:rFonts w:ascii="宋体" w:hAnsi="宋体"/>
          <w:color w:val="auto"/>
          <w:sz w:val="21"/>
          <w:szCs w:val="21"/>
        </w:rPr>
      </w:pPr>
      <w:r>
        <w:rPr>
          <w:rFonts w:ascii="宋体" w:hAnsi="宋体"/>
          <w:color w:val="auto"/>
          <w:sz w:val="21"/>
          <w:szCs w:val="21"/>
        </w:rPr>
        <w:t>特殊工作必须由持有本专业有效证件人员操作。禁止擅自操作其它工种的一切设备，支架。（如接电、开机、拆架等等）</w:t>
      </w:r>
      <w:r>
        <w:rPr>
          <w:rFonts w:hint="eastAsia" w:ascii="宋体" w:hAnsi="宋体"/>
          <w:color w:val="auto"/>
          <w:sz w:val="21"/>
          <w:szCs w:val="21"/>
        </w:rPr>
        <w:t>；</w:t>
      </w:r>
    </w:p>
    <w:p>
      <w:pPr>
        <w:pStyle w:val="45"/>
        <w:numPr>
          <w:ilvl w:val="0"/>
          <w:numId w:val="31"/>
        </w:numPr>
        <w:spacing w:line="440" w:lineRule="exact"/>
        <w:ind w:right="0"/>
        <w:rPr>
          <w:rFonts w:ascii="宋体" w:hAnsi="宋体"/>
          <w:color w:val="auto"/>
          <w:sz w:val="21"/>
          <w:szCs w:val="21"/>
        </w:rPr>
      </w:pPr>
      <w:r>
        <w:rPr>
          <w:rFonts w:hint="eastAsia" w:ascii="宋体" w:hAnsi="宋体"/>
          <w:color w:val="auto"/>
          <w:sz w:val="21"/>
          <w:szCs w:val="21"/>
        </w:rPr>
        <w:t>安全施工：卖方应遵守工程建设安全生产有关管理规定，严格按安全标准组织施工，并随时接受行业安全监督检查，采取必要的安全措施，消除事故隐患。在施工过程中发生的工伤事故及安全事故，由卖方负责；</w:t>
      </w:r>
    </w:p>
    <w:p>
      <w:pPr>
        <w:pStyle w:val="45"/>
        <w:numPr>
          <w:ilvl w:val="0"/>
          <w:numId w:val="31"/>
        </w:numPr>
        <w:spacing w:line="440" w:lineRule="exact"/>
        <w:ind w:right="0"/>
        <w:rPr>
          <w:rFonts w:ascii="宋体" w:hAnsi="宋体"/>
          <w:color w:val="auto"/>
          <w:sz w:val="21"/>
          <w:szCs w:val="21"/>
        </w:rPr>
      </w:pPr>
      <w:r>
        <w:rPr>
          <w:rFonts w:hint="eastAsia" w:ascii="宋体" w:hAnsi="宋体"/>
          <w:color w:val="auto"/>
          <w:sz w:val="21"/>
          <w:szCs w:val="21"/>
        </w:rPr>
        <w:t>如本工程在动力设备、高压线路、地下管道、密封防震车间、易燃、易爆地段或交通要道附近，应做好安全防护措施，因此而引起安全事故责任由卖方承担；</w:t>
      </w:r>
    </w:p>
    <w:p>
      <w:pPr>
        <w:pStyle w:val="45"/>
        <w:numPr>
          <w:ilvl w:val="0"/>
          <w:numId w:val="31"/>
        </w:numPr>
        <w:spacing w:line="440" w:lineRule="exact"/>
        <w:ind w:right="0"/>
        <w:rPr>
          <w:rFonts w:ascii="宋体" w:hAnsi="宋体"/>
          <w:color w:val="auto"/>
          <w:sz w:val="21"/>
          <w:szCs w:val="21"/>
        </w:rPr>
      </w:pPr>
      <w:r>
        <w:rPr>
          <w:rFonts w:hint="eastAsia" w:ascii="宋体" w:hAnsi="宋体"/>
          <w:color w:val="auto"/>
          <w:sz w:val="21"/>
          <w:szCs w:val="21"/>
        </w:rPr>
        <w:t>卖方应及时清理现场施工垃圾；</w:t>
      </w:r>
    </w:p>
    <w:p>
      <w:pPr>
        <w:pStyle w:val="45"/>
        <w:numPr>
          <w:ilvl w:val="0"/>
          <w:numId w:val="31"/>
        </w:numPr>
        <w:spacing w:line="440" w:lineRule="exact"/>
        <w:ind w:right="0"/>
        <w:rPr>
          <w:rFonts w:ascii="宋体" w:hAnsi="宋体"/>
          <w:color w:val="auto"/>
          <w:sz w:val="21"/>
          <w:szCs w:val="21"/>
        </w:rPr>
      </w:pPr>
      <w:r>
        <w:rPr>
          <w:rFonts w:hint="eastAsia" w:ascii="宋体" w:hAnsi="宋体"/>
          <w:color w:val="auto"/>
          <w:sz w:val="21"/>
          <w:szCs w:val="21"/>
        </w:rPr>
        <w:t>建立和执行施工临时用电管理制度；根据施工组织设计中的施工现场临时用电方案，编制施工临时用电实施方案报买方审批后执行；按照《施工现场临时用电安全技术规范》JGJ 46-2005的要求选用合格的电气（器）设备，并规范敷设线路、接地体等；</w:t>
      </w:r>
    </w:p>
    <w:p>
      <w:pPr>
        <w:pStyle w:val="45"/>
        <w:numPr>
          <w:ilvl w:val="0"/>
          <w:numId w:val="31"/>
        </w:numPr>
        <w:spacing w:line="440" w:lineRule="exact"/>
        <w:ind w:right="0"/>
        <w:rPr>
          <w:rFonts w:ascii="宋体" w:hAnsi="宋体"/>
          <w:color w:val="auto"/>
          <w:sz w:val="21"/>
          <w:szCs w:val="21"/>
        </w:rPr>
      </w:pPr>
      <w:r>
        <w:rPr>
          <w:rFonts w:hint="eastAsia" w:ascii="宋体" w:hAnsi="宋体"/>
          <w:color w:val="auto"/>
          <w:sz w:val="21"/>
          <w:szCs w:val="21"/>
        </w:rPr>
        <w:t>卖方如确需对部分施工作业进行劳务分包，卖方应严格对劳务分包单位进行安全资质审查，履行报批手续，报买方审核批准后，方可签订劳务分包合同和安全协议，明确安全责任，纳入卖方的安全责任范围；</w:t>
      </w:r>
    </w:p>
    <w:p>
      <w:pPr>
        <w:pStyle w:val="45"/>
        <w:numPr>
          <w:ilvl w:val="0"/>
          <w:numId w:val="31"/>
        </w:numPr>
        <w:spacing w:line="440" w:lineRule="exact"/>
        <w:ind w:right="0"/>
        <w:rPr>
          <w:rFonts w:ascii="宋体" w:hAnsi="宋体"/>
          <w:color w:val="auto"/>
          <w:sz w:val="21"/>
          <w:szCs w:val="21"/>
        </w:rPr>
      </w:pPr>
      <w:r>
        <w:rPr>
          <w:rFonts w:hint="eastAsia" w:ascii="宋体" w:hAnsi="宋体"/>
          <w:color w:val="auto"/>
          <w:sz w:val="21"/>
          <w:szCs w:val="21"/>
        </w:rPr>
        <w:t>如发生重大伤亡及其他安全事故，卖方应及时报告，同时按政府有关部门要求处理；</w:t>
      </w:r>
    </w:p>
    <w:p>
      <w:pPr>
        <w:pStyle w:val="45"/>
        <w:numPr>
          <w:ilvl w:val="0"/>
          <w:numId w:val="31"/>
        </w:numPr>
        <w:spacing w:line="440" w:lineRule="exact"/>
        <w:ind w:right="0"/>
        <w:rPr>
          <w:rFonts w:ascii="宋体" w:hAnsi="宋体"/>
          <w:color w:val="auto"/>
          <w:sz w:val="21"/>
          <w:szCs w:val="21"/>
        </w:rPr>
      </w:pPr>
      <w:r>
        <w:rPr>
          <w:rFonts w:hint="eastAsia" w:ascii="宋体" w:hAnsi="宋体"/>
          <w:color w:val="auto"/>
          <w:sz w:val="21"/>
          <w:szCs w:val="21"/>
        </w:rPr>
        <w:t>卖方在施工过程中一旦发生生产安全事故，卖方应当采取措施防止事故扩大，保护事故现场，按照国家有关规定进行调查、处理，作好事故的善后处理工作，事故不得隐瞒不报，并坚持“四不放过”的原则，严肃处理有关责任人。法律责任和经济责任由卖方、分包单位根据各自相应的责任共同承担。</w:t>
      </w:r>
    </w:p>
    <w:p>
      <w:pPr>
        <w:pStyle w:val="45"/>
        <w:spacing w:line="440" w:lineRule="exact"/>
        <w:ind w:left="0" w:right="0" w:firstLine="422" w:firstLineChars="200"/>
        <w:jc w:val="both"/>
        <w:rPr>
          <w:rFonts w:ascii="宋体" w:hAnsi="宋体"/>
          <w:b/>
          <w:color w:val="auto"/>
          <w:sz w:val="21"/>
          <w:szCs w:val="21"/>
        </w:rPr>
      </w:pPr>
      <w:r>
        <w:rPr>
          <w:rFonts w:hint="eastAsia" w:ascii="宋体" w:hAnsi="宋体"/>
          <w:b/>
          <w:color w:val="auto"/>
          <w:sz w:val="21"/>
          <w:szCs w:val="21"/>
        </w:rPr>
        <w:t>5.违约责任：</w:t>
      </w:r>
    </w:p>
    <w:p>
      <w:pPr>
        <w:pStyle w:val="45"/>
        <w:spacing w:line="440" w:lineRule="exact"/>
        <w:ind w:left="425" w:right="0"/>
        <w:rPr>
          <w:rFonts w:ascii="宋体" w:hAnsi="宋体"/>
          <w:color w:val="auto"/>
          <w:sz w:val="21"/>
          <w:szCs w:val="21"/>
        </w:rPr>
      </w:pPr>
      <w:r>
        <w:rPr>
          <w:rFonts w:hint="eastAsia" w:ascii="宋体" w:hAnsi="宋体"/>
          <w:color w:val="auto"/>
          <w:sz w:val="21"/>
          <w:szCs w:val="21"/>
        </w:rPr>
        <w:t>卖方对其现场人员的以下行为应按以下约定承担违约责任：</w:t>
      </w:r>
    </w:p>
    <w:p>
      <w:pPr>
        <w:pStyle w:val="45"/>
        <w:numPr>
          <w:ilvl w:val="0"/>
          <w:numId w:val="32"/>
        </w:numPr>
        <w:spacing w:line="440" w:lineRule="exact"/>
        <w:ind w:right="0"/>
        <w:rPr>
          <w:rFonts w:ascii="宋体" w:hAnsi="宋体"/>
          <w:b/>
          <w:color w:val="auto"/>
          <w:sz w:val="21"/>
          <w:szCs w:val="21"/>
        </w:rPr>
      </w:pPr>
      <w:r>
        <w:rPr>
          <w:rFonts w:ascii="宋体" w:hAnsi="宋体"/>
          <w:color w:val="auto"/>
          <w:sz w:val="21"/>
          <w:szCs w:val="21"/>
        </w:rPr>
        <w:t>对一般违犯操作规程行为的工人，</w:t>
      </w:r>
      <w:r>
        <w:rPr>
          <w:rFonts w:hint="eastAsia" w:ascii="宋体" w:hAnsi="宋体"/>
          <w:color w:val="auto"/>
          <w:sz w:val="21"/>
          <w:szCs w:val="21"/>
        </w:rPr>
        <w:t>卖方应按</w:t>
      </w:r>
      <w:r>
        <w:rPr>
          <w:rFonts w:ascii="宋体" w:hAnsi="宋体"/>
          <w:color w:val="auto"/>
          <w:sz w:val="21"/>
          <w:szCs w:val="21"/>
        </w:rPr>
        <w:t>100元/</w:t>
      </w:r>
      <w:r>
        <w:rPr>
          <w:rFonts w:hint="eastAsia" w:ascii="宋体" w:hAnsi="宋体"/>
          <w:color w:val="auto"/>
          <w:sz w:val="21"/>
          <w:szCs w:val="21"/>
        </w:rPr>
        <w:t>人•</w:t>
      </w:r>
      <w:r>
        <w:rPr>
          <w:rFonts w:ascii="宋体" w:hAnsi="宋体"/>
          <w:color w:val="auto"/>
          <w:sz w:val="21"/>
          <w:szCs w:val="21"/>
        </w:rPr>
        <w:t>次</w:t>
      </w:r>
      <w:r>
        <w:rPr>
          <w:rFonts w:hint="eastAsia" w:ascii="宋体" w:hAnsi="宋体"/>
          <w:color w:val="auto"/>
          <w:sz w:val="21"/>
          <w:szCs w:val="21"/>
        </w:rPr>
        <w:t>承担违约责任</w:t>
      </w:r>
      <w:r>
        <w:rPr>
          <w:rFonts w:ascii="宋体" w:hAnsi="宋体"/>
          <w:color w:val="auto"/>
          <w:sz w:val="21"/>
          <w:szCs w:val="21"/>
        </w:rPr>
        <w:t>。一个月内3次以上违规者</w:t>
      </w:r>
      <w:r>
        <w:rPr>
          <w:rFonts w:hint="eastAsia" w:ascii="宋体" w:hAnsi="宋体"/>
          <w:color w:val="auto"/>
          <w:sz w:val="21"/>
          <w:szCs w:val="21"/>
        </w:rPr>
        <w:t>卖方不得安排其到买方施工；</w:t>
      </w:r>
    </w:p>
    <w:p>
      <w:pPr>
        <w:pStyle w:val="45"/>
        <w:numPr>
          <w:ilvl w:val="0"/>
          <w:numId w:val="32"/>
        </w:numPr>
        <w:spacing w:line="440" w:lineRule="exact"/>
        <w:ind w:right="0"/>
        <w:rPr>
          <w:rFonts w:ascii="宋体" w:hAnsi="宋体"/>
          <w:b/>
          <w:color w:val="auto"/>
          <w:sz w:val="21"/>
          <w:szCs w:val="21"/>
        </w:rPr>
      </w:pPr>
      <w:r>
        <w:rPr>
          <w:rFonts w:ascii="宋体" w:hAnsi="宋体"/>
          <w:color w:val="auto"/>
          <w:sz w:val="21"/>
          <w:szCs w:val="21"/>
        </w:rPr>
        <w:t>对于特殊工种工人违犯操作规程，</w:t>
      </w:r>
      <w:r>
        <w:rPr>
          <w:rFonts w:hint="eastAsia" w:ascii="宋体" w:hAnsi="宋体"/>
          <w:color w:val="auto"/>
          <w:sz w:val="21"/>
          <w:szCs w:val="21"/>
        </w:rPr>
        <w:t>卖方应按</w:t>
      </w:r>
      <w:r>
        <w:rPr>
          <w:rFonts w:ascii="宋体" w:hAnsi="宋体"/>
          <w:color w:val="auto"/>
          <w:sz w:val="21"/>
          <w:szCs w:val="21"/>
        </w:rPr>
        <w:t>200元/</w:t>
      </w:r>
      <w:r>
        <w:rPr>
          <w:rFonts w:hint="eastAsia" w:ascii="宋体" w:hAnsi="宋体"/>
          <w:color w:val="auto"/>
          <w:sz w:val="21"/>
          <w:szCs w:val="21"/>
        </w:rPr>
        <w:t>人•</w:t>
      </w:r>
      <w:r>
        <w:rPr>
          <w:rFonts w:ascii="宋体" w:hAnsi="宋体"/>
          <w:color w:val="auto"/>
          <w:sz w:val="21"/>
          <w:szCs w:val="21"/>
        </w:rPr>
        <w:t>次</w:t>
      </w:r>
      <w:r>
        <w:rPr>
          <w:rFonts w:hint="eastAsia" w:ascii="宋体" w:hAnsi="宋体"/>
          <w:color w:val="auto"/>
          <w:sz w:val="21"/>
          <w:szCs w:val="21"/>
        </w:rPr>
        <w:t>承担违约责任</w:t>
      </w:r>
      <w:r>
        <w:rPr>
          <w:rFonts w:ascii="宋体" w:hAnsi="宋体"/>
          <w:color w:val="auto"/>
          <w:sz w:val="21"/>
          <w:szCs w:val="21"/>
        </w:rPr>
        <w:t>，三次以上违规者</w:t>
      </w:r>
      <w:r>
        <w:rPr>
          <w:rFonts w:hint="eastAsia" w:ascii="宋体" w:hAnsi="宋体"/>
          <w:color w:val="auto"/>
          <w:sz w:val="21"/>
          <w:szCs w:val="21"/>
        </w:rPr>
        <w:t>卖方不得安排其到买方施工；</w:t>
      </w:r>
    </w:p>
    <w:p>
      <w:pPr>
        <w:pStyle w:val="45"/>
        <w:numPr>
          <w:ilvl w:val="0"/>
          <w:numId w:val="32"/>
        </w:numPr>
        <w:spacing w:line="440" w:lineRule="exact"/>
        <w:ind w:right="0"/>
        <w:rPr>
          <w:rFonts w:ascii="宋体" w:hAnsi="宋体"/>
          <w:color w:val="auto"/>
          <w:sz w:val="21"/>
          <w:szCs w:val="21"/>
        </w:rPr>
      </w:pPr>
      <w:r>
        <w:rPr>
          <w:rFonts w:ascii="宋体" w:hAnsi="宋体"/>
          <w:color w:val="auto"/>
          <w:sz w:val="21"/>
          <w:szCs w:val="21"/>
        </w:rPr>
        <w:t>施工班组应自觉做好“落手清工作”，及时清除</w:t>
      </w:r>
      <w:r>
        <w:rPr>
          <w:rFonts w:hint="eastAsia" w:ascii="宋体" w:hAnsi="宋体"/>
          <w:color w:val="auto"/>
          <w:sz w:val="21"/>
          <w:szCs w:val="21"/>
        </w:rPr>
        <w:t>施工现场</w:t>
      </w:r>
      <w:r>
        <w:rPr>
          <w:rFonts w:ascii="宋体" w:hAnsi="宋体"/>
          <w:color w:val="auto"/>
          <w:sz w:val="21"/>
          <w:szCs w:val="21"/>
        </w:rPr>
        <w:t>垃圾，若不听从</w:t>
      </w:r>
      <w:r>
        <w:rPr>
          <w:rFonts w:hint="eastAsia" w:ascii="宋体" w:hAnsi="宋体"/>
          <w:color w:val="auto"/>
          <w:sz w:val="21"/>
          <w:szCs w:val="21"/>
        </w:rPr>
        <w:t>买方代表或现场监理人员</w:t>
      </w:r>
      <w:r>
        <w:rPr>
          <w:rFonts w:ascii="宋体" w:hAnsi="宋体"/>
          <w:color w:val="auto"/>
          <w:sz w:val="21"/>
          <w:szCs w:val="21"/>
        </w:rPr>
        <w:t>指挥，</w:t>
      </w:r>
      <w:r>
        <w:rPr>
          <w:rFonts w:hint="eastAsia" w:ascii="宋体" w:hAnsi="宋体"/>
          <w:color w:val="auto"/>
          <w:sz w:val="21"/>
          <w:szCs w:val="21"/>
        </w:rPr>
        <w:t>卖方应按</w:t>
      </w:r>
      <w:r>
        <w:rPr>
          <w:rFonts w:ascii="宋体" w:hAnsi="宋体"/>
          <w:color w:val="auto"/>
          <w:sz w:val="21"/>
          <w:szCs w:val="21"/>
        </w:rPr>
        <w:t>100元/次</w:t>
      </w:r>
      <w:r>
        <w:rPr>
          <w:rFonts w:hint="eastAsia" w:ascii="宋体" w:hAnsi="宋体"/>
          <w:color w:val="auto"/>
          <w:sz w:val="21"/>
          <w:szCs w:val="21"/>
        </w:rPr>
        <w:t>承担违约责任</w:t>
      </w:r>
      <w:r>
        <w:rPr>
          <w:rFonts w:ascii="宋体" w:hAnsi="宋体"/>
          <w:color w:val="auto"/>
          <w:sz w:val="21"/>
          <w:szCs w:val="21"/>
        </w:rPr>
        <w:t>，若影响下一工序进行的，</w:t>
      </w:r>
      <w:r>
        <w:rPr>
          <w:rFonts w:hint="eastAsia" w:ascii="宋体" w:hAnsi="宋体"/>
          <w:color w:val="auto"/>
          <w:sz w:val="21"/>
          <w:szCs w:val="21"/>
        </w:rPr>
        <w:t>根据</w:t>
      </w:r>
      <w:r>
        <w:rPr>
          <w:rFonts w:ascii="宋体" w:hAnsi="宋体"/>
          <w:color w:val="auto"/>
          <w:sz w:val="21"/>
          <w:szCs w:val="21"/>
        </w:rPr>
        <w:t>情节轻重予</w:t>
      </w:r>
      <w:r>
        <w:rPr>
          <w:rFonts w:hint="eastAsia" w:ascii="宋体" w:hAnsi="宋体"/>
          <w:color w:val="auto"/>
          <w:sz w:val="21"/>
          <w:szCs w:val="21"/>
        </w:rPr>
        <w:t>应按</w:t>
      </w:r>
      <w:r>
        <w:rPr>
          <w:rFonts w:ascii="宋体" w:hAnsi="宋体"/>
          <w:color w:val="auto"/>
          <w:sz w:val="21"/>
          <w:szCs w:val="21"/>
        </w:rPr>
        <w:t>500元/次</w:t>
      </w:r>
      <w:r>
        <w:rPr>
          <w:rFonts w:hint="eastAsia" w:ascii="宋体" w:hAnsi="宋体"/>
          <w:color w:val="auto"/>
          <w:sz w:val="21"/>
          <w:szCs w:val="21"/>
        </w:rPr>
        <w:t>承担违约责任；</w:t>
      </w:r>
    </w:p>
    <w:p>
      <w:pPr>
        <w:pStyle w:val="45"/>
        <w:numPr>
          <w:ilvl w:val="0"/>
          <w:numId w:val="32"/>
        </w:numPr>
        <w:spacing w:line="440" w:lineRule="exact"/>
        <w:ind w:right="0"/>
        <w:rPr>
          <w:rFonts w:ascii="宋体" w:hAnsi="宋体"/>
          <w:color w:val="auto"/>
          <w:sz w:val="21"/>
          <w:szCs w:val="21"/>
        </w:rPr>
      </w:pPr>
      <w:r>
        <w:rPr>
          <w:rFonts w:ascii="宋体" w:hAnsi="宋体"/>
          <w:color w:val="auto"/>
          <w:sz w:val="21"/>
          <w:szCs w:val="21"/>
        </w:rPr>
        <w:t>施工人员必须戴安全帽上班，否则</w:t>
      </w:r>
      <w:r>
        <w:rPr>
          <w:rFonts w:hint="eastAsia" w:ascii="宋体" w:hAnsi="宋体"/>
          <w:color w:val="auto"/>
          <w:sz w:val="21"/>
          <w:szCs w:val="21"/>
        </w:rPr>
        <w:t>卖方应按</w:t>
      </w:r>
      <w:r>
        <w:rPr>
          <w:rFonts w:ascii="宋体" w:hAnsi="宋体"/>
          <w:color w:val="auto"/>
          <w:sz w:val="21"/>
          <w:szCs w:val="21"/>
        </w:rPr>
        <w:t>50元/</w:t>
      </w:r>
      <w:r>
        <w:rPr>
          <w:rFonts w:hint="eastAsia" w:ascii="宋体" w:hAnsi="宋体"/>
          <w:color w:val="auto"/>
          <w:sz w:val="21"/>
          <w:szCs w:val="21"/>
        </w:rPr>
        <w:t>人•次承担违约责任；</w:t>
      </w:r>
    </w:p>
    <w:p>
      <w:pPr>
        <w:pStyle w:val="45"/>
        <w:numPr>
          <w:ilvl w:val="0"/>
          <w:numId w:val="32"/>
        </w:numPr>
        <w:spacing w:line="440" w:lineRule="exact"/>
        <w:ind w:right="0"/>
        <w:rPr>
          <w:rFonts w:ascii="宋体" w:hAnsi="宋体"/>
          <w:color w:val="auto"/>
          <w:sz w:val="21"/>
          <w:szCs w:val="21"/>
        </w:rPr>
      </w:pPr>
      <w:r>
        <w:rPr>
          <w:rFonts w:ascii="宋体" w:hAnsi="宋体"/>
          <w:color w:val="auto"/>
          <w:sz w:val="21"/>
          <w:szCs w:val="21"/>
        </w:rPr>
        <w:t>物料提升机严禁乘人，</w:t>
      </w:r>
      <w:r>
        <w:rPr>
          <w:rFonts w:hint="eastAsia" w:ascii="宋体" w:hAnsi="宋体"/>
          <w:color w:val="auto"/>
          <w:sz w:val="21"/>
          <w:szCs w:val="21"/>
        </w:rPr>
        <w:t>否则应按400元</w:t>
      </w:r>
      <w:r>
        <w:rPr>
          <w:rFonts w:ascii="宋体" w:hAnsi="宋体"/>
          <w:color w:val="auto"/>
          <w:sz w:val="21"/>
          <w:szCs w:val="21"/>
        </w:rPr>
        <w:t>/</w:t>
      </w:r>
      <w:r>
        <w:rPr>
          <w:rFonts w:hint="eastAsia" w:ascii="宋体" w:hAnsi="宋体"/>
          <w:color w:val="auto"/>
          <w:sz w:val="21"/>
          <w:szCs w:val="21"/>
        </w:rPr>
        <w:t>人•</w:t>
      </w:r>
      <w:r>
        <w:rPr>
          <w:rFonts w:ascii="宋体" w:hAnsi="宋体"/>
          <w:color w:val="auto"/>
          <w:sz w:val="21"/>
          <w:szCs w:val="21"/>
        </w:rPr>
        <w:t>次</w:t>
      </w:r>
      <w:r>
        <w:rPr>
          <w:rFonts w:hint="eastAsia" w:ascii="宋体" w:hAnsi="宋体"/>
          <w:color w:val="auto"/>
          <w:sz w:val="21"/>
          <w:szCs w:val="21"/>
        </w:rPr>
        <w:t>承担违约责任；</w:t>
      </w:r>
    </w:p>
    <w:p>
      <w:pPr>
        <w:pStyle w:val="45"/>
        <w:numPr>
          <w:ilvl w:val="0"/>
          <w:numId w:val="32"/>
        </w:numPr>
        <w:spacing w:line="440" w:lineRule="exact"/>
        <w:ind w:right="0"/>
        <w:rPr>
          <w:rFonts w:ascii="宋体" w:hAnsi="宋体"/>
          <w:color w:val="auto"/>
          <w:sz w:val="21"/>
          <w:szCs w:val="21"/>
        </w:rPr>
      </w:pPr>
      <w:r>
        <w:rPr>
          <w:rFonts w:ascii="宋体" w:hAnsi="宋体"/>
          <w:color w:val="auto"/>
          <w:sz w:val="21"/>
          <w:szCs w:val="21"/>
        </w:rPr>
        <w:t>严禁私自接线、乱拉电线、烧电炉等，若查到，</w:t>
      </w:r>
      <w:r>
        <w:rPr>
          <w:rFonts w:hint="eastAsia" w:ascii="宋体" w:hAnsi="宋体"/>
          <w:color w:val="auto"/>
          <w:sz w:val="21"/>
          <w:szCs w:val="21"/>
        </w:rPr>
        <w:t>卖方应按</w:t>
      </w:r>
      <w:r>
        <w:rPr>
          <w:rFonts w:ascii="宋体" w:hAnsi="宋体"/>
          <w:color w:val="auto"/>
          <w:sz w:val="21"/>
          <w:szCs w:val="21"/>
        </w:rPr>
        <w:t>200元/次</w:t>
      </w:r>
      <w:r>
        <w:rPr>
          <w:rFonts w:hint="eastAsia" w:ascii="宋体" w:hAnsi="宋体"/>
          <w:color w:val="auto"/>
          <w:sz w:val="21"/>
          <w:szCs w:val="21"/>
        </w:rPr>
        <w:t>承担违约责任；</w:t>
      </w:r>
    </w:p>
    <w:p>
      <w:pPr>
        <w:pStyle w:val="45"/>
        <w:numPr>
          <w:ilvl w:val="0"/>
          <w:numId w:val="32"/>
        </w:numPr>
        <w:spacing w:line="440" w:lineRule="exact"/>
        <w:ind w:right="0"/>
        <w:rPr>
          <w:rFonts w:ascii="宋体" w:hAnsi="宋体"/>
          <w:color w:val="auto"/>
          <w:sz w:val="21"/>
          <w:szCs w:val="21"/>
        </w:rPr>
      </w:pPr>
      <w:r>
        <w:rPr>
          <w:rFonts w:ascii="宋体" w:hAnsi="宋体"/>
          <w:color w:val="auto"/>
          <w:sz w:val="21"/>
          <w:szCs w:val="21"/>
        </w:rPr>
        <w:t>严禁施工现场随地大（小）便，随地</w:t>
      </w:r>
      <w:r>
        <w:rPr>
          <w:rFonts w:hint="eastAsia" w:ascii="宋体" w:hAnsi="宋体"/>
          <w:color w:val="auto"/>
          <w:sz w:val="21"/>
          <w:szCs w:val="21"/>
        </w:rPr>
        <w:t>小</w:t>
      </w:r>
      <w:r>
        <w:rPr>
          <w:rFonts w:ascii="宋体" w:hAnsi="宋体"/>
          <w:color w:val="auto"/>
          <w:sz w:val="21"/>
          <w:szCs w:val="21"/>
        </w:rPr>
        <w:t>便者</w:t>
      </w:r>
      <w:r>
        <w:rPr>
          <w:rFonts w:hint="eastAsia" w:ascii="宋体" w:hAnsi="宋体"/>
          <w:color w:val="auto"/>
          <w:sz w:val="21"/>
          <w:szCs w:val="21"/>
        </w:rPr>
        <w:t>卖方应按20</w:t>
      </w:r>
      <w:r>
        <w:rPr>
          <w:rFonts w:ascii="宋体" w:hAnsi="宋体"/>
          <w:color w:val="auto"/>
          <w:sz w:val="21"/>
          <w:szCs w:val="21"/>
        </w:rPr>
        <w:t>元/</w:t>
      </w:r>
      <w:r>
        <w:rPr>
          <w:rFonts w:hint="eastAsia" w:ascii="宋体" w:hAnsi="宋体"/>
          <w:color w:val="auto"/>
          <w:sz w:val="21"/>
          <w:szCs w:val="21"/>
        </w:rPr>
        <w:t>人•次承担违约责任</w:t>
      </w:r>
      <w:r>
        <w:rPr>
          <w:rFonts w:ascii="宋体" w:hAnsi="宋体"/>
          <w:color w:val="auto"/>
          <w:sz w:val="21"/>
          <w:szCs w:val="21"/>
        </w:rPr>
        <w:t>，随地大便者</w:t>
      </w:r>
      <w:r>
        <w:rPr>
          <w:rFonts w:hint="eastAsia" w:ascii="宋体" w:hAnsi="宋体"/>
          <w:color w:val="auto"/>
          <w:sz w:val="21"/>
          <w:szCs w:val="21"/>
        </w:rPr>
        <w:t>应按</w:t>
      </w:r>
      <w:r>
        <w:rPr>
          <w:rFonts w:ascii="宋体" w:hAnsi="宋体"/>
          <w:color w:val="auto"/>
          <w:sz w:val="21"/>
          <w:szCs w:val="21"/>
        </w:rPr>
        <w:t>50元/</w:t>
      </w:r>
      <w:r>
        <w:rPr>
          <w:rFonts w:hint="eastAsia" w:ascii="宋体" w:hAnsi="宋体"/>
          <w:color w:val="auto"/>
          <w:sz w:val="21"/>
          <w:szCs w:val="21"/>
        </w:rPr>
        <w:t>人•</w:t>
      </w:r>
      <w:r>
        <w:rPr>
          <w:rFonts w:ascii="宋体" w:hAnsi="宋体"/>
          <w:color w:val="auto"/>
          <w:sz w:val="21"/>
          <w:szCs w:val="21"/>
        </w:rPr>
        <w:t>次</w:t>
      </w:r>
      <w:r>
        <w:rPr>
          <w:rFonts w:hint="eastAsia" w:ascii="宋体" w:hAnsi="宋体"/>
          <w:color w:val="auto"/>
          <w:sz w:val="21"/>
          <w:szCs w:val="21"/>
        </w:rPr>
        <w:t>承担违约责任</w:t>
      </w:r>
      <w:r>
        <w:rPr>
          <w:rFonts w:ascii="宋体" w:hAnsi="宋体"/>
          <w:color w:val="auto"/>
          <w:sz w:val="21"/>
          <w:szCs w:val="21"/>
        </w:rPr>
        <w:t>，并自行清理干净</w:t>
      </w:r>
      <w:r>
        <w:rPr>
          <w:rFonts w:hint="eastAsia" w:ascii="宋体" w:hAnsi="宋体"/>
          <w:color w:val="auto"/>
          <w:sz w:val="21"/>
          <w:szCs w:val="21"/>
        </w:rPr>
        <w:t>；</w:t>
      </w:r>
    </w:p>
    <w:p>
      <w:pPr>
        <w:pStyle w:val="45"/>
        <w:numPr>
          <w:ilvl w:val="0"/>
          <w:numId w:val="32"/>
        </w:numPr>
        <w:spacing w:line="440" w:lineRule="exact"/>
        <w:ind w:right="0"/>
        <w:rPr>
          <w:rFonts w:ascii="宋体" w:hAnsi="宋体"/>
          <w:color w:val="auto"/>
          <w:sz w:val="21"/>
          <w:szCs w:val="21"/>
        </w:rPr>
      </w:pPr>
      <w:r>
        <w:rPr>
          <w:rFonts w:ascii="宋体" w:hAnsi="宋体"/>
          <w:color w:val="auto"/>
          <w:sz w:val="21"/>
          <w:szCs w:val="21"/>
        </w:rPr>
        <w:t>高空作业，严禁向外、向下抛散杂物，如故意抛散者，</w:t>
      </w:r>
      <w:r>
        <w:rPr>
          <w:rFonts w:hint="eastAsia" w:ascii="宋体" w:hAnsi="宋体"/>
          <w:color w:val="auto"/>
          <w:sz w:val="21"/>
          <w:szCs w:val="21"/>
        </w:rPr>
        <w:t>卖方应按</w:t>
      </w:r>
      <w:r>
        <w:rPr>
          <w:rFonts w:ascii="宋体" w:hAnsi="宋体"/>
          <w:color w:val="auto"/>
          <w:sz w:val="21"/>
          <w:szCs w:val="21"/>
        </w:rPr>
        <w:t>200元/</w:t>
      </w:r>
      <w:r>
        <w:rPr>
          <w:rFonts w:hint="eastAsia" w:ascii="宋体" w:hAnsi="宋体"/>
          <w:color w:val="auto"/>
          <w:sz w:val="21"/>
          <w:szCs w:val="21"/>
        </w:rPr>
        <w:t>人•</w:t>
      </w:r>
      <w:r>
        <w:rPr>
          <w:rFonts w:ascii="宋体" w:hAnsi="宋体"/>
          <w:color w:val="auto"/>
          <w:sz w:val="21"/>
          <w:szCs w:val="21"/>
        </w:rPr>
        <w:t>次</w:t>
      </w:r>
      <w:r>
        <w:rPr>
          <w:rFonts w:hint="eastAsia" w:ascii="宋体" w:hAnsi="宋体"/>
          <w:color w:val="auto"/>
          <w:sz w:val="21"/>
          <w:szCs w:val="21"/>
        </w:rPr>
        <w:t>承担违约责任</w:t>
      </w:r>
      <w:r>
        <w:rPr>
          <w:rFonts w:ascii="宋体" w:hAnsi="宋体"/>
          <w:color w:val="auto"/>
          <w:sz w:val="21"/>
          <w:szCs w:val="21"/>
        </w:rPr>
        <w:t>，若发生安全事故，当事人负全部责任</w:t>
      </w:r>
      <w:r>
        <w:rPr>
          <w:rFonts w:hint="eastAsia" w:ascii="宋体" w:hAnsi="宋体"/>
          <w:color w:val="auto"/>
          <w:sz w:val="21"/>
          <w:szCs w:val="21"/>
        </w:rPr>
        <w:t>；</w:t>
      </w:r>
    </w:p>
    <w:p>
      <w:pPr>
        <w:pStyle w:val="45"/>
        <w:numPr>
          <w:ilvl w:val="0"/>
          <w:numId w:val="32"/>
        </w:numPr>
        <w:spacing w:line="440" w:lineRule="exact"/>
        <w:ind w:right="0"/>
        <w:rPr>
          <w:rFonts w:ascii="宋体" w:hAnsi="宋体"/>
          <w:color w:val="auto"/>
          <w:sz w:val="21"/>
          <w:szCs w:val="21"/>
        </w:rPr>
      </w:pPr>
      <w:r>
        <w:rPr>
          <w:rFonts w:ascii="宋体" w:hAnsi="宋体"/>
          <w:color w:val="auto"/>
          <w:sz w:val="21"/>
          <w:szCs w:val="21"/>
        </w:rPr>
        <w:t>不准擅自拆除脚手架、防护栏杆、安全网等，需拆必须经过</w:t>
      </w:r>
      <w:r>
        <w:rPr>
          <w:rFonts w:hint="eastAsia" w:ascii="宋体" w:hAnsi="宋体"/>
          <w:color w:val="auto"/>
          <w:sz w:val="21"/>
          <w:szCs w:val="21"/>
        </w:rPr>
        <w:t>现场</w:t>
      </w:r>
      <w:r>
        <w:rPr>
          <w:rFonts w:ascii="宋体" w:hAnsi="宋体"/>
          <w:color w:val="auto"/>
          <w:sz w:val="21"/>
          <w:szCs w:val="21"/>
        </w:rPr>
        <w:t>负责人同意，如有擅拆者，</w:t>
      </w:r>
      <w:r>
        <w:rPr>
          <w:rFonts w:hint="eastAsia" w:ascii="宋体" w:hAnsi="宋体"/>
          <w:color w:val="auto"/>
          <w:sz w:val="21"/>
          <w:szCs w:val="21"/>
        </w:rPr>
        <w:t>卖方应按</w:t>
      </w:r>
      <w:r>
        <w:rPr>
          <w:rFonts w:ascii="宋体" w:hAnsi="宋体"/>
          <w:color w:val="auto"/>
          <w:sz w:val="21"/>
          <w:szCs w:val="21"/>
        </w:rPr>
        <w:t>100元/次</w:t>
      </w:r>
      <w:r>
        <w:rPr>
          <w:rFonts w:hint="eastAsia" w:ascii="宋体" w:hAnsi="宋体"/>
          <w:color w:val="auto"/>
          <w:sz w:val="21"/>
          <w:szCs w:val="21"/>
        </w:rPr>
        <w:t>承担违约责任；</w:t>
      </w:r>
    </w:p>
    <w:p>
      <w:pPr>
        <w:pStyle w:val="45"/>
        <w:numPr>
          <w:ilvl w:val="0"/>
          <w:numId w:val="32"/>
        </w:numPr>
        <w:spacing w:line="440" w:lineRule="exact"/>
        <w:ind w:right="0"/>
        <w:rPr>
          <w:rFonts w:ascii="宋体" w:hAnsi="宋体"/>
          <w:color w:val="auto"/>
          <w:sz w:val="21"/>
          <w:szCs w:val="21"/>
        </w:rPr>
      </w:pPr>
      <w:r>
        <w:rPr>
          <w:rFonts w:ascii="宋体" w:hAnsi="宋体"/>
          <w:color w:val="auto"/>
          <w:sz w:val="21"/>
          <w:szCs w:val="21"/>
        </w:rPr>
        <w:t>爱护现场公共安全设施（消防器材、卫生器具、标识牌等），若有损坏，照价赔偿，故意损坏的，除赔偿损失外，</w:t>
      </w:r>
      <w:r>
        <w:rPr>
          <w:rFonts w:hint="eastAsia" w:ascii="宋体" w:hAnsi="宋体"/>
          <w:color w:val="auto"/>
          <w:sz w:val="21"/>
          <w:szCs w:val="21"/>
        </w:rPr>
        <w:t>卖方应承担</w:t>
      </w:r>
      <w:r>
        <w:rPr>
          <w:rFonts w:ascii="宋体" w:hAnsi="宋体"/>
          <w:color w:val="auto"/>
          <w:sz w:val="21"/>
          <w:szCs w:val="21"/>
        </w:rPr>
        <w:t>500元</w:t>
      </w:r>
      <w:r>
        <w:rPr>
          <w:rFonts w:hint="eastAsia" w:ascii="宋体" w:hAnsi="宋体"/>
          <w:color w:val="auto"/>
          <w:sz w:val="21"/>
          <w:szCs w:val="21"/>
        </w:rPr>
        <w:t>违约责任；</w:t>
      </w:r>
    </w:p>
    <w:p>
      <w:pPr>
        <w:pStyle w:val="45"/>
        <w:numPr>
          <w:ilvl w:val="0"/>
          <w:numId w:val="32"/>
        </w:numPr>
        <w:spacing w:line="440" w:lineRule="exact"/>
        <w:ind w:right="0"/>
        <w:rPr>
          <w:rFonts w:ascii="宋体" w:hAnsi="宋体"/>
          <w:color w:val="auto"/>
          <w:sz w:val="21"/>
          <w:szCs w:val="21"/>
        </w:rPr>
      </w:pPr>
      <w:r>
        <w:rPr>
          <w:rFonts w:ascii="宋体" w:hAnsi="宋体"/>
          <w:color w:val="auto"/>
          <w:sz w:val="21"/>
          <w:szCs w:val="21"/>
        </w:rPr>
        <w:t>保护建筑产品（成品）人人有责，不得故意损坏，若有发现，除赔偿损失外，并</w:t>
      </w:r>
      <w:r>
        <w:rPr>
          <w:rFonts w:hint="eastAsia" w:ascii="宋体" w:hAnsi="宋体"/>
          <w:color w:val="auto"/>
          <w:sz w:val="21"/>
          <w:szCs w:val="21"/>
        </w:rPr>
        <w:t>承担</w:t>
      </w:r>
      <w:r>
        <w:rPr>
          <w:rFonts w:ascii="宋体" w:hAnsi="宋体"/>
          <w:color w:val="auto"/>
          <w:sz w:val="21"/>
          <w:szCs w:val="21"/>
        </w:rPr>
        <w:t>1000元</w:t>
      </w:r>
      <w:r>
        <w:rPr>
          <w:rFonts w:hint="eastAsia" w:ascii="宋体" w:hAnsi="宋体"/>
          <w:color w:val="auto"/>
          <w:sz w:val="21"/>
          <w:szCs w:val="21"/>
        </w:rPr>
        <w:t>违约责任</w:t>
      </w:r>
      <w:r>
        <w:rPr>
          <w:rFonts w:ascii="宋体" w:hAnsi="宋体"/>
          <w:color w:val="auto"/>
          <w:sz w:val="21"/>
          <w:szCs w:val="21"/>
        </w:rPr>
        <w:t>，严重者</w:t>
      </w:r>
      <w:r>
        <w:rPr>
          <w:rFonts w:hint="eastAsia" w:ascii="宋体" w:hAnsi="宋体"/>
          <w:color w:val="auto"/>
          <w:sz w:val="21"/>
          <w:szCs w:val="21"/>
        </w:rPr>
        <w:t>卖方不得安排到买方施工</w:t>
      </w:r>
      <w:r>
        <w:rPr>
          <w:rFonts w:ascii="宋体" w:hAnsi="宋体"/>
          <w:color w:val="auto"/>
          <w:sz w:val="21"/>
          <w:szCs w:val="21"/>
        </w:rPr>
        <w:t>，并追究其相应责任</w:t>
      </w:r>
      <w:r>
        <w:rPr>
          <w:rFonts w:hint="eastAsia" w:ascii="宋体" w:hAnsi="宋体"/>
          <w:color w:val="auto"/>
          <w:sz w:val="21"/>
          <w:szCs w:val="21"/>
        </w:rPr>
        <w:t>；</w:t>
      </w:r>
    </w:p>
    <w:p>
      <w:pPr>
        <w:pStyle w:val="45"/>
        <w:numPr>
          <w:ilvl w:val="0"/>
          <w:numId w:val="32"/>
        </w:numPr>
        <w:spacing w:line="440" w:lineRule="exact"/>
        <w:ind w:right="0"/>
        <w:rPr>
          <w:rFonts w:ascii="宋体" w:hAnsi="宋体"/>
          <w:color w:val="auto"/>
          <w:sz w:val="21"/>
          <w:szCs w:val="21"/>
        </w:rPr>
      </w:pPr>
      <w:r>
        <w:rPr>
          <w:rFonts w:hint="eastAsia" w:ascii="宋体" w:hAnsi="宋体"/>
          <w:color w:val="auto"/>
          <w:sz w:val="21"/>
          <w:szCs w:val="21"/>
        </w:rPr>
        <w:t>禁止在施工现场吸烟，</w:t>
      </w:r>
      <w:r>
        <w:rPr>
          <w:rFonts w:ascii="宋体" w:hAnsi="宋体"/>
          <w:color w:val="auto"/>
          <w:sz w:val="21"/>
          <w:szCs w:val="21"/>
        </w:rPr>
        <w:t>只</w:t>
      </w:r>
      <w:r>
        <w:rPr>
          <w:rFonts w:hint="eastAsia" w:ascii="宋体" w:hAnsi="宋体"/>
          <w:color w:val="auto"/>
          <w:sz w:val="21"/>
          <w:szCs w:val="21"/>
        </w:rPr>
        <w:t>允许在指定吸烟区才能吸烟，</w:t>
      </w:r>
      <w:r>
        <w:rPr>
          <w:rFonts w:ascii="宋体" w:hAnsi="宋体"/>
          <w:color w:val="auto"/>
          <w:sz w:val="21"/>
          <w:szCs w:val="21"/>
        </w:rPr>
        <w:t>若查到，</w:t>
      </w:r>
      <w:r>
        <w:rPr>
          <w:rFonts w:hint="eastAsia" w:ascii="宋体" w:hAnsi="宋体"/>
          <w:color w:val="auto"/>
          <w:sz w:val="21"/>
          <w:szCs w:val="21"/>
        </w:rPr>
        <w:t>按</w:t>
      </w:r>
      <w:r>
        <w:rPr>
          <w:rFonts w:ascii="宋体" w:hAnsi="宋体"/>
          <w:color w:val="auto"/>
          <w:sz w:val="21"/>
          <w:szCs w:val="21"/>
        </w:rPr>
        <w:t>50元/</w:t>
      </w:r>
      <w:r>
        <w:rPr>
          <w:rFonts w:hint="eastAsia" w:ascii="宋体" w:hAnsi="宋体"/>
          <w:color w:val="auto"/>
          <w:sz w:val="21"/>
          <w:szCs w:val="21"/>
        </w:rPr>
        <w:t>人•</w:t>
      </w:r>
      <w:r>
        <w:rPr>
          <w:rFonts w:ascii="宋体" w:hAnsi="宋体"/>
          <w:color w:val="auto"/>
          <w:sz w:val="21"/>
          <w:szCs w:val="21"/>
        </w:rPr>
        <w:t>次</w:t>
      </w:r>
      <w:r>
        <w:rPr>
          <w:rFonts w:hint="eastAsia" w:ascii="宋体" w:hAnsi="宋体"/>
          <w:color w:val="auto"/>
          <w:sz w:val="21"/>
          <w:szCs w:val="21"/>
        </w:rPr>
        <w:t>承担违约责任；</w:t>
      </w:r>
    </w:p>
    <w:p>
      <w:pPr>
        <w:pStyle w:val="45"/>
        <w:numPr>
          <w:ilvl w:val="0"/>
          <w:numId w:val="32"/>
        </w:numPr>
        <w:spacing w:line="440" w:lineRule="exact"/>
        <w:ind w:right="0"/>
        <w:rPr>
          <w:rFonts w:ascii="宋体" w:hAnsi="宋体"/>
          <w:color w:val="auto"/>
          <w:sz w:val="21"/>
          <w:szCs w:val="21"/>
        </w:rPr>
      </w:pPr>
      <w:r>
        <w:rPr>
          <w:rFonts w:hint="eastAsia" w:ascii="宋体" w:hAnsi="宋体"/>
          <w:color w:val="auto"/>
          <w:sz w:val="21"/>
          <w:szCs w:val="21"/>
        </w:rPr>
        <w:t>在施工现场不允许偷喝买方产品，</w:t>
      </w:r>
      <w:r>
        <w:rPr>
          <w:rFonts w:ascii="宋体" w:hAnsi="宋体"/>
          <w:color w:val="auto"/>
          <w:sz w:val="21"/>
          <w:szCs w:val="21"/>
        </w:rPr>
        <w:t>若查到，</w:t>
      </w:r>
      <w:r>
        <w:rPr>
          <w:rFonts w:hint="eastAsia" w:ascii="宋体" w:hAnsi="宋体"/>
          <w:color w:val="auto"/>
          <w:sz w:val="21"/>
          <w:szCs w:val="21"/>
        </w:rPr>
        <w:t>按</w:t>
      </w:r>
      <w:r>
        <w:rPr>
          <w:rFonts w:ascii="宋体" w:hAnsi="宋体"/>
          <w:color w:val="auto"/>
          <w:sz w:val="21"/>
          <w:szCs w:val="21"/>
        </w:rPr>
        <w:t>50元/</w:t>
      </w:r>
      <w:r>
        <w:rPr>
          <w:rFonts w:hint="eastAsia" w:ascii="宋体" w:hAnsi="宋体"/>
          <w:color w:val="auto"/>
          <w:sz w:val="21"/>
          <w:szCs w:val="21"/>
        </w:rPr>
        <w:t>人•</w:t>
      </w:r>
      <w:r>
        <w:rPr>
          <w:rFonts w:ascii="宋体" w:hAnsi="宋体"/>
          <w:color w:val="auto"/>
          <w:sz w:val="21"/>
          <w:szCs w:val="21"/>
        </w:rPr>
        <w:t>次</w:t>
      </w:r>
      <w:r>
        <w:rPr>
          <w:rFonts w:hint="eastAsia" w:ascii="宋体" w:hAnsi="宋体"/>
          <w:color w:val="auto"/>
          <w:sz w:val="21"/>
          <w:szCs w:val="21"/>
        </w:rPr>
        <w:t>承担违约责任；</w:t>
      </w:r>
    </w:p>
    <w:p>
      <w:pPr>
        <w:pStyle w:val="45"/>
        <w:numPr>
          <w:ilvl w:val="0"/>
          <w:numId w:val="32"/>
        </w:numPr>
        <w:spacing w:line="440" w:lineRule="exact"/>
        <w:ind w:right="0"/>
        <w:rPr>
          <w:rFonts w:ascii="宋体" w:hAnsi="宋体"/>
          <w:color w:val="auto"/>
          <w:sz w:val="21"/>
          <w:szCs w:val="21"/>
        </w:rPr>
      </w:pPr>
      <w:r>
        <w:rPr>
          <w:rFonts w:ascii="宋体" w:hAnsi="宋体"/>
          <w:color w:val="auto"/>
          <w:sz w:val="21"/>
          <w:szCs w:val="21"/>
        </w:rPr>
        <w:t>要遵纪守法，如有发现偷窃工地公物者，</w:t>
      </w:r>
      <w:r>
        <w:rPr>
          <w:rFonts w:hint="eastAsia" w:ascii="宋体" w:hAnsi="宋体"/>
          <w:color w:val="auto"/>
          <w:sz w:val="21"/>
          <w:szCs w:val="21"/>
        </w:rPr>
        <w:t>卖方应按</w:t>
      </w:r>
      <w:r>
        <w:rPr>
          <w:rFonts w:ascii="宋体" w:hAnsi="宋体"/>
          <w:color w:val="auto"/>
          <w:sz w:val="21"/>
          <w:szCs w:val="21"/>
        </w:rPr>
        <w:t>偷窃实物价值的2-5倍</w:t>
      </w:r>
      <w:r>
        <w:rPr>
          <w:rFonts w:hint="eastAsia" w:ascii="宋体" w:hAnsi="宋体"/>
          <w:color w:val="auto"/>
          <w:sz w:val="21"/>
          <w:szCs w:val="21"/>
        </w:rPr>
        <w:t>承担违约责任</w:t>
      </w:r>
      <w:r>
        <w:rPr>
          <w:rFonts w:ascii="宋体" w:hAnsi="宋体"/>
          <w:color w:val="auto"/>
          <w:sz w:val="21"/>
          <w:szCs w:val="21"/>
        </w:rPr>
        <w:t>，数额较大或情节严重者移交公安机关处理</w:t>
      </w:r>
      <w:r>
        <w:rPr>
          <w:rFonts w:hint="eastAsia" w:ascii="宋体" w:hAnsi="宋体"/>
          <w:color w:val="auto"/>
          <w:sz w:val="21"/>
          <w:szCs w:val="21"/>
        </w:rPr>
        <w:t>。</w:t>
      </w:r>
    </w:p>
    <w:p>
      <w:pPr>
        <w:pStyle w:val="45"/>
        <w:spacing w:line="440" w:lineRule="exact"/>
        <w:ind w:left="0" w:right="0"/>
        <w:rPr>
          <w:rFonts w:ascii="宋体" w:hAnsi="宋体"/>
          <w:color w:val="auto"/>
          <w:sz w:val="21"/>
          <w:szCs w:val="21"/>
        </w:rPr>
      </w:pPr>
      <w:r>
        <w:rPr>
          <w:rFonts w:hint="eastAsia" w:ascii="宋体" w:hAnsi="宋体"/>
          <w:b/>
          <w:color w:val="auto"/>
          <w:sz w:val="21"/>
          <w:szCs w:val="21"/>
        </w:rPr>
        <w:t>6</w:t>
      </w:r>
      <w:r>
        <w:rPr>
          <w:rFonts w:ascii="宋体" w:hAnsi="宋体"/>
          <w:b/>
          <w:color w:val="auto"/>
          <w:sz w:val="21"/>
          <w:szCs w:val="21"/>
        </w:rPr>
        <w:t xml:space="preserve">   </w:t>
      </w:r>
      <w:r>
        <w:rPr>
          <w:rFonts w:hint="eastAsia" w:ascii="宋体" w:hAnsi="宋体"/>
          <w:b/>
          <w:color w:val="auto"/>
          <w:sz w:val="21"/>
          <w:szCs w:val="21"/>
        </w:rPr>
        <w:t>附则：</w:t>
      </w:r>
    </w:p>
    <w:p>
      <w:pPr>
        <w:pStyle w:val="45"/>
        <w:numPr>
          <w:ilvl w:val="0"/>
          <w:numId w:val="33"/>
        </w:numPr>
        <w:spacing w:line="440" w:lineRule="exact"/>
        <w:ind w:right="0"/>
        <w:rPr>
          <w:rFonts w:ascii="宋体" w:hAnsi="宋体"/>
          <w:color w:val="auto"/>
          <w:sz w:val="21"/>
          <w:szCs w:val="21"/>
        </w:rPr>
      </w:pPr>
      <w:r>
        <w:rPr>
          <w:rFonts w:ascii="宋体" w:hAnsi="宋体"/>
          <w:color w:val="auto"/>
          <w:sz w:val="21"/>
          <w:szCs w:val="21"/>
        </w:rPr>
        <w:t xml:space="preserve"> </w:t>
      </w:r>
      <w:r>
        <w:rPr>
          <w:rFonts w:hint="eastAsia" w:ascii="宋体" w:hAnsi="宋体"/>
          <w:color w:val="auto"/>
          <w:sz w:val="21"/>
          <w:szCs w:val="21"/>
        </w:rPr>
        <w:t>本协议约定的各项条款，经双方加盖公章或合同专用章后生效，作为合同附件具有同等法律效力。双方应严格遵守本协议规定的各项条款，因违反本协议造成的安全事故或其他事件，由违约方承担相应的法律责任和经济责任。</w:t>
      </w:r>
    </w:p>
    <w:p>
      <w:pPr>
        <w:pStyle w:val="45"/>
        <w:numPr>
          <w:ilvl w:val="0"/>
          <w:numId w:val="33"/>
        </w:numPr>
        <w:spacing w:line="440" w:lineRule="exact"/>
        <w:ind w:right="0"/>
        <w:rPr>
          <w:rFonts w:ascii="宋体" w:hAnsi="宋体"/>
          <w:color w:val="auto"/>
          <w:sz w:val="21"/>
          <w:szCs w:val="21"/>
        </w:rPr>
      </w:pPr>
      <w:r>
        <w:rPr>
          <w:rFonts w:hint="eastAsia" w:ascii="宋体" w:hAnsi="宋体"/>
          <w:color w:val="auto"/>
          <w:sz w:val="21"/>
          <w:szCs w:val="21"/>
        </w:rPr>
        <w:t>本协议内容如遇国家的有关法律、法规等不一致，按照国家有关规定执行。</w:t>
      </w:r>
    </w:p>
    <w:p>
      <w:pPr>
        <w:spacing w:before="150" w:after="150" w:line="420" w:lineRule="exact"/>
        <w:ind w:firstLine="420" w:firstLineChars="200"/>
        <w:rPr>
          <w:rFonts w:ascii="宋体" w:hAnsi="宋体"/>
          <w:b/>
          <w:color w:val="auto"/>
          <w:szCs w:val="21"/>
        </w:rPr>
      </w:pPr>
      <w:r>
        <w:rPr>
          <w:rFonts w:hint="eastAsia" w:ascii="宋体" w:hAnsi="宋体" w:cs="宋体"/>
          <w:color w:val="auto"/>
          <w:szCs w:val="21"/>
        </w:rPr>
        <w:t>（以下无正文）</w:t>
      </w:r>
    </w:p>
    <w:p>
      <w:pPr>
        <w:tabs>
          <w:tab w:val="left" w:pos="4500"/>
        </w:tabs>
        <w:spacing w:line="360" w:lineRule="auto"/>
        <w:jc w:val="both"/>
        <w:rPr>
          <w:rFonts w:ascii="宋体" w:hAnsi="宋体"/>
          <w:color w:val="auto"/>
        </w:rPr>
      </w:pPr>
    </w:p>
    <w:p>
      <w:pPr>
        <w:tabs>
          <w:tab w:val="left" w:pos="4500"/>
        </w:tabs>
        <w:spacing w:line="360" w:lineRule="auto"/>
        <w:jc w:val="both"/>
        <w:rPr>
          <w:rFonts w:ascii="宋体" w:hAnsi="宋体"/>
          <w:color w:val="auto"/>
        </w:rPr>
      </w:pPr>
    </w:p>
    <w:p>
      <w:pPr>
        <w:tabs>
          <w:tab w:val="left" w:pos="4500"/>
        </w:tabs>
        <w:spacing w:line="360" w:lineRule="auto"/>
        <w:jc w:val="both"/>
        <w:rPr>
          <w:rFonts w:ascii="宋体" w:hAnsi="宋体"/>
          <w:color w:val="auto"/>
        </w:rPr>
      </w:pPr>
    </w:p>
    <w:tbl>
      <w:tblPr>
        <w:tblStyle w:val="37"/>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92"/>
        <w:gridCol w:w="284"/>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4392" w:type="dxa"/>
          </w:tcPr>
          <w:p>
            <w:pPr>
              <w:tabs>
                <w:tab w:val="left" w:pos="0"/>
              </w:tabs>
              <w:spacing w:line="276" w:lineRule="auto"/>
              <w:jc w:val="both"/>
              <w:rPr>
                <w:rFonts w:ascii="宋体" w:hAnsi="宋体"/>
                <w:color w:val="auto"/>
                <w:szCs w:val="21"/>
              </w:rPr>
            </w:pPr>
            <w:r>
              <w:rPr>
                <w:rFonts w:hint="eastAsia" w:ascii="宋体" w:hAnsi="宋体"/>
                <w:color w:val="auto"/>
                <w:szCs w:val="21"/>
              </w:rPr>
              <w:t>买方（盖章）：</w:t>
            </w:r>
          </w:p>
        </w:tc>
        <w:tc>
          <w:tcPr>
            <w:tcW w:w="284" w:type="dxa"/>
          </w:tcPr>
          <w:p>
            <w:pPr>
              <w:tabs>
                <w:tab w:val="left" w:pos="0"/>
              </w:tabs>
              <w:spacing w:line="276" w:lineRule="auto"/>
              <w:jc w:val="both"/>
              <w:rPr>
                <w:rFonts w:ascii="宋体" w:hAnsi="宋体"/>
                <w:color w:val="auto"/>
                <w:szCs w:val="21"/>
              </w:rPr>
            </w:pPr>
          </w:p>
        </w:tc>
        <w:tc>
          <w:tcPr>
            <w:tcW w:w="4395" w:type="dxa"/>
          </w:tcPr>
          <w:p>
            <w:pPr>
              <w:tabs>
                <w:tab w:val="left" w:pos="0"/>
              </w:tabs>
              <w:spacing w:line="276" w:lineRule="auto"/>
              <w:jc w:val="both"/>
              <w:rPr>
                <w:rFonts w:ascii="宋体" w:hAnsi="宋体"/>
                <w:color w:val="auto"/>
                <w:szCs w:val="21"/>
              </w:rPr>
            </w:pPr>
            <w:r>
              <w:rPr>
                <w:rFonts w:hint="eastAsia" w:ascii="宋体" w:hAnsi="宋体"/>
                <w:color w:val="auto"/>
                <w:szCs w:val="21"/>
              </w:rPr>
              <w:t>卖方（盖章）：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4392" w:type="dxa"/>
          </w:tcPr>
          <w:p>
            <w:pPr>
              <w:tabs>
                <w:tab w:val="left" w:pos="0"/>
              </w:tabs>
              <w:spacing w:line="276" w:lineRule="auto"/>
              <w:jc w:val="both"/>
              <w:rPr>
                <w:rFonts w:ascii="宋体" w:hAnsi="宋体"/>
                <w:color w:val="auto"/>
                <w:szCs w:val="21"/>
              </w:rPr>
            </w:pPr>
            <w:r>
              <w:rPr>
                <w:rFonts w:hint="eastAsia" w:ascii="宋体" w:hAnsi="宋体"/>
                <w:b/>
                <w:bCs/>
                <w:color w:val="auto"/>
                <w:szCs w:val="21"/>
                <w:u w:val="single"/>
              </w:rPr>
              <w:t xml:space="preserve">王老吉大健康产业（兰州）有限公司 </w:t>
            </w:r>
          </w:p>
        </w:tc>
        <w:tc>
          <w:tcPr>
            <w:tcW w:w="284" w:type="dxa"/>
          </w:tcPr>
          <w:p>
            <w:pPr>
              <w:tabs>
                <w:tab w:val="left" w:pos="0"/>
              </w:tabs>
              <w:spacing w:line="276" w:lineRule="auto"/>
              <w:jc w:val="both"/>
              <w:rPr>
                <w:rFonts w:ascii="宋体" w:hAnsi="宋体"/>
                <w:b/>
                <w:bCs/>
                <w:color w:val="auto"/>
                <w:szCs w:val="21"/>
                <w:u w:val="single"/>
              </w:rPr>
            </w:pPr>
          </w:p>
        </w:tc>
        <w:tc>
          <w:tcPr>
            <w:tcW w:w="4395" w:type="dxa"/>
          </w:tcPr>
          <w:p>
            <w:pPr>
              <w:tabs>
                <w:tab w:val="left" w:pos="0"/>
              </w:tabs>
              <w:spacing w:line="276" w:lineRule="auto"/>
              <w:jc w:val="both"/>
              <w:rPr>
                <w:rFonts w:ascii="宋体" w:hAnsi="宋体"/>
                <w:color w:val="auto"/>
                <w:szCs w:val="21"/>
              </w:rPr>
            </w:pPr>
            <w:r>
              <w:rPr>
                <w:rFonts w:hint="eastAsia" w:ascii="宋体" w:hAnsi="宋体"/>
                <w:b/>
                <w:bCs/>
                <w:color w:val="auto"/>
                <w:szCs w:val="21"/>
                <w:u w:val="single"/>
              </w:rPr>
              <w:t xml:space="preserve"> </w:t>
            </w:r>
            <w:r>
              <w:rPr>
                <w:rFonts w:ascii="宋体" w:hAnsi="宋体"/>
                <w:b/>
                <w:bCs/>
                <w:color w:val="auto"/>
                <w:szCs w:val="21"/>
                <w:u w:val="single"/>
              </w:rPr>
              <w:t xml:space="preserve">                          </w:t>
            </w:r>
            <w:r>
              <w:rPr>
                <w:rFonts w:ascii="宋体" w:hAnsi="宋体"/>
                <w:color w:val="auto"/>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4392" w:type="dxa"/>
          </w:tcPr>
          <w:p>
            <w:pPr>
              <w:tabs>
                <w:tab w:val="left" w:pos="0"/>
              </w:tabs>
              <w:spacing w:line="276" w:lineRule="auto"/>
              <w:jc w:val="both"/>
              <w:rPr>
                <w:rFonts w:ascii="宋体" w:hAnsi="宋体"/>
                <w:color w:val="auto"/>
                <w:szCs w:val="21"/>
              </w:rPr>
            </w:pPr>
            <w:r>
              <w:rPr>
                <w:rFonts w:hint="eastAsia" w:ascii="宋体" w:hAnsi="宋体"/>
                <w:color w:val="auto"/>
                <w:szCs w:val="21"/>
              </w:rPr>
              <w:t xml:space="preserve">签订日期：   </w:t>
            </w:r>
            <w:r>
              <w:rPr>
                <w:rFonts w:ascii="宋体" w:hAnsi="宋体"/>
                <w:color w:val="auto"/>
                <w:szCs w:val="21"/>
              </w:rPr>
              <w:t xml:space="preserve"> </w:t>
            </w:r>
            <w:r>
              <w:rPr>
                <w:rFonts w:hint="eastAsia" w:ascii="宋体" w:hAnsi="宋体"/>
                <w:color w:val="auto"/>
                <w:szCs w:val="21"/>
              </w:rPr>
              <w:t xml:space="preserve"> 年  </w:t>
            </w:r>
            <w:r>
              <w:rPr>
                <w:rFonts w:ascii="宋体" w:hAnsi="宋体"/>
                <w:color w:val="auto"/>
                <w:szCs w:val="21"/>
              </w:rPr>
              <w:t xml:space="preserve"> </w:t>
            </w:r>
            <w:r>
              <w:rPr>
                <w:rFonts w:hint="eastAsia" w:ascii="宋体" w:hAnsi="宋体"/>
                <w:color w:val="auto"/>
                <w:szCs w:val="21"/>
              </w:rPr>
              <w:t xml:space="preserve"> 月 </w:t>
            </w: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日</w:t>
            </w:r>
          </w:p>
        </w:tc>
        <w:tc>
          <w:tcPr>
            <w:tcW w:w="284" w:type="dxa"/>
          </w:tcPr>
          <w:p>
            <w:pPr>
              <w:tabs>
                <w:tab w:val="left" w:pos="0"/>
              </w:tabs>
              <w:spacing w:line="276" w:lineRule="auto"/>
              <w:jc w:val="both"/>
              <w:rPr>
                <w:rFonts w:ascii="宋体" w:hAnsi="宋体"/>
                <w:color w:val="auto"/>
                <w:szCs w:val="21"/>
              </w:rPr>
            </w:pPr>
          </w:p>
        </w:tc>
        <w:tc>
          <w:tcPr>
            <w:tcW w:w="4395" w:type="dxa"/>
          </w:tcPr>
          <w:p>
            <w:pPr>
              <w:tabs>
                <w:tab w:val="left" w:pos="0"/>
              </w:tabs>
              <w:spacing w:line="276" w:lineRule="auto"/>
              <w:jc w:val="both"/>
              <w:rPr>
                <w:rFonts w:ascii="宋体" w:hAnsi="宋体"/>
                <w:color w:val="auto"/>
                <w:szCs w:val="21"/>
              </w:rPr>
            </w:pPr>
            <w:r>
              <w:rPr>
                <w:rFonts w:hint="eastAsia" w:ascii="宋体" w:hAnsi="宋体"/>
                <w:color w:val="auto"/>
                <w:szCs w:val="21"/>
              </w:rPr>
              <w:t xml:space="preserve">签订日期：   </w:t>
            </w:r>
            <w:r>
              <w:rPr>
                <w:rFonts w:ascii="宋体" w:hAnsi="宋体"/>
                <w:color w:val="auto"/>
                <w:szCs w:val="21"/>
              </w:rPr>
              <w:t xml:space="preserve"> </w:t>
            </w:r>
            <w:r>
              <w:rPr>
                <w:rFonts w:hint="eastAsia" w:ascii="宋体" w:hAnsi="宋体"/>
                <w:color w:val="auto"/>
                <w:szCs w:val="21"/>
              </w:rPr>
              <w:t xml:space="preserve"> 年  </w:t>
            </w:r>
            <w:r>
              <w:rPr>
                <w:rFonts w:ascii="宋体" w:hAnsi="宋体"/>
                <w:color w:val="auto"/>
                <w:szCs w:val="21"/>
              </w:rPr>
              <w:t xml:space="preserve"> </w:t>
            </w:r>
            <w:r>
              <w:rPr>
                <w:rFonts w:hint="eastAsia" w:ascii="宋体" w:hAnsi="宋体"/>
                <w:color w:val="auto"/>
                <w:szCs w:val="21"/>
              </w:rPr>
              <w:t xml:space="preserve"> 月 </w:t>
            </w: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日</w:t>
            </w:r>
          </w:p>
        </w:tc>
      </w:tr>
    </w:tbl>
    <w:p>
      <w:pPr>
        <w:spacing w:before="150" w:after="150" w:line="420" w:lineRule="exact"/>
        <w:rPr>
          <w:b/>
          <w:color w:val="auto"/>
          <w:szCs w:val="21"/>
        </w:rPr>
      </w:pPr>
    </w:p>
    <w:p>
      <w:pPr>
        <w:spacing w:before="150" w:after="150" w:line="420" w:lineRule="exact"/>
        <w:rPr>
          <w:b/>
          <w:color w:val="auto"/>
          <w:szCs w:val="21"/>
        </w:rPr>
      </w:pPr>
    </w:p>
    <w:p>
      <w:pPr>
        <w:spacing w:before="150" w:after="150" w:line="420" w:lineRule="exact"/>
        <w:rPr>
          <w:b/>
          <w:color w:val="auto"/>
          <w:szCs w:val="21"/>
        </w:rPr>
      </w:pPr>
    </w:p>
    <w:p>
      <w:pPr>
        <w:spacing w:before="150" w:after="150" w:line="420" w:lineRule="exact"/>
        <w:rPr>
          <w:b/>
          <w:color w:val="auto"/>
          <w:sz w:val="24"/>
        </w:rPr>
      </w:pPr>
      <w:r>
        <w:rPr>
          <w:rFonts w:hint="eastAsia"/>
          <w:b/>
          <w:color w:val="auto"/>
          <w:szCs w:val="21"/>
        </w:rPr>
        <w:t>附件3：</w:t>
      </w:r>
    </w:p>
    <w:p>
      <w:pPr>
        <w:spacing w:before="150" w:after="150" w:line="420" w:lineRule="exact"/>
        <w:jc w:val="center"/>
        <w:rPr>
          <w:rFonts w:ascii="宋体" w:hAnsi="宋体" w:cs="宋体"/>
          <w:b/>
          <w:bCs/>
          <w:color w:val="auto"/>
          <w:sz w:val="28"/>
          <w:szCs w:val="28"/>
        </w:rPr>
      </w:pPr>
      <w:r>
        <w:rPr>
          <w:rFonts w:hint="eastAsia" w:ascii="宋体" w:hAnsi="宋体" w:cs="宋体"/>
          <w:b/>
          <w:bCs/>
          <w:color w:val="auto"/>
          <w:sz w:val="28"/>
          <w:szCs w:val="28"/>
        </w:rPr>
        <w:t>保密协议</w:t>
      </w:r>
    </w:p>
    <w:p>
      <w:pPr>
        <w:pStyle w:val="53"/>
        <w:rPr>
          <w:color w:val="auto"/>
          <w:sz w:val="21"/>
          <w:szCs w:val="21"/>
        </w:rPr>
      </w:pPr>
    </w:p>
    <w:p>
      <w:pPr>
        <w:pStyle w:val="53"/>
        <w:rPr>
          <w:color w:val="auto"/>
          <w:sz w:val="21"/>
          <w:szCs w:val="21"/>
          <w:u w:val="single"/>
        </w:rPr>
      </w:pPr>
      <w:r>
        <w:rPr>
          <w:rFonts w:hint="eastAsia"/>
          <w:b/>
          <w:color w:val="auto"/>
          <w:sz w:val="21"/>
          <w:szCs w:val="21"/>
        </w:rPr>
        <w:t>买方</w:t>
      </w:r>
      <w:r>
        <w:rPr>
          <w:b/>
          <w:bCs/>
          <w:color w:val="auto"/>
          <w:sz w:val="21"/>
          <w:szCs w:val="21"/>
        </w:rPr>
        <w:t>：</w:t>
      </w:r>
      <w:r>
        <w:rPr>
          <w:rFonts w:hint="eastAsia"/>
          <w:color w:val="auto"/>
          <w:sz w:val="21"/>
          <w:szCs w:val="21"/>
        </w:rPr>
        <w:t>王老吉大健康产业（兰州）</w:t>
      </w:r>
      <w:r>
        <w:rPr>
          <w:color w:val="auto"/>
          <w:sz w:val="21"/>
          <w:szCs w:val="21"/>
        </w:rPr>
        <w:t>有限</w:t>
      </w:r>
      <w:r>
        <w:rPr>
          <w:rFonts w:hint="eastAsia"/>
          <w:color w:val="auto"/>
          <w:sz w:val="21"/>
          <w:szCs w:val="21"/>
        </w:rPr>
        <w:t xml:space="preserve">公司          </w:t>
      </w:r>
    </w:p>
    <w:p>
      <w:pPr>
        <w:pStyle w:val="53"/>
        <w:rPr>
          <w:b/>
          <w:color w:val="auto"/>
          <w:sz w:val="21"/>
          <w:szCs w:val="21"/>
        </w:rPr>
      </w:pPr>
      <w:r>
        <w:rPr>
          <w:rFonts w:hint="eastAsia"/>
          <w:b/>
          <w:color w:val="auto"/>
          <w:sz w:val="21"/>
          <w:szCs w:val="21"/>
        </w:rPr>
        <w:t>卖方</w:t>
      </w:r>
      <w:r>
        <w:rPr>
          <w:rFonts w:hint="eastAsia"/>
          <w:b/>
          <w:bCs/>
          <w:color w:val="auto"/>
          <w:sz w:val="21"/>
          <w:szCs w:val="21"/>
        </w:rPr>
        <w:t>：</w:t>
      </w:r>
      <w:r>
        <w:rPr>
          <w:rFonts w:hint="eastAsia"/>
          <w:color w:val="auto"/>
          <w:szCs w:val="21"/>
          <w:u w:val="single"/>
          <w:shd w:val="clear" w:color="auto" w:fill="FFFFFF"/>
        </w:rPr>
        <w:t xml:space="preserve">  </w:t>
      </w:r>
      <w:r>
        <w:rPr>
          <w:color w:val="auto"/>
          <w:szCs w:val="21"/>
          <w:u w:val="single"/>
          <w:shd w:val="clear" w:color="auto" w:fill="FFFFFF"/>
        </w:rPr>
        <w:t xml:space="preserve">                         </w:t>
      </w:r>
      <w:r>
        <w:rPr>
          <w:b/>
          <w:color w:val="auto"/>
          <w:sz w:val="21"/>
          <w:szCs w:val="21"/>
        </w:rPr>
        <w:t xml:space="preserve">         </w:t>
      </w:r>
    </w:p>
    <w:p>
      <w:pPr>
        <w:pStyle w:val="53"/>
        <w:ind w:firstLine="630" w:firstLineChars="300"/>
        <w:rPr>
          <w:color w:val="auto"/>
          <w:sz w:val="21"/>
          <w:szCs w:val="21"/>
        </w:rPr>
      </w:pPr>
      <w:r>
        <w:rPr>
          <w:rFonts w:hint="eastAsia"/>
          <w:color w:val="auto"/>
          <w:sz w:val="21"/>
          <w:szCs w:val="21"/>
          <w:lang w:val="zh-CN"/>
        </w:rPr>
        <w:t>买、卖双方依据《中华人民共和国民法典》、《中华人民共和国反不正当竞争法》、《关于禁止侵犯商业秘密行为的若干规定》以及相关的规定，遵循自愿和诚实信用的原则，经协商一致，达成下列条款并共同遵照履行：</w:t>
      </w:r>
    </w:p>
    <w:p>
      <w:pPr>
        <w:pStyle w:val="53"/>
        <w:rPr>
          <w:color w:val="auto"/>
          <w:sz w:val="21"/>
          <w:szCs w:val="21"/>
        </w:rPr>
      </w:pPr>
      <w:r>
        <w:rPr>
          <w:rFonts w:hint="eastAsia"/>
          <w:color w:val="auto"/>
          <w:sz w:val="21"/>
          <w:szCs w:val="21"/>
        </w:rPr>
        <w:t>1. 定义</w:t>
      </w:r>
    </w:p>
    <w:p>
      <w:pPr>
        <w:pStyle w:val="53"/>
        <w:rPr>
          <w:color w:val="auto"/>
          <w:sz w:val="21"/>
          <w:szCs w:val="21"/>
        </w:rPr>
      </w:pPr>
      <w:r>
        <w:rPr>
          <w:rFonts w:hint="eastAsia"/>
          <w:color w:val="auto"/>
          <w:sz w:val="21"/>
          <w:szCs w:val="21"/>
        </w:rPr>
        <w:t>“保密信息”：卖方在项目设备采购过程中主动或者被动获知的买方或与买方有关的信息，包括但不限于纸质、电子文件、光盘等介质中所含有的信息。</w:t>
      </w:r>
    </w:p>
    <w:p>
      <w:pPr>
        <w:pStyle w:val="53"/>
        <w:rPr>
          <w:color w:val="auto"/>
          <w:sz w:val="21"/>
          <w:szCs w:val="21"/>
        </w:rPr>
      </w:pPr>
      <w:r>
        <w:rPr>
          <w:rFonts w:hint="eastAsia"/>
          <w:color w:val="auto"/>
          <w:sz w:val="21"/>
          <w:szCs w:val="21"/>
        </w:rPr>
        <w:t>2.</w:t>
      </w:r>
      <w:r>
        <w:rPr>
          <w:rFonts w:hint="eastAsia"/>
          <w:color w:val="auto"/>
          <w:sz w:val="21"/>
          <w:szCs w:val="21"/>
          <w:lang w:val="zh-CN"/>
        </w:rPr>
        <w:t xml:space="preserve"> 透露范围及使用用途</w:t>
      </w:r>
    </w:p>
    <w:p>
      <w:pPr>
        <w:pStyle w:val="53"/>
        <w:rPr>
          <w:color w:val="auto"/>
          <w:sz w:val="21"/>
          <w:szCs w:val="21"/>
        </w:rPr>
      </w:pPr>
      <w:r>
        <w:rPr>
          <w:rFonts w:hint="eastAsia"/>
          <w:color w:val="auto"/>
          <w:sz w:val="21"/>
          <w:szCs w:val="21"/>
        </w:rPr>
        <w:t>2.1 买、卖双方在合作过程中，卖方仅应当向其参加项目设备采购工作的必要人员透露买方提供的保密信息；除此之外，不得透露给任何无关人员。</w:t>
      </w:r>
    </w:p>
    <w:p>
      <w:pPr>
        <w:pStyle w:val="53"/>
        <w:rPr>
          <w:color w:val="auto"/>
          <w:sz w:val="21"/>
          <w:szCs w:val="21"/>
        </w:rPr>
      </w:pPr>
      <w:r>
        <w:rPr>
          <w:rFonts w:hint="eastAsia"/>
          <w:color w:val="auto"/>
          <w:sz w:val="21"/>
          <w:szCs w:val="21"/>
        </w:rPr>
        <w:t>2.2除法院及行业主管部门及其他法律法规明确规定的查看外，未经买方事前书面同意，卖方不得向第三方透露买方的保密信息。</w:t>
      </w:r>
    </w:p>
    <w:p>
      <w:pPr>
        <w:pStyle w:val="53"/>
        <w:rPr>
          <w:color w:val="auto"/>
          <w:sz w:val="21"/>
          <w:szCs w:val="21"/>
        </w:rPr>
      </w:pPr>
      <w:r>
        <w:rPr>
          <w:rFonts w:hint="eastAsia"/>
          <w:color w:val="auto"/>
          <w:sz w:val="21"/>
          <w:szCs w:val="21"/>
        </w:rPr>
        <w:t>2.3 卖方对于保密信息的使用不得违反我国法律（包括香港、澳门）对于上市公司的规定。</w:t>
      </w:r>
    </w:p>
    <w:p>
      <w:pPr>
        <w:pStyle w:val="53"/>
        <w:rPr>
          <w:color w:val="auto"/>
          <w:sz w:val="21"/>
          <w:szCs w:val="21"/>
          <w:lang w:val="zh-CN"/>
        </w:rPr>
      </w:pPr>
      <w:r>
        <w:rPr>
          <w:rFonts w:hint="eastAsia"/>
          <w:color w:val="auto"/>
          <w:sz w:val="21"/>
          <w:szCs w:val="21"/>
        </w:rPr>
        <w:t>3.</w:t>
      </w:r>
      <w:r>
        <w:rPr>
          <w:rFonts w:hint="eastAsia"/>
          <w:color w:val="auto"/>
          <w:sz w:val="21"/>
          <w:szCs w:val="21"/>
          <w:lang w:val="zh-CN"/>
        </w:rPr>
        <w:t xml:space="preserve"> 保密措施</w:t>
      </w:r>
    </w:p>
    <w:p>
      <w:pPr>
        <w:pStyle w:val="53"/>
        <w:rPr>
          <w:color w:val="auto"/>
          <w:sz w:val="21"/>
          <w:szCs w:val="21"/>
          <w:lang w:val="zh-CN"/>
        </w:rPr>
      </w:pPr>
      <w:r>
        <w:rPr>
          <w:rFonts w:hint="eastAsia"/>
          <w:color w:val="auto"/>
          <w:sz w:val="21"/>
          <w:szCs w:val="21"/>
          <w:lang w:val="zh-CN"/>
        </w:rPr>
        <w:t xml:space="preserve">在进行项目设备采购期间，卖方应 </w:t>
      </w:r>
      <w:r>
        <w:rPr>
          <w:rFonts w:hint="eastAsia"/>
          <w:color w:val="auto"/>
          <w:sz w:val="21"/>
          <w:szCs w:val="21"/>
        </w:rPr>
        <w:t>(a) 采取合理的措施保护保密信息，其保密程度和力度应与对自身同等级别的机密所采用的程度相同。无论如何，卖方的保密义务不得低于合理程度；（b）不得将买方透露的保密信息为其他目的使用。除了上述所列各项，合作双方均同意此协议的主旨，以及其存在的保密性，不得引起或者允许将其转向第三方。</w:t>
      </w:r>
    </w:p>
    <w:p>
      <w:pPr>
        <w:pStyle w:val="53"/>
        <w:rPr>
          <w:color w:val="auto"/>
          <w:sz w:val="21"/>
          <w:szCs w:val="21"/>
          <w:lang w:val="zh-CN"/>
        </w:rPr>
      </w:pPr>
      <w:r>
        <w:rPr>
          <w:rFonts w:hint="eastAsia"/>
          <w:color w:val="auto"/>
          <w:sz w:val="21"/>
          <w:szCs w:val="21"/>
        </w:rPr>
        <w:t>卖方应指定专人负责保密信息的安全管理并采取合理措施以避免保密信息的泄露，包括但不限于将保密信息和卖方的其他信息区分开来，以及禁止对于保密信息的复制等。</w:t>
      </w:r>
    </w:p>
    <w:p>
      <w:pPr>
        <w:pStyle w:val="53"/>
        <w:rPr>
          <w:color w:val="auto"/>
          <w:sz w:val="21"/>
          <w:szCs w:val="21"/>
        </w:rPr>
      </w:pPr>
      <w:r>
        <w:rPr>
          <w:rFonts w:hint="eastAsia"/>
          <w:color w:val="auto"/>
          <w:sz w:val="21"/>
          <w:szCs w:val="21"/>
        </w:rPr>
        <w:t>4. 免责条款</w:t>
      </w:r>
    </w:p>
    <w:p>
      <w:pPr>
        <w:pStyle w:val="53"/>
        <w:rPr>
          <w:color w:val="auto"/>
          <w:sz w:val="21"/>
          <w:szCs w:val="21"/>
        </w:rPr>
      </w:pPr>
      <w:r>
        <w:rPr>
          <w:rFonts w:hint="eastAsia"/>
          <w:color w:val="auto"/>
          <w:sz w:val="21"/>
          <w:szCs w:val="21"/>
        </w:rPr>
        <w:t>以下信息不被视为保密信息：（a）大众普遍了解的信息，（b）在买方传送信息时，卖方通过合法途径已了解的信息，（c）由第三方合法提供给卖方并不需要卖方承担保密义务的信息。发生上述（b）或（c）项所述情况时，卖方应当提供材料证明其没有违反本协议规定。</w:t>
      </w:r>
    </w:p>
    <w:p>
      <w:pPr>
        <w:pStyle w:val="53"/>
        <w:rPr>
          <w:color w:val="auto"/>
          <w:sz w:val="21"/>
          <w:szCs w:val="21"/>
        </w:rPr>
      </w:pPr>
      <w:r>
        <w:rPr>
          <w:rFonts w:hint="eastAsia"/>
          <w:color w:val="auto"/>
          <w:sz w:val="21"/>
          <w:szCs w:val="21"/>
        </w:rPr>
        <w:t>5. 权利保证</w:t>
      </w:r>
    </w:p>
    <w:p>
      <w:pPr>
        <w:pStyle w:val="53"/>
        <w:rPr>
          <w:color w:val="auto"/>
          <w:sz w:val="21"/>
          <w:szCs w:val="21"/>
        </w:rPr>
      </w:pPr>
      <w:r>
        <w:rPr>
          <w:rFonts w:hint="eastAsia"/>
          <w:color w:val="auto"/>
          <w:sz w:val="21"/>
          <w:szCs w:val="21"/>
        </w:rPr>
        <w:t>双方声明并保证根据此协议透露的保密信息为买方合法所有，或者需要由买方承担保密义务，此时卖方亦应承担相关信息的同等保密义务。</w:t>
      </w:r>
    </w:p>
    <w:p>
      <w:pPr>
        <w:pStyle w:val="53"/>
        <w:rPr>
          <w:color w:val="auto"/>
          <w:sz w:val="21"/>
          <w:szCs w:val="21"/>
        </w:rPr>
      </w:pPr>
      <w:r>
        <w:rPr>
          <w:rFonts w:hint="eastAsia"/>
          <w:color w:val="auto"/>
          <w:sz w:val="21"/>
          <w:szCs w:val="21"/>
        </w:rPr>
        <w:t>6. 不授予权利和义务:</w:t>
      </w:r>
    </w:p>
    <w:p>
      <w:pPr>
        <w:pStyle w:val="53"/>
        <w:rPr>
          <w:color w:val="auto"/>
          <w:sz w:val="21"/>
          <w:szCs w:val="21"/>
        </w:rPr>
      </w:pPr>
      <w:r>
        <w:rPr>
          <w:rFonts w:hint="eastAsia"/>
          <w:color w:val="auto"/>
          <w:sz w:val="21"/>
          <w:szCs w:val="21"/>
        </w:rPr>
        <w:t>协议中的任何权利和义务不得被解释为：（a）授予任何一方的保密信息中的权利，（b）强迫任何一方进入任何协议或者交易，或（c）阻止一方从第三方开发或者购买产品，服务或者技术用于竞争另一方的产品、服务和技术。</w:t>
      </w:r>
    </w:p>
    <w:p>
      <w:pPr>
        <w:pStyle w:val="53"/>
        <w:rPr>
          <w:color w:val="auto"/>
          <w:sz w:val="21"/>
          <w:szCs w:val="21"/>
        </w:rPr>
      </w:pPr>
      <w:r>
        <w:rPr>
          <w:rFonts w:hint="eastAsia"/>
          <w:color w:val="auto"/>
          <w:sz w:val="21"/>
          <w:szCs w:val="21"/>
        </w:rPr>
        <w:t>7. 平等救济</w:t>
      </w:r>
    </w:p>
    <w:p>
      <w:pPr>
        <w:pStyle w:val="53"/>
        <w:rPr>
          <w:color w:val="auto"/>
          <w:sz w:val="21"/>
          <w:szCs w:val="21"/>
        </w:rPr>
      </w:pPr>
      <w:r>
        <w:rPr>
          <w:rFonts w:hint="eastAsia"/>
          <w:color w:val="auto"/>
          <w:sz w:val="21"/>
          <w:szCs w:val="21"/>
        </w:rPr>
        <w:t>合作双方应承认保密信息的独特且有价值，任何未经授权的透露或使用的机密资料可能会引起无法弥补的伤害或损失，甚至金钱补偿不能完全弥补。任何一方违反协议约定内容，违约方应当赔偿50万元作为违约金，守约方仍有权追究不足以弥补部分及违约方相关法律责任。</w:t>
      </w:r>
    </w:p>
    <w:p>
      <w:pPr>
        <w:pStyle w:val="53"/>
        <w:rPr>
          <w:color w:val="auto"/>
          <w:sz w:val="21"/>
          <w:szCs w:val="21"/>
        </w:rPr>
      </w:pPr>
      <w:r>
        <w:rPr>
          <w:rFonts w:hint="eastAsia"/>
          <w:color w:val="auto"/>
          <w:sz w:val="21"/>
          <w:szCs w:val="21"/>
        </w:rPr>
        <w:t>8. 不得转让</w:t>
      </w:r>
    </w:p>
    <w:p>
      <w:pPr>
        <w:pStyle w:val="53"/>
        <w:rPr>
          <w:color w:val="auto"/>
          <w:sz w:val="21"/>
          <w:szCs w:val="21"/>
        </w:rPr>
      </w:pPr>
      <w:r>
        <w:rPr>
          <w:rFonts w:hint="eastAsia"/>
          <w:color w:val="auto"/>
          <w:sz w:val="21"/>
          <w:szCs w:val="21"/>
        </w:rPr>
        <w:t>未得到任何一方的预先书面同意，双方不得转让此协议下的任何权利和义务给第三方及任何隶属机构，任何试图违反本条规定进行的转让均为无效。</w:t>
      </w:r>
    </w:p>
    <w:p>
      <w:pPr>
        <w:pStyle w:val="53"/>
        <w:rPr>
          <w:color w:val="auto"/>
          <w:sz w:val="21"/>
          <w:szCs w:val="21"/>
        </w:rPr>
      </w:pPr>
      <w:r>
        <w:rPr>
          <w:rFonts w:hint="eastAsia"/>
          <w:color w:val="auto"/>
          <w:sz w:val="21"/>
          <w:szCs w:val="21"/>
        </w:rPr>
        <w:t>9. 争议</w:t>
      </w:r>
    </w:p>
    <w:p>
      <w:pPr>
        <w:pStyle w:val="53"/>
        <w:rPr>
          <w:color w:val="auto"/>
          <w:sz w:val="21"/>
          <w:szCs w:val="21"/>
        </w:rPr>
      </w:pPr>
      <w:r>
        <w:rPr>
          <w:rFonts w:hint="eastAsia"/>
          <w:color w:val="auto"/>
          <w:sz w:val="21"/>
          <w:szCs w:val="21"/>
        </w:rPr>
        <w:t>在本协议履行过程中如发生争议，双方应本着友好合作的精神协商解决；协商不成，由买方住所地人民法院裁决。</w:t>
      </w:r>
    </w:p>
    <w:p>
      <w:pPr>
        <w:pStyle w:val="53"/>
        <w:rPr>
          <w:color w:val="auto"/>
          <w:sz w:val="21"/>
          <w:szCs w:val="21"/>
        </w:rPr>
      </w:pPr>
      <w:r>
        <w:rPr>
          <w:rFonts w:hint="eastAsia"/>
          <w:color w:val="auto"/>
          <w:sz w:val="21"/>
          <w:szCs w:val="21"/>
        </w:rPr>
        <w:t>10. 其他</w:t>
      </w:r>
    </w:p>
    <w:p>
      <w:pPr>
        <w:pStyle w:val="53"/>
        <w:rPr>
          <w:color w:val="auto"/>
          <w:sz w:val="21"/>
          <w:szCs w:val="21"/>
        </w:rPr>
      </w:pPr>
      <w:r>
        <w:rPr>
          <w:rFonts w:hint="eastAsia"/>
          <w:color w:val="auto"/>
          <w:sz w:val="21"/>
          <w:szCs w:val="21"/>
        </w:rPr>
        <w:t>本协议经买、卖双方加盖公章或合同专用章后生效；保密信息接收时限截止为项目设备采购工作完成时止，保密期至买方透露的信息不再为保密信息时为止。</w:t>
      </w:r>
    </w:p>
    <w:p>
      <w:pPr>
        <w:pStyle w:val="53"/>
        <w:rPr>
          <w:color w:val="auto"/>
          <w:sz w:val="21"/>
          <w:szCs w:val="21"/>
        </w:rPr>
      </w:pPr>
      <w:r>
        <w:rPr>
          <w:rFonts w:hint="eastAsia"/>
          <w:color w:val="auto"/>
          <w:sz w:val="21"/>
          <w:szCs w:val="21"/>
        </w:rPr>
        <w:t>（以下无正文）</w:t>
      </w:r>
    </w:p>
    <w:p>
      <w:pPr>
        <w:tabs>
          <w:tab w:val="left" w:pos="4500"/>
        </w:tabs>
        <w:spacing w:line="360" w:lineRule="auto"/>
        <w:jc w:val="both"/>
        <w:rPr>
          <w:rFonts w:ascii="宋体" w:hAnsi="宋体"/>
          <w:color w:val="auto"/>
        </w:rPr>
      </w:pPr>
    </w:p>
    <w:p>
      <w:pPr>
        <w:tabs>
          <w:tab w:val="left" w:pos="4500"/>
        </w:tabs>
        <w:spacing w:line="360" w:lineRule="auto"/>
        <w:jc w:val="both"/>
        <w:rPr>
          <w:rFonts w:ascii="宋体" w:hAnsi="宋体"/>
          <w:color w:val="auto"/>
        </w:rPr>
      </w:pPr>
    </w:p>
    <w:p>
      <w:pPr>
        <w:tabs>
          <w:tab w:val="left" w:pos="4500"/>
        </w:tabs>
        <w:spacing w:line="360" w:lineRule="auto"/>
        <w:jc w:val="both"/>
        <w:rPr>
          <w:rFonts w:ascii="宋体" w:hAnsi="宋体"/>
          <w:color w:val="auto"/>
        </w:rPr>
      </w:pPr>
    </w:p>
    <w:tbl>
      <w:tblPr>
        <w:tblStyle w:val="37"/>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92"/>
        <w:gridCol w:w="284"/>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4392" w:type="dxa"/>
          </w:tcPr>
          <w:p>
            <w:pPr>
              <w:tabs>
                <w:tab w:val="left" w:pos="0"/>
              </w:tabs>
              <w:spacing w:line="276" w:lineRule="auto"/>
              <w:jc w:val="both"/>
              <w:rPr>
                <w:rFonts w:ascii="宋体" w:hAnsi="宋体"/>
                <w:color w:val="auto"/>
                <w:szCs w:val="21"/>
              </w:rPr>
            </w:pPr>
            <w:r>
              <w:rPr>
                <w:rFonts w:hint="eastAsia" w:ascii="宋体" w:hAnsi="宋体"/>
                <w:color w:val="auto"/>
                <w:szCs w:val="21"/>
              </w:rPr>
              <w:t>买方（盖章）：</w:t>
            </w:r>
          </w:p>
        </w:tc>
        <w:tc>
          <w:tcPr>
            <w:tcW w:w="284" w:type="dxa"/>
          </w:tcPr>
          <w:p>
            <w:pPr>
              <w:tabs>
                <w:tab w:val="left" w:pos="0"/>
              </w:tabs>
              <w:spacing w:line="276" w:lineRule="auto"/>
              <w:jc w:val="both"/>
              <w:rPr>
                <w:rFonts w:ascii="宋体" w:hAnsi="宋体"/>
                <w:color w:val="auto"/>
                <w:szCs w:val="21"/>
              </w:rPr>
            </w:pPr>
          </w:p>
        </w:tc>
        <w:tc>
          <w:tcPr>
            <w:tcW w:w="4395" w:type="dxa"/>
          </w:tcPr>
          <w:p>
            <w:pPr>
              <w:tabs>
                <w:tab w:val="left" w:pos="0"/>
              </w:tabs>
              <w:spacing w:line="276" w:lineRule="auto"/>
              <w:jc w:val="both"/>
              <w:rPr>
                <w:rFonts w:ascii="宋体" w:hAnsi="宋体"/>
                <w:color w:val="auto"/>
                <w:szCs w:val="21"/>
              </w:rPr>
            </w:pPr>
            <w:r>
              <w:rPr>
                <w:rFonts w:hint="eastAsia" w:ascii="宋体" w:hAnsi="宋体"/>
                <w:color w:val="auto"/>
                <w:szCs w:val="21"/>
              </w:rPr>
              <w:t>卖方（盖章）：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4392" w:type="dxa"/>
          </w:tcPr>
          <w:p>
            <w:pPr>
              <w:tabs>
                <w:tab w:val="left" w:pos="0"/>
              </w:tabs>
              <w:spacing w:line="276" w:lineRule="auto"/>
              <w:jc w:val="both"/>
              <w:rPr>
                <w:rFonts w:ascii="宋体" w:hAnsi="宋体"/>
                <w:color w:val="auto"/>
                <w:szCs w:val="21"/>
              </w:rPr>
            </w:pPr>
            <w:r>
              <w:rPr>
                <w:rFonts w:hint="eastAsia" w:ascii="宋体" w:hAnsi="宋体"/>
                <w:b/>
                <w:bCs/>
                <w:color w:val="auto"/>
                <w:szCs w:val="21"/>
                <w:u w:val="single"/>
              </w:rPr>
              <w:t xml:space="preserve">王老吉大健康产业（兰州）有限公司 </w:t>
            </w:r>
          </w:p>
        </w:tc>
        <w:tc>
          <w:tcPr>
            <w:tcW w:w="284" w:type="dxa"/>
          </w:tcPr>
          <w:p>
            <w:pPr>
              <w:tabs>
                <w:tab w:val="left" w:pos="0"/>
              </w:tabs>
              <w:spacing w:line="276" w:lineRule="auto"/>
              <w:jc w:val="both"/>
              <w:rPr>
                <w:rFonts w:ascii="宋体" w:hAnsi="宋体"/>
                <w:b/>
                <w:bCs/>
                <w:color w:val="auto"/>
                <w:szCs w:val="21"/>
                <w:u w:val="single"/>
              </w:rPr>
            </w:pPr>
          </w:p>
        </w:tc>
        <w:tc>
          <w:tcPr>
            <w:tcW w:w="4395" w:type="dxa"/>
          </w:tcPr>
          <w:p>
            <w:pPr>
              <w:tabs>
                <w:tab w:val="left" w:pos="0"/>
              </w:tabs>
              <w:spacing w:line="276" w:lineRule="auto"/>
              <w:jc w:val="both"/>
              <w:rPr>
                <w:rFonts w:ascii="宋体" w:hAnsi="宋体"/>
                <w:color w:val="auto"/>
                <w:szCs w:val="21"/>
              </w:rPr>
            </w:pPr>
            <w:r>
              <w:rPr>
                <w:rFonts w:hint="eastAsia" w:ascii="宋体" w:hAnsi="宋体"/>
                <w:b/>
                <w:bCs/>
                <w:color w:val="auto"/>
                <w:szCs w:val="21"/>
                <w:u w:val="single"/>
              </w:rPr>
              <w:t xml:space="preserve"> </w:t>
            </w:r>
            <w:r>
              <w:rPr>
                <w:rFonts w:ascii="宋体" w:hAnsi="宋体"/>
                <w:b/>
                <w:bCs/>
                <w:color w:val="auto"/>
                <w:szCs w:val="21"/>
                <w:u w:val="single"/>
              </w:rPr>
              <w:t xml:space="preserve">                          </w:t>
            </w:r>
            <w:r>
              <w:rPr>
                <w:rFonts w:ascii="宋体" w:hAnsi="宋体"/>
                <w:color w:val="auto"/>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4392" w:type="dxa"/>
          </w:tcPr>
          <w:p>
            <w:pPr>
              <w:tabs>
                <w:tab w:val="left" w:pos="0"/>
              </w:tabs>
              <w:spacing w:line="276" w:lineRule="auto"/>
              <w:jc w:val="both"/>
              <w:rPr>
                <w:rFonts w:ascii="宋体" w:hAnsi="宋体"/>
                <w:color w:val="auto"/>
                <w:szCs w:val="21"/>
              </w:rPr>
            </w:pPr>
            <w:r>
              <w:rPr>
                <w:rFonts w:hint="eastAsia" w:ascii="宋体" w:hAnsi="宋体"/>
                <w:color w:val="auto"/>
                <w:szCs w:val="21"/>
              </w:rPr>
              <w:t xml:space="preserve">签订日期：   </w:t>
            </w:r>
            <w:r>
              <w:rPr>
                <w:rFonts w:ascii="宋体" w:hAnsi="宋体"/>
                <w:color w:val="auto"/>
                <w:szCs w:val="21"/>
              </w:rPr>
              <w:t xml:space="preserve"> </w:t>
            </w:r>
            <w:r>
              <w:rPr>
                <w:rFonts w:hint="eastAsia" w:ascii="宋体" w:hAnsi="宋体"/>
                <w:color w:val="auto"/>
                <w:szCs w:val="21"/>
              </w:rPr>
              <w:t xml:space="preserve"> 年  </w:t>
            </w:r>
            <w:r>
              <w:rPr>
                <w:rFonts w:ascii="宋体" w:hAnsi="宋体"/>
                <w:color w:val="auto"/>
                <w:szCs w:val="21"/>
              </w:rPr>
              <w:t xml:space="preserve"> </w:t>
            </w:r>
            <w:r>
              <w:rPr>
                <w:rFonts w:hint="eastAsia" w:ascii="宋体" w:hAnsi="宋体"/>
                <w:color w:val="auto"/>
                <w:szCs w:val="21"/>
              </w:rPr>
              <w:t xml:space="preserve"> 月 </w:t>
            </w: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日</w:t>
            </w:r>
          </w:p>
        </w:tc>
        <w:tc>
          <w:tcPr>
            <w:tcW w:w="284" w:type="dxa"/>
          </w:tcPr>
          <w:p>
            <w:pPr>
              <w:tabs>
                <w:tab w:val="left" w:pos="0"/>
              </w:tabs>
              <w:spacing w:line="276" w:lineRule="auto"/>
              <w:jc w:val="both"/>
              <w:rPr>
                <w:rFonts w:ascii="宋体" w:hAnsi="宋体"/>
                <w:color w:val="auto"/>
                <w:szCs w:val="21"/>
              </w:rPr>
            </w:pPr>
          </w:p>
        </w:tc>
        <w:tc>
          <w:tcPr>
            <w:tcW w:w="4395" w:type="dxa"/>
          </w:tcPr>
          <w:p>
            <w:pPr>
              <w:tabs>
                <w:tab w:val="left" w:pos="0"/>
              </w:tabs>
              <w:spacing w:line="276" w:lineRule="auto"/>
              <w:jc w:val="both"/>
              <w:rPr>
                <w:rFonts w:ascii="宋体" w:hAnsi="宋体"/>
                <w:color w:val="auto"/>
                <w:szCs w:val="21"/>
              </w:rPr>
            </w:pPr>
            <w:r>
              <w:rPr>
                <w:rFonts w:hint="eastAsia" w:ascii="宋体" w:hAnsi="宋体"/>
                <w:color w:val="auto"/>
                <w:szCs w:val="21"/>
              </w:rPr>
              <w:t xml:space="preserve">签订日期：   </w:t>
            </w:r>
            <w:r>
              <w:rPr>
                <w:rFonts w:ascii="宋体" w:hAnsi="宋体"/>
                <w:color w:val="auto"/>
                <w:szCs w:val="21"/>
              </w:rPr>
              <w:t xml:space="preserve"> </w:t>
            </w:r>
            <w:r>
              <w:rPr>
                <w:rFonts w:hint="eastAsia" w:ascii="宋体" w:hAnsi="宋体"/>
                <w:color w:val="auto"/>
                <w:szCs w:val="21"/>
              </w:rPr>
              <w:t xml:space="preserve"> 年  </w:t>
            </w:r>
            <w:r>
              <w:rPr>
                <w:rFonts w:ascii="宋体" w:hAnsi="宋体"/>
                <w:color w:val="auto"/>
                <w:szCs w:val="21"/>
              </w:rPr>
              <w:t xml:space="preserve"> </w:t>
            </w:r>
            <w:r>
              <w:rPr>
                <w:rFonts w:hint="eastAsia" w:ascii="宋体" w:hAnsi="宋体"/>
                <w:color w:val="auto"/>
                <w:szCs w:val="21"/>
              </w:rPr>
              <w:t xml:space="preserve"> 月 </w:t>
            </w: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日</w:t>
            </w:r>
          </w:p>
        </w:tc>
      </w:tr>
    </w:tbl>
    <w:p>
      <w:pPr>
        <w:tabs>
          <w:tab w:val="left" w:pos="4500"/>
        </w:tabs>
        <w:spacing w:line="360" w:lineRule="auto"/>
        <w:jc w:val="both"/>
        <w:rPr>
          <w:rFonts w:ascii="宋体" w:hAnsi="宋体"/>
          <w:color w:val="auto"/>
        </w:rPr>
      </w:pPr>
    </w:p>
    <w:p>
      <w:pPr>
        <w:tabs>
          <w:tab w:val="left" w:pos="4500"/>
        </w:tabs>
        <w:spacing w:line="360" w:lineRule="auto"/>
        <w:jc w:val="both"/>
        <w:rPr>
          <w:rFonts w:ascii="宋体" w:hAnsi="宋体"/>
          <w:b/>
          <w:color w:val="auto"/>
        </w:rPr>
      </w:pPr>
      <w:r>
        <w:rPr>
          <w:rFonts w:hint="eastAsia" w:ascii="宋体" w:hAnsi="宋体"/>
          <w:b/>
          <w:color w:val="auto"/>
          <w:szCs w:val="21"/>
        </w:rPr>
        <w:t>附件4：</w:t>
      </w:r>
      <w:r>
        <w:rPr>
          <w:rFonts w:ascii="宋体" w:hAnsi="宋体"/>
          <w:b/>
          <w:color w:val="auto"/>
          <w:szCs w:val="21"/>
        </w:rPr>
        <w:t>用户需求书</w:t>
      </w:r>
    </w:p>
    <w:sectPr>
      <w:headerReference r:id="rId3" w:type="default"/>
      <w:footerReference r:id="rId5" w:type="default"/>
      <w:headerReference r:id="rId4" w:type="even"/>
      <w:pgSz w:w="11906" w:h="16838"/>
      <w:pgMar w:top="1440" w:right="1474" w:bottom="1440" w:left="1474"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imes New Roman Bold">
    <w:altName w:val="Times New Roman"/>
    <w:panose1 w:val="02020803070505020304"/>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5414638"/>
      <w:docPartObj>
        <w:docPartGallery w:val="autotext"/>
      </w:docPartObj>
    </w:sdtPr>
    <w:sdtContent>
      <w:p>
        <w:pPr>
          <w:pStyle w:val="22"/>
          <w:jc w:val="center"/>
        </w:pPr>
        <w:r>
          <w:fldChar w:fldCharType="begin"/>
        </w:r>
        <w:r>
          <w:instrText xml:space="preserve">PAGE   \* MERGEFORMAT</w:instrText>
        </w:r>
        <w:r>
          <w:fldChar w:fldCharType="separate"/>
        </w:r>
        <w:r>
          <w:rPr>
            <w:lang w:val="zh-CN"/>
          </w:rPr>
          <w:t>21</w:t>
        </w:r>
        <w:r>
          <w:fldChar w:fldCharType="end"/>
        </w:r>
      </w:p>
    </w:sdtContent>
  </w:sdt>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F95A8"/>
    <w:multiLevelType w:val="singleLevel"/>
    <w:tmpl w:val="976F95A8"/>
    <w:lvl w:ilvl="0" w:tentative="0">
      <w:start w:val="1"/>
      <w:numFmt w:val="decimal"/>
      <w:suff w:val="space"/>
      <w:lvlText w:val="%1."/>
      <w:lvlJc w:val="left"/>
      <w:pPr>
        <w:ind w:left="454" w:hanging="454"/>
      </w:pPr>
      <w:rPr>
        <w:rFonts w:hint="default"/>
      </w:rPr>
    </w:lvl>
  </w:abstractNum>
  <w:abstractNum w:abstractNumId="1">
    <w:nsid w:val="C13741E6"/>
    <w:multiLevelType w:val="singleLevel"/>
    <w:tmpl w:val="C13741E6"/>
    <w:lvl w:ilvl="0" w:tentative="0">
      <w:start w:val="1"/>
      <w:numFmt w:val="decimal"/>
      <w:lvlText w:val="%1."/>
      <w:lvlJc w:val="left"/>
      <w:pPr>
        <w:ind w:left="425" w:hanging="425"/>
      </w:pPr>
      <w:rPr>
        <w:rFonts w:hint="default"/>
      </w:rPr>
    </w:lvl>
  </w:abstractNum>
  <w:abstractNum w:abstractNumId="2">
    <w:nsid w:val="CB7F1B25"/>
    <w:multiLevelType w:val="singleLevel"/>
    <w:tmpl w:val="CB7F1B25"/>
    <w:lvl w:ilvl="0" w:tentative="0">
      <w:start w:val="1"/>
      <w:numFmt w:val="decimal"/>
      <w:lvlText w:val="(%1)"/>
      <w:lvlJc w:val="left"/>
      <w:pPr>
        <w:ind w:left="425" w:hanging="425"/>
      </w:pPr>
      <w:rPr>
        <w:rFonts w:hint="default"/>
      </w:rPr>
    </w:lvl>
  </w:abstractNum>
  <w:abstractNum w:abstractNumId="3">
    <w:nsid w:val="ECA5CDBE"/>
    <w:multiLevelType w:val="singleLevel"/>
    <w:tmpl w:val="ECA5CDBE"/>
    <w:lvl w:ilvl="0" w:tentative="0">
      <w:start w:val="1"/>
      <w:numFmt w:val="decimal"/>
      <w:lvlText w:val="(%1)"/>
      <w:lvlJc w:val="left"/>
      <w:pPr>
        <w:ind w:left="425" w:hanging="425"/>
      </w:pPr>
      <w:rPr>
        <w:rFonts w:hint="default"/>
      </w:rPr>
    </w:lvl>
  </w:abstractNum>
  <w:abstractNum w:abstractNumId="4">
    <w:nsid w:val="FE26EA23"/>
    <w:multiLevelType w:val="singleLevel"/>
    <w:tmpl w:val="FE26EA23"/>
    <w:lvl w:ilvl="0" w:tentative="0">
      <w:start w:val="1"/>
      <w:numFmt w:val="decimal"/>
      <w:lvlText w:val="(%1)"/>
      <w:lvlJc w:val="left"/>
      <w:pPr>
        <w:ind w:left="425" w:hanging="425"/>
      </w:pPr>
      <w:rPr>
        <w:rFonts w:hint="default"/>
      </w:rPr>
    </w:lvl>
  </w:abstractNum>
  <w:abstractNum w:abstractNumId="5">
    <w:nsid w:val="0000000D"/>
    <w:multiLevelType w:val="multilevel"/>
    <w:tmpl w:val="0000000D"/>
    <w:lvl w:ilvl="0" w:tentative="0">
      <w:start w:val="1"/>
      <w:numFmt w:val="decimal"/>
      <w:lvlText w:val="%1."/>
      <w:lvlJc w:val="left"/>
      <w:pPr>
        <w:tabs>
          <w:tab w:val="left" w:pos="840"/>
        </w:tabs>
        <w:ind w:left="1350" w:hanging="510"/>
      </w:pPr>
      <w:rPr>
        <w:rFonts w:hint="eastAsia"/>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F"/>
    <w:multiLevelType w:val="multilevel"/>
    <w:tmpl w:val="0000000F"/>
    <w:lvl w:ilvl="0" w:tentative="0">
      <w:start w:val="1"/>
      <w:numFmt w:val="decimal"/>
      <w:lvlText w:val="（%1）"/>
      <w:lvlJc w:val="left"/>
      <w:pPr>
        <w:tabs>
          <w:tab w:val="left" w:pos="840"/>
        </w:tabs>
        <w:ind w:left="840" w:hanging="840"/>
      </w:pPr>
      <w:rPr>
        <w:rFonts w:hint="eastAsia"/>
      </w:rPr>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7">
    <w:nsid w:val="00000011"/>
    <w:multiLevelType w:val="multilevel"/>
    <w:tmpl w:val="00000011"/>
    <w:lvl w:ilvl="0" w:tentative="0">
      <w:start w:val="1"/>
      <w:numFmt w:val="decimal"/>
      <w:lvlText w:val="%1."/>
      <w:lvlJc w:val="left"/>
      <w:pPr>
        <w:tabs>
          <w:tab w:val="left" w:pos="0"/>
        </w:tabs>
        <w:ind w:left="510" w:hanging="510"/>
      </w:pPr>
      <w:rPr>
        <w:rFonts w:hint="eastAsia"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decimal"/>
      <w:lvlText w:val="%1."/>
      <w:lvlJc w:val="left"/>
      <w:pPr>
        <w:tabs>
          <w:tab w:val="left" w:pos="420"/>
        </w:tabs>
        <w:ind w:left="420" w:hanging="420"/>
      </w:pPr>
      <w:rPr>
        <w:rFonts w:hint="eastAsia" w:eastAsia="仿宋_GB2312"/>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3"/>
    <w:multiLevelType w:val="multilevel"/>
    <w:tmpl w:val="00000013"/>
    <w:lvl w:ilvl="0" w:tentative="0">
      <w:start w:val="1"/>
      <w:numFmt w:val="decimal"/>
      <w:lvlText w:val="%1."/>
      <w:lvlJc w:val="left"/>
      <w:pPr>
        <w:tabs>
          <w:tab w:val="left" w:pos="840"/>
        </w:tabs>
        <w:ind w:left="1350" w:hanging="51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6"/>
    <w:multiLevelType w:val="multilevel"/>
    <w:tmpl w:val="00000016"/>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00000017"/>
    <w:multiLevelType w:val="multilevel"/>
    <w:tmpl w:val="00000017"/>
    <w:lvl w:ilvl="0" w:tentative="0">
      <w:start w:val="2"/>
      <w:numFmt w:val="decimal"/>
      <w:lvlText w:val="%1."/>
      <w:lvlJc w:val="left"/>
      <w:pPr>
        <w:tabs>
          <w:tab w:val="left" w:pos="0"/>
        </w:tabs>
        <w:ind w:left="510" w:hanging="510"/>
      </w:pPr>
      <w:rPr>
        <w:rFonts w:hint="default"/>
      </w:rPr>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A"/>
    <w:multiLevelType w:val="multilevel"/>
    <w:tmpl w:val="0000001A"/>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pStyle w:val="4"/>
      <w:lvlText w:val="%1.%2"/>
      <w:lvlJc w:val="left"/>
      <w:pPr>
        <w:tabs>
          <w:tab w:val="left" w:pos="3731"/>
        </w:tabs>
        <w:ind w:left="3731" w:hanging="851"/>
      </w:pPr>
      <w:rPr>
        <w:rFonts w:hint="eastAsia" w:eastAsia="宋体"/>
        <w:b w:val="0"/>
        <w:i w:val="0"/>
        <w:color w:val="auto"/>
        <w:sz w:val="21"/>
        <w:szCs w:val="21"/>
      </w:rPr>
    </w:lvl>
    <w:lvl w:ilvl="2" w:tentative="0">
      <w:start w:val="1"/>
      <w:numFmt w:val="decimal"/>
      <w:lvlText w:val="（%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3">
    <w:nsid w:val="0000001B"/>
    <w:multiLevelType w:val="multilevel"/>
    <w:tmpl w:val="0000001B"/>
    <w:lvl w:ilvl="0" w:tentative="0">
      <w:start w:val="1"/>
      <w:numFmt w:val="decimal"/>
      <w:lvlText w:val="%1."/>
      <w:lvlJc w:val="left"/>
      <w:pPr>
        <w:tabs>
          <w:tab w:val="left" w:pos="420"/>
        </w:tabs>
        <w:ind w:left="420" w:hanging="420"/>
      </w:pPr>
      <w:rPr>
        <w:rFonts w:hint="eastAsia" w:eastAsia="仿宋_GB2312"/>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C"/>
    <w:multiLevelType w:val="multilevel"/>
    <w:tmpl w:val="0000001C"/>
    <w:lvl w:ilvl="0" w:tentative="0">
      <w:start w:val="2"/>
      <w:numFmt w:val="decimal"/>
      <w:lvlText w:val="%1."/>
      <w:lvlJc w:val="left"/>
      <w:pPr>
        <w:tabs>
          <w:tab w:val="left" w:pos="0"/>
        </w:tabs>
        <w:ind w:left="510" w:hanging="51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1F"/>
    <w:multiLevelType w:val="multilevel"/>
    <w:tmpl w:val="0000001F"/>
    <w:lvl w:ilvl="0" w:tentative="0">
      <w:start w:val="1"/>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rPr>
    </w:lvl>
    <w:lvl w:ilvl="2" w:tentative="0">
      <w:start w:val="1"/>
      <w:numFmt w:val="decimal"/>
      <w:lvlText w:val="%1.%2.%3"/>
      <w:lvlJc w:val="left"/>
      <w:pPr>
        <w:tabs>
          <w:tab w:val="left" w:pos="630"/>
        </w:tabs>
        <w:ind w:left="630" w:hanging="630"/>
      </w:pPr>
      <w:rPr>
        <w:rFonts w:hint="eastAsia"/>
      </w:rPr>
    </w:lvl>
    <w:lvl w:ilvl="3" w:tentative="0">
      <w:start w:val="1"/>
      <w:numFmt w:val="decimal"/>
      <w:lvlText w:val="%1.%2.%3.%4"/>
      <w:lvlJc w:val="left"/>
      <w:pPr>
        <w:tabs>
          <w:tab w:val="left" w:pos="630"/>
        </w:tabs>
        <w:ind w:left="630" w:hanging="630"/>
      </w:pPr>
      <w:rPr>
        <w:rFonts w:hint="eastAsia"/>
      </w:rPr>
    </w:lvl>
    <w:lvl w:ilvl="4" w:tentative="0">
      <w:start w:val="1"/>
      <w:numFmt w:val="decimal"/>
      <w:lvlText w:val="%1.%2.%3.%4.%5"/>
      <w:lvlJc w:val="left"/>
      <w:pPr>
        <w:tabs>
          <w:tab w:val="left" w:pos="630"/>
        </w:tabs>
        <w:ind w:left="630" w:hanging="630"/>
      </w:pPr>
      <w:rPr>
        <w:rFonts w:hint="eastAsia"/>
      </w:rPr>
    </w:lvl>
    <w:lvl w:ilvl="5" w:tentative="0">
      <w:start w:val="1"/>
      <w:numFmt w:val="decimal"/>
      <w:lvlText w:val="%1.%2.%3.%4.%5.%6"/>
      <w:lvlJc w:val="left"/>
      <w:pPr>
        <w:tabs>
          <w:tab w:val="left" w:pos="630"/>
        </w:tabs>
        <w:ind w:left="630" w:hanging="630"/>
      </w:pPr>
      <w:rPr>
        <w:rFonts w:hint="eastAsia"/>
      </w:rPr>
    </w:lvl>
    <w:lvl w:ilvl="6" w:tentative="0">
      <w:start w:val="1"/>
      <w:numFmt w:val="decimal"/>
      <w:lvlText w:val="%1.%2.%3.%4.%5.%6.%7"/>
      <w:lvlJc w:val="left"/>
      <w:pPr>
        <w:tabs>
          <w:tab w:val="left" w:pos="630"/>
        </w:tabs>
        <w:ind w:left="630" w:hanging="630"/>
      </w:pPr>
      <w:rPr>
        <w:rFonts w:hint="eastAsia"/>
      </w:rPr>
    </w:lvl>
    <w:lvl w:ilvl="7" w:tentative="0">
      <w:start w:val="1"/>
      <w:numFmt w:val="decimal"/>
      <w:lvlText w:val="%1.%2.%3.%4.%5.%6.%7.%8"/>
      <w:lvlJc w:val="left"/>
      <w:pPr>
        <w:tabs>
          <w:tab w:val="left" w:pos="630"/>
        </w:tabs>
        <w:ind w:left="630" w:hanging="630"/>
      </w:pPr>
      <w:rPr>
        <w:rFonts w:hint="eastAsia"/>
      </w:rPr>
    </w:lvl>
    <w:lvl w:ilvl="8" w:tentative="0">
      <w:start w:val="1"/>
      <w:numFmt w:val="decimal"/>
      <w:lvlText w:val="%1.%2.%3.%4.%5.%6.%7.%8.%9"/>
      <w:lvlJc w:val="left"/>
      <w:pPr>
        <w:tabs>
          <w:tab w:val="left" w:pos="630"/>
        </w:tabs>
        <w:ind w:left="630" w:hanging="630"/>
      </w:pPr>
      <w:rPr>
        <w:rFonts w:hint="eastAsia"/>
      </w:rPr>
    </w:lvl>
  </w:abstractNum>
  <w:abstractNum w:abstractNumId="16">
    <w:nsid w:val="00000020"/>
    <w:multiLevelType w:val="multilevel"/>
    <w:tmpl w:val="00000020"/>
    <w:lvl w:ilvl="0" w:tentative="0">
      <w:start w:val="1"/>
      <w:numFmt w:val="decimal"/>
      <w:lvlText w:val="（%1）"/>
      <w:lvlJc w:val="left"/>
      <w:pPr>
        <w:tabs>
          <w:tab w:val="left" w:pos="840"/>
        </w:tabs>
        <w:ind w:left="840" w:hanging="840"/>
      </w:pPr>
      <w:rPr>
        <w:rFonts w:hint="eastAsia"/>
      </w:rPr>
    </w:lvl>
    <w:lvl w:ilvl="1" w:tentative="0">
      <w:start w:val="1"/>
      <w:numFmt w:val="decimal"/>
      <w:lvlText w:val="%2."/>
      <w:lvlJc w:val="left"/>
      <w:pPr>
        <w:tabs>
          <w:tab w:val="left" w:pos="0"/>
        </w:tabs>
        <w:ind w:left="510" w:hanging="510"/>
      </w:pPr>
      <w:rPr>
        <w:rFonts w:hint="default"/>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7">
    <w:nsid w:val="00000021"/>
    <w:multiLevelType w:val="multilevel"/>
    <w:tmpl w:val="00000021"/>
    <w:lvl w:ilvl="0" w:tentative="0">
      <w:start w:val="1"/>
      <w:numFmt w:val="decimal"/>
      <w:lvlText w:val="%1."/>
      <w:lvlJc w:val="left"/>
      <w:pPr>
        <w:tabs>
          <w:tab w:val="left" w:pos="425"/>
        </w:tabs>
        <w:ind w:left="635" w:hanging="425"/>
      </w:pPr>
      <w:rPr>
        <w:rFonts w:hint="eastAsia"/>
      </w:rPr>
    </w:lvl>
    <w:lvl w:ilvl="1" w:tentative="0">
      <w:start w:val="1"/>
      <w:numFmt w:val="lowerRoman"/>
      <w:lvlText w:val="%2）"/>
      <w:lvlJc w:val="left"/>
      <w:pPr>
        <w:tabs>
          <w:tab w:val="left" w:pos="992"/>
        </w:tabs>
        <w:ind w:left="1202" w:hanging="567"/>
      </w:pPr>
      <w:rPr>
        <w:rFonts w:hint="eastAsia"/>
      </w:rPr>
    </w:lvl>
    <w:lvl w:ilvl="2" w:tentative="0">
      <w:start w:val="1"/>
      <w:numFmt w:val="upperLetter"/>
      <w:lvlText w:val="%3、"/>
      <w:lvlJc w:val="left"/>
      <w:pPr>
        <w:tabs>
          <w:tab w:val="left" w:pos="1931"/>
        </w:tabs>
        <w:ind w:left="1628" w:hanging="567"/>
      </w:pPr>
      <w:rPr>
        <w:rFonts w:hint="eastAsia"/>
      </w:rPr>
    </w:lvl>
    <w:lvl w:ilvl="3" w:tentative="0">
      <w:start w:val="1"/>
      <w:numFmt w:val="decimal"/>
      <w:lvlText w:val="%1.%2.%3.%4"/>
      <w:lvlJc w:val="left"/>
      <w:pPr>
        <w:tabs>
          <w:tab w:val="left" w:pos="2356"/>
        </w:tabs>
        <w:ind w:left="2194" w:hanging="708"/>
      </w:pPr>
      <w:rPr>
        <w:rFonts w:hint="eastAsia"/>
      </w:rPr>
    </w:lvl>
    <w:lvl w:ilvl="4" w:tentative="0">
      <w:start w:val="1"/>
      <w:numFmt w:val="decimal"/>
      <w:lvlText w:val="%1.%2.%3.%4.%5"/>
      <w:lvlJc w:val="left"/>
      <w:pPr>
        <w:tabs>
          <w:tab w:val="left" w:pos="3141"/>
        </w:tabs>
        <w:ind w:left="2761" w:hanging="850"/>
      </w:pPr>
      <w:rPr>
        <w:rFonts w:hint="eastAsia"/>
      </w:rPr>
    </w:lvl>
    <w:lvl w:ilvl="5" w:tentative="0">
      <w:start w:val="1"/>
      <w:numFmt w:val="decimal"/>
      <w:lvlText w:val="%1.%2.%3.%4.%5.%6"/>
      <w:lvlJc w:val="left"/>
      <w:pPr>
        <w:tabs>
          <w:tab w:val="left" w:pos="3926"/>
        </w:tabs>
        <w:ind w:left="3470" w:hanging="1134"/>
      </w:pPr>
      <w:rPr>
        <w:rFonts w:hint="eastAsia"/>
      </w:rPr>
    </w:lvl>
    <w:lvl w:ilvl="6" w:tentative="0">
      <w:start w:val="1"/>
      <w:numFmt w:val="decimal"/>
      <w:lvlText w:val="%1.%2.%3.%4.%5.%6.%7"/>
      <w:lvlJc w:val="left"/>
      <w:pPr>
        <w:tabs>
          <w:tab w:val="left" w:pos="4711"/>
        </w:tabs>
        <w:ind w:left="4037" w:hanging="1276"/>
      </w:pPr>
      <w:rPr>
        <w:rFonts w:hint="eastAsia"/>
      </w:rPr>
    </w:lvl>
    <w:lvl w:ilvl="7" w:tentative="0">
      <w:start w:val="1"/>
      <w:numFmt w:val="decimal"/>
      <w:lvlText w:val="%1.%2.%3.%4.%5.%6.%7.%8"/>
      <w:lvlJc w:val="left"/>
      <w:pPr>
        <w:tabs>
          <w:tab w:val="left" w:pos="5496"/>
        </w:tabs>
        <w:ind w:left="4604" w:hanging="1418"/>
      </w:pPr>
      <w:rPr>
        <w:rFonts w:hint="eastAsia"/>
      </w:rPr>
    </w:lvl>
    <w:lvl w:ilvl="8" w:tentative="0">
      <w:start w:val="1"/>
      <w:numFmt w:val="decimal"/>
      <w:lvlText w:val="%1.%2.%3.%4.%5.%6.%7.%8.%9"/>
      <w:lvlJc w:val="left"/>
      <w:pPr>
        <w:tabs>
          <w:tab w:val="left" w:pos="6282"/>
        </w:tabs>
        <w:ind w:left="5312" w:hanging="1700"/>
      </w:pPr>
      <w:rPr>
        <w:rFonts w:hint="eastAsia"/>
      </w:rPr>
    </w:lvl>
  </w:abstractNum>
  <w:abstractNum w:abstractNumId="18">
    <w:nsid w:val="00000023"/>
    <w:multiLevelType w:val="multilevel"/>
    <w:tmpl w:val="00000023"/>
    <w:lvl w:ilvl="0" w:tentative="0">
      <w:start w:val="1"/>
      <w:numFmt w:val="decimal"/>
      <w:lvlText w:val="%1."/>
      <w:lvlJc w:val="left"/>
      <w:pPr>
        <w:tabs>
          <w:tab w:val="left" w:pos="525"/>
        </w:tabs>
        <w:ind w:left="525" w:hanging="420"/>
      </w:pPr>
      <w:rPr>
        <w:rFonts w:hint="eastAsia" w:eastAsia="仿宋_GB2312"/>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25"/>
    <w:multiLevelType w:val="multilevel"/>
    <w:tmpl w:val="00000025"/>
    <w:lvl w:ilvl="0" w:tentative="0">
      <w:start w:val="1"/>
      <w:numFmt w:val="decimal"/>
      <w:lvlText w:val="%1."/>
      <w:lvlJc w:val="left"/>
      <w:pPr>
        <w:tabs>
          <w:tab w:val="left" w:pos="425"/>
        </w:tabs>
        <w:ind w:left="425" w:hanging="425"/>
      </w:pPr>
      <w:rPr>
        <w:rFonts w:hint="eastAsia"/>
        <w:sz w:val="21"/>
        <w:szCs w:val="21"/>
      </w:rPr>
    </w:lvl>
    <w:lvl w:ilvl="1" w:tentative="0">
      <w:start w:val="1"/>
      <w:numFmt w:val="decimal"/>
      <w:lvlText w:val="%1.%2."/>
      <w:lvlJc w:val="left"/>
      <w:pPr>
        <w:tabs>
          <w:tab w:val="left" w:pos="567"/>
        </w:tabs>
        <w:ind w:left="567" w:hanging="567"/>
      </w:pPr>
      <w:rPr>
        <w:rFonts w:hint="eastAsia"/>
      </w:rPr>
    </w:lvl>
    <w:lvl w:ilvl="2" w:tentative="0">
      <w:start w:val="1"/>
      <w:numFmt w:val="decimal"/>
      <w:lvlText w:val="（%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0">
    <w:nsid w:val="00000026"/>
    <w:multiLevelType w:val="multilevel"/>
    <w:tmpl w:val="00000026"/>
    <w:lvl w:ilvl="0" w:tentative="0">
      <w:start w:val="1"/>
      <w:numFmt w:val="decimal"/>
      <w:lvlText w:val="%1."/>
      <w:lvlJc w:val="left"/>
      <w:pPr>
        <w:tabs>
          <w:tab w:val="left" w:pos="840"/>
        </w:tabs>
        <w:ind w:left="1350" w:hanging="510"/>
      </w:pPr>
      <w:rPr>
        <w:rFonts w:hint="eastAsia"/>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00000027"/>
    <w:multiLevelType w:val="multilevel"/>
    <w:tmpl w:val="00000027"/>
    <w:lvl w:ilvl="0" w:tentative="0">
      <w:start w:val="1"/>
      <w:numFmt w:val="decimal"/>
      <w:lvlText w:val="%1."/>
      <w:lvlJc w:val="left"/>
      <w:pPr>
        <w:tabs>
          <w:tab w:val="left" w:pos="1680"/>
        </w:tabs>
        <w:ind w:left="16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0000028"/>
    <w:multiLevelType w:val="multilevel"/>
    <w:tmpl w:val="00000028"/>
    <w:lvl w:ilvl="0" w:tentative="0">
      <w:start w:val="1"/>
      <w:numFmt w:val="decimal"/>
      <w:lvlText w:val="%1."/>
      <w:lvlJc w:val="left"/>
      <w:pPr>
        <w:tabs>
          <w:tab w:val="left" w:pos="0"/>
        </w:tabs>
        <w:ind w:left="510" w:hanging="51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3">
    <w:nsid w:val="00000029"/>
    <w:multiLevelType w:val="multilevel"/>
    <w:tmpl w:val="00000029"/>
    <w:lvl w:ilvl="0" w:tentative="0">
      <w:start w:val="1"/>
      <w:numFmt w:val="decimal"/>
      <w:lvlText w:val="（%1）"/>
      <w:lvlJc w:val="left"/>
      <w:pPr>
        <w:tabs>
          <w:tab w:val="left" w:pos="840"/>
        </w:tabs>
        <w:ind w:left="840" w:hanging="840"/>
      </w:pPr>
      <w:rPr>
        <w:rFonts w:hint="eastAsia"/>
      </w:rPr>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2A"/>
    <w:multiLevelType w:val="multilevel"/>
    <w:tmpl w:val="0000002A"/>
    <w:lvl w:ilvl="0" w:tentative="0">
      <w:start w:val="1"/>
      <w:numFmt w:val="decimal"/>
      <w:lvlText w:val="%1."/>
      <w:lvlJc w:val="left"/>
      <w:pPr>
        <w:tabs>
          <w:tab w:val="left" w:pos="0"/>
        </w:tabs>
        <w:ind w:left="510" w:hanging="510"/>
      </w:pPr>
      <w:rPr>
        <w:rFonts w:hint="eastAsia" w:eastAsia="宋体"/>
        <w:b w:val="0"/>
        <w:i w:val="0"/>
        <w:sz w:val="21"/>
        <w:szCs w:val="21"/>
      </w:rPr>
    </w:lvl>
    <w:lvl w:ilvl="1" w:tentative="0">
      <w:start w:val="1"/>
      <w:numFmt w:val="decimal"/>
      <w:lvlText w:val="%2."/>
      <w:lvlJc w:val="left"/>
      <w:pPr>
        <w:tabs>
          <w:tab w:val="left" w:pos="0"/>
        </w:tabs>
        <w:ind w:left="510" w:hanging="51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2C"/>
    <w:multiLevelType w:val="multilevel"/>
    <w:tmpl w:val="0000002C"/>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03AC1E99"/>
    <w:multiLevelType w:val="singleLevel"/>
    <w:tmpl w:val="03AC1E99"/>
    <w:lvl w:ilvl="0" w:tentative="0">
      <w:start w:val="1"/>
      <w:numFmt w:val="chineseCounting"/>
      <w:suff w:val="nothing"/>
      <w:lvlText w:val="%1、"/>
      <w:lvlJc w:val="left"/>
      <w:pPr>
        <w:ind w:left="0" w:firstLine="420"/>
      </w:pPr>
      <w:rPr>
        <w:rFonts w:hint="eastAsia"/>
      </w:rPr>
    </w:lvl>
  </w:abstractNum>
  <w:abstractNum w:abstractNumId="27">
    <w:nsid w:val="0F6E4780"/>
    <w:multiLevelType w:val="singleLevel"/>
    <w:tmpl w:val="0F6E4780"/>
    <w:lvl w:ilvl="0" w:tentative="0">
      <w:start w:val="5"/>
      <w:numFmt w:val="decimal"/>
      <w:suff w:val="space"/>
      <w:lvlText w:val="%1."/>
      <w:lvlJc w:val="left"/>
    </w:lvl>
  </w:abstractNum>
  <w:abstractNum w:abstractNumId="28">
    <w:nsid w:val="232245DC"/>
    <w:multiLevelType w:val="singleLevel"/>
    <w:tmpl w:val="232245DC"/>
    <w:lvl w:ilvl="0" w:tentative="0">
      <w:start w:val="1"/>
      <w:numFmt w:val="decimal"/>
      <w:lvlText w:val="(%1)"/>
      <w:lvlJc w:val="left"/>
      <w:pPr>
        <w:ind w:left="425" w:hanging="425"/>
      </w:pPr>
      <w:rPr>
        <w:rFonts w:hint="default"/>
      </w:rPr>
    </w:lvl>
  </w:abstractNum>
  <w:abstractNum w:abstractNumId="29">
    <w:nsid w:val="292CCD42"/>
    <w:multiLevelType w:val="singleLevel"/>
    <w:tmpl w:val="292CCD42"/>
    <w:lvl w:ilvl="0" w:tentative="0">
      <w:start w:val="1"/>
      <w:numFmt w:val="decimal"/>
      <w:lvlText w:val="%1."/>
      <w:lvlJc w:val="left"/>
      <w:pPr>
        <w:ind w:left="425" w:hanging="425"/>
      </w:pPr>
      <w:rPr>
        <w:rFonts w:hint="default"/>
      </w:rPr>
    </w:lvl>
  </w:abstractNum>
  <w:abstractNum w:abstractNumId="30">
    <w:nsid w:val="33F612D8"/>
    <w:multiLevelType w:val="multilevel"/>
    <w:tmpl w:val="33F612D8"/>
    <w:lvl w:ilvl="0" w:tentative="0">
      <w:start w:val="4"/>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5186B8AC"/>
    <w:multiLevelType w:val="singleLevel"/>
    <w:tmpl w:val="5186B8AC"/>
    <w:lvl w:ilvl="0" w:tentative="0">
      <w:start w:val="1"/>
      <w:numFmt w:val="decimal"/>
      <w:lvlText w:val="(%1)"/>
      <w:lvlJc w:val="left"/>
      <w:pPr>
        <w:ind w:left="425" w:hanging="425"/>
      </w:pPr>
      <w:rPr>
        <w:rFonts w:hint="default"/>
      </w:rPr>
    </w:lvl>
  </w:abstractNum>
  <w:abstractNum w:abstractNumId="32">
    <w:nsid w:val="69F3D045"/>
    <w:multiLevelType w:val="singleLevel"/>
    <w:tmpl w:val="69F3D045"/>
    <w:lvl w:ilvl="0" w:tentative="0">
      <w:start w:val="1"/>
      <w:numFmt w:val="decimal"/>
      <w:lvlText w:val="(%1)"/>
      <w:lvlJc w:val="left"/>
      <w:pPr>
        <w:ind w:left="425" w:hanging="425"/>
      </w:pPr>
      <w:rPr>
        <w:rFonts w:hint="default"/>
      </w:rPr>
    </w:lvl>
  </w:abstractNum>
  <w:num w:numId="1">
    <w:abstractNumId w:val="12"/>
  </w:num>
  <w:num w:numId="2">
    <w:abstractNumId w:val="29"/>
  </w:num>
  <w:num w:numId="3">
    <w:abstractNumId w:val="11"/>
  </w:num>
  <w:num w:numId="4">
    <w:abstractNumId w:val="14"/>
  </w:num>
  <w:num w:numId="5">
    <w:abstractNumId w:val="23"/>
  </w:num>
  <w:num w:numId="6">
    <w:abstractNumId w:val="30"/>
  </w:num>
  <w:num w:numId="7">
    <w:abstractNumId w:val="1"/>
  </w:num>
  <w:num w:numId="8">
    <w:abstractNumId w:val="27"/>
  </w:num>
  <w:num w:numId="9">
    <w:abstractNumId w:val="17"/>
  </w:num>
  <w:num w:numId="10">
    <w:abstractNumId w:val="16"/>
  </w:num>
  <w:num w:numId="11">
    <w:abstractNumId w:val="6"/>
  </w:num>
  <w:num w:numId="12">
    <w:abstractNumId w:val="18"/>
  </w:num>
  <w:num w:numId="13">
    <w:abstractNumId w:val="0"/>
  </w:num>
  <w:num w:numId="14">
    <w:abstractNumId w:val="22"/>
  </w:num>
  <w:num w:numId="15">
    <w:abstractNumId w:val="9"/>
  </w:num>
  <w:num w:numId="16">
    <w:abstractNumId w:val="15"/>
  </w:num>
  <w:num w:numId="17">
    <w:abstractNumId w:val="25"/>
  </w:num>
  <w:num w:numId="18">
    <w:abstractNumId w:val="10"/>
  </w:num>
  <w:num w:numId="19">
    <w:abstractNumId w:val="20"/>
  </w:num>
  <w:num w:numId="20">
    <w:abstractNumId w:val="5"/>
  </w:num>
  <w:num w:numId="21">
    <w:abstractNumId w:val="24"/>
  </w:num>
  <w:num w:numId="22">
    <w:abstractNumId w:val="19"/>
  </w:num>
  <w:num w:numId="23">
    <w:abstractNumId w:val="13"/>
  </w:num>
  <w:num w:numId="24">
    <w:abstractNumId w:val="21"/>
  </w:num>
  <w:num w:numId="25">
    <w:abstractNumId w:val="8"/>
  </w:num>
  <w:num w:numId="26">
    <w:abstractNumId w:val="7"/>
  </w:num>
  <w:num w:numId="27">
    <w:abstractNumId w:val="26"/>
  </w:num>
  <w:num w:numId="28">
    <w:abstractNumId w:val="2"/>
  </w:num>
  <w:num w:numId="29">
    <w:abstractNumId w:val="31"/>
  </w:num>
  <w:num w:numId="30">
    <w:abstractNumId w:val="3"/>
  </w:num>
  <w:num w:numId="31">
    <w:abstractNumId w:val="4"/>
  </w:num>
  <w:num w:numId="32">
    <w:abstractNumId w:val="2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lZTNhMTgxYWQ4MDNkYmIzODI1NjA5Y2U3Y2I0YjEifQ=="/>
  </w:docVars>
  <w:rsids>
    <w:rsidRoot w:val="7367137C"/>
    <w:rsid w:val="00010C1C"/>
    <w:rsid w:val="0002524B"/>
    <w:rsid w:val="000344B2"/>
    <w:rsid w:val="00067360"/>
    <w:rsid w:val="000A01B8"/>
    <w:rsid w:val="000A2A34"/>
    <w:rsid w:val="000A38B5"/>
    <w:rsid w:val="000B489C"/>
    <w:rsid w:val="000C2D18"/>
    <w:rsid w:val="000C4BC6"/>
    <w:rsid w:val="000C5B95"/>
    <w:rsid w:val="000D18FC"/>
    <w:rsid w:val="000D71F4"/>
    <w:rsid w:val="000F327C"/>
    <w:rsid w:val="000F5573"/>
    <w:rsid w:val="000F7E18"/>
    <w:rsid w:val="00102282"/>
    <w:rsid w:val="001071D6"/>
    <w:rsid w:val="00113EFB"/>
    <w:rsid w:val="00114A6D"/>
    <w:rsid w:val="00124797"/>
    <w:rsid w:val="0016272C"/>
    <w:rsid w:val="00167D34"/>
    <w:rsid w:val="00167F1C"/>
    <w:rsid w:val="001760EC"/>
    <w:rsid w:val="001828B0"/>
    <w:rsid w:val="0018571B"/>
    <w:rsid w:val="00191177"/>
    <w:rsid w:val="001955CD"/>
    <w:rsid w:val="001A13EB"/>
    <w:rsid w:val="001C654B"/>
    <w:rsid w:val="001D774B"/>
    <w:rsid w:val="001E5841"/>
    <w:rsid w:val="001F79FD"/>
    <w:rsid w:val="002025A4"/>
    <w:rsid w:val="00234E56"/>
    <w:rsid w:val="00235735"/>
    <w:rsid w:val="00244FA6"/>
    <w:rsid w:val="0026106D"/>
    <w:rsid w:val="0026149E"/>
    <w:rsid w:val="00275FED"/>
    <w:rsid w:val="0028279D"/>
    <w:rsid w:val="002846D7"/>
    <w:rsid w:val="00287618"/>
    <w:rsid w:val="00297A6C"/>
    <w:rsid w:val="002A6C87"/>
    <w:rsid w:val="002D01A6"/>
    <w:rsid w:val="002D0CF0"/>
    <w:rsid w:val="002E085B"/>
    <w:rsid w:val="002F24F1"/>
    <w:rsid w:val="0031214D"/>
    <w:rsid w:val="00317DB8"/>
    <w:rsid w:val="00320B10"/>
    <w:rsid w:val="00324FDC"/>
    <w:rsid w:val="003263ED"/>
    <w:rsid w:val="00343476"/>
    <w:rsid w:val="00345839"/>
    <w:rsid w:val="003561A7"/>
    <w:rsid w:val="003727A8"/>
    <w:rsid w:val="00383523"/>
    <w:rsid w:val="003972E9"/>
    <w:rsid w:val="003A2F53"/>
    <w:rsid w:val="003A75CE"/>
    <w:rsid w:val="003C1152"/>
    <w:rsid w:val="003E1C97"/>
    <w:rsid w:val="003F3AA2"/>
    <w:rsid w:val="00403297"/>
    <w:rsid w:val="00411338"/>
    <w:rsid w:val="00413E15"/>
    <w:rsid w:val="00426623"/>
    <w:rsid w:val="00426912"/>
    <w:rsid w:val="00426B00"/>
    <w:rsid w:val="00451B7D"/>
    <w:rsid w:val="00455BE8"/>
    <w:rsid w:val="004566DB"/>
    <w:rsid w:val="004665C3"/>
    <w:rsid w:val="00467829"/>
    <w:rsid w:val="00475249"/>
    <w:rsid w:val="00476D27"/>
    <w:rsid w:val="004770D8"/>
    <w:rsid w:val="00484833"/>
    <w:rsid w:val="00486ECA"/>
    <w:rsid w:val="00492D63"/>
    <w:rsid w:val="004B67E4"/>
    <w:rsid w:val="004D1A69"/>
    <w:rsid w:val="004F44D1"/>
    <w:rsid w:val="004F47FB"/>
    <w:rsid w:val="004F73C6"/>
    <w:rsid w:val="005145C9"/>
    <w:rsid w:val="00533266"/>
    <w:rsid w:val="00536D06"/>
    <w:rsid w:val="00546DF7"/>
    <w:rsid w:val="00565268"/>
    <w:rsid w:val="00577FF8"/>
    <w:rsid w:val="00584CA3"/>
    <w:rsid w:val="00586357"/>
    <w:rsid w:val="00586410"/>
    <w:rsid w:val="00587025"/>
    <w:rsid w:val="00593A01"/>
    <w:rsid w:val="005950AE"/>
    <w:rsid w:val="005970CB"/>
    <w:rsid w:val="005A533E"/>
    <w:rsid w:val="005B59E7"/>
    <w:rsid w:val="005C03FE"/>
    <w:rsid w:val="005C1D0C"/>
    <w:rsid w:val="005C6647"/>
    <w:rsid w:val="005E1986"/>
    <w:rsid w:val="005F41D1"/>
    <w:rsid w:val="00607713"/>
    <w:rsid w:val="00607B3E"/>
    <w:rsid w:val="0061366A"/>
    <w:rsid w:val="00627D22"/>
    <w:rsid w:val="00662867"/>
    <w:rsid w:val="00664EF3"/>
    <w:rsid w:val="0067623E"/>
    <w:rsid w:val="00676CDA"/>
    <w:rsid w:val="00683856"/>
    <w:rsid w:val="00686878"/>
    <w:rsid w:val="006873AD"/>
    <w:rsid w:val="006A0621"/>
    <w:rsid w:val="006A460C"/>
    <w:rsid w:val="006B6E70"/>
    <w:rsid w:val="006C1CA1"/>
    <w:rsid w:val="006D1C7C"/>
    <w:rsid w:val="006D3946"/>
    <w:rsid w:val="006F5934"/>
    <w:rsid w:val="0070324C"/>
    <w:rsid w:val="007033C6"/>
    <w:rsid w:val="00712CC7"/>
    <w:rsid w:val="0071367D"/>
    <w:rsid w:val="0071401C"/>
    <w:rsid w:val="00716624"/>
    <w:rsid w:val="0074101D"/>
    <w:rsid w:val="00742EDA"/>
    <w:rsid w:val="007747F6"/>
    <w:rsid w:val="00780F0A"/>
    <w:rsid w:val="00790410"/>
    <w:rsid w:val="007B4802"/>
    <w:rsid w:val="007B5ADD"/>
    <w:rsid w:val="007B5B1B"/>
    <w:rsid w:val="007D3D58"/>
    <w:rsid w:val="007E1B42"/>
    <w:rsid w:val="007E3BD6"/>
    <w:rsid w:val="007F39ED"/>
    <w:rsid w:val="008065D0"/>
    <w:rsid w:val="00812810"/>
    <w:rsid w:val="00813ED7"/>
    <w:rsid w:val="008176D9"/>
    <w:rsid w:val="00830C66"/>
    <w:rsid w:val="008534E3"/>
    <w:rsid w:val="0085504C"/>
    <w:rsid w:val="008712E1"/>
    <w:rsid w:val="00873CF9"/>
    <w:rsid w:val="00875FAE"/>
    <w:rsid w:val="00877AEE"/>
    <w:rsid w:val="00881C63"/>
    <w:rsid w:val="00882FFD"/>
    <w:rsid w:val="008A5CAB"/>
    <w:rsid w:val="008A6E4C"/>
    <w:rsid w:val="008B196B"/>
    <w:rsid w:val="008C19E0"/>
    <w:rsid w:val="008C4A16"/>
    <w:rsid w:val="008C5997"/>
    <w:rsid w:val="008D27CC"/>
    <w:rsid w:val="008E4079"/>
    <w:rsid w:val="008E49D7"/>
    <w:rsid w:val="00905B2B"/>
    <w:rsid w:val="00906138"/>
    <w:rsid w:val="00906840"/>
    <w:rsid w:val="009124E5"/>
    <w:rsid w:val="00934803"/>
    <w:rsid w:val="00953292"/>
    <w:rsid w:val="00966D74"/>
    <w:rsid w:val="009843A3"/>
    <w:rsid w:val="00985F55"/>
    <w:rsid w:val="00993881"/>
    <w:rsid w:val="009C57F2"/>
    <w:rsid w:val="009C66D4"/>
    <w:rsid w:val="009D0DFA"/>
    <w:rsid w:val="009D12B2"/>
    <w:rsid w:val="009D1837"/>
    <w:rsid w:val="009F055B"/>
    <w:rsid w:val="009F1464"/>
    <w:rsid w:val="00A00F6E"/>
    <w:rsid w:val="00A04365"/>
    <w:rsid w:val="00A0599B"/>
    <w:rsid w:val="00A15F39"/>
    <w:rsid w:val="00A23864"/>
    <w:rsid w:val="00A32E84"/>
    <w:rsid w:val="00A35C25"/>
    <w:rsid w:val="00A406E9"/>
    <w:rsid w:val="00A46D3B"/>
    <w:rsid w:val="00A52AA2"/>
    <w:rsid w:val="00A570A9"/>
    <w:rsid w:val="00A6264B"/>
    <w:rsid w:val="00A63208"/>
    <w:rsid w:val="00AA2DA4"/>
    <w:rsid w:val="00AA60E7"/>
    <w:rsid w:val="00AB4C39"/>
    <w:rsid w:val="00AC59C1"/>
    <w:rsid w:val="00AE291B"/>
    <w:rsid w:val="00AE5DDE"/>
    <w:rsid w:val="00AF5ABD"/>
    <w:rsid w:val="00B0477F"/>
    <w:rsid w:val="00B13CFD"/>
    <w:rsid w:val="00B14479"/>
    <w:rsid w:val="00B2163C"/>
    <w:rsid w:val="00B21AE1"/>
    <w:rsid w:val="00B23249"/>
    <w:rsid w:val="00B2693D"/>
    <w:rsid w:val="00B2718B"/>
    <w:rsid w:val="00B30E88"/>
    <w:rsid w:val="00B8077F"/>
    <w:rsid w:val="00B95FB8"/>
    <w:rsid w:val="00BA287E"/>
    <w:rsid w:val="00BA300F"/>
    <w:rsid w:val="00BA31D5"/>
    <w:rsid w:val="00BB6779"/>
    <w:rsid w:val="00BC45DC"/>
    <w:rsid w:val="00BD22D0"/>
    <w:rsid w:val="00BF1462"/>
    <w:rsid w:val="00BF29D2"/>
    <w:rsid w:val="00C33FCC"/>
    <w:rsid w:val="00C422F5"/>
    <w:rsid w:val="00C43BD6"/>
    <w:rsid w:val="00C62923"/>
    <w:rsid w:val="00C6329D"/>
    <w:rsid w:val="00C715CC"/>
    <w:rsid w:val="00C71D54"/>
    <w:rsid w:val="00C8107C"/>
    <w:rsid w:val="00C814C1"/>
    <w:rsid w:val="00C863B7"/>
    <w:rsid w:val="00C87A0B"/>
    <w:rsid w:val="00CA44CE"/>
    <w:rsid w:val="00CB463D"/>
    <w:rsid w:val="00CB6BB8"/>
    <w:rsid w:val="00CC049F"/>
    <w:rsid w:val="00CC26EE"/>
    <w:rsid w:val="00CE0ACB"/>
    <w:rsid w:val="00CE2FC1"/>
    <w:rsid w:val="00CF2AE8"/>
    <w:rsid w:val="00CF70A5"/>
    <w:rsid w:val="00D0047E"/>
    <w:rsid w:val="00D0607A"/>
    <w:rsid w:val="00D16A78"/>
    <w:rsid w:val="00D21323"/>
    <w:rsid w:val="00D2479B"/>
    <w:rsid w:val="00D447AA"/>
    <w:rsid w:val="00D47CF6"/>
    <w:rsid w:val="00D526D6"/>
    <w:rsid w:val="00D60650"/>
    <w:rsid w:val="00D61035"/>
    <w:rsid w:val="00D66AF6"/>
    <w:rsid w:val="00D8026B"/>
    <w:rsid w:val="00D83E4D"/>
    <w:rsid w:val="00D91ED5"/>
    <w:rsid w:val="00D951C7"/>
    <w:rsid w:val="00DB0834"/>
    <w:rsid w:val="00DB39F2"/>
    <w:rsid w:val="00DB7D17"/>
    <w:rsid w:val="00DD2190"/>
    <w:rsid w:val="00DE08EF"/>
    <w:rsid w:val="00DF22E1"/>
    <w:rsid w:val="00E44CCA"/>
    <w:rsid w:val="00E8415C"/>
    <w:rsid w:val="00E9206D"/>
    <w:rsid w:val="00EA4044"/>
    <w:rsid w:val="00EC1D69"/>
    <w:rsid w:val="00EC68C8"/>
    <w:rsid w:val="00ED7B98"/>
    <w:rsid w:val="00EE1FD5"/>
    <w:rsid w:val="00EE278B"/>
    <w:rsid w:val="00EE5F58"/>
    <w:rsid w:val="00F251CD"/>
    <w:rsid w:val="00F34651"/>
    <w:rsid w:val="00F37253"/>
    <w:rsid w:val="00F44242"/>
    <w:rsid w:val="00F53289"/>
    <w:rsid w:val="00F81177"/>
    <w:rsid w:val="00F863D4"/>
    <w:rsid w:val="00FB3811"/>
    <w:rsid w:val="00FC0885"/>
    <w:rsid w:val="00FD09E6"/>
    <w:rsid w:val="00FD139A"/>
    <w:rsid w:val="00FD2295"/>
    <w:rsid w:val="00FD680F"/>
    <w:rsid w:val="00FE4A80"/>
    <w:rsid w:val="00FF2A4E"/>
    <w:rsid w:val="01CF20EE"/>
    <w:rsid w:val="02AE55E9"/>
    <w:rsid w:val="04545D1C"/>
    <w:rsid w:val="045B713D"/>
    <w:rsid w:val="05145AE9"/>
    <w:rsid w:val="07A817AD"/>
    <w:rsid w:val="087975EE"/>
    <w:rsid w:val="0AB176BD"/>
    <w:rsid w:val="0CA737D5"/>
    <w:rsid w:val="0EB163EE"/>
    <w:rsid w:val="0EBA651A"/>
    <w:rsid w:val="112847B9"/>
    <w:rsid w:val="16ED2043"/>
    <w:rsid w:val="17BC2D09"/>
    <w:rsid w:val="1A007EF1"/>
    <w:rsid w:val="1A1D1923"/>
    <w:rsid w:val="1C3861F8"/>
    <w:rsid w:val="1DB214D6"/>
    <w:rsid w:val="1ED13A8A"/>
    <w:rsid w:val="1F95570F"/>
    <w:rsid w:val="1FF77895"/>
    <w:rsid w:val="219F7E7A"/>
    <w:rsid w:val="21AB2FC8"/>
    <w:rsid w:val="21BA7610"/>
    <w:rsid w:val="21D875AD"/>
    <w:rsid w:val="22E30609"/>
    <w:rsid w:val="25842F31"/>
    <w:rsid w:val="2A1B1A88"/>
    <w:rsid w:val="2B5D3585"/>
    <w:rsid w:val="303E292F"/>
    <w:rsid w:val="31520B96"/>
    <w:rsid w:val="33501C21"/>
    <w:rsid w:val="36826883"/>
    <w:rsid w:val="3BA71E7B"/>
    <w:rsid w:val="3D357A5F"/>
    <w:rsid w:val="3E4B6A55"/>
    <w:rsid w:val="3F8C0DD6"/>
    <w:rsid w:val="42182C70"/>
    <w:rsid w:val="47EA7AF7"/>
    <w:rsid w:val="49C557A0"/>
    <w:rsid w:val="4C5F77CE"/>
    <w:rsid w:val="4DD30646"/>
    <w:rsid w:val="4F041DE6"/>
    <w:rsid w:val="4FCE04C5"/>
    <w:rsid w:val="512C2C11"/>
    <w:rsid w:val="55E622C9"/>
    <w:rsid w:val="59EA607C"/>
    <w:rsid w:val="5D6A000E"/>
    <w:rsid w:val="5E226716"/>
    <w:rsid w:val="5F9C1BC7"/>
    <w:rsid w:val="61615880"/>
    <w:rsid w:val="62AE2583"/>
    <w:rsid w:val="642A1BED"/>
    <w:rsid w:val="64373680"/>
    <w:rsid w:val="648040CB"/>
    <w:rsid w:val="64C33BE7"/>
    <w:rsid w:val="68E16148"/>
    <w:rsid w:val="693B657B"/>
    <w:rsid w:val="69844282"/>
    <w:rsid w:val="69945739"/>
    <w:rsid w:val="6AD00976"/>
    <w:rsid w:val="6B1A5FC2"/>
    <w:rsid w:val="6B9F0E0E"/>
    <w:rsid w:val="6BC82452"/>
    <w:rsid w:val="6E4904AB"/>
    <w:rsid w:val="6FBC3588"/>
    <w:rsid w:val="6FC767EC"/>
    <w:rsid w:val="723C6D69"/>
    <w:rsid w:val="73236056"/>
    <w:rsid w:val="7367137C"/>
    <w:rsid w:val="73E71342"/>
    <w:rsid w:val="740A1C05"/>
    <w:rsid w:val="75576B4C"/>
    <w:rsid w:val="7577036C"/>
    <w:rsid w:val="76956FB3"/>
    <w:rsid w:val="7710174A"/>
    <w:rsid w:val="7889651E"/>
    <w:rsid w:val="7C0B3E09"/>
    <w:rsid w:val="7C242EA2"/>
    <w:rsid w:val="7F59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99" w:semiHidden="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99" w:semiHidden="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link w:val="78"/>
    <w:qFormat/>
    <w:uiPriority w:val="0"/>
    <w:pPr>
      <w:keepNext/>
      <w:keepLines/>
      <w:spacing w:beforeLines="150" w:afterLines="100" w:line="360" w:lineRule="auto"/>
      <w:ind w:left="420" w:hanging="420"/>
      <w:jc w:val="both"/>
      <w:outlineLvl w:val="0"/>
    </w:pPr>
    <w:rPr>
      <w:rFonts w:ascii="宋体" w:hAnsi="宋体"/>
      <w:b/>
      <w:bCs/>
      <w:kern w:val="44"/>
      <w:sz w:val="24"/>
      <w:szCs w:val="24"/>
    </w:rPr>
  </w:style>
  <w:style w:type="paragraph" w:styleId="3">
    <w:name w:val="heading 2"/>
    <w:basedOn w:val="1"/>
    <w:next w:val="1"/>
    <w:link w:val="7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80"/>
    <w:qFormat/>
    <w:uiPriority w:val="0"/>
    <w:pPr>
      <w:widowControl w:val="0"/>
      <w:numPr>
        <w:ilvl w:val="1"/>
        <w:numId w:val="1"/>
      </w:numPr>
      <w:spacing w:line="360" w:lineRule="auto"/>
      <w:jc w:val="both"/>
      <w:outlineLvl w:val="2"/>
    </w:pPr>
    <w:rPr>
      <w:rFonts w:ascii="宋体"/>
    </w:rPr>
  </w:style>
  <w:style w:type="paragraph" w:styleId="5">
    <w:name w:val="heading 4"/>
    <w:basedOn w:val="1"/>
    <w:next w:val="1"/>
    <w:link w:val="56"/>
    <w:qFormat/>
    <w:uiPriority w:val="9"/>
    <w:pPr>
      <w:keepNext/>
      <w:keepLines/>
      <w:tabs>
        <w:tab w:val="left" w:pos="864"/>
      </w:tabs>
      <w:spacing w:line="360" w:lineRule="auto"/>
      <w:outlineLvl w:val="3"/>
    </w:pPr>
    <w:rPr>
      <w:rFonts w:ascii="Times New Roman Bold" w:hAnsi="Times New Roman Bold"/>
      <w:b/>
      <w:sz w:val="28"/>
      <w:lang w:val="en-GB" w:eastAsia="en-US"/>
    </w:rPr>
  </w:style>
  <w:style w:type="paragraph" w:styleId="6">
    <w:name w:val="heading 5"/>
    <w:basedOn w:val="1"/>
    <w:next w:val="1"/>
    <w:link w:val="77"/>
    <w:qFormat/>
    <w:uiPriority w:val="0"/>
    <w:pPr>
      <w:keepNext/>
      <w:widowControl w:val="0"/>
      <w:tabs>
        <w:tab w:val="left" w:pos="1008"/>
      </w:tabs>
      <w:spacing w:line="360" w:lineRule="auto"/>
      <w:jc w:val="both"/>
      <w:outlineLvl w:val="4"/>
    </w:pPr>
    <w:rPr>
      <w:rFonts w:ascii="Arial" w:hAnsi="Arial"/>
      <w:b/>
      <w:bCs/>
      <w:iCs/>
      <w:sz w:val="24"/>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widowControl w:val="0"/>
      <w:ind w:left="2520" w:leftChars="1200"/>
      <w:jc w:val="both"/>
    </w:pPr>
    <w:rPr>
      <w:rFonts w:ascii="等线" w:hAnsi="等线" w:eastAsia="等线"/>
      <w:kern w:val="2"/>
      <w:szCs w:val="22"/>
    </w:rPr>
  </w:style>
  <w:style w:type="paragraph" w:styleId="8">
    <w:name w:val="Normal Indent"/>
    <w:basedOn w:val="1"/>
    <w:qFormat/>
    <w:uiPriority w:val="0"/>
    <w:pPr>
      <w:widowControl w:val="0"/>
      <w:ind w:firstLine="420" w:firstLineChars="200"/>
      <w:jc w:val="both"/>
    </w:pPr>
    <w:rPr>
      <w:kern w:val="2"/>
      <w:szCs w:val="24"/>
    </w:rPr>
  </w:style>
  <w:style w:type="paragraph" w:styleId="9">
    <w:name w:val="Document Map"/>
    <w:basedOn w:val="1"/>
    <w:link w:val="81"/>
    <w:semiHidden/>
    <w:qFormat/>
    <w:uiPriority w:val="0"/>
    <w:pPr>
      <w:widowControl w:val="0"/>
      <w:shd w:val="clear" w:color="auto" w:fill="000080"/>
      <w:jc w:val="both"/>
    </w:pPr>
    <w:rPr>
      <w:rFonts w:ascii="Calibri" w:hAnsi="Calibri"/>
      <w:sz w:val="20"/>
    </w:rPr>
  </w:style>
  <w:style w:type="paragraph" w:styleId="10">
    <w:name w:val="annotation text"/>
    <w:basedOn w:val="1"/>
    <w:link w:val="51"/>
    <w:unhideWhenUsed/>
    <w:qFormat/>
    <w:uiPriority w:val="99"/>
  </w:style>
  <w:style w:type="paragraph" w:styleId="11">
    <w:name w:val="Body Text 3"/>
    <w:basedOn w:val="1"/>
    <w:link w:val="82"/>
    <w:qFormat/>
    <w:uiPriority w:val="0"/>
    <w:pPr>
      <w:widowControl w:val="0"/>
      <w:spacing w:after="120"/>
      <w:jc w:val="both"/>
    </w:pPr>
    <w:rPr>
      <w:rFonts w:ascii="Calibri" w:hAnsi="Calibri"/>
      <w:sz w:val="16"/>
      <w:szCs w:val="16"/>
    </w:rPr>
  </w:style>
  <w:style w:type="paragraph" w:styleId="12">
    <w:name w:val="Body Text"/>
    <w:basedOn w:val="1"/>
    <w:next w:val="13"/>
    <w:link w:val="83"/>
    <w:qFormat/>
    <w:uiPriority w:val="0"/>
    <w:pPr>
      <w:widowControl w:val="0"/>
      <w:spacing w:after="120"/>
      <w:jc w:val="both"/>
    </w:pPr>
    <w:rPr>
      <w:rFonts w:ascii="Calibri" w:hAnsi="Calibri"/>
      <w:sz w:val="20"/>
    </w:rPr>
  </w:style>
  <w:style w:type="paragraph" w:styleId="13">
    <w:name w:val="Title"/>
    <w:basedOn w:val="1"/>
    <w:next w:val="1"/>
    <w:link w:val="84"/>
    <w:qFormat/>
    <w:uiPriority w:val="0"/>
    <w:pPr>
      <w:widowControl w:val="0"/>
      <w:spacing w:before="240" w:after="60"/>
      <w:jc w:val="center"/>
      <w:outlineLvl w:val="0"/>
    </w:pPr>
    <w:rPr>
      <w:rFonts w:ascii="Cambria" w:hAnsi="Cambria"/>
      <w:b/>
      <w:bCs/>
      <w:kern w:val="2"/>
      <w:sz w:val="32"/>
      <w:szCs w:val="32"/>
    </w:rPr>
  </w:style>
  <w:style w:type="paragraph" w:styleId="14">
    <w:name w:val="Body Text Indent"/>
    <w:basedOn w:val="1"/>
    <w:link w:val="85"/>
    <w:qFormat/>
    <w:uiPriority w:val="99"/>
    <w:pPr>
      <w:widowControl w:val="0"/>
      <w:tabs>
        <w:tab w:val="left" w:pos="567"/>
      </w:tabs>
      <w:spacing w:line="360" w:lineRule="auto"/>
      <w:ind w:left="420" w:leftChars="200"/>
      <w:jc w:val="both"/>
    </w:pPr>
    <w:rPr>
      <w:sz w:val="20"/>
      <w:szCs w:val="21"/>
    </w:rPr>
  </w:style>
  <w:style w:type="paragraph" w:styleId="15">
    <w:name w:val="toc 5"/>
    <w:basedOn w:val="1"/>
    <w:next w:val="1"/>
    <w:unhideWhenUsed/>
    <w:qFormat/>
    <w:uiPriority w:val="39"/>
    <w:pPr>
      <w:widowControl w:val="0"/>
      <w:ind w:left="1680" w:leftChars="800"/>
      <w:jc w:val="both"/>
    </w:pPr>
    <w:rPr>
      <w:rFonts w:ascii="等线" w:hAnsi="等线" w:eastAsia="等线"/>
      <w:kern w:val="2"/>
      <w:szCs w:val="22"/>
    </w:rPr>
  </w:style>
  <w:style w:type="paragraph" w:styleId="16">
    <w:name w:val="toc 3"/>
    <w:basedOn w:val="1"/>
    <w:next w:val="1"/>
    <w:unhideWhenUsed/>
    <w:qFormat/>
    <w:uiPriority w:val="39"/>
    <w:pPr>
      <w:spacing w:after="100" w:line="276" w:lineRule="auto"/>
      <w:ind w:left="440"/>
    </w:pPr>
    <w:rPr>
      <w:rFonts w:ascii="Calibri" w:hAnsi="Calibri"/>
      <w:sz w:val="22"/>
      <w:szCs w:val="22"/>
    </w:rPr>
  </w:style>
  <w:style w:type="paragraph" w:styleId="17">
    <w:name w:val="Plain Text"/>
    <w:basedOn w:val="1"/>
    <w:link w:val="86"/>
    <w:qFormat/>
    <w:uiPriority w:val="99"/>
    <w:pPr>
      <w:widowControl w:val="0"/>
      <w:jc w:val="both"/>
    </w:pPr>
    <w:rPr>
      <w:rFonts w:ascii="宋体" w:hAnsi="Courier New"/>
      <w:kern w:val="2"/>
    </w:rPr>
  </w:style>
  <w:style w:type="paragraph" w:styleId="18">
    <w:name w:val="toc 8"/>
    <w:basedOn w:val="1"/>
    <w:next w:val="1"/>
    <w:unhideWhenUsed/>
    <w:qFormat/>
    <w:uiPriority w:val="39"/>
    <w:pPr>
      <w:widowControl w:val="0"/>
      <w:ind w:left="2940" w:leftChars="1400"/>
      <w:jc w:val="both"/>
    </w:pPr>
    <w:rPr>
      <w:rFonts w:ascii="等线" w:hAnsi="等线" w:eastAsia="等线"/>
      <w:kern w:val="2"/>
      <w:szCs w:val="22"/>
    </w:rPr>
  </w:style>
  <w:style w:type="paragraph" w:styleId="19">
    <w:name w:val="Date"/>
    <w:basedOn w:val="1"/>
    <w:next w:val="1"/>
    <w:link w:val="87"/>
    <w:qFormat/>
    <w:uiPriority w:val="99"/>
    <w:pPr>
      <w:widowControl w:val="0"/>
      <w:ind w:left="100" w:leftChars="2500"/>
      <w:jc w:val="both"/>
    </w:pPr>
    <w:rPr>
      <w:sz w:val="20"/>
      <w:szCs w:val="24"/>
    </w:rPr>
  </w:style>
  <w:style w:type="paragraph" w:styleId="20">
    <w:name w:val="Body Text Indent 2"/>
    <w:basedOn w:val="1"/>
    <w:link w:val="88"/>
    <w:qFormat/>
    <w:uiPriority w:val="99"/>
    <w:pPr>
      <w:spacing w:line="480" w:lineRule="auto"/>
      <w:ind w:left="420" w:leftChars="200"/>
    </w:pPr>
  </w:style>
  <w:style w:type="paragraph" w:styleId="21">
    <w:name w:val="Balloon Text"/>
    <w:basedOn w:val="1"/>
    <w:link w:val="47"/>
    <w:qFormat/>
    <w:uiPriority w:val="0"/>
    <w:rPr>
      <w:sz w:val="18"/>
      <w:szCs w:val="18"/>
    </w:rPr>
  </w:style>
  <w:style w:type="paragraph" w:styleId="22">
    <w:name w:val="footer"/>
    <w:basedOn w:val="1"/>
    <w:link w:val="50"/>
    <w:unhideWhenUsed/>
    <w:qFormat/>
    <w:uiPriority w:val="99"/>
    <w:pPr>
      <w:tabs>
        <w:tab w:val="center" w:pos="4153"/>
        <w:tab w:val="right" w:pos="8306"/>
      </w:tabs>
      <w:snapToGrid w:val="0"/>
    </w:pPr>
    <w:rPr>
      <w:sz w:val="18"/>
      <w:szCs w:val="18"/>
    </w:rPr>
  </w:style>
  <w:style w:type="paragraph" w:styleId="23">
    <w:name w:val="header"/>
    <w:basedOn w:val="1"/>
    <w:link w:val="49"/>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link w:val="89"/>
    <w:unhideWhenUsed/>
    <w:qFormat/>
    <w:uiPriority w:val="39"/>
    <w:pPr>
      <w:spacing w:after="100" w:line="276" w:lineRule="auto"/>
    </w:pPr>
    <w:rPr>
      <w:rFonts w:ascii="Calibri" w:hAnsi="Calibri"/>
      <w:sz w:val="22"/>
      <w:szCs w:val="22"/>
    </w:rPr>
  </w:style>
  <w:style w:type="paragraph" w:styleId="25">
    <w:name w:val="toc 4"/>
    <w:basedOn w:val="1"/>
    <w:next w:val="1"/>
    <w:link w:val="90"/>
    <w:unhideWhenUsed/>
    <w:qFormat/>
    <w:uiPriority w:val="39"/>
    <w:pPr>
      <w:widowControl w:val="0"/>
      <w:ind w:left="1260" w:leftChars="600"/>
      <w:jc w:val="both"/>
    </w:pPr>
    <w:rPr>
      <w:kern w:val="2"/>
      <w:szCs w:val="22"/>
    </w:rPr>
  </w:style>
  <w:style w:type="paragraph" w:styleId="26">
    <w:name w:val="List"/>
    <w:basedOn w:val="1"/>
    <w:qFormat/>
    <w:uiPriority w:val="0"/>
    <w:pPr>
      <w:widowControl w:val="0"/>
      <w:ind w:left="200" w:hanging="200" w:hangingChars="200"/>
      <w:jc w:val="both"/>
    </w:pPr>
    <w:rPr>
      <w:kern w:val="2"/>
      <w:szCs w:val="24"/>
    </w:rPr>
  </w:style>
  <w:style w:type="paragraph" w:styleId="27">
    <w:name w:val="footnote text"/>
    <w:basedOn w:val="1"/>
    <w:link w:val="91"/>
    <w:unhideWhenUsed/>
    <w:qFormat/>
    <w:uiPriority w:val="99"/>
    <w:pPr>
      <w:widowControl w:val="0"/>
      <w:snapToGrid w:val="0"/>
    </w:pPr>
    <w:rPr>
      <w:kern w:val="2"/>
      <w:sz w:val="18"/>
      <w:szCs w:val="22"/>
    </w:rPr>
  </w:style>
  <w:style w:type="paragraph" w:styleId="28">
    <w:name w:val="toc 6"/>
    <w:basedOn w:val="1"/>
    <w:next w:val="1"/>
    <w:qFormat/>
    <w:uiPriority w:val="39"/>
    <w:pPr>
      <w:widowControl w:val="0"/>
      <w:ind w:left="2100" w:leftChars="1000"/>
      <w:jc w:val="both"/>
    </w:pPr>
    <w:rPr>
      <w:kern w:val="2"/>
      <w:szCs w:val="24"/>
    </w:rPr>
  </w:style>
  <w:style w:type="paragraph" w:styleId="29">
    <w:name w:val="toc 2"/>
    <w:basedOn w:val="1"/>
    <w:next w:val="1"/>
    <w:unhideWhenUsed/>
    <w:qFormat/>
    <w:uiPriority w:val="39"/>
    <w:pPr>
      <w:spacing w:after="100" w:line="276" w:lineRule="auto"/>
      <w:ind w:left="220"/>
    </w:pPr>
    <w:rPr>
      <w:rFonts w:ascii="Calibri" w:hAnsi="Calibri"/>
      <w:sz w:val="22"/>
      <w:szCs w:val="22"/>
    </w:rPr>
  </w:style>
  <w:style w:type="paragraph" w:styleId="30">
    <w:name w:val="toc 9"/>
    <w:basedOn w:val="1"/>
    <w:next w:val="1"/>
    <w:unhideWhenUsed/>
    <w:qFormat/>
    <w:uiPriority w:val="39"/>
    <w:pPr>
      <w:widowControl w:val="0"/>
      <w:ind w:left="3360" w:leftChars="1600"/>
      <w:jc w:val="both"/>
    </w:pPr>
    <w:rPr>
      <w:rFonts w:ascii="等线" w:hAnsi="等线" w:eastAsia="等线"/>
      <w:kern w:val="2"/>
      <w:szCs w:val="22"/>
    </w:rPr>
  </w:style>
  <w:style w:type="paragraph" w:styleId="31">
    <w:name w:val="HTML Preformatted"/>
    <w:basedOn w:val="1"/>
    <w:link w:val="92"/>
    <w:qFormat/>
    <w:uiPriority w:val="99"/>
    <w:pPr>
      <w:widowControl w:val="0"/>
      <w:jc w:val="both"/>
    </w:pPr>
    <w:rPr>
      <w:rFonts w:ascii="Courier New" w:hAnsi="Courier New"/>
      <w:sz w:val="20"/>
    </w:rPr>
  </w:style>
  <w:style w:type="paragraph" w:styleId="32">
    <w:name w:val="Normal (Web)"/>
    <w:basedOn w:val="1"/>
    <w:unhideWhenUsed/>
    <w:qFormat/>
    <w:uiPriority w:val="0"/>
    <w:pPr>
      <w:spacing w:before="100" w:beforeAutospacing="1" w:after="100" w:afterAutospacing="1"/>
    </w:pPr>
    <w:rPr>
      <w:rFonts w:ascii="宋体" w:hAnsi="宋体" w:cs="宋体"/>
      <w:sz w:val="24"/>
      <w:szCs w:val="24"/>
    </w:rPr>
  </w:style>
  <w:style w:type="paragraph" w:styleId="33">
    <w:name w:val="annotation subject"/>
    <w:basedOn w:val="10"/>
    <w:next w:val="10"/>
    <w:link w:val="52"/>
    <w:unhideWhenUsed/>
    <w:qFormat/>
    <w:uiPriority w:val="0"/>
    <w:rPr>
      <w:b/>
      <w:bCs/>
    </w:rPr>
  </w:style>
  <w:style w:type="paragraph" w:styleId="34">
    <w:name w:val="Body Text First Indent"/>
    <w:basedOn w:val="12"/>
    <w:link w:val="93"/>
    <w:qFormat/>
    <w:uiPriority w:val="0"/>
    <w:pPr>
      <w:ind w:firstLine="420" w:firstLineChars="100"/>
    </w:pPr>
  </w:style>
  <w:style w:type="paragraph" w:styleId="35">
    <w:name w:val="Body Text First Indent 2"/>
    <w:basedOn w:val="14"/>
    <w:link w:val="94"/>
    <w:qFormat/>
    <w:uiPriority w:val="0"/>
    <w:pPr>
      <w:ind w:firstLine="420" w:firstLineChars="200"/>
    </w:pPr>
    <w:rPr>
      <w:kern w:val="2"/>
      <w:sz w:val="21"/>
    </w:rPr>
  </w:style>
  <w:style w:type="table" w:styleId="37">
    <w:name w:val="Table Grid"/>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
    <w:name w:val="Strong"/>
    <w:qFormat/>
    <w:uiPriority w:val="22"/>
    <w:rPr>
      <w:b/>
      <w:bCs/>
    </w:rPr>
  </w:style>
  <w:style w:type="character" w:styleId="40">
    <w:name w:val="page number"/>
    <w:qFormat/>
    <w:uiPriority w:val="0"/>
  </w:style>
  <w:style w:type="character" w:styleId="41">
    <w:name w:val="FollowedHyperlink"/>
    <w:basedOn w:val="38"/>
    <w:unhideWhenUsed/>
    <w:qFormat/>
    <w:uiPriority w:val="99"/>
    <w:rPr>
      <w:color w:val="800080"/>
      <w:u w:val="single"/>
    </w:rPr>
  </w:style>
  <w:style w:type="character" w:styleId="42">
    <w:name w:val="Hyperlink"/>
    <w:basedOn w:val="38"/>
    <w:unhideWhenUsed/>
    <w:qFormat/>
    <w:uiPriority w:val="99"/>
    <w:rPr>
      <w:color w:val="0000FF"/>
      <w:u w:val="single"/>
    </w:rPr>
  </w:style>
  <w:style w:type="character" w:styleId="43">
    <w:name w:val="annotation reference"/>
    <w:basedOn w:val="38"/>
    <w:unhideWhenUsed/>
    <w:qFormat/>
    <w:uiPriority w:val="99"/>
    <w:rPr>
      <w:sz w:val="21"/>
      <w:szCs w:val="21"/>
    </w:rPr>
  </w:style>
  <w:style w:type="character" w:styleId="44">
    <w:name w:val="footnote reference"/>
    <w:unhideWhenUsed/>
    <w:uiPriority w:val="99"/>
    <w:rPr>
      <w:vertAlign w:val="superscript"/>
    </w:rPr>
  </w:style>
  <w:style w:type="paragraph" w:customStyle="1" w:styleId="45">
    <w:name w:val="Blockquote"/>
    <w:basedOn w:val="1"/>
    <w:qFormat/>
    <w:uiPriority w:val="0"/>
    <w:pPr>
      <w:autoSpaceDE w:val="0"/>
      <w:autoSpaceDN w:val="0"/>
      <w:adjustRightInd w:val="0"/>
      <w:ind w:left="360" w:right="360"/>
    </w:pPr>
    <w:rPr>
      <w:sz w:val="24"/>
    </w:rPr>
  </w:style>
  <w:style w:type="paragraph" w:customStyle="1" w:styleId="46">
    <w:name w:val="列出段落1"/>
    <w:basedOn w:val="1"/>
    <w:qFormat/>
    <w:uiPriority w:val="0"/>
    <w:pPr>
      <w:widowControl w:val="0"/>
      <w:ind w:firstLine="420" w:firstLineChars="200"/>
      <w:jc w:val="both"/>
    </w:pPr>
    <w:rPr>
      <w:kern w:val="2"/>
      <w:szCs w:val="24"/>
    </w:rPr>
  </w:style>
  <w:style w:type="character" w:customStyle="1" w:styleId="47">
    <w:name w:val="批注框文本 Char"/>
    <w:basedOn w:val="38"/>
    <w:link w:val="21"/>
    <w:qFormat/>
    <w:uiPriority w:val="0"/>
    <w:rPr>
      <w:sz w:val="18"/>
      <w:szCs w:val="18"/>
    </w:rPr>
  </w:style>
  <w:style w:type="paragraph" w:customStyle="1" w:styleId="48">
    <w:name w:val="列出段落2"/>
    <w:basedOn w:val="1"/>
    <w:qFormat/>
    <w:uiPriority w:val="0"/>
    <w:pPr>
      <w:widowControl w:val="0"/>
      <w:ind w:firstLine="420" w:firstLineChars="200"/>
      <w:jc w:val="both"/>
    </w:pPr>
    <w:rPr>
      <w:rFonts w:ascii="Calibri" w:hAnsi="Calibri"/>
      <w:kern w:val="2"/>
      <w:szCs w:val="24"/>
    </w:rPr>
  </w:style>
  <w:style w:type="character" w:customStyle="1" w:styleId="49">
    <w:name w:val="页眉 Char"/>
    <w:basedOn w:val="38"/>
    <w:link w:val="23"/>
    <w:qFormat/>
    <w:uiPriority w:val="0"/>
    <w:rPr>
      <w:sz w:val="18"/>
      <w:szCs w:val="18"/>
    </w:rPr>
  </w:style>
  <w:style w:type="character" w:customStyle="1" w:styleId="50">
    <w:name w:val="页脚 Char"/>
    <w:basedOn w:val="38"/>
    <w:link w:val="22"/>
    <w:qFormat/>
    <w:uiPriority w:val="99"/>
    <w:rPr>
      <w:sz w:val="18"/>
      <w:szCs w:val="18"/>
    </w:rPr>
  </w:style>
  <w:style w:type="character" w:customStyle="1" w:styleId="51">
    <w:name w:val="批注文字 Char1"/>
    <w:basedOn w:val="38"/>
    <w:link w:val="10"/>
    <w:qFormat/>
    <w:uiPriority w:val="99"/>
    <w:rPr>
      <w:sz w:val="21"/>
    </w:rPr>
  </w:style>
  <w:style w:type="character" w:customStyle="1" w:styleId="52">
    <w:name w:val="批注主题 Char"/>
    <w:basedOn w:val="51"/>
    <w:link w:val="33"/>
    <w:qFormat/>
    <w:uiPriority w:val="0"/>
    <w:rPr>
      <w:b/>
      <w:bCs/>
      <w:sz w:val="21"/>
    </w:rPr>
  </w:style>
  <w:style w:type="paragraph" w:customStyle="1" w:styleId="53">
    <w:name w:val="1正文"/>
    <w:basedOn w:val="1"/>
    <w:qFormat/>
    <w:uiPriority w:val="0"/>
    <w:pPr>
      <w:spacing w:line="360" w:lineRule="auto"/>
    </w:pPr>
    <w:rPr>
      <w:rFonts w:ascii="宋体" w:hAnsi="宋体" w:cs="宋体"/>
      <w:sz w:val="24"/>
      <w:szCs w:val="28"/>
    </w:rPr>
  </w:style>
  <w:style w:type="paragraph" w:customStyle="1" w:styleId="54">
    <w:name w:val="Fließtext"/>
    <w:basedOn w:val="1"/>
    <w:qFormat/>
    <w:uiPriority w:val="0"/>
    <w:pPr>
      <w:widowControl w:val="0"/>
      <w:overflowPunct w:val="0"/>
      <w:autoSpaceDE w:val="0"/>
      <w:autoSpaceDN w:val="0"/>
      <w:adjustRightInd w:val="0"/>
      <w:jc w:val="both"/>
      <w:textAlignment w:val="baseline"/>
    </w:pPr>
    <w:rPr>
      <w:rFonts w:ascii="Calibri" w:hAnsi="Calibri"/>
      <w:kern w:val="28"/>
    </w:rPr>
  </w:style>
  <w:style w:type="paragraph" w:styleId="55">
    <w:name w:val="List Paragraph"/>
    <w:basedOn w:val="1"/>
    <w:qFormat/>
    <w:uiPriority w:val="34"/>
    <w:pPr>
      <w:widowControl w:val="0"/>
      <w:ind w:firstLine="420" w:firstLineChars="200"/>
      <w:jc w:val="both"/>
    </w:pPr>
    <w:rPr>
      <w:rFonts w:ascii="Calibri" w:hAnsi="Calibri"/>
      <w:kern w:val="2"/>
      <w:szCs w:val="22"/>
    </w:rPr>
  </w:style>
  <w:style w:type="character" w:customStyle="1" w:styleId="56">
    <w:name w:val="标题 4 Char"/>
    <w:basedOn w:val="38"/>
    <w:link w:val="5"/>
    <w:qFormat/>
    <w:uiPriority w:val="9"/>
    <w:rPr>
      <w:rFonts w:ascii="Times New Roman Bold" w:hAnsi="Times New Roman Bold"/>
      <w:b/>
      <w:sz w:val="28"/>
      <w:lang w:val="en-GB" w:eastAsia="en-US"/>
    </w:rPr>
  </w:style>
  <w:style w:type="paragraph" w:customStyle="1" w:styleId="57">
    <w:name w:val="msonormal"/>
    <w:basedOn w:val="1"/>
    <w:qFormat/>
    <w:uiPriority w:val="0"/>
    <w:pPr>
      <w:spacing w:before="100" w:beforeAutospacing="1" w:after="100" w:afterAutospacing="1"/>
    </w:pPr>
    <w:rPr>
      <w:rFonts w:ascii="宋体" w:hAnsi="宋体" w:cs="宋体"/>
      <w:sz w:val="24"/>
      <w:szCs w:val="24"/>
    </w:rPr>
  </w:style>
  <w:style w:type="paragraph" w:customStyle="1" w:styleId="58">
    <w:name w:val="xl65"/>
    <w:basedOn w:val="1"/>
    <w:qFormat/>
    <w:uiPriority w:val="0"/>
    <w:pPr>
      <w:spacing w:before="100" w:beforeAutospacing="1" w:after="100" w:afterAutospacing="1"/>
      <w:jc w:val="center"/>
    </w:pPr>
    <w:rPr>
      <w:rFonts w:ascii="宋体" w:hAnsi="宋体" w:cs="宋体"/>
      <w:sz w:val="24"/>
      <w:szCs w:val="24"/>
    </w:rPr>
  </w:style>
  <w:style w:type="paragraph" w:customStyle="1" w:styleId="59">
    <w:name w:val="xl66"/>
    <w:basedOn w:val="1"/>
    <w:qFormat/>
    <w:uiPriority w:val="0"/>
    <w:pPr>
      <w:pBdr>
        <w:top w:val="single" w:color="auto" w:sz="8" w:space="0"/>
        <w:right w:val="single" w:color="auto" w:sz="8" w:space="0"/>
      </w:pBdr>
      <w:spacing w:before="100" w:beforeAutospacing="1" w:after="100" w:afterAutospacing="1"/>
      <w:jc w:val="center"/>
    </w:pPr>
    <w:rPr>
      <w:rFonts w:ascii="宋体" w:hAnsi="宋体" w:cs="宋体"/>
      <w:color w:val="000000"/>
      <w:szCs w:val="21"/>
    </w:rPr>
  </w:style>
  <w:style w:type="paragraph" w:customStyle="1" w:styleId="60">
    <w:name w:val="xl67"/>
    <w:basedOn w:val="1"/>
    <w:qFormat/>
    <w:uiPriority w:val="0"/>
    <w:pPr>
      <w:pBdr>
        <w:bottom w:val="single" w:color="auto" w:sz="8" w:space="0"/>
        <w:right w:val="single" w:color="auto" w:sz="8" w:space="0"/>
      </w:pBdr>
      <w:spacing w:before="100" w:beforeAutospacing="1" w:after="100" w:afterAutospacing="1"/>
      <w:jc w:val="center"/>
    </w:pPr>
    <w:rPr>
      <w:rFonts w:ascii="宋体" w:hAnsi="宋体" w:cs="宋体"/>
      <w:color w:val="000000"/>
      <w:szCs w:val="21"/>
    </w:rPr>
  </w:style>
  <w:style w:type="paragraph" w:customStyle="1" w:styleId="61">
    <w:name w:val="xl68"/>
    <w:basedOn w:val="1"/>
    <w:qFormat/>
    <w:uiPriority w:val="0"/>
    <w:pPr>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szCs w:val="21"/>
    </w:rPr>
  </w:style>
  <w:style w:type="paragraph" w:customStyle="1" w:styleId="62">
    <w:name w:val="xl69"/>
    <w:basedOn w:val="1"/>
    <w:qFormat/>
    <w:uiPriority w:val="0"/>
    <w:pPr>
      <w:pBdr>
        <w:bottom w:val="single" w:color="auto" w:sz="8" w:space="0"/>
        <w:right w:val="single" w:color="auto" w:sz="8" w:space="0"/>
      </w:pBdr>
      <w:spacing w:before="100" w:beforeAutospacing="1" w:after="100" w:afterAutospacing="1"/>
    </w:pPr>
    <w:rPr>
      <w:rFonts w:ascii="宋体" w:hAnsi="宋体" w:cs="宋体"/>
      <w:color w:val="000000"/>
      <w:szCs w:val="21"/>
    </w:rPr>
  </w:style>
  <w:style w:type="paragraph" w:customStyle="1" w:styleId="63">
    <w:name w:val="xl70"/>
    <w:basedOn w:val="1"/>
    <w:qFormat/>
    <w:uiPriority w:val="0"/>
    <w:pPr>
      <w:pBdr>
        <w:bottom w:val="single" w:color="auto" w:sz="8" w:space="0"/>
        <w:right w:val="single" w:color="auto" w:sz="8" w:space="0"/>
      </w:pBdr>
      <w:spacing w:before="100" w:beforeAutospacing="1" w:after="100" w:afterAutospacing="1"/>
    </w:pPr>
    <w:rPr>
      <w:rFonts w:ascii="宋体" w:hAnsi="宋体" w:cs="宋体"/>
      <w:szCs w:val="21"/>
    </w:rPr>
  </w:style>
  <w:style w:type="paragraph" w:customStyle="1" w:styleId="64">
    <w:name w:val="xl71"/>
    <w:basedOn w:val="1"/>
    <w:qFormat/>
    <w:uiPriority w:val="0"/>
    <w:pPr>
      <w:pBdr>
        <w:bottom w:val="single" w:color="auto" w:sz="8" w:space="0"/>
        <w:right w:val="single" w:color="auto" w:sz="8" w:space="0"/>
      </w:pBdr>
      <w:spacing w:before="100" w:beforeAutospacing="1" w:after="100" w:afterAutospacing="1"/>
      <w:jc w:val="center"/>
    </w:pPr>
    <w:rPr>
      <w:rFonts w:ascii="宋体" w:hAnsi="宋体" w:cs="宋体"/>
      <w:szCs w:val="21"/>
    </w:rPr>
  </w:style>
  <w:style w:type="paragraph" w:customStyle="1" w:styleId="65">
    <w:name w:val="xl72"/>
    <w:basedOn w:val="1"/>
    <w:qFormat/>
    <w:uiPriority w:val="0"/>
    <w:pPr>
      <w:pBdr>
        <w:bottom w:val="single" w:color="auto" w:sz="8" w:space="0"/>
        <w:right w:val="single" w:color="auto" w:sz="8" w:space="0"/>
      </w:pBdr>
      <w:spacing w:before="100" w:beforeAutospacing="1" w:after="100" w:afterAutospacing="1"/>
      <w:jc w:val="center"/>
    </w:pPr>
    <w:rPr>
      <w:rFonts w:ascii="宋体" w:hAnsi="宋体" w:cs="宋体"/>
      <w:szCs w:val="21"/>
    </w:rPr>
  </w:style>
  <w:style w:type="paragraph" w:customStyle="1" w:styleId="66">
    <w:name w:val="xl73"/>
    <w:basedOn w:val="1"/>
    <w:qFormat/>
    <w:uiPriority w:val="0"/>
    <w:pPr>
      <w:pBdr>
        <w:bottom w:val="single" w:color="auto" w:sz="8" w:space="0"/>
        <w:right w:val="single" w:color="auto" w:sz="8" w:space="0"/>
      </w:pBdr>
      <w:spacing w:before="100" w:beforeAutospacing="1" w:after="100" w:afterAutospacing="1"/>
      <w:jc w:val="both"/>
    </w:pPr>
    <w:rPr>
      <w:rFonts w:ascii="宋体" w:hAnsi="宋体" w:cs="宋体"/>
      <w:color w:val="000000"/>
      <w:szCs w:val="21"/>
    </w:rPr>
  </w:style>
  <w:style w:type="paragraph" w:customStyle="1" w:styleId="67">
    <w:name w:val="xl74"/>
    <w:basedOn w:val="1"/>
    <w:qFormat/>
    <w:uiPriority w:val="0"/>
    <w:pPr>
      <w:pBdr>
        <w:bottom w:val="single" w:color="auto" w:sz="8" w:space="0"/>
        <w:right w:val="single" w:color="auto" w:sz="8" w:space="0"/>
      </w:pBdr>
      <w:spacing w:before="100" w:beforeAutospacing="1" w:after="100" w:afterAutospacing="1"/>
      <w:jc w:val="center"/>
    </w:pPr>
    <w:rPr>
      <w:rFonts w:ascii="宋体" w:hAnsi="宋体" w:cs="宋体"/>
      <w:color w:val="000000"/>
      <w:szCs w:val="21"/>
    </w:rPr>
  </w:style>
  <w:style w:type="paragraph" w:customStyle="1" w:styleId="68">
    <w:name w:val="xl75"/>
    <w:basedOn w:val="1"/>
    <w:qFormat/>
    <w:uiPriority w:val="0"/>
    <w:pPr>
      <w:pBdr>
        <w:bottom w:val="single" w:color="auto" w:sz="8" w:space="0"/>
        <w:right w:val="single" w:color="auto" w:sz="8" w:space="0"/>
      </w:pBdr>
      <w:spacing w:before="100" w:beforeAutospacing="1" w:after="100" w:afterAutospacing="1"/>
      <w:jc w:val="center"/>
    </w:pPr>
    <w:rPr>
      <w:rFonts w:ascii="宋体" w:hAnsi="宋体" w:cs="宋体"/>
      <w:color w:val="000000"/>
      <w:szCs w:val="21"/>
    </w:rPr>
  </w:style>
  <w:style w:type="paragraph" w:customStyle="1" w:styleId="69">
    <w:name w:val="xl76"/>
    <w:basedOn w:val="1"/>
    <w:qFormat/>
    <w:uiPriority w:val="0"/>
    <w:pPr>
      <w:pBdr>
        <w:right w:val="single" w:color="auto" w:sz="8" w:space="0"/>
      </w:pBdr>
      <w:spacing w:before="100" w:beforeAutospacing="1" w:after="100" w:afterAutospacing="1"/>
    </w:pPr>
    <w:rPr>
      <w:rFonts w:ascii="宋体" w:hAnsi="宋体" w:cs="宋体"/>
      <w:color w:val="000000"/>
      <w:szCs w:val="21"/>
    </w:rPr>
  </w:style>
  <w:style w:type="paragraph" w:customStyle="1" w:styleId="70">
    <w:name w:val="xl77"/>
    <w:basedOn w:val="1"/>
    <w:qFormat/>
    <w:uiPriority w:val="0"/>
    <w:pPr>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szCs w:val="21"/>
    </w:rPr>
  </w:style>
  <w:style w:type="paragraph" w:customStyle="1" w:styleId="71">
    <w:name w:val="xl78"/>
    <w:basedOn w:val="1"/>
    <w:qFormat/>
    <w:uiPriority w:val="0"/>
    <w:pPr>
      <w:pBdr>
        <w:top w:val="single" w:color="auto" w:sz="8" w:space="0"/>
        <w:left w:val="single" w:color="auto" w:sz="8" w:space="0"/>
        <w:right w:val="single" w:color="auto" w:sz="8" w:space="0"/>
      </w:pBdr>
      <w:spacing w:before="100" w:beforeAutospacing="1" w:after="100" w:afterAutospacing="1"/>
    </w:pPr>
    <w:rPr>
      <w:rFonts w:ascii="宋体" w:hAnsi="宋体" w:cs="宋体"/>
      <w:color w:val="000000"/>
      <w:szCs w:val="21"/>
    </w:rPr>
  </w:style>
  <w:style w:type="paragraph" w:customStyle="1" w:styleId="72">
    <w:name w:val="xl79"/>
    <w:basedOn w:val="1"/>
    <w:qFormat/>
    <w:uiPriority w:val="0"/>
    <w:pPr>
      <w:pBdr>
        <w:left w:val="single" w:color="auto" w:sz="8" w:space="0"/>
        <w:bottom w:val="single" w:color="auto" w:sz="8" w:space="0"/>
        <w:right w:val="single" w:color="auto" w:sz="8" w:space="0"/>
      </w:pBdr>
      <w:spacing w:before="100" w:beforeAutospacing="1" w:after="100" w:afterAutospacing="1"/>
    </w:pPr>
    <w:rPr>
      <w:rFonts w:ascii="宋体" w:hAnsi="宋体" w:cs="宋体"/>
      <w:color w:val="000000"/>
      <w:szCs w:val="21"/>
    </w:rPr>
  </w:style>
  <w:style w:type="paragraph" w:customStyle="1" w:styleId="73">
    <w:name w:val="xl80"/>
    <w:basedOn w:val="1"/>
    <w:qFormat/>
    <w:uiPriority w:val="0"/>
    <w:pPr>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szCs w:val="21"/>
    </w:rPr>
  </w:style>
  <w:style w:type="paragraph" w:customStyle="1" w:styleId="74">
    <w:name w:val="xl81"/>
    <w:basedOn w:val="1"/>
    <w:qFormat/>
    <w:uiPriority w:val="0"/>
    <w:pPr>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szCs w:val="21"/>
    </w:rPr>
  </w:style>
  <w:style w:type="paragraph" w:customStyle="1" w:styleId="75">
    <w:name w:val="xl82"/>
    <w:basedOn w:val="1"/>
    <w:qFormat/>
    <w:uiPriority w:val="0"/>
    <w:pPr>
      <w:pBdr>
        <w:bottom w:val="single" w:color="auto" w:sz="8" w:space="0"/>
        <w:right w:val="single" w:color="auto" w:sz="8" w:space="0"/>
      </w:pBdr>
      <w:spacing w:before="100" w:beforeAutospacing="1" w:after="100" w:afterAutospacing="1"/>
      <w:jc w:val="center"/>
    </w:pPr>
    <w:rPr>
      <w:rFonts w:ascii="宋体" w:hAnsi="宋体" w:cs="宋体"/>
      <w:color w:val="000000"/>
      <w:szCs w:val="21"/>
    </w:rPr>
  </w:style>
  <w:style w:type="character" w:customStyle="1" w:styleId="76">
    <w:name w:val="标题 2 Char"/>
    <w:basedOn w:val="38"/>
    <w:link w:val="3"/>
    <w:qFormat/>
    <w:uiPriority w:val="0"/>
    <w:rPr>
      <w:rFonts w:asciiTheme="majorHAnsi" w:hAnsiTheme="majorHAnsi" w:eastAsiaTheme="majorEastAsia" w:cstheme="majorBidi"/>
      <w:b/>
      <w:bCs/>
      <w:sz w:val="32"/>
      <w:szCs w:val="32"/>
    </w:rPr>
  </w:style>
  <w:style w:type="character" w:customStyle="1" w:styleId="77">
    <w:name w:val="标题 5 Char"/>
    <w:basedOn w:val="38"/>
    <w:link w:val="6"/>
    <w:qFormat/>
    <w:uiPriority w:val="0"/>
    <w:rPr>
      <w:rFonts w:ascii="Arial" w:hAnsi="Arial"/>
      <w:b/>
      <w:bCs/>
      <w:iCs/>
      <w:sz w:val="24"/>
      <w:szCs w:val="21"/>
    </w:rPr>
  </w:style>
  <w:style w:type="character" w:customStyle="1" w:styleId="78">
    <w:name w:val="标题 1 Char"/>
    <w:basedOn w:val="38"/>
    <w:link w:val="2"/>
    <w:qFormat/>
    <w:uiPriority w:val="0"/>
    <w:rPr>
      <w:rFonts w:ascii="宋体" w:hAnsi="宋体"/>
      <w:b/>
      <w:bCs/>
      <w:kern w:val="44"/>
      <w:sz w:val="24"/>
      <w:szCs w:val="24"/>
    </w:rPr>
  </w:style>
  <w:style w:type="character" w:customStyle="1" w:styleId="79">
    <w:name w:val="标题 3 字符"/>
    <w:basedOn w:val="38"/>
    <w:qFormat/>
    <w:uiPriority w:val="0"/>
    <w:rPr>
      <w:rFonts w:ascii="Times New Roman" w:hAnsi="Times New Roman" w:eastAsia="宋体" w:cs="Times New Roman"/>
      <w:b/>
      <w:bCs/>
      <w:sz w:val="32"/>
      <w:szCs w:val="32"/>
    </w:rPr>
  </w:style>
  <w:style w:type="character" w:customStyle="1" w:styleId="80">
    <w:name w:val="标题 3 Char"/>
    <w:link w:val="4"/>
    <w:qFormat/>
    <w:uiPriority w:val="0"/>
    <w:rPr>
      <w:rFonts w:ascii="宋体"/>
      <w:sz w:val="21"/>
    </w:rPr>
  </w:style>
  <w:style w:type="character" w:customStyle="1" w:styleId="81">
    <w:name w:val="文档结构图 Char"/>
    <w:basedOn w:val="38"/>
    <w:link w:val="9"/>
    <w:semiHidden/>
    <w:qFormat/>
    <w:uiPriority w:val="0"/>
    <w:rPr>
      <w:rFonts w:ascii="Calibri" w:hAnsi="Calibri"/>
      <w:shd w:val="clear" w:color="auto" w:fill="000080"/>
    </w:rPr>
  </w:style>
  <w:style w:type="character" w:customStyle="1" w:styleId="82">
    <w:name w:val="正文文本 3 Char"/>
    <w:basedOn w:val="38"/>
    <w:link w:val="11"/>
    <w:qFormat/>
    <w:uiPriority w:val="0"/>
    <w:rPr>
      <w:rFonts w:ascii="Calibri" w:hAnsi="Calibri"/>
      <w:sz w:val="16"/>
      <w:szCs w:val="16"/>
    </w:rPr>
  </w:style>
  <w:style w:type="character" w:customStyle="1" w:styleId="83">
    <w:name w:val="正文文本 Char"/>
    <w:basedOn w:val="38"/>
    <w:link w:val="12"/>
    <w:qFormat/>
    <w:uiPriority w:val="0"/>
    <w:rPr>
      <w:rFonts w:ascii="Calibri" w:hAnsi="Calibri"/>
    </w:rPr>
  </w:style>
  <w:style w:type="character" w:customStyle="1" w:styleId="84">
    <w:name w:val="标题 Char"/>
    <w:basedOn w:val="38"/>
    <w:link w:val="13"/>
    <w:qFormat/>
    <w:uiPriority w:val="0"/>
    <w:rPr>
      <w:rFonts w:ascii="Cambria" w:hAnsi="Cambria"/>
      <w:b/>
      <w:bCs/>
      <w:kern w:val="2"/>
      <w:sz w:val="32"/>
      <w:szCs w:val="32"/>
    </w:rPr>
  </w:style>
  <w:style w:type="character" w:customStyle="1" w:styleId="85">
    <w:name w:val="正文文本缩进 Char2"/>
    <w:basedOn w:val="38"/>
    <w:link w:val="14"/>
    <w:qFormat/>
    <w:uiPriority w:val="99"/>
    <w:rPr>
      <w:szCs w:val="21"/>
    </w:rPr>
  </w:style>
  <w:style w:type="character" w:customStyle="1" w:styleId="86">
    <w:name w:val="纯文本 Char2"/>
    <w:basedOn w:val="38"/>
    <w:link w:val="17"/>
    <w:qFormat/>
    <w:uiPriority w:val="99"/>
    <w:rPr>
      <w:rFonts w:ascii="宋体" w:hAnsi="Courier New"/>
      <w:kern w:val="2"/>
      <w:sz w:val="21"/>
    </w:rPr>
  </w:style>
  <w:style w:type="character" w:customStyle="1" w:styleId="87">
    <w:name w:val="日期 Char2"/>
    <w:basedOn w:val="38"/>
    <w:link w:val="19"/>
    <w:qFormat/>
    <w:uiPriority w:val="99"/>
    <w:rPr>
      <w:szCs w:val="24"/>
    </w:rPr>
  </w:style>
  <w:style w:type="character" w:customStyle="1" w:styleId="88">
    <w:name w:val="正文文本缩进 2 Char2"/>
    <w:basedOn w:val="38"/>
    <w:link w:val="20"/>
    <w:qFormat/>
    <w:uiPriority w:val="99"/>
    <w:rPr>
      <w:sz w:val="21"/>
    </w:rPr>
  </w:style>
  <w:style w:type="character" w:customStyle="1" w:styleId="89">
    <w:name w:val="目录 1 Char"/>
    <w:link w:val="24"/>
    <w:qFormat/>
    <w:uiPriority w:val="39"/>
    <w:rPr>
      <w:rFonts w:ascii="Calibri" w:hAnsi="Calibri"/>
      <w:sz w:val="22"/>
      <w:szCs w:val="22"/>
    </w:rPr>
  </w:style>
  <w:style w:type="character" w:customStyle="1" w:styleId="90">
    <w:name w:val="目录 4 Char"/>
    <w:link w:val="25"/>
    <w:qFormat/>
    <w:uiPriority w:val="39"/>
    <w:rPr>
      <w:kern w:val="2"/>
      <w:sz w:val="21"/>
      <w:szCs w:val="22"/>
    </w:rPr>
  </w:style>
  <w:style w:type="character" w:customStyle="1" w:styleId="91">
    <w:name w:val="脚注文本 Char"/>
    <w:basedOn w:val="38"/>
    <w:link w:val="27"/>
    <w:qFormat/>
    <w:uiPriority w:val="99"/>
    <w:rPr>
      <w:kern w:val="2"/>
      <w:sz w:val="18"/>
      <w:szCs w:val="22"/>
    </w:rPr>
  </w:style>
  <w:style w:type="character" w:customStyle="1" w:styleId="92">
    <w:name w:val="HTML 预设格式 Char2"/>
    <w:basedOn w:val="38"/>
    <w:link w:val="31"/>
    <w:qFormat/>
    <w:uiPriority w:val="99"/>
    <w:rPr>
      <w:rFonts w:ascii="Courier New" w:hAnsi="Courier New"/>
    </w:rPr>
  </w:style>
  <w:style w:type="character" w:customStyle="1" w:styleId="93">
    <w:name w:val="正文首行缩进 Char"/>
    <w:basedOn w:val="83"/>
    <w:link w:val="34"/>
    <w:qFormat/>
    <w:uiPriority w:val="0"/>
    <w:rPr>
      <w:rFonts w:ascii="Calibri" w:hAnsi="Calibri"/>
    </w:rPr>
  </w:style>
  <w:style w:type="character" w:customStyle="1" w:styleId="94">
    <w:name w:val="正文首行缩进 2 Char"/>
    <w:basedOn w:val="85"/>
    <w:link w:val="35"/>
    <w:qFormat/>
    <w:uiPriority w:val="0"/>
    <w:rPr>
      <w:kern w:val="2"/>
      <w:sz w:val="21"/>
      <w:szCs w:val="21"/>
    </w:rPr>
  </w:style>
  <w:style w:type="paragraph" w:customStyle="1" w:styleId="95">
    <w:name w:val="+标题2"/>
    <w:basedOn w:val="3"/>
    <w:qFormat/>
    <w:uiPriority w:val="0"/>
    <w:pPr>
      <w:widowControl w:val="0"/>
      <w:tabs>
        <w:tab w:val="left" w:pos="360"/>
        <w:tab w:val="left" w:pos="420"/>
        <w:tab w:val="left" w:pos="806"/>
        <w:tab w:val="left" w:pos="840"/>
      </w:tabs>
      <w:spacing w:before="120" w:after="120" w:line="360" w:lineRule="auto"/>
      <w:ind w:left="840" w:hanging="360"/>
      <w:jc w:val="center"/>
    </w:pPr>
    <w:rPr>
      <w:rFonts w:ascii="Times New Roman" w:hAnsi="Times New Roman" w:eastAsia="宋体" w:cs="Times New Roman"/>
      <w:sz w:val="24"/>
      <w:szCs w:val="28"/>
    </w:rPr>
  </w:style>
  <w:style w:type="character" w:customStyle="1" w:styleId="96">
    <w:name w:val="纯文本 Char1"/>
    <w:qFormat/>
    <w:uiPriority w:val="0"/>
    <w:rPr>
      <w:rFonts w:ascii="宋体" w:hAnsi="Courier New" w:cs="Courier New"/>
      <w:kern w:val="2"/>
      <w:sz w:val="21"/>
      <w:szCs w:val="21"/>
    </w:rPr>
  </w:style>
  <w:style w:type="character" w:customStyle="1" w:styleId="97">
    <w:name w:val="cucd-0 Char"/>
    <w:qFormat/>
    <w:uiPriority w:val="99"/>
    <w:rPr>
      <w:kern w:val="2"/>
      <w:sz w:val="24"/>
      <w:szCs w:val="24"/>
      <w:lang w:val="en-US" w:eastAsia="zh-CN" w:bidi="ar-SA"/>
    </w:rPr>
  </w:style>
  <w:style w:type="character" w:customStyle="1" w:styleId="98">
    <w:name w:val="纯文本 Char"/>
    <w:qFormat/>
    <w:uiPriority w:val="0"/>
    <w:rPr>
      <w:rFonts w:ascii="宋体" w:hAnsi="Courier New" w:cs="Courier New"/>
      <w:szCs w:val="21"/>
    </w:rPr>
  </w:style>
  <w:style w:type="character" w:customStyle="1" w:styleId="99">
    <w:name w:val="fontstyle01"/>
    <w:qFormat/>
    <w:uiPriority w:val="0"/>
    <w:rPr>
      <w:rFonts w:hint="eastAsia" w:ascii="宋体" w:hAnsi="宋体" w:eastAsia="宋体"/>
      <w:color w:val="000000"/>
      <w:sz w:val="22"/>
      <w:szCs w:val="22"/>
    </w:rPr>
  </w:style>
  <w:style w:type="character" w:customStyle="1" w:styleId="100">
    <w:name w:val="HTML 预设格式 Char1"/>
    <w:qFormat/>
    <w:uiPriority w:val="0"/>
    <w:rPr>
      <w:rFonts w:ascii="Courier New" w:hAnsi="Courier New" w:cs="Courier New"/>
      <w:kern w:val="2"/>
    </w:rPr>
  </w:style>
  <w:style w:type="character" w:customStyle="1" w:styleId="101">
    <w:name w:val="HTML 预设格式 Char"/>
    <w:qFormat/>
    <w:uiPriority w:val="0"/>
    <w:rPr>
      <w:rFonts w:ascii="Courier New" w:hAnsi="Courier New" w:cs="Courier New"/>
    </w:rPr>
  </w:style>
  <w:style w:type="character" w:customStyle="1" w:styleId="102">
    <w:name w:val="fontstyle11"/>
    <w:qFormat/>
    <w:uiPriority w:val="0"/>
    <w:rPr>
      <w:rFonts w:hint="default" w:ascii="Times New Roman" w:hAnsi="Times New Roman" w:cs="Times New Roman"/>
      <w:color w:val="000000"/>
      <w:sz w:val="22"/>
      <w:szCs w:val="22"/>
    </w:rPr>
  </w:style>
  <w:style w:type="character" w:customStyle="1" w:styleId="103">
    <w:name w:val="Arial 10"/>
    <w:uiPriority w:val="0"/>
    <w:rPr>
      <w:rFonts w:ascii="Arial" w:hAnsi="Arial"/>
      <w:sz w:val="20"/>
    </w:rPr>
  </w:style>
  <w:style w:type="character" w:customStyle="1" w:styleId="104">
    <w:name w:val="Arial 12 Fett"/>
    <w:qFormat/>
    <w:uiPriority w:val="0"/>
    <w:rPr>
      <w:rFonts w:ascii="Arial" w:hAnsi="Arial"/>
      <w:b/>
      <w:sz w:val="24"/>
    </w:rPr>
  </w:style>
  <w:style w:type="character" w:customStyle="1" w:styleId="105">
    <w:name w:val="首行缩进2字符 Char"/>
    <w:link w:val="106"/>
    <w:qFormat/>
    <w:uiPriority w:val="0"/>
    <w:rPr>
      <w:bCs/>
      <w:sz w:val="24"/>
      <w:szCs w:val="24"/>
    </w:rPr>
  </w:style>
  <w:style w:type="paragraph" w:customStyle="1" w:styleId="106">
    <w:name w:val="首行缩进2字符"/>
    <w:basedOn w:val="1"/>
    <w:next w:val="1"/>
    <w:link w:val="105"/>
    <w:qFormat/>
    <w:uiPriority w:val="0"/>
    <w:pPr>
      <w:widowControl w:val="0"/>
      <w:spacing w:line="360" w:lineRule="auto"/>
      <w:ind w:firstLine="200" w:firstLineChars="200"/>
      <w:jc w:val="both"/>
    </w:pPr>
    <w:rPr>
      <w:bCs/>
      <w:sz w:val="24"/>
      <w:szCs w:val="24"/>
    </w:rPr>
  </w:style>
  <w:style w:type="character" w:customStyle="1" w:styleId="107">
    <w:name w:val="正文文本缩进 2 Char1"/>
    <w:qFormat/>
    <w:uiPriority w:val="0"/>
    <w:rPr>
      <w:rFonts w:ascii="Calibri" w:hAnsi="Calibri"/>
      <w:kern w:val="2"/>
      <w:sz w:val="21"/>
      <w:szCs w:val="22"/>
    </w:rPr>
  </w:style>
  <w:style w:type="character" w:customStyle="1" w:styleId="108">
    <w:name w:val="页脚 Char1"/>
    <w:qFormat/>
    <w:uiPriority w:val="0"/>
    <w:rPr>
      <w:rFonts w:eastAsia="宋体"/>
      <w:kern w:val="2"/>
      <w:sz w:val="18"/>
      <w:szCs w:val="18"/>
      <w:lang w:val="en-US" w:eastAsia="zh-CN" w:bidi="ar-SA"/>
    </w:rPr>
  </w:style>
  <w:style w:type="character" w:customStyle="1" w:styleId="109">
    <w:name w:val="日期 Char"/>
    <w:qFormat/>
    <w:uiPriority w:val="0"/>
    <w:rPr>
      <w:szCs w:val="24"/>
    </w:rPr>
  </w:style>
  <w:style w:type="character" w:customStyle="1" w:styleId="110">
    <w:name w:val="批注文字 Char"/>
    <w:qFormat/>
    <w:locked/>
    <w:uiPriority w:val="0"/>
    <w:rPr>
      <w:rFonts w:eastAsia="宋体"/>
    </w:rPr>
  </w:style>
  <w:style w:type="character" w:customStyle="1" w:styleId="111">
    <w:name w:val="正文文本缩进 Char1"/>
    <w:qFormat/>
    <w:uiPriority w:val="0"/>
    <w:rPr>
      <w:rFonts w:ascii="Calibri" w:hAnsi="Calibri"/>
      <w:kern w:val="2"/>
      <w:sz w:val="21"/>
      <w:szCs w:val="22"/>
    </w:rPr>
  </w:style>
  <w:style w:type="character" w:customStyle="1" w:styleId="112">
    <w:name w:val="正文文本缩进 Char"/>
    <w:qFormat/>
    <w:uiPriority w:val="0"/>
    <w:rPr>
      <w:szCs w:val="21"/>
    </w:rPr>
  </w:style>
  <w:style w:type="character" w:customStyle="1" w:styleId="113">
    <w:name w:val="日期 Char1"/>
    <w:qFormat/>
    <w:uiPriority w:val="0"/>
    <w:rPr>
      <w:rFonts w:ascii="Calibri" w:hAnsi="Calibri"/>
      <w:kern w:val="2"/>
      <w:sz w:val="21"/>
      <w:szCs w:val="22"/>
    </w:rPr>
  </w:style>
  <w:style w:type="character" w:customStyle="1" w:styleId="114">
    <w:name w:val="cucd-0 Char Char"/>
    <w:link w:val="115"/>
    <w:qFormat/>
    <w:uiPriority w:val="0"/>
    <w:rPr>
      <w:sz w:val="24"/>
      <w:szCs w:val="24"/>
    </w:rPr>
  </w:style>
  <w:style w:type="paragraph" w:customStyle="1" w:styleId="115">
    <w:name w:val="cucd-0"/>
    <w:link w:val="114"/>
    <w:qFormat/>
    <w:uiPriority w:val="0"/>
    <w:pPr>
      <w:spacing w:line="360" w:lineRule="auto"/>
      <w:ind w:firstLine="480" w:firstLineChars="200"/>
    </w:pPr>
    <w:rPr>
      <w:rFonts w:ascii="Times New Roman" w:hAnsi="Times New Roman" w:eastAsia="宋体" w:cs="Times New Roman"/>
      <w:sz w:val="24"/>
      <w:szCs w:val="24"/>
      <w:lang w:val="en-US" w:eastAsia="zh-CN" w:bidi="ar-SA"/>
    </w:rPr>
  </w:style>
  <w:style w:type="character" w:customStyle="1" w:styleId="116">
    <w:name w:val="正文文本缩进 2 Char"/>
    <w:qFormat/>
    <w:uiPriority w:val="0"/>
    <w:rPr>
      <w:szCs w:val="24"/>
    </w:rPr>
  </w:style>
  <w:style w:type="character" w:customStyle="1" w:styleId="117">
    <w:name w:val="样式 (符号) 宋体 小三 加粗 黑色"/>
    <w:qFormat/>
    <w:uiPriority w:val="0"/>
    <w:rPr>
      <w:b/>
      <w:bCs/>
      <w:color w:val="000000"/>
      <w:sz w:val="30"/>
    </w:rPr>
  </w:style>
  <w:style w:type="paragraph" w:customStyle="1" w:styleId="118">
    <w:name w:val="样式1"/>
    <w:basedOn w:val="1"/>
    <w:qFormat/>
    <w:uiPriority w:val="0"/>
    <w:pPr>
      <w:widowControl w:val="0"/>
      <w:adjustRightInd w:val="0"/>
      <w:spacing w:line="420" w:lineRule="auto"/>
      <w:jc w:val="center"/>
      <w:textAlignment w:val="baseline"/>
    </w:pPr>
    <w:rPr>
      <w:rFonts w:ascii="宋体" w:hAnsi="新宋体" w:eastAsia="新宋体"/>
      <w:sz w:val="24"/>
      <w:szCs w:val="21"/>
    </w:rPr>
  </w:style>
  <w:style w:type="paragraph" w:customStyle="1" w:styleId="119">
    <w:name w:val="Char Char2 Char Char Char Char Char Char"/>
    <w:basedOn w:val="1"/>
    <w:qFormat/>
    <w:uiPriority w:val="0"/>
    <w:pPr>
      <w:widowControl w:val="0"/>
      <w:spacing w:line="360" w:lineRule="auto"/>
      <w:jc w:val="both"/>
    </w:pPr>
    <w:rPr>
      <w:rFonts w:ascii="宋体" w:hAnsi="宋体"/>
      <w:kern w:val="2"/>
      <w:sz w:val="22"/>
      <w:szCs w:val="24"/>
    </w:rPr>
  </w:style>
  <w:style w:type="paragraph" w:customStyle="1" w:styleId="120">
    <w:name w:val="TOC 标题1"/>
    <w:basedOn w:val="2"/>
    <w:next w:val="1"/>
    <w:qFormat/>
    <w:uiPriority w:val="39"/>
    <w:pPr>
      <w:spacing w:before="480" w:beforeLines="0" w:afterLines="0" w:line="276" w:lineRule="auto"/>
      <w:ind w:left="0" w:firstLine="0"/>
      <w:jc w:val="left"/>
      <w:outlineLvl w:val="9"/>
    </w:pPr>
    <w:rPr>
      <w:rFonts w:ascii="Cambria" w:hAnsi="Cambria"/>
      <w:color w:val="365F91"/>
      <w:kern w:val="0"/>
      <w:sz w:val="28"/>
      <w:szCs w:val="28"/>
    </w:rPr>
  </w:style>
  <w:style w:type="paragraph" w:customStyle="1" w:styleId="121">
    <w:name w:val="cucd-3"/>
    <w:next w:val="1"/>
    <w:qFormat/>
    <w:uiPriority w:val="0"/>
    <w:pPr>
      <w:tabs>
        <w:tab w:val="left" w:pos="1276"/>
      </w:tabs>
      <w:spacing w:line="360" w:lineRule="auto"/>
      <w:outlineLvl w:val="2"/>
    </w:pPr>
    <w:rPr>
      <w:rFonts w:ascii="Times New Roman" w:hAnsi="Times New Roman" w:eastAsia="宋体" w:cs="Times New Roman"/>
      <w:kern w:val="2"/>
      <w:sz w:val="21"/>
      <w:szCs w:val="21"/>
      <w:lang w:val="en-US" w:eastAsia="zh-CN" w:bidi="ar-SA"/>
    </w:rPr>
  </w:style>
  <w:style w:type="paragraph" w:customStyle="1" w:styleId="122">
    <w:name w:val="首行缩进"/>
    <w:basedOn w:val="1"/>
    <w:next w:val="1"/>
    <w:qFormat/>
    <w:uiPriority w:val="0"/>
    <w:pPr>
      <w:widowControl w:val="0"/>
      <w:ind w:firstLine="200" w:firstLineChars="200"/>
      <w:jc w:val="both"/>
    </w:pPr>
    <w:rPr>
      <w:kern w:val="2"/>
      <w:szCs w:val="24"/>
    </w:rPr>
  </w:style>
  <w:style w:type="paragraph" w:customStyle="1" w:styleId="123">
    <w:name w:val="TOC 标题111"/>
    <w:basedOn w:val="2"/>
    <w:next w:val="1"/>
    <w:qFormat/>
    <w:uiPriority w:val="39"/>
    <w:pPr>
      <w:spacing w:before="480" w:beforeLines="0" w:afterLines="0" w:line="276" w:lineRule="auto"/>
      <w:ind w:left="0" w:firstLine="0"/>
      <w:jc w:val="left"/>
      <w:outlineLvl w:val="9"/>
    </w:pPr>
    <w:rPr>
      <w:rFonts w:ascii="Cambria" w:hAnsi="Cambria"/>
      <w:color w:val="365F91"/>
      <w:kern w:val="0"/>
      <w:sz w:val="28"/>
      <w:szCs w:val="28"/>
    </w:rPr>
  </w:style>
  <w:style w:type="paragraph" w:customStyle="1" w:styleId="124">
    <w:name w:val="cucd-2"/>
    <w:next w:val="121"/>
    <w:qFormat/>
    <w:uiPriority w:val="0"/>
    <w:pPr>
      <w:tabs>
        <w:tab w:val="left" w:pos="567"/>
      </w:tabs>
      <w:spacing w:line="360" w:lineRule="auto"/>
      <w:outlineLvl w:val="1"/>
    </w:pPr>
    <w:rPr>
      <w:rFonts w:ascii="宋体" w:hAnsi="宋体" w:eastAsia="宋体" w:cs="Times New Roman"/>
      <w:b/>
      <w:kern w:val="2"/>
      <w:sz w:val="21"/>
      <w:szCs w:val="21"/>
      <w:lang w:val="en-US" w:eastAsia="zh-CN" w:bidi="ar-SA"/>
    </w:rPr>
  </w:style>
  <w:style w:type="paragraph" w:customStyle="1" w:styleId="125">
    <w:name w:val="Char Char Char Char"/>
    <w:basedOn w:val="1"/>
    <w:qFormat/>
    <w:uiPriority w:val="0"/>
    <w:pPr>
      <w:widowControl w:val="0"/>
      <w:jc w:val="both"/>
    </w:pPr>
    <w:rPr>
      <w:kern w:val="2"/>
      <w:szCs w:val="21"/>
    </w:rPr>
  </w:style>
  <w:style w:type="paragraph" w:customStyle="1" w:styleId="126">
    <w:name w:val="cucd-1"/>
    <w:next w:val="124"/>
    <w:qFormat/>
    <w:uiPriority w:val="0"/>
    <w:pPr>
      <w:pageBreakBefore/>
      <w:tabs>
        <w:tab w:val="left" w:pos="3260"/>
      </w:tabs>
      <w:spacing w:afterLines="50" w:line="360" w:lineRule="auto"/>
      <w:outlineLvl w:val="0"/>
    </w:pPr>
    <w:rPr>
      <w:rFonts w:ascii="Times New Roman" w:hAnsi="Times New Roman" w:eastAsia="黑体" w:cs="Times New Roman"/>
      <w:b/>
      <w:kern w:val="2"/>
      <w:sz w:val="28"/>
      <w:szCs w:val="28"/>
      <w:lang w:val="en-US" w:eastAsia="zh-CN" w:bidi="ar-SA"/>
    </w:rPr>
  </w:style>
  <w:style w:type="paragraph" w:customStyle="1" w:styleId="127">
    <w:name w:val="Char2"/>
    <w:basedOn w:val="1"/>
    <w:uiPriority w:val="0"/>
    <w:pPr>
      <w:widowControl w:val="0"/>
      <w:jc w:val="both"/>
    </w:pPr>
    <w:rPr>
      <w:kern w:val="2"/>
      <w:szCs w:val="24"/>
    </w:rPr>
  </w:style>
  <w:style w:type="paragraph" w:customStyle="1" w:styleId="128">
    <w:name w:val="Char Char1 Char Char Char Char Char Char Char Char Char Char Char Char Char Char Char"/>
    <w:basedOn w:val="1"/>
    <w:qFormat/>
    <w:uiPriority w:val="0"/>
    <w:pPr>
      <w:spacing w:after="160" w:line="240" w:lineRule="exact"/>
    </w:pPr>
    <w:rPr>
      <w:rFonts w:ascii="Verdana" w:hAnsi="Verdana"/>
      <w:sz w:val="20"/>
      <w:lang w:eastAsia="en-US"/>
    </w:rPr>
  </w:style>
  <w:style w:type="paragraph" w:customStyle="1" w:styleId="129">
    <w:name w:val="表格1"/>
    <w:basedOn w:val="1"/>
    <w:qFormat/>
    <w:uiPriority w:val="0"/>
    <w:pPr>
      <w:widowControl w:val="0"/>
      <w:adjustRightInd w:val="0"/>
      <w:jc w:val="both"/>
      <w:textAlignment w:val="baseline"/>
    </w:pPr>
    <w:rPr>
      <w:kern w:val="24"/>
      <w:szCs w:val="21"/>
    </w:rPr>
  </w:style>
  <w:style w:type="paragraph" w:customStyle="1" w:styleId="130">
    <w:name w:val="Default"/>
    <w:qFormat/>
    <w:uiPriority w:val="0"/>
    <w:pPr>
      <w:widowControl w:val="0"/>
      <w:autoSpaceDE w:val="0"/>
      <w:autoSpaceDN w:val="0"/>
      <w:adjustRightInd w:val="0"/>
    </w:pPr>
    <w:rPr>
      <w:rFonts w:ascii="Arial" w:hAnsi="Arial" w:eastAsia="宋体" w:cs="Times New Roman"/>
      <w:color w:val="000000"/>
      <w:sz w:val="24"/>
      <w:lang w:val="en-US" w:eastAsia="zh-CN" w:bidi="ar-SA"/>
    </w:rPr>
  </w:style>
  <w:style w:type="paragraph" w:customStyle="1" w:styleId="131">
    <w:name w:val="Char Char Char1 Char"/>
    <w:basedOn w:val="9"/>
    <w:qFormat/>
    <w:uiPriority w:val="0"/>
    <w:rPr>
      <w:rFonts w:ascii="Tahoma" w:hAnsi="Tahoma"/>
      <w:sz w:val="24"/>
      <w:szCs w:val="24"/>
    </w:rPr>
  </w:style>
  <w:style w:type="paragraph" w:customStyle="1" w:styleId="132">
    <w:name w:val="Text7-1 Char"/>
    <w:basedOn w:val="1"/>
    <w:qFormat/>
    <w:uiPriority w:val="0"/>
    <w:pPr>
      <w:widowControl w:val="0"/>
      <w:adjustRightInd w:val="0"/>
      <w:jc w:val="both"/>
      <w:textAlignment w:val="baseline"/>
    </w:pPr>
    <w:rPr>
      <w:sz w:val="24"/>
      <w:szCs w:val="24"/>
    </w:rPr>
  </w:style>
  <w:style w:type="paragraph" w:customStyle="1" w:styleId="133">
    <w:name w:val="默认段落字体 Para Char Char Char Char"/>
    <w:basedOn w:val="1"/>
    <w:uiPriority w:val="0"/>
    <w:pPr>
      <w:widowControl w:val="0"/>
      <w:spacing w:line="480" w:lineRule="exact"/>
      <w:jc w:val="both"/>
      <w:outlineLvl w:val="3"/>
    </w:pPr>
    <w:rPr>
      <w:b/>
      <w:kern w:val="2"/>
      <w:sz w:val="24"/>
      <w:szCs w:val="24"/>
    </w:rPr>
  </w:style>
  <w:style w:type="paragraph" w:customStyle="1" w:styleId="134">
    <w:name w:val="Char"/>
    <w:basedOn w:val="1"/>
    <w:qFormat/>
    <w:uiPriority w:val="0"/>
    <w:pPr>
      <w:widowControl w:val="0"/>
      <w:jc w:val="both"/>
    </w:pPr>
    <w:rPr>
      <w:kern w:val="2"/>
      <w:szCs w:val="24"/>
    </w:rPr>
  </w:style>
  <w:style w:type="paragraph" w:customStyle="1" w:styleId="135">
    <w:name w:val="Char1"/>
    <w:basedOn w:val="1"/>
    <w:qFormat/>
    <w:uiPriority w:val="0"/>
    <w:pPr>
      <w:widowControl w:val="0"/>
      <w:jc w:val="both"/>
    </w:pPr>
    <w:rPr>
      <w:kern w:val="2"/>
      <w:szCs w:val="21"/>
    </w:rPr>
  </w:style>
  <w:style w:type="paragraph" w:customStyle="1" w:styleId="136">
    <w:name w:val="表格"/>
    <w:basedOn w:val="1"/>
    <w:qFormat/>
    <w:uiPriority w:val="0"/>
    <w:pPr>
      <w:widowControl w:val="0"/>
      <w:tabs>
        <w:tab w:val="left" w:pos="737"/>
      </w:tabs>
      <w:adjustRightInd w:val="0"/>
      <w:spacing w:before="60" w:after="60" w:line="240" w:lineRule="atLeast"/>
      <w:jc w:val="center"/>
      <w:textAlignment w:val="bottom"/>
    </w:pPr>
    <w:rPr>
      <w:szCs w:val="21"/>
    </w:rPr>
  </w:style>
  <w:style w:type="paragraph" w:customStyle="1" w:styleId="137">
    <w:name w:val="默认段落字体 Para Char"/>
    <w:basedOn w:val="1"/>
    <w:qFormat/>
    <w:uiPriority w:val="0"/>
    <w:pPr>
      <w:widowControl w:val="0"/>
      <w:jc w:val="both"/>
    </w:pPr>
    <w:rPr>
      <w:kern w:val="2"/>
      <w:szCs w:val="24"/>
    </w:rPr>
  </w:style>
  <w:style w:type="paragraph" w:customStyle="1" w:styleId="138">
    <w:name w:val="TOC 标题11"/>
    <w:basedOn w:val="2"/>
    <w:next w:val="1"/>
    <w:qFormat/>
    <w:uiPriority w:val="0"/>
    <w:pPr>
      <w:spacing w:before="480" w:beforeLines="0" w:afterLines="0" w:line="276" w:lineRule="auto"/>
      <w:ind w:left="0" w:firstLine="0"/>
      <w:jc w:val="left"/>
      <w:outlineLvl w:val="9"/>
    </w:pPr>
    <w:rPr>
      <w:rFonts w:ascii="Cambria" w:hAnsi="Cambria"/>
      <w:bCs w:val="0"/>
      <w:color w:val="365F91"/>
      <w:kern w:val="0"/>
      <w:sz w:val="28"/>
      <w:szCs w:val="20"/>
    </w:rPr>
  </w:style>
  <w:style w:type="character" w:customStyle="1" w:styleId="139">
    <w:name w:val="正文文本 Char1"/>
    <w:semiHidden/>
    <w:qFormat/>
    <w:locked/>
    <w:uiPriority w:val="0"/>
  </w:style>
  <w:style w:type="paragraph" w:customStyle="1" w:styleId="140">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1">
    <w:name w:val="Table Paragraph"/>
    <w:basedOn w:val="1"/>
    <w:qFormat/>
    <w:uiPriority w:val="1"/>
    <w:pPr>
      <w:widowControl w:val="0"/>
      <w:jc w:val="both"/>
    </w:pPr>
    <w:rPr>
      <w:rFonts w:ascii="宋体" w:hAnsi="宋体" w:cs="宋体"/>
      <w:kern w:val="2"/>
      <w:szCs w:val="22"/>
    </w:rPr>
  </w:style>
  <w:style w:type="table" w:customStyle="1" w:styleId="142">
    <w:name w:val="网格型1"/>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3">
    <w:name w:val="正文悬挂缩进"/>
    <w:basedOn w:val="8"/>
    <w:qFormat/>
    <w:uiPriority w:val="0"/>
    <w:pPr>
      <w:ind w:left="200" w:leftChars="200"/>
    </w:pPr>
    <w:rPr>
      <w:lang w:val="zh-CN"/>
    </w:rPr>
  </w:style>
  <w:style w:type="table" w:customStyle="1" w:styleId="144">
    <w:name w:val="网格型2"/>
    <w:basedOn w:val="36"/>
    <w:qFormat/>
    <w:uiPriority w:val="39"/>
    <w:rPr>
      <w:rFonts w:ascii="等线" w:hAnsi="等线" w:eastAsia="等线"/>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
    <w:name w:val="网格型3"/>
    <w:basedOn w:val="36"/>
    <w:qFormat/>
    <w:uiPriority w:val="5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
    <w:name w:val="网格型4"/>
    <w:basedOn w:val="3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7">
    <w:name w:val="font5"/>
    <w:basedOn w:val="1"/>
    <w:qFormat/>
    <w:uiPriority w:val="0"/>
    <w:pPr>
      <w:spacing w:before="100" w:beforeAutospacing="1" w:after="100" w:afterAutospacing="1"/>
    </w:pPr>
    <w:rPr>
      <w:rFonts w:ascii="等线" w:hAnsi="等线" w:eastAsia="等线" w:cs="宋体"/>
      <w:sz w:val="18"/>
      <w:szCs w:val="18"/>
    </w:rPr>
  </w:style>
  <w:style w:type="paragraph" w:customStyle="1" w:styleId="148">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character" w:customStyle="1" w:styleId="149">
    <w:name w:val="未处理的提及1"/>
    <w:unhideWhenUsed/>
    <w:qFormat/>
    <w:uiPriority w:val="99"/>
    <w:rPr>
      <w:color w:val="605E5C"/>
      <w:shd w:val="clear" w:color="auto" w:fill="E1DFDD"/>
    </w:rPr>
  </w:style>
  <w:style w:type="paragraph" w:customStyle="1" w:styleId="150">
    <w:name w:val="font6"/>
    <w:basedOn w:val="1"/>
    <w:qFormat/>
    <w:uiPriority w:val="0"/>
    <w:pPr>
      <w:spacing w:before="100" w:beforeAutospacing="1" w:after="100" w:afterAutospacing="1"/>
    </w:pPr>
    <w:rPr>
      <w:rFonts w:ascii="宋体" w:hAnsi="宋体" w:cs="宋体"/>
      <w:color w:val="000000"/>
      <w:sz w:val="18"/>
      <w:szCs w:val="18"/>
    </w:rPr>
  </w:style>
  <w:style w:type="paragraph" w:customStyle="1" w:styleId="151">
    <w:name w:val="font7"/>
    <w:basedOn w:val="1"/>
    <w:qFormat/>
    <w:uiPriority w:val="0"/>
    <w:pPr>
      <w:spacing w:before="100" w:beforeAutospacing="1" w:after="100" w:afterAutospacing="1"/>
    </w:pPr>
    <w:rPr>
      <w:rFonts w:ascii="宋体" w:hAnsi="宋体" w:cs="宋体"/>
      <w:color w:val="FF0000"/>
      <w:sz w:val="18"/>
      <w:szCs w:val="18"/>
    </w:rPr>
  </w:style>
  <w:style w:type="paragraph" w:customStyle="1" w:styleId="152">
    <w:name w:val="xl8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153">
    <w:name w:val="xl84"/>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sz w:val="20"/>
    </w:rPr>
  </w:style>
  <w:style w:type="paragraph" w:customStyle="1" w:styleId="154">
    <w:name w:val="xl85"/>
    <w:basedOn w:val="1"/>
    <w:qFormat/>
    <w:uiPriority w:val="0"/>
    <w:pPr>
      <w:pBdr>
        <w:top w:val="single" w:color="auto" w:sz="4" w:space="0"/>
        <w:bottom w:val="single" w:color="auto" w:sz="4" w:space="0"/>
      </w:pBdr>
      <w:spacing w:before="100" w:beforeAutospacing="1" w:after="100" w:afterAutospacing="1"/>
      <w:jc w:val="center"/>
    </w:pPr>
    <w:rPr>
      <w:rFonts w:ascii="宋体" w:hAnsi="宋体" w:cs="宋体"/>
      <w:color w:val="000000"/>
      <w:sz w:val="20"/>
    </w:rPr>
  </w:style>
  <w:style w:type="paragraph" w:customStyle="1" w:styleId="155">
    <w:name w:val="xl86"/>
    <w:basedOn w:val="1"/>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0"/>
    </w:rPr>
  </w:style>
  <w:style w:type="paragraph" w:customStyle="1" w:styleId="156">
    <w:name w:val="xl87"/>
    <w:basedOn w:val="1"/>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sz w:val="20"/>
    </w:rPr>
  </w:style>
  <w:style w:type="paragraph" w:customStyle="1" w:styleId="157">
    <w:name w:val="xl88"/>
    <w:basedOn w:val="1"/>
    <w:uiPriority w:val="0"/>
    <w:pPr>
      <w:pBdr>
        <w:top w:val="single" w:color="auto" w:sz="4" w:space="0"/>
        <w:bottom w:val="single" w:color="auto" w:sz="4" w:space="0"/>
      </w:pBdr>
      <w:spacing w:before="100" w:beforeAutospacing="1" w:after="100" w:afterAutospacing="1"/>
      <w:jc w:val="center"/>
    </w:pPr>
    <w:rPr>
      <w:rFonts w:ascii="宋体" w:hAnsi="宋体" w:cs="宋体"/>
      <w:sz w:val="20"/>
    </w:rPr>
  </w:style>
  <w:style w:type="paragraph" w:customStyle="1" w:styleId="158">
    <w:name w:val="xl89"/>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159">
    <w:name w:val="xl90"/>
    <w:basedOn w:val="1"/>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000000"/>
      <w:sz w:val="20"/>
    </w:rPr>
  </w:style>
  <w:style w:type="paragraph" w:customStyle="1" w:styleId="160">
    <w:name w:val="xl91"/>
    <w:basedOn w:val="1"/>
    <w:qFormat/>
    <w:uiPriority w:val="0"/>
    <w:pPr>
      <w:pBdr>
        <w:top w:val="single" w:color="auto" w:sz="4" w:space="0"/>
        <w:bottom w:val="single" w:color="auto" w:sz="4" w:space="0"/>
      </w:pBdr>
      <w:spacing w:before="100" w:beforeAutospacing="1" w:after="100" w:afterAutospacing="1"/>
      <w:jc w:val="center"/>
    </w:pPr>
    <w:rPr>
      <w:rFonts w:ascii="宋体" w:hAnsi="宋体" w:cs="宋体"/>
      <w:b/>
      <w:bCs/>
      <w:color w:val="000000"/>
      <w:sz w:val="20"/>
    </w:rPr>
  </w:style>
  <w:style w:type="paragraph" w:customStyle="1" w:styleId="161">
    <w:name w:val="xl92"/>
    <w:basedOn w:val="1"/>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sz w:val="20"/>
    </w:rPr>
  </w:style>
  <w:style w:type="paragraph" w:customStyle="1" w:styleId="162">
    <w:name w:val="xl9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rPr>
  </w:style>
  <w:style w:type="paragraph" w:customStyle="1" w:styleId="163">
    <w:name w:val="修订1"/>
    <w:hidden/>
    <w:semiHidden/>
    <w:uiPriority w:val="99"/>
    <w:rPr>
      <w:rFonts w:ascii="Times New Roman" w:hAnsi="Times New Roman" w:eastAsia="宋体" w:cs="Times New Roman"/>
      <w:sz w:val="21"/>
      <w:lang w:val="en-US" w:eastAsia="zh-CN" w:bidi="ar-SA"/>
    </w:rPr>
  </w:style>
  <w:style w:type="paragraph" w:customStyle="1" w:styleId="164">
    <w:name w:val="修订2"/>
    <w:hidden/>
    <w:semiHidden/>
    <w:uiPriority w:val="99"/>
    <w:rPr>
      <w:rFonts w:ascii="Times New Roman" w:hAnsi="Times New Roman" w:eastAsia="宋体" w:cs="Times New Roman"/>
      <w:sz w:val="21"/>
      <w:lang w:val="en-US" w:eastAsia="zh-CN" w:bidi="ar-SA"/>
    </w:rPr>
  </w:style>
  <w:style w:type="paragraph" w:customStyle="1" w:styleId="165">
    <w:name w:val="Revision"/>
    <w:hidden/>
    <w:semiHidden/>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C20EE-5F28-4C7A-915F-A63ADE650165}">
  <ds:schemaRefs/>
</ds:datastoreItem>
</file>

<file path=docProps/app.xml><?xml version="1.0" encoding="utf-8"?>
<Properties xmlns="http://schemas.openxmlformats.org/officeDocument/2006/extended-properties" xmlns:vt="http://schemas.openxmlformats.org/officeDocument/2006/docPropsVTypes">
  <Template>Normal</Template>
  <Pages>22</Pages>
  <Words>15813</Words>
  <Characters>1373</Characters>
  <Lines>11</Lines>
  <Paragraphs>34</Paragraphs>
  <TotalTime>1100</TotalTime>
  <ScaleCrop>false</ScaleCrop>
  <LinksUpToDate>false</LinksUpToDate>
  <CharactersWithSpaces>17152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2022-01-24T07:36:00Z</dcterms:created>
  <dc:creator>Administrator</dc:creator>
  <cp:lastModifiedBy>SMILE</cp:lastModifiedBy>
  <cp:lastPrinted>2023-09-07T03:16:15Z</cp:lastPrinted>
  <dcterms:modified xsi:type="dcterms:W3CDTF">2023-09-07T04:00:23Z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86F0863E9410487599696D6E21901E5E</vt:lpwstr>
  </property>
</Properties>
</file>