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040" w:type="dxa"/>
        <w:jc w:val="center"/>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autofit"/>
        <w:tblCellMar>
          <w:top w:w="0" w:type="dxa"/>
          <w:left w:w="108" w:type="dxa"/>
          <w:bottom w:w="0" w:type="dxa"/>
          <w:right w:w="108" w:type="dxa"/>
        </w:tblCellMar>
      </w:tblPr>
      <w:tblGrid>
        <w:gridCol w:w="3179"/>
        <w:gridCol w:w="4320"/>
        <w:gridCol w:w="2541"/>
      </w:tblGrid>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trHeight w:val="560" w:hRule="atLeast"/>
          <w:tblHeader/>
          <w:jc w:val="center"/>
        </w:trPr>
        <w:tc>
          <w:tcPr>
            <w:tcW w:w="3179" w:type="dxa"/>
            <w:vMerge w:val="restart"/>
            <w:vAlign w:val="center"/>
          </w:tcPr>
          <w:p>
            <w:pPr>
              <w:spacing w:line="360" w:lineRule="auto"/>
              <w:rPr>
                <w:b/>
                <w:position w:val="-40"/>
              </w:rPr>
            </w:pPr>
            <w:r>
              <w:rPr>
                <w:rFonts w:hint="eastAsia"/>
                <w:b/>
                <w:spacing w:val="0"/>
                <w:w w:val="65"/>
                <w:kern w:val="0"/>
                <w:position w:val="-40"/>
                <w:sz w:val="28"/>
                <w:szCs w:val="28"/>
                <w:fitText w:val="2937" w:id="2017731328"/>
              </w:rPr>
              <w:t>民航机场规划设计研究总院有限公</w:t>
            </w:r>
            <w:r>
              <w:rPr>
                <w:rFonts w:hint="eastAsia"/>
                <w:b/>
                <w:spacing w:val="7"/>
                <w:w w:val="65"/>
                <w:kern w:val="0"/>
                <w:position w:val="-40"/>
                <w:sz w:val="28"/>
                <w:szCs w:val="28"/>
                <w:fitText w:val="2937" w:id="2017731328"/>
              </w:rPr>
              <w:t>司</w:t>
            </w:r>
          </w:p>
        </w:tc>
        <w:tc>
          <w:tcPr>
            <w:tcW w:w="4320" w:type="dxa"/>
          </w:tcPr>
          <w:p>
            <w:pPr>
              <w:jc w:val="center"/>
              <w:rPr>
                <w:position w:val="-40"/>
                <w:sz w:val="28"/>
              </w:rPr>
            </w:pPr>
            <w:r>
              <w:rPr>
                <w:rFonts w:hint="eastAsia"/>
                <w:b/>
                <w:spacing w:val="60"/>
                <w:position w:val="-40"/>
                <w:sz w:val="28"/>
              </w:rPr>
              <w:t>设计说明</w:t>
            </w:r>
          </w:p>
        </w:tc>
        <w:tc>
          <w:tcPr>
            <w:tcW w:w="2541" w:type="dxa"/>
            <w:vAlign w:val="center"/>
          </w:tcPr>
          <w:p>
            <w:pPr>
              <w:rPr>
                <w:sz w:val="24"/>
              </w:rPr>
            </w:pPr>
            <w:r>
              <w:rPr>
                <w:rFonts w:hint="eastAsia"/>
                <w:position w:val="-32"/>
                <w:sz w:val="24"/>
              </w:rPr>
              <w:t>设计阶段：施工图</w:t>
            </w:r>
          </w:p>
        </w:tc>
      </w:tr>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trHeight w:val="560" w:hRule="atLeast"/>
          <w:tblHeader/>
          <w:jc w:val="center"/>
        </w:trPr>
        <w:tc>
          <w:tcPr>
            <w:tcW w:w="3179" w:type="dxa"/>
            <w:vMerge w:val="continue"/>
            <w:vAlign w:val="center"/>
          </w:tcPr>
          <w:p>
            <w:pPr>
              <w:rPr>
                <w:b/>
              </w:rPr>
            </w:pPr>
          </w:p>
        </w:tc>
        <w:tc>
          <w:tcPr>
            <w:tcW w:w="4320" w:type="dxa"/>
            <w:vMerge w:val="restart"/>
            <w:vAlign w:val="center"/>
          </w:tcPr>
          <w:p>
            <w:pPr>
              <w:jc w:val="center"/>
              <w:rPr>
                <w:sz w:val="24"/>
                <w:szCs w:val="24"/>
              </w:rPr>
            </w:pPr>
            <w:r>
              <w:rPr>
                <w:rFonts w:hint="eastAsia"/>
                <w:sz w:val="24"/>
                <w:szCs w:val="24"/>
              </w:rPr>
              <w:t>广州白云国际机场三期扩建工程</w:t>
            </w:r>
          </w:p>
          <w:p>
            <w:pPr>
              <w:jc w:val="center"/>
              <w:rPr>
                <w:sz w:val="24"/>
                <w:szCs w:val="24"/>
              </w:rPr>
            </w:pPr>
            <w:r>
              <w:rPr>
                <w:rFonts w:hint="eastAsia"/>
                <w:sz w:val="24"/>
                <w:szCs w:val="24"/>
              </w:rPr>
              <w:t>飞行区工程</w:t>
            </w:r>
          </w:p>
          <w:p>
            <w:pPr>
              <w:jc w:val="center"/>
              <w:rPr>
                <w:rFonts w:hint="eastAsia" w:eastAsia="宋体"/>
                <w:sz w:val="24"/>
                <w:lang w:val="en-US" w:eastAsia="zh-CN"/>
              </w:rPr>
            </w:pPr>
            <w:r>
              <w:rPr>
                <w:rFonts w:hint="eastAsia"/>
                <w:sz w:val="24"/>
              </w:rPr>
              <w:t>排水防涝工程</w:t>
            </w:r>
            <w:r>
              <w:rPr>
                <w:rFonts w:hint="eastAsia"/>
                <w:sz w:val="24"/>
                <w:lang w:val="en-US" w:eastAsia="zh-CN"/>
              </w:rPr>
              <w:t>-</w:t>
            </w:r>
            <w:bookmarkStart w:id="4" w:name="_GoBack"/>
            <w:bookmarkEnd w:id="4"/>
          </w:p>
          <w:p>
            <w:pPr>
              <w:jc w:val="center"/>
              <w:rPr>
                <w:sz w:val="24"/>
              </w:rPr>
            </w:pPr>
            <w:r>
              <w:rPr>
                <w:sz w:val="24"/>
              </w:rPr>
              <w:t>R3</w:t>
            </w:r>
            <w:r>
              <w:rPr>
                <w:rFonts w:hint="eastAsia"/>
                <w:sz w:val="24"/>
              </w:rPr>
              <w:t>#西南绕滑雨水泵站及调蓄池工程</w:t>
            </w:r>
          </w:p>
          <w:p>
            <w:pPr>
              <w:jc w:val="center"/>
              <w:rPr>
                <w:sz w:val="28"/>
              </w:rPr>
            </w:pPr>
            <w:r>
              <w:rPr>
                <w:rFonts w:hint="eastAsia"/>
                <w:sz w:val="24"/>
              </w:rPr>
              <w:t>电气设计</w:t>
            </w:r>
          </w:p>
        </w:tc>
        <w:tc>
          <w:tcPr>
            <w:tcW w:w="2541" w:type="dxa"/>
          </w:tcPr>
          <w:p>
            <w:pPr>
              <w:spacing w:line="360" w:lineRule="auto"/>
              <w:rPr>
                <w:position w:val="-40"/>
                <w:sz w:val="24"/>
                <w:szCs w:val="24"/>
              </w:rPr>
            </w:pPr>
            <w:r>
              <w:rPr>
                <w:rFonts w:hint="eastAsia"/>
                <w:position w:val="-40"/>
                <w:sz w:val="24"/>
                <w:szCs w:val="24"/>
              </w:rPr>
              <w:t>版本号：1</w:t>
            </w:r>
          </w:p>
        </w:tc>
      </w:tr>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trHeight w:val="560" w:hRule="atLeast"/>
          <w:tblHeader/>
          <w:jc w:val="center"/>
        </w:trPr>
        <w:tc>
          <w:tcPr>
            <w:tcW w:w="3179" w:type="dxa"/>
            <w:vAlign w:val="center"/>
          </w:tcPr>
          <w:p>
            <w:pPr>
              <w:rPr>
                <w:sz w:val="24"/>
              </w:rPr>
            </w:pPr>
            <w:r>
              <w:rPr>
                <w:rFonts w:hint="eastAsia"/>
                <w:position w:val="-32"/>
                <w:sz w:val="24"/>
              </w:rPr>
              <w:t>设计号：Z</w:t>
            </w:r>
            <w:r>
              <w:rPr>
                <w:position w:val="-32"/>
                <w:sz w:val="24"/>
              </w:rPr>
              <w:t>Y</w:t>
            </w:r>
            <w:r>
              <w:rPr>
                <w:rFonts w:hint="eastAsia"/>
                <w:position w:val="-32"/>
                <w:sz w:val="24"/>
              </w:rPr>
              <w:t>20-060-</w:t>
            </w:r>
            <w:r>
              <w:rPr>
                <w:position w:val="-32"/>
                <w:sz w:val="24"/>
              </w:rPr>
              <w:t>ZND-S</w:t>
            </w:r>
          </w:p>
        </w:tc>
        <w:tc>
          <w:tcPr>
            <w:tcW w:w="4320" w:type="dxa"/>
            <w:vMerge w:val="continue"/>
          </w:tcPr>
          <w:p>
            <w:pPr>
              <w:jc w:val="center"/>
              <w:rPr>
                <w:sz w:val="28"/>
              </w:rPr>
            </w:pPr>
          </w:p>
        </w:tc>
        <w:tc>
          <w:tcPr>
            <w:tcW w:w="2541" w:type="dxa"/>
          </w:tcPr>
          <w:p>
            <w:pPr>
              <w:rPr>
                <w:position w:val="-38"/>
                <w:sz w:val="24"/>
              </w:rPr>
            </w:pPr>
            <w:r>
              <w:rPr>
                <w:rFonts w:hint="eastAsia"/>
                <w:position w:val="-38"/>
                <w:sz w:val="24"/>
              </w:rPr>
              <w:t>日期：</w:t>
            </w:r>
            <w:r>
              <w:rPr>
                <w:rFonts w:hint="eastAsia"/>
                <w:spacing w:val="-20"/>
                <w:position w:val="-38"/>
                <w:sz w:val="24"/>
                <w:szCs w:val="24"/>
              </w:rPr>
              <w:t>202</w:t>
            </w:r>
            <w:r>
              <w:rPr>
                <w:rFonts w:hint="eastAsia"/>
                <w:spacing w:val="-20"/>
                <w:position w:val="-38"/>
                <w:sz w:val="24"/>
                <w:szCs w:val="24"/>
                <w:lang w:val="en-US" w:eastAsia="zh-CN"/>
              </w:rPr>
              <w:t>2</w:t>
            </w:r>
            <w:r>
              <w:rPr>
                <w:rFonts w:hint="eastAsia"/>
                <w:spacing w:val="-20"/>
                <w:position w:val="-38"/>
                <w:sz w:val="24"/>
                <w:szCs w:val="24"/>
              </w:rPr>
              <w:t>年</w:t>
            </w:r>
            <w:r>
              <w:rPr>
                <w:rFonts w:hint="eastAsia"/>
                <w:spacing w:val="-20"/>
                <w:position w:val="-38"/>
                <w:sz w:val="24"/>
                <w:szCs w:val="24"/>
                <w:lang w:val="en-US" w:eastAsia="zh-CN"/>
              </w:rPr>
              <w:t>9</w:t>
            </w:r>
            <w:r>
              <w:rPr>
                <w:rFonts w:hint="eastAsia"/>
                <w:spacing w:val="-20"/>
                <w:position w:val="-38"/>
                <w:sz w:val="24"/>
                <w:szCs w:val="24"/>
              </w:rPr>
              <w:t>月</w:t>
            </w:r>
            <w:r>
              <w:rPr>
                <w:position w:val="-38"/>
                <w:sz w:val="24"/>
              </w:rPr>
              <w:t xml:space="preserve"> </w:t>
            </w:r>
          </w:p>
        </w:tc>
      </w:tr>
      <w:tr>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jc w:val="center"/>
        </w:trPr>
        <w:tc>
          <w:tcPr>
            <w:tcW w:w="10040" w:type="dxa"/>
            <w:gridSpan w:val="3"/>
          </w:tcPr>
          <w:p>
            <w:pPr>
              <w:spacing w:line="48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一、设计依据</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1．工程设计有关文件：</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1）广州白云国际机场三期扩建工程飞行区设计合同（2020年6月15日）；</w:t>
            </w:r>
          </w:p>
          <w:p>
            <w:pPr>
              <w:spacing w:line="360" w:lineRule="auto"/>
              <w:ind w:firstLine="560" w:firstLineChars="200"/>
              <w:rPr>
                <w:rFonts w:asciiTheme="minorEastAsia" w:hAnsiTheme="minorEastAsia" w:eastAsiaTheme="minorEastAsia"/>
                <w:bCs/>
                <w:color w:val="000000"/>
                <w:sz w:val="28"/>
                <w:szCs w:val="28"/>
              </w:rPr>
            </w:pPr>
            <w:r>
              <w:rPr>
                <w:sz w:val="28"/>
              </w:rPr>
              <mc:AlternateContent>
                <mc:Choice Requires="wps">
                  <w:drawing>
                    <wp:anchor distT="0" distB="0" distL="114300" distR="114300" simplePos="0" relativeHeight="251662336" behindDoc="0" locked="0" layoutInCell="0" allowOverlap="1">
                      <wp:simplePos x="0" y="0"/>
                      <wp:positionH relativeFrom="page">
                        <wp:posOffset>1403985</wp:posOffset>
                      </wp:positionH>
                      <wp:positionV relativeFrom="page">
                        <wp:posOffset>1621790</wp:posOffset>
                      </wp:positionV>
                      <wp:extent cx="2952115" cy="1871980"/>
                      <wp:effectExtent l="0" t="0" r="0" b="0"/>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wps:spPr>
                            <wps:txbx>
                              <w:txbxContent>
                                <w:p>
                                  <w:pPr>
                                    <w:spacing w:before="163" w:after="163"/>
                                    <w:ind w:firstLine="480"/>
                                  </w:pPr>
                                  <w:bookmarkStart w:id="0" w:name="LZOF_N出版章_T3_M1_R4"/>
                                  <w:bookmarkEnd w:id="0"/>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110.55pt;margin-top:127.7pt;height:147.4pt;width:232.45pt;mso-position-horizontal-relative:page;mso-position-vertical-relative:page;z-index:251662336;mso-width-relative:page;mso-height-relative:page;" filled="f" stroked="f" coordsize="21600,21600" o:allowincell="f" o:gfxdata="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BQozDYAAAACwEAAA8AAAAAAAAAAQAgAAAAIgAA&#10;AGRycy9kb3ducmV2LnhtbFBLAQIUABQAAAAIAIdO4kBQU1IoCAIAABUEAAAOAAAAAAAAAAEAIAAA&#10;ACcBAABkcnMvZTJvRG9jLnhtbFBLBQYAAAAABgAGAFkBAAChBQAAAAA=&#10;">
                      <v:fill on="f" focussize="0,0"/>
                      <v:stroke on="f"/>
                      <v:imagedata o:title=""/>
                      <o:lock v:ext="edit" aspectratio="f"/>
                      <v:textbox>
                        <w:txbxContent>
                          <w:p>
                            <w:pPr>
                              <w:spacing w:before="163" w:after="163"/>
                              <w:ind w:firstLine="480"/>
                            </w:pPr>
                            <w:bookmarkStart w:id="0" w:name="LZOF_N出版章_T3_M1_R4"/>
                            <w:bookmarkEnd w:id="0"/>
                          </w:p>
                        </w:txbxContent>
                      </v:textbox>
                    </v:shape>
                  </w:pict>
                </mc:Fallback>
              </mc:AlternateContent>
            </w:r>
            <w:r>
              <w:rPr>
                <w:rFonts w:hint="eastAsia" w:asciiTheme="minorEastAsia" w:hAnsiTheme="minorEastAsia" w:eastAsiaTheme="minorEastAsia"/>
                <w:bCs/>
                <w:color w:val="000000"/>
                <w:sz w:val="28"/>
                <w:szCs w:val="28"/>
              </w:rPr>
              <w:t>2）民航局关于广州白云国际机场总体规划的批复（2020年4月29日，民航函【2020】275号）；</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3）国家发改委关于广州白云国际机场三期扩建工程项目建议书的批复（2020年5月7日）；</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4）国家发改委关于广州白云国际机场三期扩建工程可行性研究报告的批复；</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5）中国民航工程咨询公司《广州白云国际机场三期扩建工程可研报告》的咨询评估报告；</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6）《关于广州白云国际机场三期扩建工程航站区和配套工程初步设计及概算的评审报告》，中国民航工程咨询有限公司，2021年6月；</w:t>
            </w:r>
          </w:p>
          <w:p>
            <w:pPr>
              <w:spacing w:line="360" w:lineRule="auto"/>
              <w:ind w:firstLine="560" w:firstLineChars="200"/>
              <w:rPr>
                <w:rFonts w:asciiTheme="minorEastAsia" w:hAnsiTheme="minorEastAsia" w:eastAsiaTheme="minorEastAsia"/>
                <w:bCs/>
                <w:color w:val="000000"/>
                <w:sz w:val="28"/>
                <w:szCs w:val="28"/>
              </w:rPr>
            </w:pPr>
            <w:r>
              <w:rPr>
                <w:rFonts w:asciiTheme="minorEastAsia" w:hAnsiTheme="minorEastAsia" w:eastAsiaTheme="minorEastAsia"/>
                <w:bCs/>
                <w:color w:val="000000"/>
                <w:sz w:val="28"/>
                <w:szCs w:val="28"/>
              </w:rPr>
              <w:t>7</w:t>
            </w:r>
            <w:r>
              <w:rPr>
                <w:rFonts w:hint="eastAsia" w:asciiTheme="minorEastAsia" w:hAnsiTheme="minorEastAsia" w:eastAsiaTheme="minorEastAsia"/>
                <w:bCs/>
                <w:color w:val="000000"/>
                <w:sz w:val="28"/>
                <w:szCs w:val="28"/>
              </w:rPr>
              <w:t>）《中国民用航空局 广东省人民政府关于广州白云国际机场三期扩建工程航站区和配套工程初步设计及机场工程总概算的批复》，中国民用航空局 广东省人民政府，2021年7月。</w:t>
            </w:r>
          </w:p>
          <w:p>
            <w:pPr>
              <w:spacing w:line="360" w:lineRule="auto"/>
              <w:ind w:firstLine="560" w:firstLineChars="200"/>
              <w:rPr>
                <w:rFonts w:asciiTheme="minorEastAsia" w:hAnsiTheme="minorEastAsia" w:eastAsiaTheme="minorEastAsia"/>
                <w:bCs/>
                <w:color w:val="000000"/>
                <w:sz w:val="28"/>
                <w:szCs w:val="28"/>
              </w:rPr>
            </w:pPr>
            <w:r>
              <w:rPr>
                <w:rFonts w:asciiTheme="minorEastAsia" w:hAnsiTheme="minorEastAsia" w:eastAsiaTheme="minorEastAsia"/>
                <w:bCs/>
                <w:color w:val="000000"/>
                <w:sz w:val="28"/>
                <w:szCs w:val="28"/>
              </w:rPr>
              <w:t>8</w:t>
            </w:r>
            <w:r>
              <w:rPr>
                <w:rFonts w:hint="eastAsia" w:asciiTheme="minorEastAsia" w:hAnsiTheme="minorEastAsia" w:eastAsiaTheme="minorEastAsia"/>
                <w:bCs/>
                <w:color w:val="000000"/>
                <w:sz w:val="28"/>
                <w:szCs w:val="28"/>
              </w:rPr>
              <w:t>）指挥部提供的地形图、勘察资料等。</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2．相关专业互提的图纸和条件；</w:t>
            </w:r>
          </w:p>
          <w:p>
            <w:pPr>
              <w:spacing w:line="360" w:lineRule="auto"/>
              <w:ind w:firstLine="560" w:firstLineChars="200"/>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3．国家现行的电气相关规范标准，主要包括：</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《供配电系统设计规范》GB50052-2009；</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《民用建筑电气设计规范》G</w:t>
            </w:r>
            <w:r>
              <w:rPr>
                <w:rFonts w:asciiTheme="minorEastAsia" w:hAnsiTheme="minorEastAsia" w:eastAsiaTheme="minorEastAsia"/>
                <w:bCs/>
                <w:sz w:val="28"/>
                <w:szCs w:val="28"/>
              </w:rPr>
              <w:t>B51348</w:t>
            </w:r>
            <w:r>
              <w:rPr>
                <w:rFonts w:hint="eastAsia" w:asciiTheme="minorEastAsia" w:hAnsiTheme="minorEastAsia" w:eastAsiaTheme="minorEastAsia"/>
                <w:bCs/>
                <w:sz w:val="28"/>
                <w:szCs w:val="28"/>
              </w:rPr>
              <w:t>-20</w:t>
            </w:r>
            <w:r>
              <w:rPr>
                <w:rFonts w:asciiTheme="minorEastAsia" w:hAnsiTheme="minorEastAsia" w:eastAsiaTheme="minorEastAsia"/>
                <w:bCs/>
                <w:sz w:val="28"/>
                <w:szCs w:val="28"/>
              </w:rPr>
              <w:t>19</w:t>
            </w:r>
            <w:r>
              <w:rPr>
                <w:rFonts w:hint="eastAsia" w:asciiTheme="minorEastAsia" w:hAnsiTheme="minorEastAsia" w:eastAsiaTheme="minorEastAsia"/>
                <w:bCs/>
                <w:sz w:val="28"/>
                <w:szCs w:val="28"/>
              </w:rPr>
              <w:t>；</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《低压配电设计规范》GB50054-2011；</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《建筑照明设计标准》GB50034-2013；</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《20kV及以下变电所设计规范》GB50053-2013；</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《建筑机电工程抗震设计规范》GB50981-2014；</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《泵站设计规范》GB50</w:t>
            </w:r>
            <w:r>
              <w:rPr>
                <w:rFonts w:asciiTheme="minorEastAsia" w:hAnsiTheme="minorEastAsia" w:eastAsiaTheme="minorEastAsia"/>
                <w:bCs/>
                <w:sz w:val="28"/>
                <w:szCs w:val="28"/>
              </w:rPr>
              <w:t>265</w:t>
            </w:r>
            <w:r>
              <w:rPr>
                <w:rFonts w:hint="eastAsia" w:asciiTheme="minorEastAsia" w:hAnsiTheme="minorEastAsia" w:eastAsiaTheme="minorEastAsia"/>
                <w:bCs/>
                <w:sz w:val="28"/>
                <w:szCs w:val="28"/>
              </w:rPr>
              <w:t>-20</w:t>
            </w:r>
            <w:r>
              <w:rPr>
                <w:rFonts w:asciiTheme="minorEastAsia" w:hAnsiTheme="minorEastAsia" w:eastAsiaTheme="minorEastAsia"/>
                <w:bCs/>
                <w:sz w:val="28"/>
                <w:szCs w:val="28"/>
              </w:rPr>
              <w:t>10</w:t>
            </w:r>
            <w:r>
              <w:rPr>
                <w:rFonts w:hint="eastAsia" w:asciiTheme="minorEastAsia" w:hAnsiTheme="minorEastAsia" w:eastAsiaTheme="minorEastAsia"/>
                <w:bCs/>
                <w:sz w:val="28"/>
                <w:szCs w:val="28"/>
              </w:rPr>
              <w:t>；</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《通用用电设备配电设计规范》GB50055-2011；</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《建筑设计防火规范》GB50016-2014（2018修订版）；</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《火灾自动报警系统设计规范》GB50116-2013；</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《消防应急照明和疏散指示系统技术标准》GB51309-2018</w:t>
            </w:r>
          </w:p>
          <w:p>
            <w:pPr>
              <w:spacing w:line="36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二</w:t>
            </w:r>
            <w:r>
              <w:rPr>
                <w:rFonts w:asciiTheme="minorEastAsia" w:hAnsiTheme="minorEastAsia" w:eastAsiaTheme="minorEastAsia"/>
                <w:b/>
                <w:color w:val="000000"/>
                <w:sz w:val="28"/>
                <w:szCs w:val="28"/>
              </w:rPr>
              <w:t>、设计范围</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1.</w:t>
            </w:r>
            <w:r>
              <w:rPr>
                <w:rFonts w:hint="eastAsia" w:asciiTheme="minorEastAsia" w:hAnsiTheme="minorEastAsia" w:eastAsiaTheme="minorEastAsia"/>
                <w:bCs/>
                <w:sz w:val="28"/>
                <w:szCs w:val="28"/>
              </w:rPr>
              <w:t>供配电系统；</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2.</w:t>
            </w:r>
            <w:r>
              <w:rPr>
                <w:rFonts w:hint="eastAsia" w:asciiTheme="minorEastAsia" w:hAnsiTheme="minorEastAsia" w:eastAsiaTheme="minorEastAsia"/>
                <w:bCs/>
                <w:sz w:val="28"/>
                <w:szCs w:val="28"/>
              </w:rPr>
              <w:t>照明系统；</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3.</w:t>
            </w:r>
            <w:r>
              <w:rPr>
                <w:rFonts w:hint="eastAsia" w:asciiTheme="minorEastAsia" w:hAnsiTheme="minorEastAsia" w:eastAsiaTheme="minorEastAsia"/>
                <w:bCs/>
                <w:sz w:val="28"/>
                <w:szCs w:val="28"/>
              </w:rPr>
              <w:t>防雷接地系统；</w:t>
            </w:r>
          </w:p>
          <w:p>
            <w:pPr>
              <w:spacing w:line="360" w:lineRule="auto"/>
              <w:ind w:firstLine="560" w:firstLineChars="200"/>
              <w:rPr>
                <w:rFonts w:asciiTheme="minorEastAsia" w:hAnsiTheme="minorEastAsia" w:eastAsiaTheme="minorEastAsia"/>
                <w:bCs/>
                <w:sz w:val="28"/>
                <w:szCs w:val="28"/>
              </w:rPr>
            </w:pPr>
            <w:r>
              <w:rPr>
                <w:rFonts w:asciiTheme="minorEastAsia" w:hAnsiTheme="minorEastAsia" w:eastAsiaTheme="minorEastAsia"/>
                <w:bCs/>
                <w:sz w:val="28"/>
                <w:szCs w:val="28"/>
              </w:rPr>
              <w:t>4.</w:t>
            </w:r>
            <w:r>
              <w:rPr>
                <w:rFonts w:hint="eastAsia" w:asciiTheme="minorEastAsia" w:hAnsiTheme="minorEastAsia" w:eastAsiaTheme="minorEastAsia"/>
                <w:bCs/>
                <w:sz w:val="28"/>
                <w:szCs w:val="28"/>
              </w:rPr>
              <w:t>泵站设备自动控制系统。</w:t>
            </w:r>
          </w:p>
          <w:p>
            <w:pPr>
              <w:spacing w:line="48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三</w:t>
            </w:r>
            <w:r>
              <w:rPr>
                <w:rFonts w:asciiTheme="minorEastAsia" w:hAnsiTheme="minorEastAsia" w:eastAsiaTheme="minorEastAsia"/>
                <w:b/>
                <w:color w:val="000000"/>
                <w:sz w:val="28"/>
                <w:szCs w:val="28"/>
              </w:rPr>
              <w:t>、设计内容</w:t>
            </w:r>
          </w:p>
          <w:p>
            <w:pPr>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sz w:val="28"/>
                <w:szCs w:val="28"/>
              </w:rPr>
              <w:t>1. 供配电系统设计</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本工程共设置</w:t>
            </w:r>
            <w:r>
              <w:rPr>
                <w:rFonts w:asciiTheme="minorEastAsia" w:hAnsiTheme="minorEastAsia" w:eastAsiaTheme="minorEastAsia"/>
                <w:sz w:val="28"/>
                <w:szCs w:val="28"/>
              </w:rPr>
              <w:t>3</w:t>
            </w:r>
            <w:r>
              <w:rPr>
                <w:rFonts w:hint="eastAsia" w:asciiTheme="minorEastAsia" w:hAnsiTheme="minorEastAsia" w:eastAsiaTheme="minorEastAsia"/>
                <w:sz w:val="28"/>
                <w:szCs w:val="28"/>
              </w:rPr>
              <w:t>台轴流潜水泵，每台泵额定功率</w:t>
            </w:r>
            <w:r>
              <w:rPr>
                <w:rFonts w:asciiTheme="minorEastAsia" w:hAnsiTheme="minorEastAsia" w:eastAsiaTheme="minorEastAsia"/>
                <w:sz w:val="28"/>
                <w:szCs w:val="28"/>
              </w:rPr>
              <w:t>45</w:t>
            </w:r>
            <w:r>
              <w:rPr>
                <w:rFonts w:hint="eastAsia" w:asciiTheme="minorEastAsia" w:hAnsiTheme="minorEastAsia" w:eastAsiaTheme="minorEastAsia"/>
                <w:sz w:val="28"/>
                <w:szCs w:val="28"/>
              </w:rPr>
              <w:t>kW。泵站负荷按照一级负荷设计，由两路10kV进线电源供电，根据指挥部会议纪要引自机场南站两段不同10kV母线，10k</w:t>
            </w:r>
            <w:r>
              <w:rPr>
                <w:rFonts w:asciiTheme="minorEastAsia" w:hAnsiTheme="minorEastAsia" w:eastAsiaTheme="minorEastAsia"/>
                <w:sz w:val="28"/>
                <w:szCs w:val="28"/>
              </w:rPr>
              <w:t>V</w:t>
            </w:r>
            <w:r>
              <w:rPr>
                <w:rFonts w:hint="eastAsia" w:asciiTheme="minorEastAsia" w:hAnsiTheme="minorEastAsia" w:eastAsiaTheme="minorEastAsia"/>
                <w:sz w:val="28"/>
                <w:szCs w:val="28"/>
              </w:rPr>
              <w:t>外电源路由详见</w:t>
            </w:r>
            <w:r>
              <w:rPr>
                <w:rFonts w:hint="eastAsia" w:asciiTheme="minorEastAsia" w:hAnsiTheme="minorEastAsia" w:eastAsiaTheme="minorEastAsia"/>
                <w:sz w:val="28"/>
                <w:szCs w:val="28"/>
                <w:lang w:val="en-US" w:eastAsia="zh-CN"/>
              </w:rPr>
              <w:t>飞行区供电工程</w:t>
            </w:r>
            <w:r>
              <w:rPr>
                <w:rFonts w:hint="eastAsia" w:asciiTheme="minorEastAsia" w:hAnsiTheme="minorEastAsia" w:eastAsiaTheme="minorEastAsia"/>
                <w:sz w:val="28"/>
                <w:szCs w:val="28"/>
              </w:rPr>
              <w:t>，电缆工程量计入本工程。两路进线互为热备用，一路故障另一路可承担全部负荷。高压系统主接线采用单母线分段，直流操作，母联开关手动操作。主进线采用三相过流保护，变压器出线回路装设电流速断保护和过电流保护，保护装置采用微机控制。R</w:t>
            </w: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变电站采用预制式变电站，并预留高压出线间隔。泵站负荷如下：</w:t>
            </w:r>
          </w:p>
          <w:tbl>
            <w:tblPr>
              <w:tblStyle w:val="7"/>
              <w:tblW w:w="5000" w:type="pct"/>
              <w:tblInd w:w="0" w:type="dxa"/>
              <w:tblLayout w:type="autofit"/>
              <w:tblCellMar>
                <w:top w:w="0" w:type="dxa"/>
                <w:left w:w="108" w:type="dxa"/>
                <w:bottom w:w="0" w:type="dxa"/>
                <w:right w:w="108" w:type="dxa"/>
              </w:tblCellMar>
            </w:tblPr>
            <w:tblGrid>
              <w:gridCol w:w="3023"/>
              <w:gridCol w:w="1027"/>
              <w:gridCol w:w="896"/>
              <w:gridCol w:w="896"/>
              <w:gridCol w:w="898"/>
              <w:gridCol w:w="1028"/>
              <w:gridCol w:w="1028"/>
              <w:gridCol w:w="1028"/>
            </w:tblGrid>
            <w:tr>
              <w:tblPrEx>
                <w:tblCellMar>
                  <w:top w:w="0" w:type="dxa"/>
                  <w:left w:w="108" w:type="dxa"/>
                  <w:bottom w:w="0" w:type="dxa"/>
                  <w:right w:w="108" w:type="dxa"/>
                </w:tblCellMar>
              </w:tblPrEx>
              <w:trPr>
                <w:trHeight w:val="285" w:hRule="atLeast"/>
              </w:trPr>
              <w:tc>
                <w:tcPr>
                  <w:tcW w:w="5000" w:type="pct"/>
                  <w:gridSpan w:val="8"/>
                  <w:tcBorders>
                    <w:top w:val="single" w:color="auto" w:sz="8" w:space="0"/>
                    <w:left w:val="single" w:color="auto" w:sz="8" w:space="0"/>
                    <w:bottom w:val="single" w:color="auto" w:sz="4" w:space="0"/>
                    <w:right w:val="single" w:color="000000" w:sz="8" w:space="0"/>
                  </w:tcBorders>
                  <w:shd w:val="clear" w:color="000000" w:fill="FFFFFF"/>
                  <w:noWrap/>
                  <w:vAlign w:val="bottom"/>
                </w:tcPr>
                <w:p>
                  <w:pPr>
                    <w:widowControl/>
                    <w:jc w:val="center"/>
                    <w:rPr>
                      <w:rFonts w:ascii="宋体" w:hAnsi="宋体" w:cs="宋体"/>
                      <w:color w:val="000000"/>
                      <w:kern w:val="0"/>
                      <w:sz w:val="20"/>
                    </w:rPr>
                  </w:pPr>
                  <w:r>
                    <w:rPr>
                      <w:rFonts w:hint="eastAsia" w:ascii="宋体" w:hAnsi="宋体" w:cs="宋体"/>
                      <w:color w:val="000000"/>
                      <w:kern w:val="0"/>
                      <w:sz w:val="20"/>
                    </w:rPr>
                    <w:t>R</w:t>
                  </w:r>
                  <w:r>
                    <w:rPr>
                      <w:rFonts w:hint="eastAsia" w:ascii="宋体" w:hAnsi="宋体" w:cs="宋体"/>
                      <w:color w:val="000000"/>
                      <w:kern w:val="0"/>
                      <w:sz w:val="20"/>
                      <w:lang w:val="en-US" w:eastAsia="zh-CN"/>
                    </w:rPr>
                    <w:t>3</w:t>
                  </w:r>
                  <w:r>
                    <w:rPr>
                      <w:rFonts w:hint="eastAsia" w:ascii="宋体" w:hAnsi="宋体" w:cs="宋体"/>
                      <w:color w:val="000000"/>
                      <w:kern w:val="0"/>
                      <w:sz w:val="20"/>
                    </w:rPr>
                    <w:t>#变电站</w:t>
                  </w:r>
                </w:p>
              </w:tc>
            </w:tr>
            <w:tr>
              <w:tblPrEx>
                <w:tblCellMar>
                  <w:top w:w="0" w:type="dxa"/>
                  <w:left w:w="108" w:type="dxa"/>
                  <w:bottom w:w="0" w:type="dxa"/>
                  <w:right w:w="108" w:type="dxa"/>
                </w:tblCellMar>
              </w:tblPrEx>
              <w:trPr>
                <w:trHeight w:val="285" w:hRule="atLeast"/>
              </w:trPr>
              <w:tc>
                <w:tcPr>
                  <w:tcW w:w="1539" w:type="pct"/>
                  <w:tcBorders>
                    <w:top w:val="nil"/>
                    <w:left w:val="single" w:color="auto" w:sz="8" w:space="0"/>
                    <w:bottom w:val="single" w:color="auto" w:sz="4" w:space="0"/>
                    <w:right w:val="single" w:color="auto" w:sz="4" w:space="0"/>
                  </w:tcBorders>
                  <w:shd w:val="clear" w:color="000000" w:fill="FFFFFF"/>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　</w:t>
                  </w:r>
                </w:p>
              </w:tc>
              <w:tc>
                <w:tcPr>
                  <w:tcW w:w="3461" w:type="pct"/>
                  <w:gridSpan w:val="7"/>
                  <w:tcBorders>
                    <w:top w:val="single" w:color="auto" w:sz="4" w:space="0"/>
                    <w:left w:val="nil"/>
                    <w:bottom w:val="single" w:color="auto" w:sz="4" w:space="0"/>
                    <w:right w:val="single" w:color="000000" w:sz="8" w:space="0"/>
                  </w:tcBorders>
                  <w:shd w:val="clear" w:color="000000" w:fill="FFFFFF"/>
                  <w:noWrap/>
                  <w:vAlign w:val="bottom"/>
                </w:tcPr>
                <w:p>
                  <w:pPr>
                    <w:widowControl/>
                    <w:jc w:val="center"/>
                    <w:rPr>
                      <w:rFonts w:ascii="宋体" w:hAnsi="宋体" w:cs="宋体"/>
                      <w:color w:val="000000"/>
                      <w:kern w:val="0"/>
                      <w:sz w:val="20"/>
                    </w:rPr>
                  </w:pPr>
                  <w:r>
                    <w:rPr>
                      <w:rFonts w:hint="eastAsia" w:ascii="宋体" w:hAnsi="宋体" w:cs="宋体"/>
                      <w:color w:val="000000"/>
                      <w:kern w:val="0"/>
                      <w:sz w:val="20"/>
                    </w:rPr>
                    <w:t>1#2#变压器</w:t>
                  </w:r>
                </w:p>
              </w:tc>
            </w:tr>
            <w:tr>
              <w:tblPrEx>
                <w:tblCellMar>
                  <w:top w:w="0" w:type="dxa"/>
                  <w:left w:w="108" w:type="dxa"/>
                  <w:bottom w:w="0" w:type="dxa"/>
                  <w:right w:w="108" w:type="dxa"/>
                </w:tblCellMar>
              </w:tblPrEx>
              <w:trPr>
                <w:trHeight w:val="285" w:hRule="atLeast"/>
              </w:trPr>
              <w:tc>
                <w:tcPr>
                  <w:tcW w:w="1539" w:type="pct"/>
                  <w:vMerge w:val="restart"/>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rPr>
                  </w:pPr>
                  <w:r>
                    <w:rPr>
                      <w:rFonts w:hint="eastAsia" w:ascii="宋体" w:hAnsi="宋体" w:cs="宋体"/>
                      <w:color w:val="000000"/>
                      <w:kern w:val="0"/>
                      <w:sz w:val="20"/>
                    </w:rPr>
                    <w:t>用电设备组类别</w:t>
                  </w:r>
                </w:p>
              </w:tc>
              <w:tc>
                <w:tcPr>
                  <w:tcW w:w="1892" w:type="pct"/>
                  <w:gridSpan w:val="4"/>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0"/>
                    </w:rPr>
                  </w:pPr>
                  <w:r>
                    <w:rPr>
                      <w:rFonts w:hint="eastAsia" w:ascii="宋体" w:hAnsi="宋体" w:cs="宋体"/>
                      <w:color w:val="000000"/>
                      <w:kern w:val="0"/>
                      <w:sz w:val="20"/>
                    </w:rPr>
                    <w:t>计算系数</w:t>
                  </w:r>
                </w:p>
              </w:tc>
              <w:tc>
                <w:tcPr>
                  <w:tcW w:w="1569" w:type="pct"/>
                  <w:gridSpan w:val="3"/>
                  <w:tcBorders>
                    <w:top w:val="single" w:color="auto" w:sz="4" w:space="0"/>
                    <w:left w:val="nil"/>
                    <w:bottom w:val="single" w:color="auto" w:sz="4" w:space="0"/>
                    <w:right w:val="single" w:color="000000" w:sz="8" w:space="0"/>
                  </w:tcBorders>
                  <w:shd w:val="clear" w:color="auto" w:fill="auto"/>
                  <w:noWrap/>
                  <w:vAlign w:val="bottom"/>
                </w:tcPr>
                <w:p>
                  <w:pPr>
                    <w:widowControl/>
                    <w:jc w:val="center"/>
                    <w:rPr>
                      <w:rFonts w:ascii="宋体" w:hAnsi="宋体" w:cs="宋体"/>
                      <w:color w:val="000000"/>
                      <w:kern w:val="0"/>
                      <w:sz w:val="20"/>
                    </w:rPr>
                  </w:pPr>
                  <w:r>
                    <w:rPr>
                      <w:rFonts w:hint="eastAsia" w:ascii="宋体" w:hAnsi="宋体" w:cs="宋体"/>
                      <w:color w:val="000000"/>
                      <w:kern w:val="0"/>
                      <w:sz w:val="20"/>
                    </w:rPr>
                    <w:t>计算负荷</w:t>
                  </w:r>
                </w:p>
              </w:tc>
            </w:tr>
            <w:tr>
              <w:trPr>
                <w:trHeight w:val="495" w:hRule="atLeast"/>
              </w:trPr>
              <w:tc>
                <w:tcPr>
                  <w:tcW w:w="1539" w:type="pct"/>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0"/>
                    </w:rPr>
                  </w:pPr>
                </w:p>
              </w:tc>
              <w:tc>
                <w:tcPr>
                  <w:tcW w:w="5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rPr>
                  </w:pPr>
                  <w:r>
                    <w:rPr>
                      <w:rFonts w:hint="eastAsia" w:ascii="宋体" w:hAnsi="宋体" w:cs="宋体"/>
                      <w:color w:val="000000"/>
                      <w:kern w:val="0"/>
                      <w:sz w:val="20"/>
                    </w:rPr>
                    <w:t>设备功率</w:t>
                  </w:r>
                  <w:r>
                    <w:rPr>
                      <w:color w:val="000000"/>
                      <w:kern w:val="0"/>
                      <w:sz w:val="20"/>
                    </w:rPr>
                    <w:t>(Pe)</w:t>
                  </w:r>
                </w:p>
              </w:tc>
              <w:tc>
                <w:tcPr>
                  <w:tcW w:w="45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rPr>
                  </w:pPr>
                  <w:r>
                    <w:rPr>
                      <w:rFonts w:hint="eastAsia" w:ascii="宋体" w:hAnsi="宋体" w:cs="宋体"/>
                      <w:color w:val="000000"/>
                      <w:kern w:val="0"/>
                      <w:sz w:val="20"/>
                    </w:rPr>
                    <w:t>需要系数</w:t>
                  </w:r>
                  <w:r>
                    <w:rPr>
                      <w:color w:val="000000"/>
                      <w:kern w:val="0"/>
                      <w:sz w:val="20"/>
                    </w:rPr>
                    <w:t>(Kx)</w:t>
                  </w:r>
                </w:p>
              </w:tc>
              <w:tc>
                <w:tcPr>
                  <w:tcW w:w="456" w:type="pct"/>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color w:val="000000"/>
                      <w:kern w:val="0"/>
                      <w:sz w:val="20"/>
                    </w:rPr>
                  </w:pPr>
                  <w:r>
                    <w:rPr>
                      <w:rFonts w:ascii="Arial" w:hAnsi="Arial" w:cs="Arial"/>
                      <w:color w:val="000000"/>
                      <w:kern w:val="0"/>
                      <w:sz w:val="20"/>
                    </w:rPr>
                    <w:t>cos</w:t>
                  </w:r>
                  <w:r>
                    <w:rPr>
                      <w:rFonts w:hint="eastAsia" w:ascii="宋体" w:hAnsi="宋体" w:cs="Arial"/>
                      <w:color w:val="000000"/>
                      <w:kern w:val="0"/>
                      <w:sz w:val="20"/>
                    </w:rPr>
                    <w:t>φ</w:t>
                  </w:r>
                </w:p>
              </w:tc>
              <w:tc>
                <w:tcPr>
                  <w:tcW w:w="457" w:type="pct"/>
                  <w:tcBorders>
                    <w:top w:val="nil"/>
                    <w:left w:val="nil"/>
                    <w:bottom w:val="single" w:color="auto" w:sz="4" w:space="0"/>
                    <w:right w:val="single" w:color="auto" w:sz="4" w:space="0"/>
                  </w:tcBorders>
                  <w:shd w:val="clear" w:color="auto" w:fill="auto"/>
                  <w:vAlign w:val="center"/>
                </w:tcPr>
                <w:p>
                  <w:pPr>
                    <w:widowControl/>
                    <w:jc w:val="center"/>
                    <w:rPr>
                      <w:rFonts w:ascii="Arial" w:hAnsi="Arial" w:cs="Arial"/>
                      <w:color w:val="000000"/>
                      <w:kern w:val="0"/>
                      <w:sz w:val="20"/>
                    </w:rPr>
                  </w:pPr>
                  <w:r>
                    <w:rPr>
                      <w:rFonts w:ascii="Arial" w:hAnsi="Arial" w:cs="Arial"/>
                      <w:color w:val="000000"/>
                      <w:kern w:val="0"/>
                      <w:sz w:val="20"/>
                    </w:rPr>
                    <w:t>tg</w:t>
                  </w:r>
                  <w:r>
                    <w:rPr>
                      <w:rFonts w:hint="eastAsia" w:ascii="宋体" w:hAnsi="宋体" w:cs="Arial"/>
                      <w:color w:val="000000"/>
                      <w:kern w:val="0"/>
                      <w:sz w:val="20"/>
                    </w:rPr>
                    <w:t>φ</w:t>
                  </w:r>
                </w:p>
              </w:tc>
              <w:tc>
                <w:tcPr>
                  <w:tcW w:w="5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rPr>
                  </w:pPr>
                  <w:r>
                    <w:rPr>
                      <w:rFonts w:hint="eastAsia" w:ascii="宋体" w:hAnsi="宋体" w:cs="宋体"/>
                      <w:color w:val="000000"/>
                      <w:kern w:val="0"/>
                      <w:sz w:val="20"/>
                    </w:rPr>
                    <w:t>有功功率</w:t>
                  </w:r>
                  <w:r>
                    <w:rPr>
                      <w:color w:val="000000"/>
                      <w:kern w:val="0"/>
                      <w:sz w:val="20"/>
                    </w:rPr>
                    <w:t>(Pjs)</w:t>
                  </w:r>
                </w:p>
              </w:tc>
              <w:tc>
                <w:tcPr>
                  <w:tcW w:w="5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rPr>
                  </w:pPr>
                  <w:r>
                    <w:rPr>
                      <w:rFonts w:hint="eastAsia" w:ascii="宋体" w:hAnsi="宋体" w:cs="宋体"/>
                      <w:color w:val="000000"/>
                      <w:kern w:val="0"/>
                      <w:sz w:val="20"/>
                    </w:rPr>
                    <w:t>无功功率</w:t>
                  </w:r>
                  <w:r>
                    <w:rPr>
                      <w:color w:val="000000"/>
                      <w:kern w:val="0"/>
                      <w:sz w:val="20"/>
                    </w:rPr>
                    <w:t>(Qjs)</w:t>
                  </w:r>
                </w:p>
              </w:tc>
              <w:tc>
                <w:tcPr>
                  <w:tcW w:w="52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cs="宋体"/>
                      <w:color w:val="000000"/>
                      <w:kern w:val="0"/>
                      <w:sz w:val="20"/>
                    </w:rPr>
                  </w:pPr>
                  <w:r>
                    <w:rPr>
                      <w:rFonts w:hint="eastAsia" w:ascii="宋体" w:hAnsi="宋体" w:cs="宋体"/>
                      <w:color w:val="000000"/>
                      <w:kern w:val="0"/>
                      <w:sz w:val="20"/>
                    </w:rPr>
                    <w:t>视在功率</w:t>
                  </w:r>
                  <w:r>
                    <w:rPr>
                      <w:color w:val="000000"/>
                      <w:kern w:val="0"/>
                      <w:sz w:val="20"/>
                    </w:rPr>
                    <w:t>(Sjs)</w:t>
                  </w:r>
                </w:p>
              </w:tc>
            </w:tr>
            <w:tr>
              <w:tblPrEx>
                <w:tblCellMar>
                  <w:top w:w="0" w:type="dxa"/>
                  <w:left w:w="108" w:type="dxa"/>
                  <w:bottom w:w="0" w:type="dxa"/>
                  <w:right w:w="108" w:type="dxa"/>
                </w:tblCellMar>
              </w:tblPrEx>
              <w:trPr>
                <w:trHeight w:val="300" w:hRule="atLeast"/>
              </w:trPr>
              <w:tc>
                <w:tcPr>
                  <w:tcW w:w="1539" w:type="pct"/>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0"/>
                    </w:rPr>
                  </w:pPr>
                </w:p>
              </w:tc>
              <w:tc>
                <w:tcPr>
                  <w:tcW w:w="523" w:type="pct"/>
                  <w:tcBorders>
                    <w:top w:val="nil"/>
                    <w:left w:val="nil"/>
                    <w:bottom w:val="single" w:color="auto" w:sz="4" w:space="0"/>
                    <w:right w:val="single" w:color="auto" w:sz="4"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kW</w:t>
                  </w:r>
                </w:p>
              </w:tc>
              <w:tc>
                <w:tcPr>
                  <w:tcW w:w="456" w:type="pct"/>
                  <w:tcBorders>
                    <w:top w:val="nil"/>
                    <w:left w:val="nil"/>
                    <w:bottom w:val="single" w:color="auto" w:sz="4" w:space="0"/>
                    <w:right w:val="single" w:color="auto" w:sz="4"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kW</w:t>
                  </w:r>
                </w:p>
              </w:tc>
              <w:tc>
                <w:tcPr>
                  <w:tcW w:w="523" w:type="pct"/>
                  <w:tcBorders>
                    <w:top w:val="nil"/>
                    <w:left w:val="nil"/>
                    <w:bottom w:val="single" w:color="auto" w:sz="4" w:space="0"/>
                    <w:right w:val="single" w:color="auto" w:sz="4"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kvar</w:t>
                  </w:r>
                </w:p>
              </w:tc>
              <w:tc>
                <w:tcPr>
                  <w:tcW w:w="524" w:type="pct"/>
                  <w:tcBorders>
                    <w:top w:val="nil"/>
                    <w:left w:val="nil"/>
                    <w:bottom w:val="single" w:color="auto" w:sz="4" w:space="0"/>
                    <w:right w:val="single" w:color="auto" w:sz="8" w:space="0"/>
                  </w:tcBorders>
                  <w:shd w:val="clear" w:color="auto" w:fill="auto"/>
                  <w:noWrap/>
                  <w:vAlign w:val="bottom"/>
                </w:tcPr>
                <w:p>
                  <w:pPr>
                    <w:widowControl/>
                    <w:jc w:val="center"/>
                    <w:rPr>
                      <w:rFonts w:ascii="Arial" w:hAnsi="Arial" w:cs="Arial"/>
                      <w:color w:val="000000"/>
                      <w:kern w:val="0"/>
                      <w:sz w:val="20"/>
                    </w:rPr>
                  </w:pPr>
                  <w:r>
                    <w:rPr>
                      <w:rFonts w:ascii="Arial" w:hAnsi="Arial" w:cs="Arial"/>
                      <w:color w:val="000000"/>
                      <w:kern w:val="0"/>
                      <w:sz w:val="20"/>
                    </w:rPr>
                    <w:t>kVA</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一体化泵站</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kern w:val="0"/>
                      <w:sz w:val="20"/>
                    </w:rPr>
                  </w:pPr>
                  <w:r>
                    <w:rPr>
                      <w:rFonts w:ascii="Arial" w:hAnsi="Arial" w:cs="Arial"/>
                      <w:kern w:val="0"/>
                      <w:sz w:val="20"/>
                    </w:rPr>
                    <w:t>135.00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0.90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0.80</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0.75</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121.50</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91.13</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151.88</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闸门启闭机</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5.00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0.90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0.80</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0.75</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4.50</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3.38</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5.63</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变电站动力、照明</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20.00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0.80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0.85</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0.61</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16.00</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9.76</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18.74</w:t>
                  </w:r>
                </w:p>
              </w:tc>
            </w:tr>
            <w:tr>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合计</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160.00</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142.00</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104.26</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176.24</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kern w:val="0"/>
                      <w:sz w:val="18"/>
                      <w:szCs w:val="18"/>
                    </w:rPr>
                  </w:pPr>
                  <w:r>
                    <w:rPr>
                      <w:rFonts w:hint="eastAsia" w:ascii="宋体" w:hAnsi="宋体" w:cs="宋体"/>
                      <w:kern w:val="0"/>
                      <w:sz w:val="18"/>
                      <w:szCs w:val="18"/>
                    </w:rPr>
                    <w:t>乘以</w:t>
                  </w:r>
                  <w:r>
                    <w:rPr>
                      <w:rFonts w:ascii="Arial" w:hAnsi="Arial" w:cs="Arial"/>
                      <w:kern w:val="0"/>
                      <w:sz w:val="18"/>
                      <w:szCs w:val="18"/>
                    </w:rPr>
                    <w:t>K</w:t>
                  </w:r>
                  <w:r>
                    <w:rPr>
                      <w:rFonts w:hint="eastAsia" w:ascii="宋体" w:hAnsi="宋体" w:cs="宋体"/>
                      <w:kern w:val="0"/>
                      <w:sz w:val="18"/>
                      <w:szCs w:val="18"/>
                    </w:rPr>
                    <w:t>Σ</w:t>
                  </w:r>
                  <w:r>
                    <w:rPr>
                      <w:rFonts w:ascii="Arial" w:hAnsi="Arial" w:cs="Arial"/>
                      <w:kern w:val="0"/>
                      <w:sz w:val="18"/>
                      <w:szCs w:val="18"/>
                    </w:rPr>
                    <w:t>p=0.9</w:t>
                  </w:r>
                  <w:r>
                    <w:rPr>
                      <w:rFonts w:hint="eastAsia" w:ascii="宋体" w:hAnsi="宋体" w:cs="宋体"/>
                      <w:kern w:val="0"/>
                      <w:sz w:val="18"/>
                      <w:szCs w:val="18"/>
                    </w:rPr>
                    <w:t>和</w:t>
                  </w:r>
                  <w:r>
                    <w:rPr>
                      <w:rFonts w:ascii="Arial" w:hAnsi="Arial" w:cs="Arial"/>
                      <w:kern w:val="0"/>
                      <w:sz w:val="18"/>
                      <w:szCs w:val="18"/>
                    </w:rPr>
                    <w:t>K</w:t>
                  </w:r>
                  <w:r>
                    <w:rPr>
                      <w:rFonts w:hint="eastAsia" w:ascii="宋体" w:hAnsi="宋体" w:cs="宋体"/>
                      <w:kern w:val="0"/>
                      <w:sz w:val="18"/>
                      <w:szCs w:val="18"/>
                    </w:rPr>
                    <w:t>Σ</w:t>
                  </w:r>
                  <w:r>
                    <w:rPr>
                      <w:rFonts w:ascii="Arial" w:hAnsi="Arial" w:cs="Arial"/>
                      <w:kern w:val="0"/>
                      <w:sz w:val="18"/>
                      <w:szCs w:val="18"/>
                    </w:rPr>
                    <w:t>q=0.95</w:t>
                  </w:r>
                  <w:r>
                    <w:rPr>
                      <w:rFonts w:hint="eastAsia" w:ascii="宋体" w:hAnsi="宋体" w:cs="宋体"/>
                      <w:kern w:val="0"/>
                      <w:sz w:val="18"/>
                      <w:szCs w:val="18"/>
                    </w:rPr>
                    <w:t>后</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0.79</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xml:space="preserve">127.80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xml:space="preserve">99.05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xml:space="preserve">161.69 </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rPr>
                  </w:pPr>
                  <w:r>
                    <w:rPr>
                      <w:rFonts w:hint="eastAsia" w:ascii="宋体" w:hAnsi="宋体" w:cs="宋体"/>
                      <w:kern w:val="0"/>
                      <w:sz w:val="20"/>
                    </w:rPr>
                    <w:t>补偿电容器</w:t>
                  </w:r>
                </w:p>
              </w:tc>
              <w:tc>
                <w:tcPr>
                  <w:tcW w:w="523" w:type="pct"/>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b/>
                      <w:bCs/>
                      <w:color w:val="000000"/>
                      <w:kern w:val="0"/>
                      <w:sz w:val="24"/>
                      <w:szCs w:val="24"/>
                    </w:rPr>
                  </w:pPr>
                  <w:r>
                    <w:rPr>
                      <w:rFonts w:hint="eastAsia" w:ascii="宋体" w:hAnsi="宋体" w:cs="宋体"/>
                      <w:b/>
                      <w:bCs/>
                      <w:color w:val="000000"/>
                      <w:kern w:val="0"/>
                      <w:sz w:val="24"/>
                      <w:szCs w:val="24"/>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left"/>
                    <w:rPr>
                      <w:rFonts w:ascii="Arial" w:hAnsi="Arial" w:cs="Arial"/>
                      <w:b/>
                      <w:bCs/>
                      <w:kern w:val="0"/>
                      <w:sz w:val="20"/>
                    </w:rPr>
                  </w:pPr>
                  <w:r>
                    <w:rPr>
                      <w:rFonts w:ascii="Arial" w:hAnsi="Arial" w:cs="Arial"/>
                      <w:b/>
                      <w:bCs/>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xml:space="preserve">80.00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kern w:val="0"/>
                      <w:sz w:val="20"/>
                    </w:rPr>
                  </w:pPr>
                  <w:r>
                    <w:rPr>
                      <w:rFonts w:ascii="Arial" w:hAnsi="Arial" w:cs="Arial"/>
                      <w:b/>
                      <w:bCs/>
                      <w:kern w:val="0"/>
                      <w:sz w:val="20"/>
                    </w:rPr>
                    <w:t>　</w:t>
                  </w:r>
                </w:p>
              </w:tc>
            </w:tr>
            <w:tr>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kern w:val="0"/>
                      <w:sz w:val="20"/>
                    </w:rPr>
                  </w:pPr>
                  <w:r>
                    <w:rPr>
                      <w:rFonts w:hint="eastAsia" w:ascii="宋体" w:hAnsi="宋体" w:cs="宋体"/>
                      <w:kern w:val="0"/>
                      <w:sz w:val="20"/>
                    </w:rPr>
                    <w:t>补偿电容器后</w:t>
                  </w:r>
                </w:p>
              </w:tc>
              <w:tc>
                <w:tcPr>
                  <w:tcW w:w="523" w:type="pct"/>
                  <w:tcBorders>
                    <w:top w:val="nil"/>
                    <w:left w:val="nil"/>
                    <w:bottom w:val="single" w:color="auto" w:sz="4" w:space="0"/>
                    <w:right w:val="single" w:color="auto" w:sz="4" w:space="0"/>
                  </w:tcBorders>
                  <w:shd w:val="clear" w:color="auto" w:fill="auto"/>
                  <w:noWrap/>
                  <w:vAlign w:val="bottom"/>
                </w:tcPr>
                <w:p>
                  <w:pPr>
                    <w:widowControl/>
                    <w:jc w:val="left"/>
                    <w:rPr>
                      <w:rFonts w:ascii="宋体" w:hAnsi="宋体" w:cs="宋体"/>
                      <w:b/>
                      <w:bCs/>
                      <w:color w:val="000000"/>
                      <w:kern w:val="0"/>
                      <w:sz w:val="24"/>
                      <w:szCs w:val="24"/>
                    </w:rPr>
                  </w:pPr>
                  <w:r>
                    <w:rPr>
                      <w:rFonts w:hint="eastAsia" w:ascii="宋体" w:hAnsi="宋体" w:cs="宋体"/>
                      <w:b/>
                      <w:bCs/>
                      <w:color w:val="000000"/>
                      <w:kern w:val="0"/>
                      <w:sz w:val="24"/>
                      <w:szCs w:val="24"/>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0.79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0.98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127.80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19.05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129.21 </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选变压器容量（</w:t>
                  </w:r>
                  <w:r>
                    <w:rPr>
                      <w:color w:val="000000"/>
                      <w:kern w:val="0"/>
                      <w:sz w:val="20"/>
                    </w:rPr>
                    <w:t>kVA</w:t>
                  </w:r>
                  <w:r>
                    <w:rPr>
                      <w:rFonts w:hint="eastAsia" w:ascii="宋体" w:hAnsi="宋体" w:cs="宋体"/>
                      <w:color w:val="000000"/>
                      <w:kern w:val="0"/>
                      <w:sz w:val="20"/>
                    </w:rPr>
                    <w:t>）</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315</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变压器损耗</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1.29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6.46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r>
            <w:tr>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0.98</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129.09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25.51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 xml:space="preserve">131.59 </w:t>
                  </w:r>
                </w:p>
              </w:tc>
            </w:tr>
            <w:tr>
              <w:tblPrEx>
                <w:tblCellMar>
                  <w:top w:w="0" w:type="dxa"/>
                  <w:left w:w="108" w:type="dxa"/>
                  <w:bottom w:w="0" w:type="dxa"/>
                  <w:right w:w="108" w:type="dxa"/>
                </w:tblCellMar>
              </w:tblPrEx>
              <w:trPr>
                <w:trHeight w:val="300" w:hRule="atLeast"/>
              </w:trPr>
              <w:tc>
                <w:tcPr>
                  <w:tcW w:w="1539" w:type="pct"/>
                  <w:tcBorders>
                    <w:top w:val="nil"/>
                    <w:left w:val="single" w:color="auto" w:sz="8" w:space="0"/>
                    <w:bottom w:val="single" w:color="auto" w:sz="4" w:space="0"/>
                    <w:right w:val="single" w:color="auto" w:sz="4" w:space="0"/>
                  </w:tcBorders>
                  <w:shd w:val="clear" w:color="auto" w:fill="auto"/>
                  <w:noWrap/>
                  <w:vAlign w:val="bottom"/>
                </w:tcPr>
                <w:p>
                  <w:pPr>
                    <w:widowControl/>
                    <w:jc w:val="left"/>
                    <w:rPr>
                      <w:rFonts w:ascii="宋体" w:hAnsi="宋体" w:cs="宋体"/>
                      <w:color w:val="000000"/>
                      <w:kern w:val="0"/>
                      <w:sz w:val="20"/>
                    </w:rPr>
                  </w:pPr>
                  <w:r>
                    <w:rPr>
                      <w:rFonts w:hint="eastAsia" w:ascii="宋体" w:hAnsi="宋体" w:cs="宋体"/>
                      <w:color w:val="000000"/>
                      <w:kern w:val="0"/>
                      <w:sz w:val="20"/>
                    </w:rPr>
                    <w:t>负荷率</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456"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457"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523" w:type="pct"/>
                  <w:tcBorders>
                    <w:top w:val="nil"/>
                    <w:left w:val="nil"/>
                    <w:bottom w:val="single" w:color="auto" w:sz="4" w:space="0"/>
                    <w:right w:val="single" w:color="auto" w:sz="4" w:space="0"/>
                  </w:tcBorders>
                  <w:shd w:val="clear" w:color="auto" w:fill="auto"/>
                  <w:noWrap/>
                  <w:vAlign w:val="bottom"/>
                </w:tcPr>
                <w:p>
                  <w:pPr>
                    <w:widowControl/>
                    <w:jc w:val="right"/>
                    <w:rPr>
                      <w:rFonts w:ascii="Arial" w:hAnsi="Arial" w:cs="Arial"/>
                      <w:color w:val="000000"/>
                      <w:kern w:val="0"/>
                      <w:sz w:val="20"/>
                    </w:rPr>
                  </w:pPr>
                  <w:r>
                    <w:rPr>
                      <w:rFonts w:ascii="Arial" w:hAnsi="Arial" w:cs="Arial"/>
                      <w:color w:val="000000"/>
                      <w:kern w:val="0"/>
                      <w:sz w:val="20"/>
                    </w:rPr>
                    <w:t>　</w:t>
                  </w:r>
                </w:p>
              </w:tc>
              <w:tc>
                <w:tcPr>
                  <w:tcW w:w="524" w:type="pct"/>
                  <w:tcBorders>
                    <w:top w:val="nil"/>
                    <w:left w:val="nil"/>
                    <w:bottom w:val="single" w:color="auto" w:sz="4" w:space="0"/>
                    <w:right w:val="single" w:color="auto" w:sz="8" w:space="0"/>
                  </w:tcBorders>
                  <w:shd w:val="clear" w:color="auto" w:fill="auto"/>
                  <w:noWrap/>
                  <w:vAlign w:val="bottom"/>
                </w:tcPr>
                <w:p>
                  <w:pPr>
                    <w:widowControl/>
                    <w:jc w:val="right"/>
                    <w:rPr>
                      <w:rFonts w:ascii="Arial" w:hAnsi="Arial" w:cs="Arial"/>
                      <w:b/>
                      <w:bCs/>
                      <w:color w:val="000000"/>
                      <w:kern w:val="0"/>
                      <w:sz w:val="20"/>
                    </w:rPr>
                  </w:pPr>
                  <w:r>
                    <w:rPr>
                      <w:rFonts w:ascii="Arial" w:hAnsi="Arial" w:cs="Arial"/>
                      <w:b/>
                      <w:bCs/>
                      <w:color w:val="000000"/>
                      <w:kern w:val="0"/>
                      <w:sz w:val="20"/>
                    </w:rPr>
                    <w:t>41.8%</w:t>
                  </w:r>
                </w:p>
              </w:tc>
            </w:tr>
          </w:tbl>
          <w:p>
            <w:pPr>
              <w:tabs>
                <w:tab w:val="left" w:pos="1331"/>
              </w:tabs>
              <w:spacing w:line="360" w:lineRule="auto"/>
              <w:ind w:firstLine="560" w:firstLineChars="200"/>
              <w:rPr>
                <w:rFonts w:asciiTheme="minorEastAsia" w:hAnsiTheme="minorEastAsia" w:eastAsiaTheme="minorEastAsia"/>
                <w:sz w:val="28"/>
                <w:szCs w:val="28"/>
              </w:rPr>
            </w:pPr>
          </w:p>
          <w:p>
            <w:pPr>
              <w:tabs>
                <w:tab w:val="left" w:pos="1331"/>
              </w:tabs>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ab/>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根据负荷计算，变电站设置</w:t>
            </w:r>
            <w:r>
              <w:rPr>
                <w:rFonts w:asciiTheme="minorEastAsia" w:hAnsiTheme="minorEastAsia" w:eastAsiaTheme="minorEastAsia"/>
                <w:sz w:val="28"/>
                <w:szCs w:val="28"/>
              </w:rPr>
              <w:t>2</w:t>
            </w:r>
            <w:r>
              <w:rPr>
                <w:rFonts w:hint="eastAsia" w:asciiTheme="minorEastAsia" w:hAnsiTheme="minorEastAsia" w:eastAsiaTheme="minorEastAsia"/>
                <w:sz w:val="28"/>
                <w:szCs w:val="28"/>
              </w:rPr>
              <w:t>台</w:t>
            </w:r>
            <w:r>
              <w:rPr>
                <w:rFonts w:asciiTheme="minorEastAsia" w:hAnsiTheme="minorEastAsia" w:eastAsiaTheme="minorEastAsia"/>
                <w:sz w:val="28"/>
                <w:szCs w:val="28"/>
              </w:rPr>
              <w:t>315</w:t>
            </w:r>
            <w:r>
              <w:rPr>
                <w:rFonts w:hint="eastAsia" w:asciiTheme="minorEastAsia" w:hAnsiTheme="minorEastAsia" w:eastAsiaTheme="minorEastAsia"/>
                <w:sz w:val="28"/>
                <w:szCs w:val="28"/>
              </w:rPr>
              <w:t>kVA树脂绝缘干式变压器。低压系统采用单母线分段，并设置母联开关。正常运行时两台变压器各带一段母线负荷；当一路进线或变压器故障，母联开关自动投入，由另一路进线或变压器带全部负荷。低压母线设置无功补偿系统，自动跟踪系统负荷情况，检测系统无功容量，快速响应，完成无功自动补偿功能。低压配电柜进出线回路均装设智能网络电力仪表，提供标准计算机接口，实现低压配电柜的智能化，所有低压馈线回路开关均配带两个标准的开关状态附件。设计界面为一体化泵站电控柜进线开关，电控柜下端配电、控制设计详见工艺专业设计图纸。服务于泵站的电缆及其保护管计入本工程范围内，具体敷设路由待泵站设备明确后再行确定。</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2．照明系统设计</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本工程照明分正常照明、应急照明。照度标准及主要场所照明功率密度值按现行国家标准《建筑照明设计标准》GB50034-2013执行。基本照度如下表：</w:t>
            </w:r>
          </w:p>
          <w:tbl>
            <w:tblPr>
              <w:tblStyle w:val="7"/>
              <w:tblW w:w="6428" w:type="dxa"/>
              <w:jc w:val="center"/>
              <w:tblLayout w:type="autofit"/>
              <w:tblCellMar>
                <w:top w:w="0" w:type="dxa"/>
                <w:left w:w="108" w:type="dxa"/>
                <w:bottom w:w="0" w:type="dxa"/>
                <w:right w:w="108" w:type="dxa"/>
              </w:tblCellMar>
            </w:tblPr>
            <w:tblGrid>
              <w:gridCol w:w="5093"/>
              <w:gridCol w:w="1335"/>
            </w:tblGrid>
            <w:tr>
              <w:trPr>
                <w:trHeight w:val="454" w:hRule="atLeast"/>
                <w:jc w:val="center"/>
              </w:trPr>
              <w:tc>
                <w:tcPr>
                  <w:tcW w:w="5093" w:type="dxa"/>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区域/房间</w:t>
                  </w:r>
                </w:p>
              </w:tc>
              <w:tc>
                <w:tcPr>
                  <w:tcW w:w="1335" w:type="dxa"/>
                  <w:tcBorders>
                    <w:top w:val="single" w:color="auto" w:sz="8" w:space="0"/>
                    <w:left w:val="nil"/>
                    <w:bottom w:val="single" w:color="auto" w:sz="4" w:space="0"/>
                    <w:right w:val="single" w:color="auto" w:sz="8" w:space="0"/>
                  </w:tcBorders>
                  <w:shd w:val="clear" w:color="auto" w:fill="auto"/>
                  <w:vAlign w:val="center"/>
                </w:tcPr>
                <w:p>
                  <w:pPr>
                    <w:widowControl/>
                    <w:jc w:val="center"/>
                    <w:rPr>
                      <w:sz w:val="24"/>
                      <w:szCs w:val="24"/>
                    </w:rPr>
                  </w:pPr>
                  <w:r>
                    <w:rPr>
                      <w:rFonts w:hint="eastAsia"/>
                      <w:sz w:val="24"/>
                      <w:szCs w:val="24"/>
                    </w:rPr>
                    <w:t>照度要求</w:t>
                  </w:r>
                </w:p>
              </w:tc>
            </w:tr>
            <w:tr>
              <w:tblPrEx>
                <w:tblCellMar>
                  <w:top w:w="0" w:type="dxa"/>
                  <w:left w:w="108" w:type="dxa"/>
                  <w:bottom w:w="0" w:type="dxa"/>
                  <w:right w:w="108" w:type="dxa"/>
                </w:tblCellMar>
              </w:tblPrEx>
              <w:trPr>
                <w:trHeight w:val="454" w:hRule="atLeast"/>
                <w:jc w:val="center"/>
              </w:trPr>
              <w:tc>
                <w:tcPr>
                  <w:tcW w:w="5093" w:type="dxa"/>
                  <w:tcBorders>
                    <w:top w:val="nil"/>
                    <w:left w:val="single" w:color="auto" w:sz="8" w:space="0"/>
                    <w:bottom w:val="single" w:color="auto" w:sz="4" w:space="0"/>
                    <w:right w:val="single" w:color="auto" w:sz="4" w:space="0"/>
                  </w:tcBorders>
                  <w:shd w:val="clear" w:color="auto" w:fill="auto"/>
                  <w:vAlign w:val="center"/>
                </w:tcPr>
                <w:p>
                  <w:pPr>
                    <w:widowControl/>
                    <w:jc w:val="center"/>
                    <w:rPr>
                      <w:sz w:val="24"/>
                      <w:szCs w:val="24"/>
                    </w:rPr>
                  </w:pPr>
                  <w:r>
                    <w:rPr>
                      <w:rFonts w:hint="eastAsia"/>
                      <w:sz w:val="24"/>
                      <w:szCs w:val="24"/>
                    </w:rPr>
                    <w:t>变电站</w:t>
                  </w:r>
                </w:p>
              </w:tc>
              <w:tc>
                <w:tcPr>
                  <w:tcW w:w="1335" w:type="dxa"/>
                  <w:tcBorders>
                    <w:top w:val="nil"/>
                    <w:left w:val="nil"/>
                    <w:bottom w:val="single" w:color="auto" w:sz="4" w:space="0"/>
                    <w:right w:val="single" w:color="auto" w:sz="8" w:space="0"/>
                  </w:tcBorders>
                  <w:shd w:val="clear" w:color="auto" w:fill="auto"/>
                  <w:vAlign w:val="center"/>
                </w:tcPr>
                <w:p>
                  <w:pPr>
                    <w:widowControl/>
                    <w:jc w:val="center"/>
                    <w:rPr>
                      <w:sz w:val="24"/>
                      <w:szCs w:val="24"/>
                    </w:rPr>
                  </w:pPr>
                  <w:r>
                    <w:rPr>
                      <w:rFonts w:hint="eastAsia"/>
                      <w:sz w:val="24"/>
                      <w:szCs w:val="24"/>
                    </w:rPr>
                    <w:t>200lx</w:t>
                  </w:r>
                </w:p>
              </w:tc>
            </w:tr>
          </w:tbl>
          <w:p>
            <w:pPr>
              <w:tabs>
                <w:tab w:val="left" w:pos="3056"/>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本工程采用集中电源集中控制型消防应急照明和疏散指示系统，系统设置应符合现行标准《消防应急照明和疏散指示系统技术标准》GB 51309的有关规定。</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3.变电站防雷接地系统设计</w:t>
            </w:r>
          </w:p>
          <w:p>
            <w:pPr>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本工程属于重要</w:t>
            </w:r>
            <w:r>
              <w:rPr>
                <w:rFonts w:hint="eastAsia" w:asciiTheme="minorEastAsia" w:hAnsiTheme="minorEastAsia" w:eastAsiaTheme="minorEastAsia"/>
                <w:sz w:val="28"/>
                <w:szCs w:val="28"/>
              </w:rPr>
              <w:t>民用</w:t>
            </w:r>
            <w:r>
              <w:rPr>
                <w:rFonts w:asciiTheme="minorEastAsia" w:hAnsiTheme="minorEastAsia" w:eastAsiaTheme="minorEastAsia"/>
                <w:sz w:val="28"/>
                <w:szCs w:val="28"/>
              </w:rPr>
              <w:t>建筑，按二类防雷建筑物设计。</w:t>
            </w:r>
            <w:r>
              <w:rPr>
                <w:rFonts w:hint="eastAsia" w:asciiTheme="minorEastAsia" w:hAnsiTheme="minorEastAsia" w:eastAsiaTheme="minorEastAsia"/>
                <w:sz w:val="28"/>
                <w:szCs w:val="28"/>
              </w:rPr>
              <w:t>利用一体化变电站金属屋面为接闪器，并与柱内主筋可靠链接，作为引下线，通过接地线与室外人工接地装置连接。在建筑物周围设置环形接地极，接地电阻不大于1</w:t>
            </w:r>
            <w:r>
              <w:rPr>
                <w:rFonts w:asciiTheme="minorEastAsia" w:hAnsiTheme="minorEastAsia" w:eastAsiaTheme="minorEastAsia"/>
                <w:sz w:val="28"/>
                <w:szCs w:val="28"/>
              </w:rPr>
              <w:t>Ω</w:t>
            </w:r>
            <w:r>
              <w:rPr>
                <w:rFonts w:hint="eastAsia" w:asciiTheme="minorEastAsia" w:hAnsiTheme="minorEastAsia" w:eastAsiaTheme="minorEastAsia"/>
                <w:sz w:val="28"/>
                <w:szCs w:val="28"/>
              </w:rPr>
              <w:t>。站内设置等电位接地端子箱。低压配电采用TN-S系统。</w:t>
            </w:r>
          </w:p>
          <w:p>
            <w:pPr>
              <w:spacing w:line="288" w:lineRule="auto"/>
              <w:rPr>
                <w:sz w:val="28"/>
              </w:rPr>
            </w:pPr>
          </w:p>
          <w:p>
            <w:pPr>
              <w:spacing w:line="288" w:lineRule="auto"/>
              <w:rPr>
                <w:sz w:val="28"/>
              </w:rPr>
            </w:pPr>
          </w:p>
          <w:p>
            <w:pPr>
              <w:spacing w:line="288" w:lineRule="auto"/>
              <w:rPr>
                <w:sz w:val="28"/>
              </w:rPr>
            </w:pPr>
          </w:p>
          <w:p>
            <w:pPr>
              <w:spacing w:line="288" w:lineRule="auto"/>
              <w:rPr>
                <w:sz w:val="28"/>
              </w:rPr>
            </w:pPr>
          </w:p>
          <w:p>
            <w:pPr>
              <w:spacing w:line="288" w:lineRule="auto"/>
              <w:rPr>
                <w:sz w:val="28"/>
              </w:rPr>
            </w:pPr>
          </w:p>
        </w:tc>
      </w:tr>
    </w:tbl>
    <w:p>
      <w:pPr>
        <w:tabs>
          <w:tab w:val="left" w:pos="3767"/>
        </w:tabs>
        <w:ind w:left="92" w:leftChars="-305" w:right="-710" w:rightChars="-338" w:hanging="732" w:hangingChars="305"/>
        <w:rPr>
          <w:rFonts w:ascii="宋体" w:hAnsi="宋体"/>
          <w:sz w:val="24"/>
          <w:szCs w:val="24"/>
        </w:rPr>
      </w:pPr>
    </w:p>
    <w:sectPr>
      <w:headerReference r:id="rId3" w:type="default"/>
      <w:footerReference r:id="rId4" w:type="default"/>
      <w:footerReference r:id="rId5" w:type="even"/>
      <w:pgSz w:w="11906" w:h="16838"/>
      <w:pgMar w:top="1418" w:right="851" w:bottom="1418" w:left="851" w:header="851" w:footer="851"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宋体" w:hAnsi="宋体"/>
        <w:sz w:val="24"/>
        <w:szCs w:val="24"/>
      </w:rPr>
      <mc:AlternateContent>
        <mc:Choice Requires="wps">
          <w:drawing>
            <wp:anchor distT="0" distB="0" distL="114300" distR="114300" simplePos="0" relativeHeight="251661312" behindDoc="0" locked="0" layoutInCell="1" allowOverlap="1">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wps:spPr>
                    <wps:txbx>
                      <w:txbxContent>
                        <w:p>
                          <w:bookmarkStart w:id="1" w:name="LZOF_N审核人_T3_L1"/>
                          <w:bookmarkEnd w:id="1"/>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369.4pt;margin-top:761.2pt;height:22.6pt;width:67.6pt;mso-position-horizontal-relative:page;mso-position-vertical-relative:page;z-index:251661312;mso-width-relative:page;mso-height-relative:page;" filled="f" stroked="f" coordsize="21600,21600" o:gfxdata="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&#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qzqrnZAAAADQEAAA8AAAAAAAAAAQAgAAAAIgAAAGRy&#10;cy9kb3ducmV2LnhtbFBLAQIUABQAAAAIAIdO4kDJT8SsBAIAABMEAAAOAAAAAAAAAAEAIAAAACgB&#10;AABkcnMvZTJvRG9jLnhtbFBLBQYAAAAABgAGAFkBAACeBQAAAAA=&#10;">
              <v:fill on="f" focussize="0,0"/>
              <v:stroke on="f"/>
              <v:imagedata o:title=""/>
              <o:lock v:ext="edit" aspectratio="f"/>
              <v:textbox>
                <w:txbxContent>
                  <w:p>
                    <w:bookmarkStart w:id="1" w:name="LZOF_N审核人_T3_L1"/>
                    <w:bookmarkEnd w:id="1"/>
                  </w:p>
                </w:txbxContent>
              </v:textbox>
            </v:shape>
          </w:pict>
        </mc:Fallback>
      </mc:AlternateContent>
    </w: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wps:spPr>
                    <wps:txbx>
                      <w:txbxContent>
                        <w:p>
                          <w:bookmarkStart w:id="2" w:name="LZOF_N设计人_T3_L1"/>
                          <w:bookmarkEnd w:id="2"/>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90.7pt;margin-top:761.75pt;height:22.6pt;width:67.6pt;mso-position-horizontal-relative:page;mso-position-vertical-relative:page;z-index:251659264;mso-width-relative:page;mso-height-relative:page;" filled="f" stroked="f" coordsize="21600,21600" o:gfxdata="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&#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WpMqbZAAAADQEAAA8AAAAAAAAAAQAgAAAAIgAAAGRy&#10;cy9kb3ducmV2LnhtbFBLAQIUABQAAAAIAIdO4kCIFYDnBAIAABMEAAAOAAAAAAAAAAEAIAAAACgB&#10;AABkcnMvZTJvRG9jLnhtbFBLBQYAAAAABgAGAFkBAACeBQAAAAA=&#10;">
              <v:fill on="f" focussize="0,0"/>
              <v:stroke on="f"/>
              <v:imagedata o:title=""/>
              <o:lock v:ext="edit" aspectratio="f"/>
              <v:textbox>
                <w:txbxContent>
                  <w:p>
                    <w:bookmarkStart w:id="2" w:name="LZOF_N设计人_T3_L1"/>
                    <w:bookmarkEnd w:id="2"/>
                  </w:p>
                </w:txbxContent>
              </v:textbox>
            </v:shape>
          </w:pict>
        </mc:Fallback>
      </mc:AlternateContent>
    </w: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wps:spPr>
                    <wps:txbx>
                      <w:txbxContent>
                        <w:p>
                          <w:bookmarkStart w:id="3" w:name="LZOF_N校核人_T3_L1"/>
                          <w:bookmarkEnd w:id="3"/>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224.25pt;margin-top:761.2pt;height:22.6pt;width:67.6pt;mso-position-horizontal-relative:page;mso-position-vertical-relative:page;z-index:251660288;mso-width-relative:page;mso-height-relative:page;" filled="f" stroked="f" coordsize="21600,21600" o:gfxdata="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IjtkNkAAAANAQAADwAAAAAAAAABACAAAAAiAAAAZHJz&#10;L2Rvd25yZXYueG1sUEsBAhQAFAAAAAgAh07iQJzLGKQDAgAAEwQAAA4AAAAAAAAAAQAgAAAAKAEA&#10;AGRycy9lMm9Eb2MueG1sUEsFBgAAAAAGAAYAWQEAAJ0FAAAAAA==&#10;">
              <v:fill on="f" focussize="0,0"/>
              <v:stroke on="f"/>
              <v:imagedata o:title=""/>
              <o:lock v:ext="edit" aspectratio="f"/>
              <v:textbox>
                <w:txbxContent>
                  <w:p>
                    <w:bookmarkStart w:id="3" w:name="LZOF_N校核人_T3_L1"/>
                    <w:bookmarkEnd w:id="3"/>
                  </w:p>
                </w:txbxContent>
              </v:textbox>
            </v:shape>
          </w:pict>
        </mc:Fallback>
      </mc:AlternateContent>
    </w:r>
    <w:r>
      <w:rPr>
        <w:rFonts w:hint="eastAsia" w:ascii="宋体" w:hAnsi="宋体"/>
        <w:sz w:val="24"/>
        <w:szCs w:val="24"/>
      </w:rPr>
      <w:t xml:space="preserve">编制人：               校核人：                审核人：                </w:t>
    </w:r>
    <w:sdt>
      <w:sdtPr>
        <w:id w:val="250395305"/>
        <w:docPartObj>
          <w:docPartGallery w:val="autotext"/>
        </w:docPartObj>
      </w:sdtPr>
      <w:sdtContent>
        <w:r>
          <w:rPr>
            <w:rFonts w:hint="eastAsia"/>
          </w:rPr>
          <w:t>第</w:t>
        </w:r>
        <w:r>
          <w:rPr>
            <w:lang w:val="zh-CN"/>
          </w:rPr>
          <w:t xml:space="preserve"> </w:t>
        </w:r>
        <w:r>
          <w:fldChar w:fldCharType="begin"/>
        </w:r>
        <w:r>
          <w:instrText xml:space="preserve"> PAGE </w:instrText>
        </w:r>
        <w:r>
          <w:fldChar w:fldCharType="separate"/>
        </w:r>
        <w:r>
          <w:t>4</w:t>
        </w:r>
        <w:r>
          <w:fldChar w:fldCharType="end"/>
        </w:r>
        <w:r>
          <w:rPr>
            <w:rFonts w:hint="eastAsia"/>
          </w:rPr>
          <w:t>页</w:t>
        </w:r>
        <w:r>
          <w:rPr>
            <w:lang w:val="zh-CN"/>
          </w:rPr>
          <w:t xml:space="preserve"> /</w:t>
        </w:r>
        <w:r>
          <w:rPr>
            <w:rFonts w:hint="eastAsia"/>
            <w:lang w:val="zh-CN"/>
          </w:rPr>
          <w:t>共</w:t>
        </w:r>
        <w:r>
          <w:rPr>
            <w:lang w:val="zh-CN"/>
          </w:rPr>
          <w:t xml:space="preserve"> </w:t>
        </w:r>
        <w:r>
          <w:fldChar w:fldCharType="begin"/>
        </w:r>
        <w:r>
          <w:instrText xml:space="preserve"> NUMPAGES  </w:instrText>
        </w:r>
        <w:r>
          <w:fldChar w:fldCharType="separate"/>
        </w:r>
        <w:r>
          <w:t>4</w:t>
        </w:r>
        <w:r>
          <w:fldChar w:fldCharType="end"/>
        </w:r>
        <w:r>
          <w:rPr>
            <w:rFonts w:hint="eastAsia"/>
          </w:rPr>
          <w:t>页</w:t>
        </w:r>
      </w:sdtContent>
    </w:sdt>
  </w:p>
  <w:p>
    <w:pPr>
      <w:tabs>
        <w:tab w:val="left" w:pos="3767"/>
      </w:tabs>
      <w:ind w:left="92" w:leftChars="-305" w:right="-710" w:rightChars="-338" w:hanging="732" w:hangingChars="305"/>
      <w:rPr>
        <w:rFonts w:ascii="宋体" w:hAnsi="宋体"/>
        <w:sz w:val="24"/>
        <w:szCs w:val="24"/>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left="-1" w:leftChars="-337" w:hanging="707" w:hangingChars="221"/>
      <w:jc w:val="both"/>
      <w:rPr>
        <w:rFonts w:ascii="黑体" w:hAnsi="黑体" w:eastAsia="黑体"/>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yMjU1YWQyZTk4Nzc0YTk2YThmNjA4NzhhNDJjN2QifQ=="/>
  </w:docVars>
  <w:rsids>
    <w:rsidRoot w:val="00F95498"/>
    <w:rsid w:val="0004638B"/>
    <w:rsid w:val="00092DAC"/>
    <w:rsid w:val="000A0B6A"/>
    <w:rsid w:val="000B4F57"/>
    <w:rsid w:val="000C0E4A"/>
    <w:rsid w:val="000F7A6D"/>
    <w:rsid w:val="00125F51"/>
    <w:rsid w:val="00131DED"/>
    <w:rsid w:val="001329D8"/>
    <w:rsid w:val="00140E0D"/>
    <w:rsid w:val="00157D01"/>
    <w:rsid w:val="001A6F2D"/>
    <w:rsid w:val="00206D9A"/>
    <w:rsid w:val="00214A10"/>
    <w:rsid w:val="002312C7"/>
    <w:rsid w:val="00243188"/>
    <w:rsid w:val="00251871"/>
    <w:rsid w:val="0029469A"/>
    <w:rsid w:val="00296F19"/>
    <w:rsid w:val="002E256A"/>
    <w:rsid w:val="002E558C"/>
    <w:rsid w:val="002F5F38"/>
    <w:rsid w:val="00313449"/>
    <w:rsid w:val="00315399"/>
    <w:rsid w:val="00323876"/>
    <w:rsid w:val="0035317F"/>
    <w:rsid w:val="00373EFA"/>
    <w:rsid w:val="003A6ABD"/>
    <w:rsid w:val="003B67C6"/>
    <w:rsid w:val="00415B79"/>
    <w:rsid w:val="00421E36"/>
    <w:rsid w:val="004435AF"/>
    <w:rsid w:val="00471B37"/>
    <w:rsid w:val="004808BC"/>
    <w:rsid w:val="004838D6"/>
    <w:rsid w:val="00486561"/>
    <w:rsid w:val="004A485B"/>
    <w:rsid w:val="004D4252"/>
    <w:rsid w:val="004E6C24"/>
    <w:rsid w:val="00506578"/>
    <w:rsid w:val="0051304D"/>
    <w:rsid w:val="00547BE8"/>
    <w:rsid w:val="00567E42"/>
    <w:rsid w:val="00584F2A"/>
    <w:rsid w:val="00596151"/>
    <w:rsid w:val="005E0B7E"/>
    <w:rsid w:val="005F0C24"/>
    <w:rsid w:val="00626DB8"/>
    <w:rsid w:val="00644C4B"/>
    <w:rsid w:val="00650407"/>
    <w:rsid w:val="00671001"/>
    <w:rsid w:val="006C0878"/>
    <w:rsid w:val="006F0F32"/>
    <w:rsid w:val="006F14FC"/>
    <w:rsid w:val="007013F9"/>
    <w:rsid w:val="00742151"/>
    <w:rsid w:val="00755FD5"/>
    <w:rsid w:val="00762272"/>
    <w:rsid w:val="007A2FF8"/>
    <w:rsid w:val="007B748E"/>
    <w:rsid w:val="008123D7"/>
    <w:rsid w:val="008452D9"/>
    <w:rsid w:val="00851AF2"/>
    <w:rsid w:val="00854C5E"/>
    <w:rsid w:val="00873F51"/>
    <w:rsid w:val="00887D4A"/>
    <w:rsid w:val="008B7009"/>
    <w:rsid w:val="008C456A"/>
    <w:rsid w:val="008C47F3"/>
    <w:rsid w:val="008C4C57"/>
    <w:rsid w:val="009447B9"/>
    <w:rsid w:val="009634C7"/>
    <w:rsid w:val="00965968"/>
    <w:rsid w:val="00971BF0"/>
    <w:rsid w:val="00983A4B"/>
    <w:rsid w:val="00991792"/>
    <w:rsid w:val="009947B7"/>
    <w:rsid w:val="00996A96"/>
    <w:rsid w:val="009A73D2"/>
    <w:rsid w:val="009B7F10"/>
    <w:rsid w:val="009D5FBE"/>
    <w:rsid w:val="00A23F9B"/>
    <w:rsid w:val="00A55949"/>
    <w:rsid w:val="00AD0724"/>
    <w:rsid w:val="00B17F5F"/>
    <w:rsid w:val="00B434FF"/>
    <w:rsid w:val="00B7586D"/>
    <w:rsid w:val="00B82E5C"/>
    <w:rsid w:val="00B91BFD"/>
    <w:rsid w:val="00BB150B"/>
    <w:rsid w:val="00BD362C"/>
    <w:rsid w:val="00BF2B81"/>
    <w:rsid w:val="00C07371"/>
    <w:rsid w:val="00C13042"/>
    <w:rsid w:val="00C24B1B"/>
    <w:rsid w:val="00C65245"/>
    <w:rsid w:val="00C67892"/>
    <w:rsid w:val="00C77CFE"/>
    <w:rsid w:val="00CC7C14"/>
    <w:rsid w:val="00CC7C65"/>
    <w:rsid w:val="00CD1D36"/>
    <w:rsid w:val="00CD20E3"/>
    <w:rsid w:val="00D4605E"/>
    <w:rsid w:val="00D81DF4"/>
    <w:rsid w:val="00DA67EE"/>
    <w:rsid w:val="00DE0CD6"/>
    <w:rsid w:val="00E05AEF"/>
    <w:rsid w:val="00E07015"/>
    <w:rsid w:val="00E22335"/>
    <w:rsid w:val="00E33348"/>
    <w:rsid w:val="00E36250"/>
    <w:rsid w:val="00E42258"/>
    <w:rsid w:val="00E746EB"/>
    <w:rsid w:val="00E830A2"/>
    <w:rsid w:val="00EC1D64"/>
    <w:rsid w:val="00EC2DD1"/>
    <w:rsid w:val="00EE1527"/>
    <w:rsid w:val="00EF3690"/>
    <w:rsid w:val="00EF61E6"/>
    <w:rsid w:val="00F00193"/>
    <w:rsid w:val="00F1419A"/>
    <w:rsid w:val="00F20A1E"/>
    <w:rsid w:val="00F30211"/>
    <w:rsid w:val="00F41B6A"/>
    <w:rsid w:val="00F53567"/>
    <w:rsid w:val="00F70B93"/>
    <w:rsid w:val="00F85296"/>
    <w:rsid w:val="00F95498"/>
    <w:rsid w:val="00FA1549"/>
    <w:rsid w:val="00FB2464"/>
    <w:rsid w:val="00FC26CA"/>
    <w:rsid w:val="00FD4E02"/>
    <w:rsid w:val="00FE2682"/>
    <w:rsid w:val="2FD775B1"/>
    <w:rsid w:val="670D34EC"/>
    <w:rsid w:val="757D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spacing w:line="288" w:lineRule="auto"/>
    </w:pPr>
    <w:rPr>
      <w:sz w:val="28"/>
    </w:rPr>
  </w:style>
  <w:style w:type="paragraph" w:styleId="3">
    <w:name w:val="Body Text Indent"/>
    <w:basedOn w:val="1"/>
    <w:link w:val="10"/>
    <w:unhideWhenUsed/>
    <w:uiPriority w:val="0"/>
    <w:pPr>
      <w:spacing w:after="120"/>
      <w:ind w:left="420" w:leftChars="200"/>
    </w:p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customStyle="1" w:styleId="10">
    <w:name w:val="正文文本缩进 字符"/>
    <w:basedOn w:val="8"/>
    <w:link w:val="3"/>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FBF342-7CD4-4BEB-8007-F678342E6154}">
  <ds:schemaRefs/>
</ds:datastoreItem>
</file>

<file path=docProps/app.xml><?xml version="1.0" encoding="utf-8"?>
<Properties xmlns="http://schemas.openxmlformats.org/officeDocument/2006/extended-properties" xmlns:vt="http://schemas.openxmlformats.org/officeDocument/2006/docPropsVTypes">
  <Template>Normal</Template>
  <Company>cacc</Company>
  <Pages>4</Pages>
  <Words>1656</Words>
  <Characters>2084</Characters>
  <Lines>16</Lines>
  <Paragraphs>4</Paragraphs>
  <TotalTime>273</TotalTime>
  <ScaleCrop>false</ScaleCrop>
  <LinksUpToDate>false</LinksUpToDate>
  <CharactersWithSpaces>2151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2021-01-12T08:53:00Z</dcterms:created>
  <dc:creator>yaohuilai</dc:creator>
  <cp:lastModifiedBy>王国宁</cp:lastModifiedBy>
  <cp:lastPrinted>2017-04-27T06:00:00Z</cp:lastPrinted>
  <dcterms:modified xsi:type="dcterms:W3CDTF">2023-03-02T04:01:13Z</dcterms:modified>
  <dc:title>中国民航机场建设总公司</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F719D212CB48489DA864886BE94BB9E1</vt:lpwstr>
  </property>
</Properties>
</file>