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line="360" w:lineRule="auto"/>
        <w:jc w:val="center"/>
        <w:rPr>
          <w:rFonts w:hint="eastAsia" w:ascii="宋体" w:hAnsi="宋体" w:eastAsia="宋体" w:cs="宋体"/>
          <w:b/>
          <w:color w:val="000000" w:themeColor="text1"/>
          <w:sz w:val="44"/>
          <w:szCs w:val="44"/>
          <w:highlight w:val="none"/>
          <w:u w:val="none"/>
          <w14:textFill>
            <w14:solidFill>
              <w14:schemeClr w14:val="tx1"/>
            </w14:solidFill>
          </w14:textFill>
        </w:rPr>
      </w:pPr>
    </w:p>
    <w:p>
      <w:pPr>
        <w:pStyle w:val="20"/>
        <w:spacing w:line="360" w:lineRule="auto"/>
        <w:jc w:val="center"/>
        <w:rPr>
          <w:rFonts w:hint="eastAsia" w:ascii="宋体" w:hAnsi="宋体" w:eastAsia="宋体" w:cs="宋体"/>
          <w:b/>
          <w:color w:val="000000" w:themeColor="text1"/>
          <w:sz w:val="44"/>
          <w:szCs w:val="44"/>
          <w:highlight w:val="none"/>
          <w:lang w:eastAsia="zh-CN"/>
          <w14:textFill>
            <w14:solidFill>
              <w14:schemeClr w14:val="tx1"/>
            </w14:solidFill>
          </w14:textFill>
        </w:rPr>
      </w:pPr>
      <w:r>
        <w:rPr>
          <w:rFonts w:hint="eastAsia" w:ascii="宋体" w:hAnsi="宋体" w:eastAsia="宋体" w:cs="宋体"/>
          <w:b/>
          <w:color w:val="000000" w:themeColor="text1"/>
          <w:sz w:val="44"/>
          <w:szCs w:val="44"/>
          <w:highlight w:val="none"/>
          <w:lang w:eastAsia="zh-CN"/>
          <w14:textFill>
            <w14:solidFill>
              <w14:schemeClr w14:val="tx1"/>
            </w14:solidFill>
          </w14:textFill>
        </w:rPr>
        <w:t>广州净水公司2023年净水厂通风、除臭系统自动化监控改造项目</w:t>
      </w: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spacing w:line="360" w:lineRule="auto"/>
        <w:jc w:val="center"/>
        <w:rPr>
          <w:rFonts w:hint="eastAsia" w:ascii="宋体" w:hAnsi="宋体" w:eastAsia="宋体" w:cs="宋体"/>
          <w:b/>
          <w:bCs/>
          <w:color w:val="000000" w:themeColor="text1"/>
          <w:spacing w:val="26"/>
          <w:sz w:val="110"/>
          <w:szCs w:val="110"/>
          <w:highlight w:val="none"/>
          <w14:textFill>
            <w14:solidFill>
              <w14:schemeClr w14:val="tx1"/>
            </w14:solidFill>
          </w14:textFill>
        </w:rPr>
      </w:pPr>
      <w:r>
        <w:rPr>
          <w:rFonts w:hint="eastAsia" w:ascii="宋体" w:hAnsi="宋体" w:eastAsia="宋体" w:cs="宋体"/>
          <w:b/>
          <w:bCs/>
          <w:color w:val="000000" w:themeColor="text1"/>
          <w:spacing w:val="26"/>
          <w:sz w:val="110"/>
          <w:szCs w:val="110"/>
          <w:highlight w:val="none"/>
          <w14:textFill>
            <w14:solidFill>
              <w14:schemeClr w14:val="tx1"/>
            </w14:solidFill>
          </w14:textFill>
        </w:rPr>
        <w:t>招标文件</w:t>
      </w: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widowControl/>
        <w:spacing w:line="480" w:lineRule="auto"/>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招标人：</w:t>
      </w:r>
      <w:r>
        <w:rPr>
          <w:rFonts w:hint="eastAsia" w:ascii="宋体" w:hAnsi="宋体" w:eastAsia="宋体" w:cs="宋体"/>
          <w:color w:val="000000" w:themeColor="text1"/>
          <w:sz w:val="30"/>
          <w:szCs w:val="30"/>
          <w:highlight w:val="none"/>
          <w:u w:val="single"/>
          <w14:textFill>
            <w14:solidFill>
              <w14:schemeClr w14:val="tx1"/>
            </w14:solidFill>
          </w14:textFill>
        </w:rPr>
        <w:t>广州市净水有限公司</w:t>
      </w:r>
      <w:r>
        <w:rPr>
          <w:rFonts w:hint="eastAsia" w:ascii="宋体" w:hAnsi="宋体" w:eastAsia="宋体" w:cs="宋体"/>
          <w:color w:val="000000" w:themeColor="text1"/>
          <w:sz w:val="30"/>
          <w:szCs w:val="30"/>
          <w:highlight w:val="none"/>
          <w14:textFill>
            <w14:solidFill>
              <w14:schemeClr w14:val="tx1"/>
            </w14:solidFill>
          </w14:textFill>
        </w:rPr>
        <w:t>（盖单位章）</w:t>
      </w:r>
    </w:p>
    <w:p>
      <w:pPr>
        <w:widowControl/>
        <w:spacing w:line="480" w:lineRule="auto"/>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 xml:space="preserve">        招标代理：</w:t>
      </w:r>
      <w:r>
        <w:rPr>
          <w:rFonts w:hint="eastAsia" w:ascii="宋体" w:hAnsi="宋体" w:eastAsia="宋体" w:cs="宋体"/>
          <w:color w:val="000000" w:themeColor="text1"/>
          <w:sz w:val="30"/>
          <w:szCs w:val="30"/>
          <w:highlight w:val="none"/>
          <w:u w:val="single"/>
          <w14:textFill>
            <w14:solidFill>
              <w14:schemeClr w14:val="tx1"/>
            </w14:solidFill>
          </w14:textFill>
        </w:rPr>
        <w:t>广州宏达工程顾问集团有限公司</w:t>
      </w:r>
      <w:r>
        <w:rPr>
          <w:rFonts w:hint="eastAsia" w:ascii="宋体" w:hAnsi="宋体" w:eastAsia="宋体" w:cs="宋体"/>
          <w:color w:val="000000" w:themeColor="text1"/>
          <w:sz w:val="30"/>
          <w:szCs w:val="30"/>
          <w:highlight w:val="none"/>
          <w14:textFill>
            <w14:solidFill>
              <w14:schemeClr w14:val="tx1"/>
            </w14:solidFill>
          </w14:textFill>
        </w:rPr>
        <w:t>（盖单位章）</w:t>
      </w:r>
    </w:p>
    <w:p>
      <w:pPr>
        <w:widowControl/>
        <w:jc w:val="center"/>
        <w:rPr>
          <w:rFonts w:hint="eastAsia" w:ascii="宋体" w:hAnsi="宋体" w:eastAsia="宋体" w:cs="宋体"/>
          <w:color w:val="000000" w:themeColor="text1"/>
          <w:sz w:val="30"/>
          <w:szCs w:val="30"/>
          <w:highlight w:val="none"/>
          <w14:textFill>
            <w14:solidFill>
              <w14:schemeClr w14:val="tx1"/>
            </w14:solidFill>
          </w14:textFill>
        </w:rPr>
      </w:pPr>
    </w:p>
    <w:p>
      <w:pPr>
        <w:widowControl/>
        <w:tabs>
          <w:tab w:val="left" w:pos="851"/>
        </w:tabs>
        <w:spacing w:line="360" w:lineRule="auto"/>
        <w:ind w:left="480"/>
        <w:jc w:val="center"/>
        <w:rPr>
          <w:rFonts w:hint="eastAsia" w:ascii="宋体" w:hAnsi="宋体" w:eastAsia="宋体" w:cs="宋体"/>
          <w:color w:val="000000" w:themeColor="text1"/>
          <w:sz w:val="30"/>
          <w:szCs w:val="30"/>
          <w:highlight w:val="none"/>
          <w14:textFill>
            <w14:solidFill>
              <w14:schemeClr w14:val="tx1"/>
            </w14:solidFill>
          </w14:textFill>
        </w:rPr>
        <w:sectPr>
          <w:footerReference r:id="rId5" w:type="default"/>
          <w:pgSz w:w="11906" w:h="16838"/>
          <w:pgMar w:top="1440" w:right="1797" w:bottom="1440" w:left="1797" w:header="851" w:footer="992" w:gutter="0"/>
          <w:pgNumType w:fmt="decimal"/>
          <w:cols w:space="720" w:num="1"/>
          <w:docGrid w:linePitch="312" w:charSpace="0"/>
        </w:sectPr>
      </w:pPr>
      <w:r>
        <w:rPr>
          <w:rFonts w:hint="eastAsia" w:ascii="宋体" w:hAnsi="宋体" w:eastAsia="宋体" w:cs="宋体"/>
          <w:color w:val="000000" w:themeColor="text1"/>
          <w:sz w:val="30"/>
          <w:szCs w:val="30"/>
          <w:highlight w:val="none"/>
          <w:u w:val="single"/>
          <w14:textFill>
            <w14:solidFill>
              <w14:schemeClr w14:val="tx1"/>
            </w14:solidFill>
          </w14:textFill>
        </w:rPr>
        <w:t>2023</w:t>
      </w:r>
      <w:r>
        <w:rPr>
          <w:rFonts w:hint="eastAsia" w:ascii="宋体" w:hAnsi="宋体" w:eastAsia="宋体" w:cs="宋体"/>
          <w:color w:val="000000" w:themeColor="text1"/>
          <w:sz w:val="30"/>
          <w:szCs w:val="30"/>
          <w:highlight w:val="none"/>
          <w14:textFill>
            <w14:solidFill>
              <w14:schemeClr w14:val="tx1"/>
            </w14:solidFill>
          </w14:textFill>
        </w:rPr>
        <w:t>年</w:t>
      </w:r>
      <w:r>
        <w:rPr>
          <w:rFonts w:hint="eastAsia" w:ascii="宋体" w:hAnsi="宋体" w:eastAsia="宋体" w:cs="宋体"/>
          <w:color w:val="000000" w:themeColor="text1"/>
          <w:sz w:val="30"/>
          <w:szCs w:val="30"/>
          <w:highlight w:val="none"/>
          <w:u w:val="singl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月</w:t>
      </w:r>
    </w:p>
    <w:p>
      <w:pPr>
        <w:pStyle w:val="98"/>
        <w:pageBreakBefore/>
        <w:jc w:val="center"/>
        <w:rPr>
          <w:rFonts w:hint="eastAsia" w:ascii="宋体" w:hAnsi="宋体" w:eastAsia="宋体" w:cs="宋体"/>
          <w:color w:val="000000" w:themeColor="text1"/>
          <w:highlight w:val="none"/>
          <w14:textFill>
            <w14:solidFill>
              <w14:schemeClr w14:val="tx1"/>
            </w14:solidFill>
          </w14:textFill>
        </w:rPr>
      </w:pPr>
      <w:bookmarkStart w:id="0" w:name="_Toc3536"/>
      <w:bookmarkStart w:id="1" w:name="_Toc18673"/>
      <w:bookmarkStart w:id="2" w:name="_Toc21959"/>
      <w:bookmarkStart w:id="3" w:name="_Toc31176"/>
      <w:bookmarkStart w:id="4" w:name="_Toc12405"/>
      <w:bookmarkStart w:id="5" w:name="_Toc935"/>
      <w:r>
        <w:rPr>
          <w:rFonts w:hint="eastAsia" w:ascii="宋体" w:hAnsi="宋体" w:eastAsia="宋体" w:cs="宋体"/>
          <w:color w:val="000000" w:themeColor="text1"/>
          <w:highlight w:val="none"/>
          <w:lang w:val="zh-CN"/>
          <w14:textFill>
            <w14:solidFill>
              <w14:schemeClr w14:val="tx1"/>
            </w14:solidFill>
          </w14:textFill>
        </w:rPr>
        <w:t>目录</w:t>
      </w:r>
      <w:bookmarkEnd w:id="0"/>
      <w:bookmarkEnd w:id="1"/>
      <w:bookmarkEnd w:id="2"/>
      <w:bookmarkEnd w:id="3"/>
      <w:bookmarkEnd w:id="4"/>
      <w:bookmarkEnd w:id="5"/>
    </w:p>
    <w:p>
      <w:pPr>
        <w:pStyle w:val="31"/>
        <w:tabs>
          <w:tab w:val="right" w:leader="dot" w:pos="8312"/>
          <w:tab w:val="clear" w:pos="9060"/>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TOC \o "1-3" \h \z \u </w:instrText>
      </w:r>
      <w:r>
        <w:rPr>
          <w:rFonts w:hint="eastAsia" w:ascii="宋体" w:hAnsi="宋体" w:eastAsia="宋体" w:cs="宋体"/>
          <w:color w:val="000000" w:themeColor="text1"/>
          <w:highlight w:val="none"/>
          <w14:textFill>
            <w14:solidFill>
              <w14:schemeClr w14:val="tx1"/>
            </w14:solidFill>
          </w14:textFill>
        </w:rPr>
        <w:fldChar w:fldCharType="separate"/>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"_Toc17268"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第一章 招标公告</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_Toc17268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"_Toc13055"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第二章 投标须知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_Toc13055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"_Toc19390"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第三章 评标及定标办法</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_Toc19390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44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"_Toc25303"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第四章 合同条款</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_Toc25303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56</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"_Toc13110"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第五章 工程量清单（综合单价包干）</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_Toc13110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92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"_Toc14964"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第六章 图纸</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_Toc14964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93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"_Toc9574"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第七章 技术标准和要求（合同技术条款）</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_Toc9574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94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"_Toc29817"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7"/>
          <w:highlight w:val="none"/>
          <w14:textFill>
            <w14:solidFill>
              <w14:schemeClr w14:val="tx1"/>
            </w14:solidFill>
          </w14:textFill>
        </w:rPr>
        <w:t>第八章 投标文件格式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_Toc29817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116</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"_Toc23864"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32"/>
          <w:highlight w:val="none"/>
          <w14:textFill>
            <w14:solidFill>
              <w14:schemeClr w14:val="tx1"/>
            </w14:solidFill>
          </w14:textFill>
        </w:rPr>
        <w:t>第九章 否决性条款汇总</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_Toc23864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146</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pStyle w:val="33"/>
        <w:tabs>
          <w:tab w:val="right" w:leader="dot" w:pos="8312"/>
          <w:tab w:val="clear" w:pos="8302"/>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"_Toc7836"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32"/>
          <w:highlight w:val="none"/>
          <w14:textFill>
            <w14:solidFill>
              <w14:schemeClr w14:val="tx1"/>
            </w14:solidFill>
          </w14:textFill>
        </w:rPr>
        <w:t>第十章 最高投标限价（招标控制价）</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_Toc7836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147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fldChar w:fldCharType="end"/>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end"/>
      </w:r>
    </w:p>
    <w:p>
      <w:pPr>
        <w:rPr>
          <w:rFonts w:hint="eastAsia" w:ascii="宋体" w:hAnsi="宋体" w:eastAsia="宋体" w:cs="宋体"/>
          <w:color w:val="000000" w:themeColor="text1"/>
          <w:highlight w:val="none"/>
          <w14:textFill>
            <w14:solidFill>
              <w14:schemeClr w14:val="tx1"/>
            </w14:solidFill>
          </w14:textFill>
        </w:rPr>
      </w:pPr>
      <w:bookmarkStart w:id="1109" w:name="_GoBack"/>
    </w:p>
    <w:p>
      <w:pPr>
        <w:pStyle w:val="6"/>
        <w:rPr>
          <w:rFonts w:hint="eastAsia" w:ascii="宋体" w:hAnsi="宋体" w:eastAsia="宋体" w:cs="宋体"/>
          <w:color w:val="000000" w:themeColor="text1"/>
          <w:highlight w:val="none"/>
          <w14:textFill>
            <w14:solidFill>
              <w14:schemeClr w14:val="tx1"/>
            </w14:solidFill>
          </w14:textFill>
        </w:rPr>
        <w:sectPr>
          <w:pgSz w:w="11906" w:h="16838"/>
          <w:pgMar w:top="1440" w:right="1797" w:bottom="1440" w:left="1797" w:header="851" w:footer="992" w:gutter="0"/>
          <w:pgNumType w:fmt="decimal"/>
          <w:cols w:space="720" w:num="1"/>
          <w:docGrid w:linePitch="312" w:charSpace="0"/>
        </w:sectPr>
      </w:pPr>
      <w:bookmarkStart w:id="6" w:name="_Toc17451199"/>
      <w:bookmarkEnd w:id="6"/>
      <w:bookmarkStart w:id="7" w:name="_Toc17556774"/>
      <w:bookmarkEnd w:id="7"/>
      <w:bookmarkStart w:id="8" w:name="_Toc17556869"/>
      <w:bookmarkEnd w:id="8"/>
      <w:bookmarkStart w:id="9" w:name="_Toc17556867"/>
      <w:bookmarkEnd w:id="9"/>
      <w:bookmarkStart w:id="10" w:name="_Toc17450793"/>
      <w:bookmarkEnd w:id="10"/>
      <w:bookmarkStart w:id="11" w:name="_Toc17450711"/>
      <w:bookmarkEnd w:id="11"/>
      <w:bookmarkStart w:id="12" w:name="_Toc17556872"/>
      <w:bookmarkEnd w:id="12"/>
      <w:bookmarkStart w:id="13" w:name="_Toc17556870"/>
      <w:bookmarkEnd w:id="13"/>
      <w:bookmarkStart w:id="14" w:name="_Toc17450710"/>
      <w:bookmarkEnd w:id="14"/>
      <w:bookmarkStart w:id="15" w:name="_Toc17451095"/>
      <w:bookmarkEnd w:id="15"/>
      <w:bookmarkStart w:id="16" w:name="_Toc17451092"/>
      <w:bookmarkEnd w:id="16"/>
      <w:bookmarkStart w:id="17" w:name="_Toc17450714"/>
      <w:bookmarkEnd w:id="17"/>
      <w:bookmarkStart w:id="18" w:name="_Toc17451197"/>
      <w:bookmarkEnd w:id="18"/>
      <w:bookmarkStart w:id="19" w:name="_Toc17450716"/>
      <w:bookmarkEnd w:id="19"/>
      <w:bookmarkStart w:id="20" w:name="_Toc17451194"/>
      <w:bookmarkEnd w:id="20"/>
      <w:bookmarkStart w:id="21" w:name="_Toc17450791"/>
      <w:bookmarkEnd w:id="21"/>
      <w:bookmarkStart w:id="22" w:name="_Toc17451195"/>
      <w:bookmarkEnd w:id="22"/>
      <w:bookmarkStart w:id="23" w:name="_Toc17450794"/>
      <w:bookmarkEnd w:id="23"/>
      <w:bookmarkStart w:id="24" w:name="_Toc17556866"/>
      <w:bookmarkEnd w:id="24"/>
      <w:bookmarkStart w:id="25" w:name="_Toc17450715"/>
      <w:bookmarkEnd w:id="25"/>
      <w:bookmarkStart w:id="26" w:name="_Toc17450797"/>
      <w:bookmarkEnd w:id="26"/>
      <w:bookmarkStart w:id="27" w:name="_Toc17451091"/>
      <w:bookmarkEnd w:id="27"/>
      <w:bookmarkStart w:id="28" w:name="_Toc17451196"/>
      <w:bookmarkEnd w:id="28"/>
      <w:bookmarkStart w:id="29" w:name="_Toc17556868"/>
      <w:bookmarkEnd w:id="29"/>
      <w:bookmarkStart w:id="30" w:name="_Toc17451200"/>
      <w:bookmarkEnd w:id="30"/>
      <w:bookmarkStart w:id="31" w:name="_Toc17556865"/>
      <w:bookmarkEnd w:id="31"/>
      <w:bookmarkStart w:id="32" w:name="_Toc17450712"/>
      <w:bookmarkEnd w:id="32"/>
      <w:bookmarkStart w:id="33" w:name="_Toc17451094"/>
      <w:bookmarkEnd w:id="33"/>
      <w:bookmarkStart w:id="34" w:name="_Toc17451090"/>
      <w:bookmarkEnd w:id="34"/>
      <w:bookmarkStart w:id="35" w:name="_Toc17556871"/>
      <w:bookmarkEnd w:id="35"/>
      <w:bookmarkStart w:id="36" w:name="_Toc17451097"/>
      <w:bookmarkEnd w:id="36"/>
      <w:bookmarkStart w:id="37" w:name="_Toc17450792"/>
      <w:bookmarkEnd w:id="37"/>
      <w:bookmarkStart w:id="38" w:name="_Toc17451093"/>
      <w:bookmarkEnd w:id="38"/>
      <w:bookmarkStart w:id="39" w:name="_Toc17450717"/>
      <w:bookmarkEnd w:id="39"/>
      <w:bookmarkStart w:id="40" w:name="_Toc17450795"/>
      <w:bookmarkEnd w:id="40"/>
      <w:bookmarkStart w:id="41" w:name="_Toc17451198"/>
      <w:bookmarkEnd w:id="41"/>
      <w:bookmarkStart w:id="42" w:name="_Toc17450790"/>
      <w:bookmarkEnd w:id="42"/>
      <w:bookmarkStart w:id="43" w:name="_Toc17450713"/>
      <w:bookmarkEnd w:id="43"/>
      <w:bookmarkStart w:id="44" w:name="_Toc17451096"/>
      <w:bookmarkEnd w:id="44"/>
      <w:bookmarkStart w:id="45" w:name="_Toc17451201"/>
      <w:bookmarkEnd w:id="45"/>
      <w:bookmarkStart w:id="46" w:name="_Toc17450796"/>
      <w:bookmarkEnd w:id="46"/>
      <w:bookmarkStart w:id="47" w:name="_Toc17454919"/>
      <w:bookmarkStart w:id="48" w:name="_Toc13722"/>
      <w:bookmarkStart w:id="49" w:name="_Toc17556928"/>
      <w:bookmarkStart w:id="50" w:name="_Toc8328"/>
      <w:bookmarkStart w:id="51" w:name="_Toc17556873"/>
      <w:bookmarkStart w:id="52" w:name="_Toc10454"/>
      <w:bookmarkStart w:id="53" w:name="_Toc17268"/>
      <w:bookmarkStart w:id="54" w:name="_Toc8111"/>
      <w:bookmarkStart w:id="55" w:name="_Toc12729"/>
      <w:bookmarkStart w:id="56" w:name="_Toc17454868"/>
      <w:bookmarkStart w:id="57" w:name="_Toc17451575"/>
      <w:bookmarkStart w:id="58" w:name="_Toc17451620"/>
      <w:bookmarkStart w:id="59" w:name="_Toc17452661"/>
      <w:bookmarkStart w:id="60" w:name="_Toc17451098"/>
    </w:p>
    <w:bookmarkEnd w:id="1109"/>
    <w:p>
      <w:pPr>
        <w:pStyle w:val="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第一章 招标公告</w:t>
      </w:r>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20"/>
        <w:spacing w:line="360" w:lineRule="auto"/>
        <w:jc w:val="center"/>
        <w:rPr>
          <w:rFonts w:hint="eastAsia" w:ascii="宋体" w:hAnsi="宋体" w:eastAsia="宋体" w:cs="宋体"/>
          <w:b/>
          <w:color w:val="000000" w:themeColor="text1"/>
          <w:sz w:val="32"/>
          <w:szCs w:val="32"/>
          <w:highlight w:val="none"/>
          <w:u w:val="none"/>
          <w14:textFill>
            <w14:solidFill>
              <w14:schemeClr w14:val="tx1"/>
            </w14:solidFill>
          </w14:textFill>
        </w:rPr>
      </w:pPr>
      <w:r>
        <w:rPr>
          <w:rFonts w:hint="eastAsia" w:ascii="宋体" w:hAnsi="宋体" w:eastAsia="宋体" w:cs="宋体"/>
          <w:b/>
          <w:color w:val="000000" w:themeColor="text1"/>
          <w:sz w:val="32"/>
          <w:szCs w:val="32"/>
          <w:highlight w:val="none"/>
          <w:u w:val="none"/>
          <w:lang w:eastAsia="zh-CN"/>
          <w14:textFill>
            <w14:solidFill>
              <w14:schemeClr w14:val="tx1"/>
            </w14:solidFill>
          </w14:textFill>
        </w:rPr>
        <w:t>广州净水公司2023年净水厂通风、除臭系统自动化监控改造项目</w:t>
      </w:r>
      <w:r>
        <w:rPr>
          <w:rFonts w:hint="eastAsia" w:ascii="宋体" w:hAnsi="宋体" w:eastAsia="宋体" w:cs="宋体"/>
          <w:b/>
          <w:color w:val="000000" w:themeColor="text1"/>
          <w:sz w:val="32"/>
          <w:szCs w:val="32"/>
          <w:highlight w:val="none"/>
          <w:u w:val="none"/>
          <w14:textFill>
            <w14:solidFill>
              <w14:schemeClr w14:val="tx1"/>
            </w14:solidFill>
          </w14:textFill>
        </w:rPr>
        <w:t>招标公告</w:t>
      </w:r>
    </w:p>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bookmarkStart w:id="61" w:name="_Toc221949923"/>
      <w:r>
        <w:rPr>
          <w:rFonts w:hint="eastAsia" w:ascii="宋体" w:hAnsi="宋体" w:eastAsia="宋体" w:cs="宋体"/>
          <w:b/>
          <w:color w:val="000000" w:themeColor="text1"/>
          <w:sz w:val="24"/>
          <w:szCs w:val="24"/>
          <w:highlight w:val="none"/>
          <w14:textFill>
            <w14:solidFill>
              <w14:schemeClr w14:val="tx1"/>
            </w14:solidFill>
          </w14:textFill>
        </w:rPr>
        <w:t>1.招标条件</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本招标项目</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广州净水公司2023年净水厂通风、除臭系统自动化监控改造项目</w:t>
      </w:r>
      <w:r>
        <w:rPr>
          <w:rFonts w:hint="eastAsia" w:ascii="宋体" w:hAnsi="宋体" w:eastAsia="宋体" w:cs="宋体"/>
          <w:color w:val="000000" w:themeColor="text1"/>
          <w:sz w:val="24"/>
          <w:szCs w:val="24"/>
          <w:highlight w:val="none"/>
          <w14:textFill>
            <w14:solidFill>
              <w14:schemeClr w14:val="tx1"/>
            </w14:solidFill>
          </w14:textFill>
        </w:rPr>
        <w:t>，项目业主为</w:t>
      </w:r>
      <w:r>
        <w:rPr>
          <w:rFonts w:hint="eastAsia" w:ascii="宋体" w:hAnsi="宋体" w:eastAsia="宋体" w:cs="宋体"/>
          <w:color w:val="000000" w:themeColor="text1"/>
          <w:sz w:val="24"/>
          <w:szCs w:val="24"/>
          <w:highlight w:val="none"/>
          <w:u w:val="single"/>
          <w14:textFill>
            <w14:solidFill>
              <w14:schemeClr w14:val="tx1"/>
            </w14:solidFill>
          </w14:textFill>
        </w:rPr>
        <w:t>广州市净水有限公司</w:t>
      </w:r>
      <w:r>
        <w:rPr>
          <w:rFonts w:hint="eastAsia" w:ascii="宋体" w:hAnsi="宋体" w:eastAsia="宋体" w:cs="宋体"/>
          <w:color w:val="000000" w:themeColor="text1"/>
          <w:sz w:val="24"/>
          <w:szCs w:val="24"/>
          <w:highlight w:val="none"/>
          <w14:textFill>
            <w14:solidFill>
              <w14:schemeClr w14:val="tx1"/>
            </w14:solidFill>
          </w14:textFill>
        </w:rPr>
        <w:t>，建设资金来自</w:t>
      </w:r>
      <w:r>
        <w:rPr>
          <w:rFonts w:hint="eastAsia" w:ascii="宋体" w:hAnsi="宋体" w:eastAsia="宋体" w:cs="宋体"/>
          <w:color w:val="000000" w:themeColor="text1"/>
          <w:sz w:val="24"/>
          <w:szCs w:val="24"/>
          <w:highlight w:val="none"/>
          <w:u w:val="single"/>
          <w14:textFill>
            <w14:solidFill>
              <w14:schemeClr w14:val="tx1"/>
            </w14:solidFill>
          </w14:textFill>
        </w:rPr>
        <w:t>企业自筹资金</w:t>
      </w:r>
      <w:r>
        <w:rPr>
          <w:rFonts w:hint="eastAsia" w:ascii="宋体" w:hAnsi="宋体" w:eastAsia="宋体" w:cs="宋体"/>
          <w:color w:val="000000" w:themeColor="text1"/>
          <w:sz w:val="24"/>
          <w:szCs w:val="24"/>
          <w:highlight w:val="none"/>
          <w14:textFill>
            <w14:solidFill>
              <w14:schemeClr w14:val="tx1"/>
            </w14:solidFill>
          </w14:textFill>
        </w:rPr>
        <w:t>，项目出资比例为</w:t>
      </w:r>
      <w:r>
        <w:rPr>
          <w:rFonts w:hint="eastAsia" w:ascii="宋体" w:hAnsi="宋体" w:eastAsia="宋体" w:cs="宋体"/>
          <w:color w:val="000000" w:themeColor="text1"/>
          <w:sz w:val="24"/>
          <w:szCs w:val="24"/>
          <w:highlight w:val="none"/>
          <w:u w:val="single"/>
          <w14:textFill>
            <w14:solidFill>
              <w14:schemeClr w14:val="tx1"/>
            </w14:solidFill>
          </w14:textFill>
        </w:rPr>
        <w:t>100%</w:t>
      </w:r>
      <w:r>
        <w:rPr>
          <w:rFonts w:hint="eastAsia" w:ascii="宋体" w:hAnsi="宋体" w:eastAsia="宋体" w:cs="宋体"/>
          <w:color w:val="000000" w:themeColor="text1"/>
          <w:sz w:val="24"/>
          <w:szCs w:val="24"/>
          <w:highlight w:val="none"/>
          <w14:textFill>
            <w14:solidFill>
              <w14:schemeClr w14:val="tx1"/>
            </w14:solidFill>
          </w14:textFill>
        </w:rPr>
        <w:t>, 招标人为</w:t>
      </w:r>
      <w:r>
        <w:rPr>
          <w:rFonts w:hint="eastAsia" w:ascii="宋体" w:hAnsi="宋体" w:eastAsia="宋体" w:cs="宋体"/>
          <w:color w:val="000000" w:themeColor="text1"/>
          <w:sz w:val="24"/>
          <w:szCs w:val="24"/>
          <w:highlight w:val="none"/>
          <w:u w:val="single"/>
          <w14:textFill>
            <w14:solidFill>
              <w14:schemeClr w14:val="tx1"/>
            </w14:solidFill>
          </w14:textFill>
        </w:rPr>
        <w:t>广州市净水有限公司</w:t>
      </w:r>
      <w:r>
        <w:rPr>
          <w:rFonts w:hint="eastAsia" w:ascii="宋体" w:hAnsi="宋体" w:eastAsia="宋体" w:cs="宋体"/>
          <w:color w:val="000000" w:themeColor="text1"/>
          <w:sz w:val="24"/>
          <w:szCs w:val="24"/>
          <w:highlight w:val="none"/>
          <w14:textFill>
            <w14:solidFill>
              <w14:schemeClr w14:val="tx1"/>
            </w14:solidFill>
          </w14:textFill>
        </w:rPr>
        <w:t>。项目已具备招标条件，现对该项目进行公开招标。</w:t>
      </w:r>
      <w:bookmarkEnd w:id="61"/>
    </w:p>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bookmarkStart w:id="62" w:name="_Toc222030966"/>
      <w:bookmarkStart w:id="63" w:name="_Toc144974481"/>
      <w:bookmarkStart w:id="64" w:name="_Toc222032633"/>
      <w:bookmarkStart w:id="65" w:name="_Toc168475627"/>
      <w:bookmarkStart w:id="66" w:name="_Toc222033815"/>
      <w:bookmarkStart w:id="67" w:name="_Toc221949924"/>
      <w:bookmarkStart w:id="68" w:name="_Toc259524297"/>
      <w:bookmarkStart w:id="69" w:name="_Toc222029464"/>
      <w:bookmarkStart w:id="70" w:name="_Toc229305324"/>
      <w:bookmarkStart w:id="71" w:name="_Toc168476030"/>
      <w:r>
        <w:rPr>
          <w:rFonts w:hint="eastAsia" w:ascii="宋体" w:hAnsi="宋体" w:eastAsia="宋体" w:cs="宋体"/>
          <w:b/>
          <w:color w:val="000000" w:themeColor="text1"/>
          <w:sz w:val="24"/>
          <w:szCs w:val="24"/>
          <w:highlight w:val="none"/>
          <w14:textFill>
            <w14:solidFill>
              <w14:schemeClr w14:val="tx1"/>
            </w14:solidFill>
          </w14:textFill>
        </w:rPr>
        <w:t>2. 项目概况与招标范围</w:t>
      </w:r>
      <w:bookmarkEnd w:id="62"/>
      <w:bookmarkEnd w:id="63"/>
      <w:bookmarkEnd w:id="64"/>
      <w:bookmarkEnd w:id="65"/>
      <w:bookmarkEnd w:id="66"/>
      <w:bookmarkEnd w:id="67"/>
      <w:bookmarkEnd w:id="68"/>
      <w:bookmarkEnd w:id="69"/>
      <w:bookmarkEnd w:id="70"/>
      <w:bookmarkEnd w:id="71"/>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2.1建设地点：广州市。</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2.2项目规模：本项目为</w:t>
      </w:r>
      <w:r>
        <w:rPr>
          <w:rFonts w:hint="eastAsia" w:ascii="宋体" w:hAnsi="宋体" w:eastAsia="宋体" w:cs="宋体"/>
          <w:color w:val="000000" w:themeColor="text1"/>
          <w:sz w:val="24"/>
          <w:szCs w:val="24"/>
          <w:highlight w:val="none"/>
          <w:lang w:eastAsia="zh-CN"/>
          <w14:textFill>
            <w14:solidFill>
              <w14:schemeClr w14:val="tx1"/>
            </w14:solidFill>
          </w14:textFill>
        </w:rPr>
        <w:t>广州净水公司2023年净水厂通风、除臭系统自动化监控改造项目</w:t>
      </w:r>
      <w:r>
        <w:rPr>
          <w:rFonts w:hint="eastAsia" w:ascii="宋体" w:hAnsi="宋体" w:eastAsia="宋体" w:cs="宋体"/>
          <w:color w:val="000000" w:themeColor="text1"/>
          <w:sz w:val="24"/>
          <w:szCs w:val="24"/>
          <w:highlight w:val="none"/>
          <w14:textFill>
            <w14:solidFill>
              <w14:schemeClr w14:val="tx1"/>
            </w14:solidFill>
          </w14:textFill>
        </w:rPr>
        <w:t>，主要涉及猎德分公司除臭系统自动化监控改造、石井净分公司除臭、通风系统自动化监控改造。具体详见需求书。</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2.3本项目最高投标限价（招标控制价）：</w:t>
      </w:r>
      <w:r>
        <w:rPr>
          <w:rFonts w:hint="eastAsia" w:ascii="宋体" w:hAnsi="宋体" w:eastAsia="宋体" w:cs="宋体"/>
          <w:color w:val="000000" w:themeColor="text1"/>
          <w:sz w:val="24"/>
          <w:szCs w:val="24"/>
          <w:highlight w:val="none"/>
          <w:u w:val="single"/>
          <w14:textFill>
            <w14:solidFill>
              <w14:schemeClr w14:val="tx1"/>
            </w14:solidFill>
          </w14:textFill>
        </w:rPr>
        <w:t>757</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360434</w:t>
      </w:r>
      <w:r>
        <w:rPr>
          <w:rFonts w:hint="eastAsia" w:ascii="宋体" w:hAnsi="宋体" w:eastAsia="宋体" w:cs="宋体"/>
          <w:color w:val="000000" w:themeColor="text1"/>
          <w:sz w:val="24"/>
          <w:szCs w:val="24"/>
          <w:highlight w:val="none"/>
          <w14:textFill>
            <w14:solidFill>
              <w14:schemeClr w14:val="tx1"/>
            </w14:solidFill>
          </w14:textFill>
        </w:rPr>
        <w:t>万元。（具体详见最高投标限价公布函）</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2.4计划工期：猎德分公司除臭系统自动化监控改造项目</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120天；石井净分公司除臭、通风系统自动化监控改造项目：120天（包括施工、调试和试运行）</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2.5招标内容：猎德分公司除臭系统自动化监控改造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石井净分公司除臭、通风系统自动化监控改造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（具体工作内容详见工程量清单及相关资料为准）</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2.6标段划分：</w:t>
      </w:r>
      <w:r>
        <w:rPr>
          <w:rFonts w:hint="eastAsia" w:ascii="宋体" w:hAnsi="宋体" w:eastAsia="宋体" w:cs="宋体"/>
          <w:color w:val="000000" w:themeColor="text1"/>
          <w:sz w:val="24"/>
          <w:szCs w:val="24"/>
          <w:highlight w:val="none"/>
          <w:u w:val="singl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个标段。</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2.7承包方式：综合单价包干。</w:t>
      </w:r>
    </w:p>
    <w:p>
      <w:pPr>
        <w:pStyle w:val="50"/>
        <w:rPr>
          <w:rFonts w:hint="eastAsia" w:ascii="宋体" w:hAnsi="宋体" w:eastAsia="宋体" w:cs="宋体"/>
          <w:highlight w:val="none"/>
        </w:rPr>
      </w:pPr>
      <w:r>
        <w:rPr>
          <w:rFonts w:hint="eastAsia" w:ascii="宋体" w:hAnsi="宋体" w:eastAsia="宋体" w:cs="宋体"/>
          <w:highlight w:val="none"/>
        </w:rPr>
        <w:t>注:投标人的投标总报价高于本项目的最高投标限价，则其投标将被拒绝（具体详见最高投标限价公布函）。</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bookmarkStart w:id="72" w:name="_Toc259524298"/>
      <w:bookmarkStart w:id="73" w:name="_Toc222032634"/>
      <w:bookmarkStart w:id="74" w:name="_Toc168476031"/>
      <w:bookmarkStart w:id="75" w:name="_Toc222030967"/>
      <w:bookmarkStart w:id="76" w:name="_Toc168475628"/>
      <w:bookmarkStart w:id="77" w:name="_Toc229305325"/>
      <w:bookmarkStart w:id="78" w:name="_Toc221949926"/>
      <w:bookmarkStart w:id="79" w:name="_Toc222029465"/>
      <w:bookmarkStart w:id="80" w:name="_Toc222033816"/>
      <w:bookmarkStart w:id="81" w:name="_Toc144974482"/>
      <w:r>
        <w:rPr>
          <w:rFonts w:hint="eastAsia" w:ascii="宋体" w:hAnsi="宋体" w:eastAsia="宋体" w:cs="宋体"/>
          <w:b/>
          <w:color w:val="000000" w:themeColor="text1"/>
          <w:highlight w:val="none"/>
          <w14:textFill>
            <w14:solidFill>
              <w14:schemeClr w14:val="tx1"/>
            </w14:solidFill>
          </w14:textFill>
        </w:rPr>
        <w:t>3. 投标人资格要求</w:t>
      </w:r>
      <w:bookmarkEnd w:id="72"/>
      <w:bookmarkEnd w:id="73"/>
      <w:bookmarkEnd w:id="74"/>
      <w:bookmarkEnd w:id="75"/>
      <w:bookmarkEnd w:id="76"/>
      <w:bookmarkEnd w:id="77"/>
      <w:bookmarkEnd w:id="78"/>
      <w:bookmarkEnd w:id="79"/>
      <w:bookmarkEnd w:id="80"/>
      <w:bookmarkEnd w:id="81"/>
    </w:p>
    <w:p>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r>
        <w:rPr>
          <w:rFonts w:hint="eastAsia" w:ascii="宋体" w:hAnsi="宋体" w:eastAsia="宋体" w:cs="宋体"/>
          <w:bCs/>
          <w:color w:val="000000" w:themeColor="text1"/>
          <w:sz w:val="24"/>
          <w:szCs w:val="24"/>
          <w:highlight w:val="none"/>
          <w14:textFill>
            <w14:solidFill>
              <w14:schemeClr w14:val="tx1"/>
            </w14:solidFill>
          </w14:textFill>
        </w:rPr>
        <w:t>投标人应具备承担本项目施工的资质条件、能力和信誉。</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3.1.1本次招标要求申请人须是在中华人民共和国境内注册的法人或其他组织，具有独立法人资格，持有事业单位登记管理部门核发的事业单位法人证书或工商行政管理部门核发的企业法人营业执照，且在有效期内。</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3.1.2投标人具有承接本工程所需的电子与智能化工程专业承包二级（或以上）资质。</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3.1.3安全生产许可证：投标人需具有有效的建设行政主管部门颁发的安全生产许可证。</w:t>
      </w:r>
    </w:p>
    <w:p>
      <w:pPr>
        <w:pStyle w:val="99"/>
        <w:spacing w:before="0" w:after="0" w:line="360" w:lineRule="auto"/>
        <w:ind w:firstLine="540"/>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3.1.4项目负责人资格：拟派的项目负责人需具有机电工程专业二级或以上注册建造师，为投标申请人本企业信息登记中的在册人员。同时具有建设行政主管部门颁发的安全生产考核合格证书（B类）,或建筑施工企业项目负责人安全生产考核合格证书。</w:t>
      </w:r>
    </w:p>
    <w:p>
      <w:pPr>
        <w:pStyle w:val="99"/>
        <w:spacing w:before="0" w:after="0" w:line="360" w:lineRule="auto"/>
        <w:ind w:firstLine="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①根据《广东省住房和城乡建设厅关于明确二级建造师注册执业有关问题的通知（粤建市函〔2023〕469号）》，二级建造师应在考试取得执业资格的省、自治区、直辖市申请注册，二级注册建造师可随注册企业在全国范围内执业。投标人应提供有效的二级建造师执业资格证书。（注：注册建造师电子证书须由本人在个人签名处手写签名，未手写签名或与签名图像笔迹不一致的，电子证书无效）。</w:t>
      </w:r>
    </w:p>
    <w:p>
      <w:pPr>
        <w:pStyle w:val="99"/>
        <w:spacing w:before="0" w:after="0" w:line="360" w:lineRule="auto"/>
        <w:ind w:firstLine="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②项目负责人在任职期间不得担任专职安全员，项目专职安全员在任职期间也不得担任项目负责人，项目负责人和安全员不为同一人。</w:t>
      </w:r>
    </w:p>
    <w:p>
      <w:pPr>
        <w:pStyle w:val="99"/>
        <w:spacing w:before="0" w:after="0" w:line="360" w:lineRule="auto"/>
        <w:ind w:firstLine="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③资质内容按照建市[2014]159号文颁布的《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办公厅关于做好建筑业“证照分离”改革衔接有关工作的通知》（建办市〔2021〕30号）、《住房和城乡建设部办公厅关于建设工程企业资质有关事宜的通知》（建办市函〔2022〕361号）和《广东省住房和城乡建设厅关于建设工程企业资质有关事宜的通知》（粤建许函〔2022〕846号）的要求设置。</w:t>
      </w:r>
    </w:p>
    <w:p>
      <w:pPr>
        <w:pStyle w:val="99"/>
        <w:spacing w:before="0" w:after="0" w:line="360" w:lineRule="auto"/>
        <w:ind w:firstLine="54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④投标人拟派的项目负责人应未被广州公共资源交易中心锁定，投标人办理网上投标登记时，拟派项目负责人将被锁定。若在评标时发现该项目负责人已被其他项目锁定，则投标人将不可被推荐为中标候选人。项目负责人的解锁和更换按《广州市水务工程建设项目负责人更换与解锁办事指引》办理。</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3.1.5专职安全员资格要求：专职安全员不少于1人，应具有有效的建设行政主管部门颁发的安全生产考核合格证书（C类）或能够提供建筑施工企业专职安全生产管理人员安全生产考核合格证书（C3），专职安全员和项目负责人不得为同一人。</w:t>
      </w:r>
    </w:p>
    <w:p>
      <w:pPr>
        <w:pStyle w:val="99"/>
        <w:spacing w:before="0" w:after="0" w:line="360" w:lineRule="auto"/>
        <w:ind w:firstLine="540"/>
        <w:rPr>
          <w:rFonts w:hint="eastAsia" w:ascii="宋体" w:hAnsi="宋体" w:eastAsia="宋体" w:cs="宋体"/>
          <w:i/>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3.1.6类似项目业绩要求：无。</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3.1.7提交社保文件的要求：投标申请人须保证授权的委托代理人及项目部主要组成人员（项目负责人、专职安全员）均为本单位的正式职工，必须具有离</w:t>
      </w:r>
      <w:bookmarkStart w:id="82" w:name="_Hlk136939148"/>
      <w:r>
        <w:rPr>
          <w:rFonts w:hint="eastAsia" w:ascii="宋体" w:hAnsi="宋体" w:eastAsia="宋体" w:cs="宋体"/>
          <w:color w:val="000000" w:themeColor="text1"/>
          <w:highlight w:val="none"/>
          <w14:textFill>
            <w14:solidFill>
              <w14:schemeClr w14:val="tx1"/>
            </w14:solidFill>
          </w14:textFill>
        </w:rPr>
        <w:t>投标截止时间</w:t>
      </w:r>
      <w:bookmarkEnd w:id="82"/>
      <w:r>
        <w:rPr>
          <w:rFonts w:hint="eastAsia" w:ascii="宋体" w:hAnsi="宋体" w:eastAsia="宋体" w:cs="宋体"/>
          <w:color w:val="000000" w:themeColor="text1"/>
          <w:highlight w:val="none"/>
          <w14:textFill>
            <w14:solidFill>
              <w14:schemeClr w14:val="tx1"/>
            </w14:solidFill>
          </w14:textFill>
        </w:rPr>
        <w:t>最近一个月</w:t>
      </w:r>
      <w:bookmarkStart w:id="83" w:name="_Hlk136939269"/>
      <w:r>
        <w:rPr>
          <w:rFonts w:hint="eastAsia" w:ascii="宋体" w:hAnsi="宋体" w:eastAsia="宋体" w:cs="宋体"/>
          <w:color w:val="000000" w:themeColor="text1"/>
          <w:highlight w:val="none"/>
          <w14:textFill>
            <w14:solidFill>
              <w14:schemeClr w14:val="tx1"/>
            </w14:solidFill>
          </w14:textFill>
        </w:rPr>
        <w:t>（时间为：2023年</w:t>
      </w:r>
      <w:r>
        <w:rPr>
          <w:rFonts w:hint="eastAsia" w:ascii="宋体" w:hAnsi="宋体" w:eastAsia="宋体" w:cs="宋体"/>
          <w:color w:val="000000" w:themeColor="text1"/>
          <w:highlight w:val="none"/>
          <w:lang w:val="en-US" w:eastAsia="zh-CN"/>
          <w14:textFill>
            <w14:solidFill>
              <w14:schemeClr w14:val="tx1"/>
            </w14:solidFill>
          </w14:textFill>
        </w:rPr>
        <w:t>8月</w:t>
      </w:r>
      <w:r>
        <w:rPr>
          <w:rFonts w:hint="eastAsia" w:ascii="宋体" w:hAnsi="宋体" w:eastAsia="宋体" w:cs="宋体"/>
          <w:color w:val="000000" w:themeColor="text1"/>
          <w:highlight w:val="none"/>
          <w14:textFill>
            <w14:solidFill>
              <w14:schemeClr w14:val="tx1"/>
            </w14:solidFill>
          </w14:textFill>
        </w:rPr>
        <w:t>）</w:t>
      </w:r>
      <w:bookmarkEnd w:id="83"/>
      <w:r>
        <w:rPr>
          <w:rFonts w:hint="eastAsia" w:ascii="宋体" w:hAnsi="宋体" w:eastAsia="宋体" w:cs="宋体"/>
          <w:color w:val="000000" w:themeColor="text1"/>
          <w:highlight w:val="none"/>
          <w14:textFill>
            <w14:solidFill>
              <w14:schemeClr w14:val="tx1"/>
            </w14:solidFill>
          </w14:textFill>
        </w:rPr>
        <w:t>在本单位交纳的社保证明文件（以加盖社会保险基金管理中心印章的《投保单》或《社会保险参保人员证明》资料为准）。</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3.1.8投标人不得存在下列情形之一（投标人按招标文件规定格式提供《投标人声明》，除非另有要求，不需要在投标文件中提供证明材料）：</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（1）为招标人不具有独立法人资格的附属机构（单位）；</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（2）为本标段前期准备提供设计或咨询服务或者与本项目设计人或提供咨询服务的机构存在附属关系的；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（3）为本标段监理人或者与本标段监理人存在隶属关系或者其他利害关系；</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（4）为本标段的代建人；</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（5）为本标段提供招标代理服务的； </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（6）与本标段的监理人或代建人或招标代理机构同为一个法定代表人的；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（7）与本标段的监理人或代建人或招标代理机构相互控股或参股的；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（8）与本标段的监理人或代建人或招标代理机构相互任职或工作的；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（9）与本标段的检测机构有隶属关系或者其他利害关系；</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（10）与招标人存在利害关系且可能影响招标公正性；</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（11）被责令停产停业、暂扣或者吊销许可证、暂扣或者吊销执照的（本项事实应当以根据《中华人民共和国行政处罚法》依法作出并已经生效的行政处罚决定为认定依据）；</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被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（13）财产被接管或冻结的；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（14）单位负责人为同一人或者存在控股、管理关系的不同单位，同时参加本招标项目投标；</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（15）投标人、投标人主要负责人及拟投入人员在招标投标、合同履行、安全事故方面因违反有关法律、法规规定受到相关行政管理部门的行政处罚，被取消投标资格的。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（16）进入清算程序，或被宣布破产，或其他丧失履约能力的情形；</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（18）被“信用广州”网站纳入失信联合惩戒名单（失信黑名单）；</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（19）在近三年内投标人或其法定代表人、拟委派的项目负责人有行贿犯罪行为的；</w:t>
      </w:r>
    </w:p>
    <w:p>
      <w:pPr>
        <w:pStyle w:val="99"/>
        <w:spacing w:before="0" w:after="0" w:line="360" w:lineRule="auto"/>
        <w:ind w:firstLine="54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（20）法律法规规定的其他情形。</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3.2本次招标不接受联合体投标。</w:t>
      </w:r>
    </w:p>
    <w:p>
      <w:pPr>
        <w:spacing w:line="360" w:lineRule="auto"/>
        <w:ind w:firstLine="540" w:firstLineChars="22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3.3本次招标要求投标人已在广州公共资源交易中心办理信息登记等相关投标登记手续。</w:t>
      </w:r>
    </w:p>
    <w:p>
      <w:pPr>
        <w:spacing w:line="360" w:lineRule="auto"/>
        <w:ind w:firstLine="540" w:firstLineChars="22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3.4投标人已按招标文件规定格式签署盖章的《投标人声明》，该声明必须由法定代表人或其委托代理人、项目负责人、技术负责人签字或签章及加盖单位公章，否则不予通过资格审查。</w:t>
      </w:r>
    </w:p>
    <w:p>
      <w:pPr>
        <w:spacing w:line="360" w:lineRule="auto"/>
        <w:ind w:firstLine="540" w:firstLineChars="22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3.5本次招标实行资格后审,资格审查不合格的投标人投标文件将按无效投标处理被否决。</w:t>
      </w:r>
    </w:p>
    <w:p>
      <w:pPr>
        <w:spacing w:line="360" w:lineRule="auto"/>
        <w:ind w:firstLine="540" w:firstLineChars="22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3.6投标申请人须在投标文件中按招标文件要求提交签署盖章的《投标人廉洁承诺书》。</w:t>
      </w:r>
    </w:p>
    <w:p>
      <w:pPr>
        <w:spacing w:line="360" w:lineRule="auto"/>
        <w:ind w:firstLine="540" w:firstLineChars="22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注：未在招标公告第3条单列的资审合格条件，不作为资审不合格的依据。</w:t>
      </w:r>
    </w:p>
    <w:p>
      <w:pPr>
        <w:pStyle w:val="50"/>
        <w:rPr>
          <w:rFonts w:hint="eastAsia" w:ascii="宋体" w:hAnsi="宋体" w:eastAsia="宋体" w:cs="宋体"/>
          <w:color w:val="000000" w:themeColor="text1"/>
          <w:highlight w:val="none"/>
          <w14:textFill>
            <w14:solidFill>
              <w14:schemeClr w14:val="tx1"/>
            </w14:solidFill>
          </w14:textFill>
        </w:rPr>
      </w:pPr>
    </w:p>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bookmarkStart w:id="84" w:name="_Toc168475629"/>
      <w:bookmarkStart w:id="85" w:name="_Toc221949930"/>
      <w:bookmarkStart w:id="86" w:name="_Toc229305326"/>
      <w:bookmarkStart w:id="87" w:name="_Toc222033817"/>
      <w:bookmarkStart w:id="88" w:name="_Toc222030968"/>
      <w:bookmarkStart w:id="89" w:name="_Toc222029466"/>
      <w:bookmarkStart w:id="90" w:name="_Toc144974483"/>
      <w:bookmarkStart w:id="91" w:name="_Toc259524299"/>
      <w:bookmarkStart w:id="92" w:name="_Toc168476032"/>
      <w:bookmarkStart w:id="93" w:name="_Toc222032635"/>
      <w:r>
        <w:rPr>
          <w:rFonts w:hint="eastAsia" w:ascii="宋体" w:hAnsi="宋体" w:eastAsia="宋体" w:cs="宋体"/>
          <w:b/>
          <w:color w:val="000000" w:themeColor="text1"/>
          <w:sz w:val="24"/>
          <w:szCs w:val="24"/>
          <w:highlight w:val="none"/>
          <w14:textFill>
            <w14:solidFill>
              <w14:schemeClr w14:val="tx1"/>
            </w14:solidFill>
          </w14:textFill>
        </w:rPr>
        <w:t>4. 招标公告和招标文件的获取</w:t>
      </w:r>
      <w:bookmarkEnd w:id="84"/>
      <w:bookmarkEnd w:id="85"/>
      <w:bookmarkEnd w:id="86"/>
      <w:bookmarkEnd w:id="87"/>
      <w:bookmarkEnd w:id="88"/>
      <w:bookmarkEnd w:id="89"/>
      <w:bookmarkEnd w:id="90"/>
      <w:bookmarkEnd w:id="91"/>
      <w:bookmarkEnd w:id="92"/>
      <w:bookmarkEnd w:id="93"/>
    </w:p>
    <w:p>
      <w:pPr>
        <w:widowControl/>
        <w:spacing w:line="360" w:lineRule="auto"/>
        <w:ind w:firstLine="540" w:firstLineChars="225"/>
        <w:rPr>
          <w:rStyle w:val="102"/>
          <w:rFonts w:hint="eastAsia" w:ascii="宋体" w:hAnsi="宋体" w:eastAsia="宋体" w:cs="宋体"/>
          <w:bCs/>
          <w:color w:val="000000" w:themeColor="text1"/>
          <w:sz w:val="24"/>
          <w:highlight w:val="none"/>
          <w14:textFill>
            <w14:solidFill>
              <w14:schemeClr w14:val="tx1"/>
            </w14:solidFill>
          </w14:textFill>
        </w:rPr>
      </w:pPr>
      <w:bookmarkStart w:id="94" w:name="_Toc221949931"/>
      <w:r>
        <w:rPr>
          <w:rFonts w:hint="eastAsia" w:ascii="宋体" w:hAnsi="宋体" w:eastAsia="宋体" w:cs="宋体"/>
          <w:color w:val="000000" w:themeColor="text1"/>
          <w:sz w:val="24"/>
          <w:szCs w:val="24"/>
          <w:highlight w:val="none"/>
          <w14:textFill>
            <w14:solidFill>
              <w14:schemeClr w14:val="tx1"/>
            </w14:solidFill>
          </w14:textFill>
        </w:rPr>
        <w:t>4.1</w:t>
      </w:r>
      <w:r>
        <w:rPr>
          <w:rStyle w:val="102"/>
          <w:rFonts w:hint="eastAsia" w:ascii="宋体" w:hAnsi="宋体" w:eastAsia="宋体" w:cs="宋体"/>
          <w:bCs/>
          <w:color w:val="000000" w:themeColor="text1"/>
          <w:sz w:val="24"/>
          <w:highlight w:val="none"/>
          <w14:textFill>
            <w14:solidFill>
              <w14:schemeClr w14:val="tx1"/>
            </w14:solidFill>
          </w14:textFill>
        </w:rPr>
        <w:t>招标公告发布时间</w:t>
      </w:r>
    </w:p>
    <w:p>
      <w:pPr>
        <w:widowControl/>
        <w:spacing w:line="360" w:lineRule="auto"/>
        <w:ind w:firstLine="540" w:firstLineChars="225"/>
        <w:rPr>
          <w:rStyle w:val="102"/>
          <w:rFonts w:hint="eastAsia" w:ascii="宋体" w:hAnsi="宋体" w:eastAsia="宋体" w:cs="宋体"/>
          <w:color w:val="000000" w:themeColor="text1"/>
          <w:sz w:val="24"/>
          <w:szCs w:val="24"/>
          <w:highlight w:val="none"/>
          <w14:textFill>
            <w14:solidFill>
              <w14:schemeClr w14:val="tx1"/>
            </w14:solidFill>
          </w14:textFill>
        </w:rPr>
      </w:pPr>
      <w:r>
        <w:rPr>
          <w:rStyle w:val="102"/>
          <w:rFonts w:hint="eastAsia" w:ascii="宋体" w:hAnsi="宋体" w:eastAsia="宋体" w:cs="宋体"/>
          <w:bCs/>
          <w:color w:val="000000" w:themeColor="text1"/>
          <w:sz w:val="24"/>
          <w:highlight w:val="none"/>
          <w14:textFill>
            <w14:solidFill>
              <w14:schemeClr w14:val="tx1"/>
            </w14:solidFill>
          </w14:textFill>
        </w:rPr>
        <w:t>从2023年</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月</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日</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时</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分至2023年</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月</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日</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时</w:t>
      </w:r>
      <w:r>
        <w:rPr>
          <w:rStyle w:val="102"/>
          <w:rFonts w:hint="eastAsia" w:ascii="宋体" w:hAnsi="宋体" w:eastAsia="宋体" w:cs="宋体"/>
          <w:bCs/>
          <w:color w:val="000000" w:themeColor="text1"/>
          <w:sz w:val="24"/>
          <w:highlight w:val="none"/>
          <w:u w:val="single"/>
          <w14:textFill>
            <w14:solidFill>
              <w14:schemeClr w14:val="tx1"/>
            </w14:solidFill>
          </w14:textFill>
        </w:rPr>
        <w:t xml:space="preserve">  </w:t>
      </w:r>
      <w:r>
        <w:rPr>
          <w:rStyle w:val="102"/>
          <w:rFonts w:hint="eastAsia" w:ascii="宋体" w:hAnsi="宋体" w:eastAsia="宋体" w:cs="宋体"/>
          <w:bCs/>
          <w:color w:val="000000" w:themeColor="text1"/>
          <w:sz w:val="24"/>
          <w:highlight w:val="none"/>
          <w14:textFill>
            <w14:solidFill>
              <w14:schemeClr w14:val="tx1"/>
            </w14:solidFill>
          </w14:textFill>
        </w:rPr>
        <w:t>分（注：发布招标公告的时间为招标公告发出之日起至投标截止时间止）。</w:t>
      </w:r>
    </w:p>
    <w:p>
      <w:pPr>
        <w:widowControl/>
        <w:spacing w:line="360" w:lineRule="auto"/>
        <w:ind w:firstLine="540" w:firstLineChars="225"/>
        <w:rPr>
          <w:rStyle w:val="102"/>
          <w:rFonts w:hint="eastAsia" w:ascii="宋体" w:hAnsi="宋体" w:eastAsia="宋体" w:cs="宋体"/>
          <w:bCs/>
          <w:color w:val="000000" w:themeColor="text1"/>
          <w:sz w:val="24"/>
          <w:highlight w:val="none"/>
          <w14:textFill>
            <w14:solidFill>
              <w14:schemeClr w14:val="tx1"/>
            </w14:solidFill>
          </w14:textFill>
        </w:rPr>
      </w:pPr>
      <w:r>
        <w:rPr>
          <w:rStyle w:val="102"/>
          <w:rFonts w:hint="eastAsia" w:ascii="宋体" w:hAnsi="宋体" w:eastAsia="宋体" w:cs="宋体"/>
          <w:bCs/>
          <w:color w:val="000000" w:themeColor="text1"/>
          <w:sz w:val="24"/>
          <w:highlight w:val="none"/>
          <w14:textFill>
            <w14:solidFill>
              <w14:schemeClr w14:val="tx1"/>
            </w14:solidFill>
          </w14:textFill>
        </w:rPr>
        <w:t>4.2招标文件获取方式</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本项目招标文件随招标公告一并在广州公共资源交易中心网站发布，由投标人自行下载。</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4.3如招标人需发布补充公告的，以最后发布的补充公告的时间起计算编制投标文件时间，并需在招标答疑中明确说明。</w:t>
      </w:r>
    </w:p>
    <w:bookmarkEnd w:id="94"/>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bookmarkStart w:id="95" w:name="_Toc222030969"/>
      <w:bookmarkStart w:id="96" w:name="_Toc221949934"/>
      <w:bookmarkStart w:id="97" w:name="_Toc144974484"/>
      <w:bookmarkStart w:id="98" w:name="_Toc259524300"/>
      <w:bookmarkStart w:id="99" w:name="_Toc222029467"/>
      <w:bookmarkStart w:id="100" w:name="_Toc168475630"/>
      <w:bookmarkStart w:id="101" w:name="_Toc222032636"/>
      <w:bookmarkStart w:id="102" w:name="_Toc168476033"/>
      <w:bookmarkStart w:id="103" w:name="_Toc229305327"/>
      <w:bookmarkStart w:id="104" w:name="_Toc222033818"/>
      <w:r>
        <w:rPr>
          <w:rFonts w:hint="eastAsia" w:ascii="宋体" w:hAnsi="宋体" w:eastAsia="宋体" w:cs="宋体"/>
          <w:b/>
          <w:color w:val="000000" w:themeColor="text1"/>
          <w:sz w:val="24"/>
          <w:szCs w:val="24"/>
          <w:highlight w:val="none"/>
          <w14:textFill>
            <w14:solidFill>
              <w14:schemeClr w14:val="tx1"/>
            </w14:solidFill>
          </w14:textFill>
        </w:rPr>
        <w:t>5. 投标文件的递交</w:t>
      </w:r>
      <w:bookmarkEnd w:id="95"/>
      <w:bookmarkEnd w:id="96"/>
      <w:bookmarkEnd w:id="97"/>
      <w:bookmarkEnd w:id="98"/>
      <w:bookmarkEnd w:id="99"/>
      <w:bookmarkEnd w:id="100"/>
      <w:bookmarkEnd w:id="101"/>
      <w:bookmarkEnd w:id="102"/>
      <w:bookmarkEnd w:id="103"/>
      <w:bookmarkEnd w:id="104"/>
    </w:p>
    <w:p>
      <w:pPr>
        <w:widowControl/>
        <w:spacing w:line="360" w:lineRule="auto"/>
        <w:ind w:firstLine="540" w:firstLineChars="225"/>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本项目采用电子投标，投标文件递交的截止时间（投标截止时间，下同）为____年____月____日____时____分，具体递交要求以招标文件为准。有关电子投标的帮助文件可自行在广州公共资源交易中心网站相关栏目下载。路径为</w:t>
      </w:r>
      <w:r>
        <w:rPr>
          <w:rFonts w:hint="eastAsia" w:ascii="宋体" w:hAnsi="宋体" w:eastAsia="宋体" w:cs="宋体"/>
          <w:color w:val="000000" w:themeColor="text1"/>
          <w:kern w:val="0"/>
          <w:sz w:val="24"/>
          <w:szCs w:val="24"/>
          <w:highlight w:val="none"/>
          <w14:textFill>
            <w14:solidFill>
              <w14:schemeClr w14:val="tx1"/>
            </w14:solidFill>
          </w14:textFill>
        </w:rPr>
        <w:t>广州公共资源交易中心网站服务指南》系统帮助》工具下载》</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"http://www.gzzb.gd.cn/cms/wz/view/index/layout3/index.jsp?siteId=1&amp;infoId=405036&amp;channelId=90" \t "_blank" </w:instrText>
      </w:r>
      <w:r>
        <w:rPr>
          <w:rFonts w:hint="eastAsia" w:ascii="宋体" w:hAnsi="宋体" w:eastAsia="宋体" w:cs="宋体"/>
          <w:color w:val="000000" w:themeColor="text1"/>
          <w:highlight w:val="none"/>
          <w14:textFill>
            <w14:solidFill>
              <w14:schemeClr w14:val="tx1"/>
            </w14:solidFill>
          </w14:textFill>
        </w:rPr>
        <w:fldChar w:fldCharType="separate"/>
      </w:r>
      <w:r>
        <w:rPr>
          <w:rStyle w:val="48"/>
          <w:rFonts w:hint="eastAsia" w:ascii="宋体" w:hAnsi="宋体" w:eastAsia="宋体" w:cs="宋体"/>
          <w:color w:val="000000" w:themeColor="text1"/>
          <w:sz w:val="24"/>
          <w:szCs w:val="24"/>
          <w:highlight w:val="none"/>
          <w14:textFill>
            <w14:solidFill>
              <w14:schemeClr w14:val="tx1"/>
            </w14:solidFill>
          </w14:textFill>
        </w:rPr>
        <w:t>电子资审、电子评标相关软件下载</w:t>
      </w:r>
      <w:r>
        <w:rPr>
          <w:rStyle w:val="48"/>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14:textFill>
            <w14:solidFill>
              <w14:schemeClr w14:val="tx1"/>
            </w14:solidFill>
          </w14:textFill>
        </w:rPr>
        <w:t>：http://www.gzggzy.cn/fwznxtbzgjxz/731073.jhtml</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5.2开标开始时间和地点：2023年___月___日___时___分在广州公共资源</w:t>
      </w:r>
      <w:r>
        <w:rPr>
          <w:rFonts w:hint="eastAsia" w:ascii="宋体" w:hAnsi="宋体" w:eastAsia="宋体" w:cs="宋体"/>
          <w:color w:val="000000" w:themeColor="text1"/>
          <w:sz w:val="24"/>
          <w:szCs w:val="24"/>
          <w:highlight w:val="none"/>
          <w:u w:val="single"/>
          <w14:textFill>
            <w14:solidFill>
              <w14:schemeClr w14:val="tx1"/>
            </w14:solidFill>
          </w14:textFill>
        </w:rPr>
        <w:t>交易中心</w:t>
      </w:r>
      <w:r>
        <w:rPr>
          <w:rFonts w:hint="eastAsia" w:ascii="宋体" w:hAnsi="宋体" w:eastAsia="宋体" w:cs="宋体"/>
          <w:color w:val="000000" w:themeColor="text1"/>
          <w:sz w:val="24"/>
          <w:szCs w:val="24"/>
          <w:highlight w:val="none"/>
          <w14:textFill>
            <w14:solidFill>
              <w14:schemeClr w14:val="tx1"/>
            </w14:solidFill>
          </w14:textFill>
        </w:rPr>
        <w:t>。(注：开标开始时间为投标人解密投标文件的结束时间之后，解密时间以招标文件规定为准。)</w:t>
      </w:r>
      <w:r>
        <w:rPr>
          <w:rFonts w:hint="eastAsia" w:ascii="宋体" w:hAnsi="宋体" w:eastAsia="宋体" w:cs="宋体"/>
          <w:color w:val="000000" w:themeColor="text1"/>
          <w:sz w:val="24"/>
          <w:szCs w:val="24"/>
          <w:highlight w:val="none"/>
          <w:u w:val="single"/>
          <w14:textFill>
            <w14:solidFill>
              <w14:schemeClr w14:val="tx1"/>
            </w14:solidFill>
          </w14:textFill>
        </w:rPr>
        <w:t>投标人也可选择参加在线开标，具体按照交易平台相关指南进行操作。详见：广州公共资源交易中心网站。</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5.3投标截止时间与开标开始时间是否有变化，请密切留意招标答疑中的相关信息。递交投标文件截止时间后，开标开始时间因故推迟的，相关评标信息仍以原递交投标文件截止时间的信息为准。</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bookmarkStart w:id="105" w:name="_Toc221949936"/>
      <w:r>
        <w:rPr>
          <w:rFonts w:hint="eastAsia" w:ascii="宋体" w:hAnsi="宋体" w:eastAsia="宋体" w:cs="宋体"/>
          <w:color w:val="000000" w:themeColor="text1"/>
          <w:sz w:val="24"/>
          <w:szCs w:val="24"/>
          <w:highlight w:val="none"/>
          <w14:textFill>
            <w14:solidFill>
              <w14:schemeClr w14:val="tx1"/>
            </w14:solidFill>
          </w14:textFill>
        </w:rPr>
        <w:t>5.4逾期送达的或者未送达指定地点的投标文件，招标人不予受理。</w:t>
      </w:r>
      <w:bookmarkEnd w:id="105"/>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5.5 投标人在递交投标文件前，应按广州公共资源交易中心要求办理进场和投标登记手续，否则后果自负。</w:t>
      </w:r>
    </w:p>
    <w:p>
      <w:pPr>
        <w:widowControl/>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5.6</w:t>
      </w:r>
      <w:r>
        <w:rPr>
          <w:rFonts w:hint="eastAsia" w:ascii="宋体" w:hAnsi="宋体" w:eastAsia="宋体" w:cs="宋体"/>
          <w:color w:val="000000" w:themeColor="text1"/>
          <w:sz w:val="24"/>
          <w:szCs w:val="24"/>
          <w:highlight w:val="none"/>
          <w14:textFill>
            <w14:solidFill>
              <w14:schemeClr w14:val="tx1"/>
            </w14:solidFill>
          </w14:textFill>
        </w:rPr>
        <w:t>工程量清单报价表应使用符合广东省标准《建设工程政府投资项目造价数据标准（DBJ/T15-145-2018）》及后续版本的有关规定。</w:t>
      </w:r>
    </w:p>
    <w:p>
      <w:pPr>
        <w:widowControl/>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5.7投标人应自行检查广州公共资源交易中心信息登记中的企业基础信息扫描件（包括企业资质证书、企业营业执照、企业安全生产许可证、项目负责人相关证书、安全员安全生产考核合格证等），评标委员会对上述资料的审查将以递交投标文件截止时间在广州公共资源交易中心信息登记的信息为依据。投标人应及时维护其在广州公共资源交易中心信息登记的信息，确保各项信息在有效期内。如因投标单位资料缺失导致资格审查不通过，责任由投标单位自行承担。</w:t>
      </w:r>
    </w:p>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bookmarkStart w:id="106" w:name="_Toc222032637"/>
      <w:bookmarkStart w:id="107" w:name="_Toc222029468"/>
      <w:bookmarkStart w:id="108" w:name="_Toc229305328"/>
      <w:bookmarkStart w:id="109" w:name="_Toc259524301"/>
      <w:bookmarkStart w:id="110" w:name="_Toc221949937"/>
      <w:bookmarkStart w:id="111" w:name="_Toc222033819"/>
      <w:bookmarkStart w:id="112" w:name="_Toc222030970"/>
      <w:r>
        <w:rPr>
          <w:rFonts w:hint="eastAsia" w:ascii="宋体" w:hAnsi="宋体" w:eastAsia="宋体" w:cs="宋体"/>
          <w:b/>
          <w:color w:val="000000" w:themeColor="text1"/>
          <w:sz w:val="24"/>
          <w:szCs w:val="24"/>
          <w:highlight w:val="none"/>
          <w14:textFill>
            <w14:solidFill>
              <w14:schemeClr w14:val="tx1"/>
            </w14:solidFill>
          </w14:textFill>
        </w:rPr>
        <w:t>6、办理投标登记手续</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投标人应在投标截止时间前，登录广州公共资源交易中心网站办理网上投标登记手续。</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6.1投标人应遵循以下程序完成网上投标登记手续：</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（1）登录广州公共资源交易中心网站投标人服务专区完成的相关信息录入。</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（2）核对并确认投标信息无误后，上传带有</w:t>
      </w:r>
      <w:r>
        <w:rPr>
          <w:rFonts w:hint="eastAsia" w:ascii="宋体" w:hAnsi="宋体" w:eastAsia="宋体" w:cs="宋体"/>
          <w:strike/>
          <w:color w:val="000000" w:themeColor="text1"/>
          <w:sz w:val="24"/>
          <w:szCs w:val="24"/>
          <w:highlight w:val="none"/>
          <w14:textFill>
            <w14:solidFill>
              <w14:schemeClr w14:val="tx1"/>
            </w14:solidFill>
          </w14:textFill>
        </w:rPr>
        <w:t>电子签名及</w:t>
      </w:r>
      <w:r>
        <w:rPr>
          <w:rFonts w:hint="eastAsia" w:ascii="宋体" w:hAnsi="宋体" w:eastAsia="宋体" w:cs="宋体"/>
          <w:color w:val="000000" w:themeColor="text1"/>
          <w:sz w:val="24"/>
          <w:szCs w:val="24"/>
          <w:highlight w:val="none"/>
          <w14:textFill>
            <w14:solidFill>
              <w14:schemeClr w14:val="tx1"/>
            </w14:solidFill>
          </w14:textFill>
        </w:rPr>
        <w:t>电子签章的加密投标文件。在投标截止时间前，投标人可以替换投标文件。投标文件须于投标截止时间前完整上传并保存到交易中心的电子评标系统。如果投标文件于投标截止时间未能上传完毕，该投标文件将视为无效投标文件。</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6.2项目负责人的使用状态按投标文件提交截止时间，以在广州公共资源交易中心信息登记的为准。如出现拟报项目负责人不能被使用而造成投标信息无法录入广州公共资源交易中心交易服务系统的，其投标文件将视为无效投标文件。</w:t>
      </w:r>
    </w:p>
    <w:p>
      <w:pPr>
        <w:spacing w:line="360" w:lineRule="auto"/>
        <w:ind w:left="420" w:firstLine="96" w:firstLineChars="40"/>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7.</w:t>
      </w:r>
      <w:r>
        <w:rPr>
          <w:rFonts w:hint="eastAsia" w:ascii="宋体" w:hAnsi="宋体" w:eastAsia="宋体" w:cs="宋体"/>
          <w:b/>
          <w:color w:val="000000" w:themeColor="text1"/>
          <w:kern w:val="0"/>
          <w:sz w:val="24"/>
          <w:szCs w:val="24"/>
          <w:highlight w:val="none"/>
          <w14:textFill>
            <w14:solidFill>
              <w14:schemeClr w14:val="tx1"/>
            </w14:solidFill>
          </w14:textFill>
        </w:rPr>
        <w:t>异议和投诉处理</w:t>
      </w:r>
    </w:p>
    <w:p>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潜在投标人或利害关系人对本招标公告及招标文件中任何违法及不公平内容有异议的，可以书面提出异议。如潜在投标人或其他利害关系人对招标人答复仍持有异议的，可按相关规定进行投诉。</w:t>
      </w:r>
    </w:p>
    <w:p>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异议受理部门：广州市净水有限公司</w:t>
      </w:r>
    </w:p>
    <w:p>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电话：020-62315524</w:t>
      </w:r>
    </w:p>
    <w:p>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地址：广州市临江大道501号。</w:t>
      </w:r>
    </w:p>
    <w:p>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投诉受理部门：广州市净水有限公司</w:t>
      </w:r>
    </w:p>
    <w:p>
      <w:pPr>
        <w:widowControl/>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电话：020-38890467</w:t>
      </w:r>
    </w:p>
    <w:bookmarkEnd w:id="106"/>
    <w:bookmarkEnd w:id="107"/>
    <w:bookmarkEnd w:id="108"/>
    <w:bookmarkEnd w:id="109"/>
    <w:bookmarkEnd w:id="110"/>
    <w:bookmarkEnd w:id="111"/>
    <w:bookmarkEnd w:id="112"/>
    <w:p>
      <w:pPr>
        <w:widowControl/>
        <w:spacing w:before="94" w:after="94" w:line="360" w:lineRule="auto"/>
        <w:ind w:firstLine="598"/>
        <w:jc w:val="left"/>
        <w:rPr>
          <w:rFonts w:hint="eastAsia" w:ascii="宋体" w:hAnsi="宋体" w:eastAsia="宋体" w:cs="宋体"/>
          <w:b/>
          <w:color w:val="000000" w:themeColor="text1"/>
          <w:sz w:val="24"/>
          <w:szCs w:val="24"/>
          <w:highlight w:val="none"/>
          <w14:textFill>
            <w14:solidFill>
              <w14:schemeClr w14:val="tx1"/>
            </w14:solidFill>
          </w14:textFill>
        </w:rPr>
      </w:pPr>
      <w:bookmarkStart w:id="113" w:name="_Toc222033820"/>
      <w:bookmarkStart w:id="114" w:name="_Toc168476034"/>
      <w:bookmarkStart w:id="115" w:name="_Toc222029469"/>
      <w:bookmarkStart w:id="116" w:name="_Toc221949939"/>
      <w:bookmarkStart w:id="117" w:name="_Toc168475631"/>
      <w:bookmarkStart w:id="118" w:name="_Toc259524302"/>
      <w:bookmarkStart w:id="119" w:name="_Toc229305329"/>
      <w:bookmarkStart w:id="120" w:name="_Toc222030971"/>
      <w:bookmarkStart w:id="121" w:name="_Toc222032638"/>
      <w:r>
        <w:rPr>
          <w:rFonts w:hint="eastAsia" w:ascii="宋体" w:hAnsi="宋体" w:eastAsia="宋体" w:cs="宋体"/>
          <w:b/>
          <w:color w:val="000000" w:themeColor="text1"/>
          <w:sz w:val="24"/>
          <w:szCs w:val="24"/>
          <w:highlight w:val="none"/>
          <w14:textFill>
            <w14:solidFill>
              <w14:schemeClr w14:val="tx1"/>
            </w14:solidFill>
          </w14:textFill>
        </w:rPr>
        <w:t>8. 发布公告的媒介</w:t>
      </w:r>
      <w:bookmarkEnd w:id="113"/>
      <w:bookmarkEnd w:id="114"/>
      <w:bookmarkEnd w:id="115"/>
      <w:bookmarkEnd w:id="116"/>
      <w:bookmarkEnd w:id="117"/>
      <w:bookmarkEnd w:id="118"/>
      <w:bookmarkEnd w:id="119"/>
      <w:bookmarkEnd w:id="120"/>
      <w:bookmarkEnd w:id="121"/>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8.1招标公告发布时间：从____年____月____日至____年____月____日___时____分。</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注：发布招标公告的时间为招标公告发出之日起至投标截止时间止。</w:t>
      </w:r>
    </w:p>
    <w:p>
      <w:pPr>
        <w:spacing w:line="360" w:lineRule="auto"/>
        <w:ind w:firstLine="540" w:firstLineChars="225"/>
        <w:rPr>
          <w:rFonts w:hint="eastAsia" w:ascii="宋体" w:hAnsi="宋体" w:eastAsia="宋体" w:cs="宋体"/>
          <w:color w:val="000000" w:themeColor="text1"/>
          <w:sz w:val="24"/>
          <w:szCs w:val="24"/>
          <w:highlight w:val="none"/>
          <w14:textFill>
            <w14:solidFill>
              <w14:schemeClr w14:val="tx1"/>
            </w14:solidFill>
          </w14:textFill>
        </w:rPr>
      </w:pPr>
      <w:bookmarkStart w:id="122" w:name="_Toc221949940"/>
      <w:r>
        <w:rPr>
          <w:rFonts w:hint="eastAsia" w:ascii="宋体" w:hAnsi="宋体" w:eastAsia="宋体" w:cs="宋体"/>
          <w:color w:val="000000" w:themeColor="text1"/>
          <w:sz w:val="24"/>
          <w:szCs w:val="24"/>
          <w:highlight w:val="none"/>
          <w14:textFill>
            <w14:solidFill>
              <w14:schemeClr w14:val="tx1"/>
            </w14:solidFill>
          </w14:textFill>
        </w:rPr>
        <w:t>8.2</w:t>
      </w:r>
      <w:bookmarkEnd w:id="122"/>
      <w:bookmarkStart w:id="123" w:name="_Toc221949941"/>
      <w:bookmarkStart w:id="124" w:name="_Toc168475632"/>
      <w:bookmarkStart w:id="125" w:name="_Toc168476035"/>
      <w:bookmarkStart w:id="126" w:name="_Toc144974485"/>
      <w:bookmarkStart w:id="127" w:name="_Toc259524303"/>
      <w:bookmarkStart w:id="128" w:name="_Toc222030972"/>
      <w:bookmarkStart w:id="129" w:name="_Toc222029470"/>
      <w:bookmarkStart w:id="130" w:name="_Toc222032639"/>
      <w:bookmarkStart w:id="131" w:name="_Toc229305330"/>
      <w:bookmarkStart w:id="132" w:name="_Toc222033821"/>
      <w:r>
        <w:rPr>
          <w:rFonts w:hint="eastAsia" w:ascii="宋体" w:hAnsi="宋体" w:eastAsia="宋体" w:cs="宋体"/>
          <w:color w:val="000000" w:themeColor="text1"/>
          <w:sz w:val="24"/>
          <w:szCs w:val="24"/>
          <w:highlight w:val="none"/>
          <w14:textFill>
            <w14:solidFill>
              <w14:schemeClr w14:val="tx1"/>
            </w14:solidFill>
          </w14:textFill>
        </w:rPr>
        <w:t>本次招标公告同时在广州公共资源交易中心网站、广州国企阳光采购信息发布平台（http://ygcg.gzggzy.cn/p92/index.html）和中国招标投标公共服务平台（网址：http://www.cebpubservice.com/）上发布。有关本公告的修改、补充以广州公共资源交易中心网站发布为准。</w:t>
      </w:r>
    </w:p>
    <w:p>
      <w:pPr>
        <w:spacing w:line="360" w:lineRule="auto"/>
        <w:ind w:firstLine="542" w:firstLineChars="225"/>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9. 联系方式</w:t>
      </w:r>
      <w:bookmarkEnd w:id="123"/>
      <w:bookmarkEnd w:id="124"/>
      <w:bookmarkEnd w:id="125"/>
      <w:bookmarkEnd w:id="126"/>
      <w:bookmarkEnd w:id="127"/>
      <w:bookmarkEnd w:id="128"/>
      <w:bookmarkEnd w:id="129"/>
      <w:bookmarkEnd w:id="130"/>
      <w:bookmarkEnd w:id="131"/>
      <w:bookmarkEnd w:id="132"/>
    </w:p>
    <w:tbl>
      <w:tblPr>
        <w:tblStyle w:val="39"/>
        <w:tblW w:w="8471" w:type="dxa"/>
        <w:jc w:val="center"/>
        <w:tblLayout w:type="autofit"/>
        <w:tblCellMar>
          <w:top w:w="0" w:type="dxa"/>
          <w:left w:w="108" w:type="dxa"/>
          <w:bottom w:w="0" w:type="dxa"/>
          <w:right w:w="108" w:type="dxa"/>
        </w:tblCellMar>
      </w:tblPr>
      <w:tblGrid>
        <w:gridCol w:w="4219"/>
        <w:gridCol w:w="4252"/>
      </w:tblGrid>
      <w:tr>
        <w:tblPrEx>
          <w:tblCellMar>
            <w:top w:w="0" w:type="dxa"/>
            <w:left w:w="108" w:type="dxa"/>
            <w:bottom w:w="0" w:type="dxa"/>
            <w:right w:w="108" w:type="dxa"/>
          </w:tblCellMar>
        </w:tblPrEx>
        <w:trPr>
          <w:jc w:val="center"/>
        </w:trPr>
        <w:tc>
          <w:tcPr>
            <w:tcW w:w="4219" w:type="dxa"/>
          </w:tcPr>
          <w:p>
            <w:pPr>
              <w:topLinePunct/>
              <w:ind w:right="31" w:rightChars="15"/>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招 标 人：</w:t>
            </w:r>
            <w:r>
              <w:rPr>
                <w:rFonts w:hint="eastAsia" w:ascii="宋体" w:hAnsi="宋体" w:eastAsia="宋体" w:cs="宋体"/>
                <w:color w:val="000000" w:themeColor="text1"/>
                <w:sz w:val="24"/>
                <w:szCs w:val="21"/>
                <w:highlight w:val="none"/>
                <w:u w:val="single"/>
                <w14:textFill>
                  <w14:solidFill>
                    <w14:schemeClr w14:val="tx1"/>
                  </w14:solidFill>
                </w14:textFill>
              </w:rPr>
              <w:t xml:space="preserve">广州市净水有限公司 </w:t>
            </w:r>
            <w:r>
              <w:rPr>
                <w:rFonts w:hint="eastAsia" w:ascii="宋体" w:hAnsi="宋体" w:eastAsia="宋体" w:cs="宋体"/>
                <w:color w:val="000000" w:themeColor="text1"/>
                <w:sz w:val="24"/>
                <w:szCs w:val="21"/>
                <w:highlight w:val="none"/>
                <w14:textFill>
                  <w14:solidFill>
                    <w14:schemeClr w14:val="tx1"/>
                  </w14:solidFill>
                </w14:textFill>
              </w:rPr>
              <w:t xml:space="preserve"> </w:t>
            </w:r>
          </w:p>
        </w:tc>
        <w:tc>
          <w:tcPr>
            <w:tcW w:w="4252" w:type="dxa"/>
          </w:tcPr>
          <w:p>
            <w:pPr>
              <w:topLinePunct/>
              <w:ind w:left="1591" w:leftChars="16" w:hanging="1557" w:hangingChars="649"/>
              <w:rPr>
                <w:rFonts w:hint="eastAsia" w:ascii="宋体" w:hAnsi="宋体" w:eastAsia="宋体" w:cs="宋体"/>
                <w:color w:val="000000" w:themeColor="text1"/>
                <w:sz w:val="24"/>
                <w:szCs w:val="21"/>
                <w:highlight w:val="none"/>
                <w:u w:val="singl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招标代理机构：</w:t>
            </w:r>
            <w:r>
              <w:rPr>
                <w:rFonts w:hint="eastAsia" w:ascii="宋体" w:hAnsi="宋体" w:eastAsia="宋体" w:cs="宋体"/>
                <w:color w:val="000000" w:themeColor="text1"/>
                <w:sz w:val="24"/>
                <w:highlight w:val="none"/>
                <w:u w:val="single"/>
                <w14:textFill>
                  <w14:solidFill>
                    <w14:schemeClr w14:val="tx1"/>
                  </w14:solidFill>
                </w14:textFill>
              </w:rPr>
              <w:t>广州宏达工程顾问集团有限公司</w:t>
            </w:r>
          </w:p>
        </w:tc>
      </w:tr>
      <w:tr>
        <w:tblPrEx>
          <w:tblCellMar>
            <w:top w:w="0" w:type="dxa"/>
            <w:left w:w="108" w:type="dxa"/>
            <w:bottom w:w="0" w:type="dxa"/>
            <w:right w:w="108" w:type="dxa"/>
          </w:tblCellMar>
        </w:tblPrEx>
        <w:trPr>
          <w:jc w:val="center"/>
        </w:trPr>
        <w:tc>
          <w:tcPr>
            <w:tcW w:w="4219"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地    址：</w:t>
            </w:r>
            <w:r>
              <w:rPr>
                <w:rFonts w:hint="eastAsia" w:ascii="宋体" w:hAnsi="宋体" w:eastAsia="宋体" w:cs="宋体"/>
                <w:color w:val="000000" w:themeColor="text1"/>
                <w:sz w:val="24"/>
                <w:szCs w:val="24"/>
                <w:highlight w:val="none"/>
                <w:u w:val="single"/>
                <w14:textFill>
                  <w14:solidFill>
                    <w14:schemeClr w14:val="tx1"/>
                  </w14:solidFill>
                </w14:textFill>
              </w:rPr>
              <w:t>广州市临江大道501号</w:t>
            </w:r>
          </w:p>
        </w:tc>
        <w:tc>
          <w:tcPr>
            <w:tcW w:w="4252" w:type="dxa"/>
            <w:vAlign w:val="center"/>
          </w:tcPr>
          <w:p>
            <w:pPr>
              <w:topLinePunct/>
              <w:ind w:left="4" w:leftChars="2"/>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地    址：</w:t>
            </w:r>
            <w:r>
              <w:rPr>
                <w:rFonts w:hint="eastAsia" w:ascii="宋体" w:hAnsi="宋体" w:eastAsia="宋体" w:cs="宋体"/>
                <w:color w:val="000000" w:themeColor="text1"/>
                <w:sz w:val="24"/>
                <w:szCs w:val="21"/>
                <w:highlight w:val="none"/>
                <w:u w:val="single"/>
                <w14:textFill>
                  <w14:solidFill>
                    <w14:schemeClr w14:val="tx1"/>
                  </w14:solidFill>
                </w14:textFill>
              </w:rPr>
              <w:t>广州科学城科学大道99号科汇二街七号</w:t>
            </w:r>
          </w:p>
        </w:tc>
      </w:tr>
      <w:tr>
        <w:tblPrEx>
          <w:tblCellMar>
            <w:top w:w="0" w:type="dxa"/>
            <w:left w:w="108" w:type="dxa"/>
            <w:bottom w:w="0" w:type="dxa"/>
            <w:right w:w="108" w:type="dxa"/>
          </w:tblCellMar>
        </w:tblPrEx>
        <w:trPr>
          <w:jc w:val="center"/>
        </w:trPr>
        <w:tc>
          <w:tcPr>
            <w:tcW w:w="4219" w:type="dxa"/>
          </w:tcPr>
          <w:p>
            <w:pPr>
              <w:topLinePunct/>
              <w:rPr>
                <w:rFonts w:hint="eastAsia" w:ascii="宋体" w:hAnsi="宋体" w:eastAsia="宋体" w:cs="宋体"/>
                <w:color w:val="000000" w:themeColor="text1"/>
                <w:sz w:val="24"/>
                <w:szCs w:val="21"/>
                <w:highlight w:val="none"/>
                <w:u w:val="singl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邮    编：</w:t>
            </w:r>
            <w:r>
              <w:rPr>
                <w:rFonts w:hint="eastAsia" w:ascii="宋体" w:hAnsi="宋体" w:eastAsia="宋体" w:cs="宋体"/>
                <w:color w:val="000000" w:themeColor="text1"/>
                <w:sz w:val="24"/>
                <w:szCs w:val="24"/>
                <w:highlight w:val="none"/>
                <w:u w:val="single"/>
                <w14:textFill>
                  <w14:solidFill>
                    <w14:schemeClr w14:val="tx1"/>
                  </w14:solidFill>
                </w14:textFill>
              </w:rPr>
              <w:t>510655</w:t>
            </w:r>
          </w:p>
        </w:tc>
        <w:tc>
          <w:tcPr>
            <w:tcW w:w="4252"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邮    编：</w:t>
            </w:r>
            <w:r>
              <w:rPr>
                <w:rFonts w:hint="eastAsia" w:ascii="宋体" w:hAnsi="宋体" w:eastAsia="宋体" w:cs="宋体"/>
                <w:color w:val="000000" w:themeColor="text1"/>
                <w:sz w:val="24"/>
                <w:szCs w:val="21"/>
                <w:highlight w:val="none"/>
                <w:u w:val="single"/>
                <w14:textFill>
                  <w14:solidFill>
                    <w14:schemeClr w14:val="tx1"/>
                  </w14:solidFill>
                </w14:textFill>
              </w:rPr>
              <w:t>510665</w:t>
            </w:r>
          </w:p>
        </w:tc>
      </w:tr>
      <w:tr>
        <w:tblPrEx>
          <w:tblCellMar>
            <w:top w:w="0" w:type="dxa"/>
            <w:left w:w="108" w:type="dxa"/>
            <w:bottom w:w="0" w:type="dxa"/>
            <w:right w:w="108" w:type="dxa"/>
          </w:tblCellMar>
        </w:tblPrEx>
        <w:trPr>
          <w:trHeight w:val="283" w:hRule="atLeast"/>
          <w:jc w:val="center"/>
        </w:trPr>
        <w:tc>
          <w:tcPr>
            <w:tcW w:w="4219"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联 系 人：</w:t>
            </w:r>
            <w:r>
              <w:rPr>
                <w:rFonts w:hint="eastAsia" w:ascii="宋体" w:hAnsi="宋体" w:eastAsia="宋体" w:cs="宋体"/>
                <w:color w:val="000000" w:themeColor="text1"/>
                <w:sz w:val="24"/>
                <w:szCs w:val="21"/>
                <w:highlight w:val="none"/>
                <w:u w:val="single"/>
                <w14:textFill>
                  <w14:solidFill>
                    <w14:schemeClr w14:val="tx1"/>
                  </w14:solidFill>
                </w14:textFill>
              </w:rPr>
              <w:t xml:space="preserve">颜工  </w:t>
            </w:r>
          </w:p>
        </w:tc>
        <w:tc>
          <w:tcPr>
            <w:tcW w:w="4252" w:type="dxa"/>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联 系 人：</w:t>
            </w:r>
            <w:r>
              <w:rPr>
                <w:rFonts w:hint="eastAsia" w:ascii="宋体" w:hAnsi="宋体" w:eastAsia="宋体" w:cs="宋体"/>
                <w:color w:val="000000" w:themeColor="text1"/>
                <w:sz w:val="24"/>
                <w:szCs w:val="21"/>
                <w:highlight w:val="none"/>
                <w:u w:val="single"/>
                <w14:textFill>
                  <w14:solidFill>
                    <w14:schemeClr w14:val="tx1"/>
                  </w14:solidFill>
                </w14:textFill>
              </w:rPr>
              <w:t>阮工</w:t>
            </w:r>
          </w:p>
        </w:tc>
      </w:tr>
      <w:tr>
        <w:tblPrEx>
          <w:tblCellMar>
            <w:top w:w="0" w:type="dxa"/>
            <w:left w:w="108" w:type="dxa"/>
            <w:bottom w:w="0" w:type="dxa"/>
            <w:right w:w="108" w:type="dxa"/>
          </w:tblCellMar>
        </w:tblPrEx>
        <w:trPr>
          <w:trHeight w:val="90" w:hRule="atLeast"/>
          <w:jc w:val="center"/>
        </w:trPr>
        <w:tc>
          <w:tcPr>
            <w:tcW w:w="4219"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电    话：</w:t>
            </w:r>
            <w:r>
              <w:rPr>
                <w:rFonts w:hint="eastAsia" w:ascii="宋体" w:hAnsi="宋体" w:eastAsia="宋体" w:cs="宋体"/>
                <w:color w:val="000000" w:themeColor="text1"/>
                <w:sz w:val="24"/>
                <w:szCs w:val="21"/>
                <w:highlight w:val="none"/>
                <w:u w:val="single"/>
                <w14:textFill>
                  <w14:solidFill>
                    <w14:schemeClr w14:val="tx1"/>
                  </w14:solidFill>
                </w14:textFill>
              </w:rPr>
              <w:t xml:space="preserve">020-62315524    </w:t>
            </w:r>
            <w:r>
              <w:rPr>
                <w:rFonts w:hint="eastAsia" w:ascii="宋体" w:hAnsi="宋体" w:eastAsia="宋体" w:cs="宋体"/>
                <w:color w:val="000000" w:themeColor="text1"/>
                <w:sz w:val="24"/>
                <w:szCs w:val="21"/>
                <w:highlight w:val="none"/>
                <w14:textFill>
                  <w14:solidFill>
                    <w14:schemeClr w14:val="tx1"/>
                  </w14:solidFill>
                </w14:textFill>
              </w:rPr>
              <w:t xml:space="preserve"> </w:t>
            </w:r>
          </w:p>
        </w:tc>
        <w:tc>
          <w:tcPr>
            <w:tcW w:w="4252" w:type="dxa"/>
          </w:tcPr>
          <w:p>
            <w:pPr>
              <w:topLinePunct/>
              <w:rPr>
                <w:rFonts w:hint="eastAsia" w:ascii="宋体" w:hAnsi="宋体" w:eastAsia="宋体" w:cs="宋体"/>
                <w:color w:val="000000" w:themeColor="text1"/>
                <w:sz w:val="24"/>
                <w:szCs w:val="21"/>
                <w:highlight w:val="none"/>
                <w:u w:val="singl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电    话：</w:t>
            </w:r>
            <w:r>
              <w:rPr>
                <w:rFonts w:hint="eastAsia" w:ascii="宋体" w:hAnsi="宋体" w:eastAsia="宋体" w:cs="宋体"/>
                <w:color w:val="000000" w:themeColor="text1"/>
                <w:sz w:val="24"/>
                <w:szCs w:val="21"/>
                <w:highlight w:val="none"/>
                <w:u w:val="single"/>
                <w14:textFill>
                  <w14:solidFill>
                    <w14:schemeClr w14:val="tx1"/>
                  </w14:solidFill>
                </w14:textFill>
              </w:rPr>
              <w:t>020-87562291-8732</w:t>
            </w:r>
          </w:p>
        </w:tc>
      </w:tr>
      <w:tr>
        <w:tblPrEx>
          <w:tblCellMar>
            <w:top w:w="0" w:type="dxa"/>
            <w:left w:w="108" w:type="dxa"/>
            <w:bottom w:w="0" w:type="dxa"/>
            <w:right w:w="108" w:type="dxa"/>
          </w:tblCellMar>
        </w:tblPrEx>
        <w:trPr>
          <w:jc w:val="center"/>
        </w:trPr>
        <w:tc>
          <w:tcPr>
            <w:tcW w:w="4219"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传    真：</w:t>
            </w:r>
            <w:r>
              <w:rPr>
                <w:rFonts w:hint="eastAsia" w:ascii="宋体" w:hAnsi="宋体" w:eastAsia="宋体" w:cs="宋体"/>
                <w:color w:val="000000" w:themeColor="text1"/>
                <w:sz w:val="24"/>
                <w:szCs w:val="21"/>
                <w:highlight w:val="none"/>
                <w:u w:val="single"/>
                <w14:textFill>
                  <w14:solidFill>
                    <w14:schemeClr w14:val="tx1"/>
                  </w14:solidFill>
                </w14:textFill>
              </w:rPr>
              <w:t>/</w:t>
            </w:r>
            <w:r>
              <w:rPr>
                <w:rFonts w:hint="eastAsia" w:ascii="宋体" w:hAnsi="宋体" w:eastAsia="宋体" w:cs="宋体"/>
                <w:color w:val="000000" w:themeColor="text1"/>
                <w:sz w:val="24"/>
                <w:szCs w:val="21"/>
                <w:highlight w:val="none"/>
                <w14:textFill>
                  <w14:solidFill>
                    <w14:schemeClr w14:val="tx1"/>
                  </w14:solidFill>
                </w14:textFill>
              </w:rPr>
              <w:t xml:space="preserve"> </w:t>
            </w:r>
          </w:p>
        </w:tc>
        <w:tc>
          <w:tcPr>
            <w:tcW w:w="4252"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传    真：</w:t>
            </w:r>
            <w:r>
              <w:rPr>
                <w:rFonts w:hint="eastAsia" w:ascii="宋体" w:hAnsi="宋体" w:eastAsia="宋体" w:cs="宋体"/>
                <w:color w:val="000000" w:themeColor="text1"/>
                <w:sz w:val="24"/>
                <w:szCs w:val="21"/>
                <w:highlight w:val="none"/>
                <w:u w:val="single"/>
                <w14:textFill>
                  <w14:solidFill>
                    <w14:schemeClr w14:val="tx1"/>
                  </w14:solidFill>
                </w14:textFill>
              </w:rPr>
              <w:t>87580675</w:t>
            </w:r>
          </w:p>
        </w:tc>
      </w:tr>
      <w:tr>
        <w:tblPrEx>
          <w:tblCellMar>
            <w:top w:w="0" w:type="dxa"/>
            <w:left w:w="108" w:type="dxa"/>
            <w:bottom w:w="0" w:type="dxa"/>
            <w:right w:w="108" w:type="dxa"/>
          </w:tblCellMar>
        </w:tblPrEx>
        <w:trPr>
          <w:jc w:val="center"/>
        </w:trPr>
        <w:tc>
          <w:tcPr>
            <w:tcW w:w="4219" w:type="dxa"/>
          </w:tcPr>
          <w:p>
            <w:pPr>
              <w:topLinePun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电子邮件：</w:t>
            </w:r>
            <w:r>
              <w:rPr>
                <w:rFonts w:hint="eastAsia" w:ascii="宋体" w:hAnsi="宋体" w:eastAsia="宋体" w:cs="宋体"/>
                <w:color w:val="000000" w:themeColor="text1"/>
                <w:sz w:val="24"/>
                <w:szCs w:val="21"/>
                <w:highlight w:val="none"/>
                <w:u w:val="single"/>
                <w14:textFill>
                  <w14:solidFill>
                    <w14:schemeClr w14:val="tx1"/>
                  </w14:solidFill>
                </w14:textFill>
              </w:rPr>
              <w:t>/</w:t>
            </w:r>
          </w:p>
        </w:tc>
        <w:tc>
          <w:tcPr>
            <w:tcW w:w="4252" w:type="dxa"/>
          </w:tcPr>
          <w:p>
            <w:pPr>
              <w:rPr>
                <w:rFonts w:hint="eastAsia" w:ascii="宋体" w:hAnsi="宋体" w:eastAsia="宋体" w:cs="宋体"/>
                <w:color w:val="000000" w:themeColor="text1"/>
                <w:sz w:val="24"/>
                <w:szCs w:val="21"/>
                <w:highlight w:val="none"/>
                <w:u w:val="singl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电子邮件：</w:t>
            </w:r>
            <w:r>
              <w:rPr>
                <w:rFonts w:hint="eastAsia" w:ascii="宋体" w:hAnsi="宋体" w:eastAsia="宋体" w:cs="宋体"/>
                <w:color w:val="000000" w:themeColor="text1"/>
                <w:sz w:val="24"/>
                <w:szCs w:val="21"/>
                <w:highlight w:val="none"/>
                <w:u w:val="single"/>
                <w14:textFill>
                  <w14:solidFill>
                    <w14:schemeClr w14:val="tx1"/>
                  </w14:solidFill>
                </w14:textFill>
              </w:rPr>
              <w:t>/</w:t>
            </w:r>
          </w:p>
        </w:tc>
      </w:tr>
    </w:tbl>
    <w:p>
      <w:pPr>
        <w:spacing w:line="480" w:lineRule="auto"/>
        <w:jc w:val="righ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2023年</w:t>
      </w:r>
      <w:r>
        <w:rPr>
          <w:rFonts w:hint="eastAsia" w:ascii="宋体" w:hAnsi="宋体" w:eastAsia="宋体" w:cs="宋体"/>
          <w:color w:val="000000" w:themeColor="text1"/>
          <w:sz w:val="24"/>
          <w:highlight w:val="none"/>
          <w:u w:val="single"/>
          <w14:textFill>
            <w14:solidFill>
              <w14:schemeClr w14:val="tx1"/>
            </w14:solidFill>
          </w14:textFill>
        </w:rPr>
        <w:t xml:space="preserve">   _</w:t>
      </w:r>
      <w:r>
        <w:rPr>
          <w:rFonts w:hint="eastAsia" w:ascii="宋体" w:hAnsi="宋体" w:eastAsia="宋体" w:cs="宋体"/>
          <w:color w:val="000000" w:themeColor="text1"/>
          <w:sz w:val="24"/>
          <w:highlight w:val="none"/>
          <w14:textFill>
            <w14:solidFill>
              <w14:schemeClr w14:val="tx1"/>
            </w14:solidFill>
          </w14:textFill>
        </w:rPr>
        <w:t>月____日</w:t>
      </w:r>
    </w:p>
    <w:p>
      <w:pPr>
        <w:rPr>
          <w:rFonts w:hint="eastAsia" w:ascii="宋体" w:hAnsi="宋体" w:eastAsia="宋体" w:cs="宋体"/>
          <w:b/>
          <w:color w:val="000000" w:themeColor="text1"/>
          <w:sz w:val="28"/>
          <w:highlight w:val="none"/>
          <w14:textFill>
            <w14:solidFill>
              <w14:schemeClr w14:val="tx1"/>
            </w14:solidFill>
          </w14:textFill>
        </w:rPr>
      </w:pPr>
    </w:p>
    <w:p>
      <w:pPr>
        <w:widowControl/>
        <w:jc w:val="lef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br w:type="page"/>
      </w:r>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133" w:name="_Toc32337"/>
      <w:bookmarkStart w:id="134" w:name="_Toc17452662"/>
      <w:bookmarkStart w:id="135" w:name="_Toc22444"/>
      <w:bookmarkStart w:id="136" w:name="_Toc17556929"/>
      <w:bookmarkStart w:id="137" w:name="_Toc789"/>
      <w:bookmarkStart w:id="138" w:name="_Toc17451099"/>
      <w:bookmarkStart w:id="139" w:name="_Toc17454869"/>
      <w:bookmarkStart w:id="140" w:name="_Toc17451621"/>
      <w:bookmarkStart w:id="141" w:name="_Toc17451576"/>
      <w:bookmarkStart w:id="142" w:name="_Toc17556874"/>
      <w:bookmarkStart w:id="143" w:name="_Toc590"/>
      <w:bookmarkStart w:id="144" w:name="_Toc13055"/>
      <w:bookmarkStart w:id="145" w:name="_Toc17454920"/>
      <w:bookmarkStart w:id="146" w:name="_Toc27815"/>
      <w:bookmarkStart w:id="147" w:name="_Toc221950008"/>
      <w:r>
        <w:rPr>
          <w:rFonts w:hint="eastAsia" w:ascii="宋体" w:hAnsi="宋体" w:eastAsia="宋体" w:cs="宋体"/>
          <w:color w:val="000000" w:themeColor="text1"/>
          <w:sz w:val="32"/>
          <w:szCs w:val="27"/>
          <w:highlight w:val="none"/>
          <w14:textFill>
            <w14:solidFill>
              <w14:schemeClr w14:val="tx1"/>
            </w14:solidFill>
          </w14:textFill>
        </w:rPr>
        <w:t>第二章 投标须知</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148" w:name="_Toc17556930"/>
      <w:bookmarkStart w:id="149" w:name="_Toc17454921"/>
      <w:bookmarkStart w:id="150" w:name="_Toc7687"/>
      <w:bookmarkStart w:id="151" w:name="_Toc17452663"/>
      <w:bookmarkStart w:id="152" w:name="_Toc17556875"/>
      <w:bookmarkStart w:id="153" w:name="_Toc20893"/>
      <w:bookmarkStart w:id="154" w:name="_Toc17451100"/>
      <w:bookmarkStart w:id="155" w:name="_Toc17454870"/>
      <w:bookmarkStart w:id="156" w:name="_Toc6800"/>
      <w:bookmarkStart w:id="157" w:name="_Toc17451622"/>
      <w:bookmarkStart w:id="158" w:name="_Toc25830"/>
      <w:bookmarkStart w:id="159" w:name="_Toc23419"/>
      <w:bookmarkStart w:id="160" w:name="_Toc17451577"/>
      <w:bookmarkStart w:id="161" w:name="_Toc10043"/>
      <w:r>
        <w:rPr>
          <w:rFonts w:hint="eastAsia" w:ascii="宋体" w:hAnsi="宋体" w:eastAsia="宋体" w:cs="宋体"/>
          <w:color w:val="000000" w:themeColor="text1"/>
          <w:sz w:val="28"/>
          <w:szCs w:val="27"/>
          <w:highlight w:val="none"/>
          <w14:textFill>
            <w14:solidFill>
              <w14:schemeClr w14:val="tx1"/>
            </w14:solidFill>
          </w14:textFill>
        </w:rPr>
        <w:t>一、投标人须知前附表</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Style w:val="39"/>
        <w:tblW w:w="5000" w:type="pct"/>
        <w:tblInd w:w="0" w:type="dxa"/>
        <w:tblLayout w:type="autofit"/>
        <w:tblCellMar>
          <w:top w:w="0" w:type="dxa"/>
          <w:left w:w="108" w:type="dxa"/>
          <w:bottom w:w="0" w:type="dxa"/>
          <w:right w:w="108" w:type="dxa"/>
        </w:tblCellMar>
      </w:tblPr>
      <w:tblGrid>
        <w:gridCol w:w="1131"/>
        <w:gridCol w:w="2035"/>
        <w:gridCol w:w="5362"/>
      </w:tblGrid>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b/>
                <w:color w:val="000000" w:themeColor="text1"/>
                <w:szCs w:val="21"/>
                <w:highlight w:val="none"/>
                <w14:textFill>
                  <w14:solidFill>
                    <w14:schemeClr w14:val="tx1"/>
                  </w14:solidFill>
                </w14:textFill>
              </w:rPr>
            </w:pPr>
            <w:bookmarkStart w:id="162" w:name="_Toc221950009"/>
            <w:r>
              <w:rPr>
                <w:rFonts w:hint="eastAsia" w:ascii="宋体" w:hAnsi="宋体" w:eastAsia="宋体" w:cs="宋体"/>
                <w:b/>
                <w:color w:val="000000" w:themeColor="text1"/>
                <w:szCs w:val="21"/>
                <w:highlight w:val="none"/>
                <w14:textFill>
                  <w14:solidFill>
                    <w14:schemeClr w14:val="tx1"/>
                  </w14:solidFill>
                </w14:textFill>
              </w:rPr>
              <w:t>条款号</w:t>
            </w:r>
            <w:bookmarkEnd w:id="162"/>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b/>
                <w:color w:val="000000" w:themeColor="text1"/>
                <w:szCs w:val="21"/>
                <w:highlight w:val="none"/>
                <w14:textFill>
                  <w14:solidFill>
                    <w14:schemeClr w14:val="tx1"/>
                  </w14:solidFill>
                </w14:textFill>
              </w:rPr>
            </w:pPr>
            <w:bookmarkStart w:id="163" w:name="_Toc221950010"/>
            <w:r>
              <w:rPr>
                <w:rFonts w:hint="eastAsia" w:ascii="宋体" w:hAnsi="宋体" w:eastAsia="宋体" w:cs="宋体"/>
                <w:b/>
                <w:color w:val="000000" w:themeColor="text1"/>
                <w:szCs w:val="21"/>
                <w:highlight w:val="none"/>
                <w14:textFill>
                  <w14:solidFill>
                    <w14:schemeClr w14:val="tx1"/>
                  </w14:solidFill>
                </w14:textFill>
              </w:rPr>
              <w:t>条款名称</w:t>
            </w:r>
            <w:bookmarkEnd w:id="163"/>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b/>
                <w:color w:val="000000" w:themeColor="text1"/>
                <w:szCs w:val="21"/>
                <w:highlight w:val="none"/>
                <w14:textFill>
                  <w14:solidFill>
                    <w14:schemeClr w14:val="tx1"/>
                  </w14:solidFill>
                </w14:textFill>
              </w:rPr>
            </w:pPr>
            <w:bookmarkStart w:id="164" w:name="_Toc221950011"/>
            <w:r>
              <w:rPr>
                <w:rFonts w:hint="eastAsia" w:ascii="宋体" w:hAnsi="宋体" w:eastAsia="宋体" w:cs="宋体"/>
                <w:b/>
                <w:color w:val="000000" w:themeColor="text1"/>
                <w:szCs w:val="21"/>
                <w:highlight w:val="none"/>
                <w14:textFill>
                  <w14:solidFill>
                    <w14:schemeClr w14:val="tx1"/>
                  </w14:solidFill>
                </w14:textFill>
              </w:rPr>
              <w:t>编列内容</w:t>
            </w:r>
            <w:bookmarkEnd w:id="164"/>
          </w:p>
        </w:tc>
      </w:tr>
      <w:tr>
        <w:tblPrEx>
          <w:tblCellMar>
            <w:top w:w="0" w:type="dxa"/>
            <w:left w:w="108" w:type="dxa"/>
            <w:bottom w:w="0" w:type="dxa"/>
            <w:right w:w="108" w:type="dxa"/>
          </w:tblCellMar>
        </w:tblPrEx>
        <w:trPr>
          <w:trHeight w:val="315"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65" w:name="_Toc221950012"/>
            <w:r>
              <w:rPr>
                <w:rFonts w:hint="eastAsia" w:ascii="宋体" w:hAnsi="宋体" w:eastAsia="宋体" w:cs="宋体"/>
                <w:color w:val="000000" w:themeColor="text1"/>
                <w:szCs w:val="21"/>
                <w:highlight w:val="none"/>
                <w14:textFill>
                  <w14:solidFill>
                    <w14:schemeClr w14:val="tx1"/>
                  </w14:solidFill>
                </w14:textFill>
              </w:rPr>
              <w:t>1.1.2</w:t>
            </w:r>
            <w:bookmarkEnd w:id="165"/>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66" w:name="_Toc221950013"/>
            <w:r>
              <w:rPr>
                <w:rFonts w:hint="eastAsia" w:ascii="宋体" w:hAnsi="宋体" w:eastAsia="宋体" w:cs="宋体"/>
                <w:color w:val="000000" w:themeColor="text1"/>
                <w:szCs w:val="21"/>
                <w:highlight w:val="none"/>
                <w14:textFill>
                  <w14:solidFill>
                    <w14:schemeClr w14:val="tx1"/>
                  </w14:solidFill>
                </w14:textFill>
              </w:rPr>
              <w:t>招标人</w:t>
            </w:r>
            <w:bookmarkEnd w:id="166"/>
            <w:r>
              <w:rPr>
                <w:rFonts w:hint="eastAsia" w:ascii="宋体" w:hAnsi="宋体" w:eastAsia="宋体" w:cs="宋体"/>
                <w:color w:val="000000" w:themeColor="text1"/>
                <w:szCs w:val="21"/>
                <w:highlight w:val="none"/>
                <w14:textFill>
                  <w14:solidFill>
                    <w14:schemeClr w14:val="tx1"/>
                  </w14:solidFill>
                </w14:textFill>
              </w:rPr>
              <w:t xml:space="preserve"> </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名称：广州市净水有限公司</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地址：广州市临江大道501号 </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联系人：颜工</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电话：020-62315524    </w:t>
            </w:r>
          </w:p>
        </w:tc>
      </w:tr>
      <w:tr>
        <w:tblPrEx>
          <w:tblCellMar>
            <w:top w:w="0" w:type="dxa"/>
            <w:left w:w="108" w:type="dxa"/>
            <w:bottom w:w="0" w:type="dxa"/>
            <w:right w:w="108" w:type="dxa"/>
          </w:tblCellMar>
        </w:tblPrEx>
        <w:trPr>
          <w:trHeight w:val="495"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67" w:name="_Toc221950014"/>
            <w:r>
              <w:rPr>
                <w:rFonts w:hint="eastAsia" w:ascii="宋体" w:hAnsi="宋体" w:eastAsia="宋体" w:cs="宋体"/>
                <w:color w:val="000000" w:themeColor="text1"/>
                <w:szCs w:val="21"/>
                <w:highlight w:val="none"/>
                <w14:textFill>
                  <w14:solidFill>
                    <w14:schemeClr w14:val="tx1"/>
                  </w14:solidFill>
                </w14:textFill>
              </w:rPr>
              <w:t>1.1.3</w:t>
            </w:r>
            <w:bookmarkEnd w:id="167"/>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68" w:name="_Toc221950015"/>
            <w:r>
              <w:rPr>
                <w:rFonts w:hint="eastAsia" w:ascii="宋体" w:hAnsi="宋体" w:eastAsia="宋体" w:cs="宋体"/>
                <w:color w:val="000000" w:themeColor="text1"/>
                <w:szCs w:val="21"/>
                <w:highlight w:val="none"/>
                <w14:textFill>
                  <w14:solidFill>
                    <w14:schemeClr w14:val="tx1"/>
                  </w14:solidFill>
                </w14:textFill>
              </w:rPr>
              <w:t>招标代理机构</w:t>
            </w:r>
            <w:bookmarkEnd w:id="168"/>
            <w:r>
              <w:rPr>
                <w:rFonts w:hint="eastAsia" w:ascii="宋体" w:hAnsi="宋体" w:eastAsia="宋体" w:cs="宋体"/>
                <w:color w:val="000000" w:themeColor="text1"/>
                <w:szCs w:val="21"/>
                <w:highlight w:val="none"/>
                <w14:textFill>
                  <w14:solidFill>
                    <w14:schemeClr w14:val="tx1"/>
                  </w14:solidFill>
                </w14:textFill>
              </w:rPr>
              <w:t xml:space="preserve"> </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u w:val="single"/>
                <w14:textFill>
                  <w14:solidFill>
                    <w14:schemeClr w14:val="tx1"/>
                  </w14:solidFill>
                </w14:textFill>
              </w:rPr>
              <w:t>广州宏达工程顾问集团有限公司</w:t>
            </w:r>
          </w:p>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地址：广州科学城科学大道99号科汇二街七号</w:t>
            </w:r>
          </w:p>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联系人：阮工</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电话：020-87562291-8732</w:t>
            </w:r>
          </w:p>
        </w:tc>
      </w:tr>
      <w:tr>
        <w:tblPrEx>
          <w:tblCellMar>
            <w:top w:w="0" w:type="dxa"/>
            <w:left w:w="108" w:type="dxa"/>
            <w:bottom w:w="0" w:type="dxa"/>
            <w:right w:w="108" w:type="dxa"/>
          </w:tblCellMar>
        </w:tblPrEx>
        <w:trPr>
          <w:trHeight w:val="45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69" w:name="_Toc221950016"/>
            <w:r>
              <w:rPr>
                <w:rFonts w:hint="eastAsia" w:ascii="宋体" w:hAnsi="宋体" w:eastAsia="宋体" w:cs="宋体"/>
                <w:color w:val="000000" w:themeColor="text1"/>
                <w:szCs w:val="21"/>
                <w:highlight w:val="none"/>
                <w14:textFill>
                  <w14:solidFill>
                    <w14:schemeClr w14:val="tx1"/>
                  </w14:solidFill>
                </w14:textFill>
              </w:rPr>
              <w:t>1.1.4</w:t>
            </w:r>
            <w:bookmarkEnd w:id="169"/>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70" w:name="_Toc221950017"/>
            <w:r>
              <w:rPr>
                <w:rFonts w:hint="eastAsia" w:ascii="宋体" w:hAnsi="宋体" w:eastAsia="宋体" w:cs="宋体"/>
                <w:color w:val="000000" w:themeColor="text1"/>
                <w:szCs w:val="21"/>
                <w:highlight w:val="none"/>
                <w14:textFill>
                  <w14:solidFill>
                    <w14:schemeClr w14:val="tx1"/>
                  </w14:solidFill>
                </w14:textFill>
              </w:rPr>
              <w:t>项目名称</w:t>
            </w:r>
            <w:bookmarkEnd w:id="170"/>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广州净水公司2023年净水厂通风、除臭系统自动化监控改造项目</w:t>
            </w:r>
          </w:p>
        </w:tc>
      </w:tr>
      <w:tr>
        <w:tblPrEx>
          <w:tblCellMar>
            <w:top w:w="0" w:type="dxa"/>
            <w:left w:w="108" w:type="dxa"/>
            <w:bottom w:w="0" w:type="dxa"/>
            <w:right w:w="108" w:type="dxa"/>
          </w:tblCellMar>
        </w:tblPrEx>
        <w:trPr>
          <w:trHeight w:val="465"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71" w:name="_Toc221950018"/>
            <w:r>
              <w:rPr>
                <w:rFonts w:hint="eastAsia" w:ascii="宋体" w:hAnsi="宋体" w:eastAsia="宋体" w:cs="宋体"/>
                <w:color w:val="000000" w:themeColor="text1"/>
                <w:szCs w:val="21"/>
                <w:highlight w:val="none"/>
                <w14:textFill>
                  <w14:solidFill>
                    <w14:schemeClr w14:val="tx1"/>
                  </w14:solidFill>
                </w14:textFill>
              </w:rPr>
              <w:t>1.1.5</w:t>
            </w:r>
            <w:bookmarkEnd w:id="171"/>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72" w:name="_Toc221950019"/>
            <w:r>
              <w:rPr>
                <w:rFonts w:hint="eastAsia" w:ascii="宋体" w:hAnsi="宋体" w:eastAsia="宋体" w:cs="宋体"/>
                <w:color w:val="000000" w:themeColor="text1"/>
                <w:szCs w:val="21"/>
                <w:highlight w:val="none"/>
                <w14:textFill>
                  <w14:solidFill>
                    <w14:schemeClr w14:val="tx1"/>
                  </w14:solidFill>
                </w14:textFill>
              </w:rPr>
              <w:t>建设地点</w:t>
            </w:r>
            <w:bookmarkEnd w:id="172"/>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广州市</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73" w:name="_Toc221950030"/>
            <w:r>
              <w:rPr>
                <w:rFonts w:hint="eastAsia" w:ascii="宋体" w:hAnsi="宋体" w:eastAsia="宋体" w:cs="宋体"/>
                <w:color w:val="000000" w:themeColor="text1"/>
                <w:szCs w:val="21"/>
                <w:highlight w:val="none"/>
                <w14:textFill>
                  <w14:solidFill>
                    <w14:schemeClr w14:val="tx1"/>
                  </w14:solidFill>
                </w14:textFill>
              </w:rPr>
              <w:t>1.2.1</w:t>
            </w:r>
            <w:bookmarkEnd w:id="173"/>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74" w:name="_Toc221950031"/>
            <w:r>
              <w:rPr>
                <w:rFonts w:hint="eastAsia" w:ascii="宋体" w:hAnsi="宋体" w:eastAsia="宋体" w:cs="宋体"/>
                <w:color w:val="000000" w:themeColor="text1"/>
                <w:szCs w:val="21"/>
                <w:highlight w:val="none"/>
                <w14:textFill>
                  <w14:solidFill>
                    <w14:schemeClr w14:val="tx1"/>
                  </w14:solidFill>
                </w14:textFill>
              </w:rPr>
              <w:t>资金来源</w:t>
            </w:r>
            <w:bookmarkEnd w:id="174"/>
            <w:r>
              <w:rPr>
                <w:rFonts w:hint="eastAsia" w:ascii="宋体" w:hAnsi="宋体" w:eastAsia="宋体" w:cs="宋体"/>
                <w:color w:val="000000" w:themeColor="text1"/>
                <w:szCs w:val="21"/>
                <w:highlight w:val="none"/>
                <w14:textFill>
                  <w14:solidFill>
                    <w14:schemeClr w14:val="tx1"/>
                  </w14:solidFill>
                </w14:textFill>
              </w:rPr>
              <w:t>及比例</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企业自筹</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75" w:name="_Toc221950036"/>
            <w:r>
              <w:rPr>
                <w:rFonts w:hint="eastAsia" w:ascii="宋体" w:hAnsi="宋体" w:eastAsia="宋体" w:cs="宋体"/>
                <w:color w:val="000000" w:themeColor="text1"/>
                <w:szCs w:val="21"/>
                <w:highlight w:val="none"/>
                <w14:textFill>
                  <w14:solidFill>
                    <w14:schemeClr w14:val="tx1"/>
                  </w14:solidFill>
                </w14:textFill>
              </w:rPr>
              <w:t>1.3.1</w:t>
            </w:r>
            <w:bookmarkEnd w:id="175"/>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76" w:name="_Toc221950037"/>
            <w:r>
              <w:rPr>
                <w:rFonts w:hint="eastAsia" w:ascii="宋体" w:hAnsi="宋体" w:eastAsia="宋体" w:cs="宋体"/>
                <w:color w:val="000000" w:themeColor="text1"/>
                <w:szCs w:val="21"/>
                <w:highlight w:val="none"/>
                <w14:textFill>
                  <w14:solidFill>
                    <w14:schemeClr w14:val="tx1"/>
                  </w14:solidFill>
                </w14:textFill>
              </w:rPr>
              <w:t>招标范围</w:t>
            </w:r>
            <w:bookmarkEnd w:id="176"/>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详见招标公告</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77" w:name="_Toc221950038"/>
            <w:r>
              <w:rPr>
                <w:rFonts w:hint="eastAsia" w:ascii="宋体" w:hAnsi="宋体" w:eastAsia="宋体" w:cs="宋体"/>
                <w:color w:val="000000" w:themeColor="text1"/>
                <w:szCs w:val="21"/>
                <w:highlight w:val="none"/>
                <w14:textFill>
                  <w14:solidFill>
                    <w14:schemeClr w14:val="tx1"/>
                  </w14:solidFill>
                </w14:textFill>
              </w:rPr>
              <w:t>1.3.2</w:t>
            </w:r>
            <w:bookmarkEnd w:id="177"/>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78" w:name="_Toc221950039"/>
            <w:r>
              <w:rPr>
                <w:rFonts w:hint="eastAsia" w:ascii="宋体" w:hAnsi="宋体" w:eastAsia="宋体" w:cs="宋体"/>
                <w:color w:val="000000" w:themeColor="text1"/>
                <w:szCs w:val="21"/>
                <w:highlight w:val="none"/>
                <w14:textFill>
                  <w14:solidFill>
                    <w14:schemeClr w14:val="tx1"/>
                  </w14:solidFill>
                </w14:textFill>
              </w:rPr>
              <w:t>计划工期</w:t>
            </w:r>
            <w:bookmarkEnd w:id="178"/>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详见招标公告</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79" w:name="_Toc221950043"/>
            <w:r>
              <w:rPr>
                <w:rFonts w:hint="eastAsia" w:ascii="宋体" w:hAnsi="宋体" w:eastAsia="宋体" w:cs="宋体"/>
                <w:color w:val="000000" w:themeColor="text1"/>
                <w:szCs w:val="21"/>
                <w:highlight w:val="none"/>
                <w14:textFill>
                  <w14:solidFill>
                    <w14:schemeClr w14:val="tx1"/>
                  </w14:solidFill>
                </w14:textFill>
              </w:rPr>
              <w:t>1.3.3</w:t>
            </w:r>
            <w:bookmarkEnd w:id="179"/>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80" w:name="_Toc221950044"/>
            <w:r>
              <w:rPr>
                <w:rFonts w:hint="eastAsia" w:ascii="宋体" w:hAnsi="宋体" w:eastAsia="宋体" w:cs="宋体"/>
                <w:color w:val="000000" w:themeColor="text1"/>
                <w:szCs w:val="21"/>
                <w:highlight w:val="none"/>
                <w14:textFill>
                  <w14:solidFill>
                    <w14:schemeClr w14:val="tx1"/>
                  </w14:solidFill>
                </w14:textFill>
              </w:rPr>
              <w:t>质量要求</w:t>
            </w:r>
            <w:bookmarkEnd w:id="180"/>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符合《第七章技术标准和要求》的质量要求</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1.3.4</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承包方式</w:t>
            </w:r>
          </w:p>
        </w:tc>
        <w:tc>
          <w:tcPr>
            <w:tcW w:w="2953" w:type="pct"/>
            <w:tcBorders>
              <w:top w:val="single" w:color="auto" w:sz="4" w:space="0"/>
              <w:left w:val="single" w:color="auto" w:sz="4" w:space="0"/>
              <w:bottom w:val="single" w:color="auto" w:sz="4" w:space="0"/>
              <w:right w:val="single" w:color="auto" w:sz="4" w:space="0"/>
            </w:tcBorders>
            <w:vAlign w:val="center"/>
          </w:tcPr>
          <w:p>
            <w:pPr>
              <w:pStyle w:val="18"/>
              <w:topLinePunct/>
              <w:spacing w:line="400" w:lineRule="exact"/>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□固定总价</w:t>
            </w:r>
          </w:p>
          <w:p>
            <w:pPr>
              <w:pStyle w:val="18"/>
              <w:topLinePunct/>
              <w:spacing w:line="400" w:lineRule="exact"/>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█综合单价</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w:t>
            </w:r>
            <w:r>
              <w:rPr>
                <w:rFonts w:hint="eastAsia" w:ascii="宋体" w:hAnsi="宋体" w:eastAsia="宋体" w:cs="宋体"/>
                <w:color w:val="000000" w:themeColor="text1"/>
                <w:szCs w:val="21"/>
                <w:highlight w:val="none"/>
                <w:u w:val="single"/>
                <w14:textFill>
                  <w14:solidFill>
                    <w14:schemeClr w14:val="tx1"/>
                  </w14:solidFill>
                </w14:textFill>
              </w:rPr>
              <w:t xml:space="preserve">                  </w:t>
            </w:r>
          </w:p>
        </w:tc>
      </w:tr>
      <w:tr>
        <w:tblPrEx>
          <w:tblCellMar>
            <w:top w:w="0" w:type="dxa"/>
            <w:left w:w="108" w:type="dxa"/>
            <w:bottom w:w="0" w:type="dxa"/>
            <w:right w:w="108" w:type="dxa"/>
          </w:tblCellMar>
        </w:tblPrEx>
        <w:trPr>
          <w:trHeight w:val="1024"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1" w:name="_Toc221950045"/>
            <w:r>
              <w:rPr>
                <w:rFonts w:hint="eastAsia" w:ascii="宋体" w:hAnsi="宋体" w:eastAsia="宋体" w:cs="宋体"/>
                <w:color w:val="000000" w:themeColor="text1"/>
                <w:szCs w:val="21"/>
                <w:highlight w:val="none"/>
                <w14:textFill>
                  <w14:solidFill>
                    <w14:schemeClr w14:val="tx1"/>
                  </w14:solidFill>
                </w14:textFill>
              </w:rPr>
              <w:t>1.4.1</w:t>
            </w:r>
            <w:bookmarkEnd w:id="181"/>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82" w:name="_Toc221950046"/>
            <w:r>
              <w:rPr>
                <w:rFonts w:hint="eastAsia" w:ascii="宋体" w:hAnsi="宋体" w:eastAsia="宋体" w:cs="宋体"/>
                <w:color w:val="000000" w:themeColor="text1"/>
                <w:szCs w:val="21"/>
                <w:highlight w:val="none"/>
                <w14:textFill>
                  <w14:solidFill>
                    <w14:schemeClr w14:val="tx1"/>
                  </w14:solidFill>
                </w14:textFill>
              </w:rPr>
              <w:t>投标人资质条件、能力、信誉</w:t>
            </w:r>
            <w:bookmarkEnd w:id="182"/>
            <w:r>
              <w:rPr>
                <w:rFonts w:hint="eastAsia" w:ascii="宋体" w:hAnsi="宋体" w:eastAsia="宋体" w:cs="宋体"/>
                <w:color w:val="000000" w:themeColor="text1"/>
                <w:szCs w:val="21"/>
                <w:highlight w:val="none"/>
                <w14:textFill>
                  <w14:solidFill>
                    <w14:schemeClr w14:val="tx1"/>
                  </w14:solidFill>
                </w14:textFill>
              </w:rPr>
              <w:t>（须同招标公告一致）</w:t>
            </w:r>
          </w:p>
        </w:tc>
        <w:tc>
          <w:tcPr>
            <w:tcW w:w="2953" w:type="pct"/>
            <w:tcBorders>
              <w:top w:val="single" w:color="auto" w:sz="4" w:space="0"/>
              <w:left w:val="single" w:color="auto" w:sz="4" w:space="0"/>
              <w:right w:val="single" w:color="auto" w:sz="4" w:space="0"/>
            </w:tcBorders>
            <w:vAlign w:val="center"/>
          </w:tcPr>
          <w:p>
            <w:pPr>
              <w:pStyle w:val="12"/>
              <w:jc w:val="left"/>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kern w:val="2"/>
                <w:sz w:val="21"/>
                <w:szCs w:val="21"/>
                <w:highlight w:val="none"/>
                <w14:textFill>
                  <w14:solidFill>
                    <w14:schemeClr w14:val="tx1"/>
                  </w14:solidFill>
                </w14:textFill>
              </w:rPr>
              <w:t>详见招标公告</w:t>
            </w:r>
          </w:p>
        </w:tc>
      </w:tr>
      <w:tr>
        <w:tblPrEx>
          <w:tblCellMar>
            <w:top w:w="0" w:type="dxa"/>
            <w:left w:w="108" w:type="dxa"/>
            <w:bottom w:w="0" w:type="dxa"/>
            <w:right w:w="108" w:type="dxa"/>
          </w:tblCellMar>
        </w:tblPrEx>
        <w:trPr>
          <w:trHeight w:val="45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1.4.2</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是否接受联合体投标</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█不接受</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□接受，应满足下列要求：_________________</w:t>
            </w:r>
          </w:p>
        </w:tc>
      </w:tr>
      <w:tr>
        <w:tblPrEx>
          <w:tblCellMar>
            <w:top w:w="0" w:type="dxa"/>
            <w:left w:w="108" w:type="dxa"/>
            <w:bottom w:w="0" w:type="dxa"/>
            <w:right w:w="108" w:type="dxa"/>
          </w:tblCellMar>
        </w:tblPrEx>
        <w:trPr>
          <w:trHeight w:val="7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资格审查方式</w:t>
            </w:r>
          </w:p>
        </w:tc>
        <w:tc>
          <w:tcPr>
            <w:tcW w:w="2953" w:type="pct"/>
            <w:tcBorders>
              <w:top w:val="single" w:color="auto" w:sz="4" w:space="0"/>
              <w:left w:val="single" w:color="auto" w:sz="4" w:space="0"/>
              <w:bottom w:val="single" w:color="auto" w:sz="4" w:space="0"/>
              <w:right w:val="single" w:color="auto" w:sz="4" w:space="0"/>
            </w:tcBorders>
            <w:vAlign w:val="center"/>
          </w:tcPr>
          <w:p>
            <w:pPr>
              <w:pStyle w:val="18"/>
              <w:topLinePunct/>
              <w:spacing w:before="120" w:beforeLines="50" w:after="0" w:line="360" w:lineRule="auto"/>
              <w:contextualSpacing/>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电子化资格后审</w:t>
            </w:r>
          </w:p>
        </w:tc>
      </w:tr>
      <w:tr>
        <w:tblPrEx>
          <w:tblCellMar>
            <w:top w:w="0" w:type="dxa"/>
            <w:left w:w="108" w:type="dxa"/>
            <w:bottom w:w="0" w:type="dxa"/>
            <w:right w:w="108" w:type="dxa"/>
          </w:tblCellMar>
        </w:tblPrEx>
        <w:trPr>
          <w:trHeight w:val="7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p>
        </w:tc>
        <w:tc>
          <w:tcPr>
            <w:tcW w:w="1288" w:type="pct"/>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踏勘现场</w:t>
            </w:r>
          </w:p>
        </w:tc>
        <w:tc>
          <w:tcPr>
            <w:tcW w:w="2953" w:type="pct"/>
            <w:tcBorders>
              <w:top w:val="single" w:color="auto" w:sz="4" w:space="0"/>
              <w:left w:val="single" w:color="auto" w:sz="4" w:space="0"/>
              <w:bottom w:val="single" w:color="auto" w:sz="4" w:space="0"/>
              <w:right w:val="single" w:color="auto" w:sz="4" w:space="0"/>
            </w:tcBorders>
            <w:vAlign w:val="center"/>
          </w:tcPr>
          <w:p>
            <w:pPr>
              <w:pStyle w:val="1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招标人不集中组织，由投标人自行踏勘；</w:t>
            </w:r>
          </w:p>
          <w:p>
            <w:pPr>
              <w:pStyle w:val="1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时间：自公告发布之日起具备现场踏勘条件；</w:t>
            </w:r>
          </w:p>
          <w:p>
            <w:pPr>
              <w:spacing w:line="440" w:lineRule="exac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踏勘地点：</w:t>
            </w:r>
            <w:r>
              <w:rPr>
                <w:rFonts w:hint="eastAsia" w:ascii="宋体" w:hAnsi="宋体" w:eastAsia="宋体" w:cs="宋体"/>
                <w:color w:val="000000" w:themeColor="text1"/>
                <w:highlight w:val="none"/>
                <w:lang w:val="en-US" w:eastAsia="zh-CN"/>
                <w14:textFill>
                  <w14:solidFill>
                    <w14:schemeClr w14:val="tx1"/>
                  </w14:solidFill>
                </w14:textFill>
              </w:rPr>
              <w:t>猎德分公司、石井净分公司</w:t>
            </w:r>
          </w:p>
        </w:tc>
      </w:tr>
      <w:tr>
        <w:tblPrEx>
          <w:tblCellMar>
            <w:top w:w="0" w:type="dxa"/>
            <w:left w:w="108" w:type="dxa"/>
            <w:bottom w:w="0" w:type="dxa"/>
            <w:right w:w="108" w:type="dxa"/>
          </w:tblCellMar>
        </w:tblPrEx>
        <w:trPr>
          <w:trHeight w:val="465"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1.11</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偏离</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不允许偏离</w:t>
            </w:r>
          </w:p>
        </w:tc>
      </w:tr>
      <w:tr>
        <w:tblPrEx>
          <w:tblCellMar>
            <w:top w:w="0" w:type="dxa"/>
            <w:left w:w="108" w:type="dxa"/>
            <w:bottom w:w="0" w:type="dxa"/>
            <w:right w:w="108" w:type="dxa"/>
          </w:tblCellMar>
        </w:tblPrEx>
        <w:trPr>
          <w:trHeight w:val="45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招标答疑</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1、方式：网上答疑；</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2、投标人质疑期限：在投标截止日期前</w:t>
            </w:r>
            <w:r>
              <w:rPr>
                <w:rFonts w:hint="eastAsia" w:ascii="宋体" w:hAnsi="宋体" w:eastAsia="宋体" w:cs="宋体"/>
                <w:color w:val="000000" w:themeColor="text1"/>
                <w:szCs w:val="21"/>
                <w:highlight w:val="none"/>
                <w:u w:val="single"/>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日；</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3、招标人答疑期限：在投标截止日期前7 日。</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投标人的疑问通过广州公共资源交易中心数字交易平台提交。按照广州公共资源交易中心数字交易平台关于全流程电子化项目的相关指南进行操作，投标人登录交易中心数字交易平台，进入“我是投标人（供应商）”-&gt;“我的投标”-&gt;“招标答疑提问”查询项目并提问。提问一律不得署名。</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5、网上答疑的相关事项详见招标文件2.2款；</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6、答疑纪要在广州公共资源交易中心网站的“建设工程-项目查询（日程安排、答疑纪要）”专区发布。答疑纪要一经在广州公共资源交易中心交易平台发布，视作已发放给所有投标人。</w:t>
            </w:r>
          </w:p>
        </w:tc>
      </w:tr>
      <w:tr>
        <w:tblPrEx>
          <w:tblCellMar>
            <w:top w:w="0" w:type="dxa"/>
            <w:left w:w="108" w:type="dxa"/>
            <w:bottom w:w="0" w:type="dxa"/>
            <w:right w:w="108" w:type="dxa"/>
          </w:tblCellMar>
        </w:tblPrEx>
        <w:trPr>
          <w:trHeight w:val="45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招标文件澄清和修改</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招标文件的修改期限：在投标截止日期前</w:t>
            </w:r>
            <w:r>
              <w:rPr>
                <w:rFonts w:hint="eastAsia" w:ascii="宋体" w:hAnsi="宋体" w:eastAsia="宋体" w:cs="宋体"/>
                <w:color w:val="000000" w:themeColor="text1"/>
                <w:szCs w:val="21"/>
                <w:highlight w:val="none"/>
                <w:u w:val="single"/>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日</w:t>
            </w:r>
          </w:p>
        </w:tc>
      </w:tr>
      <w:tr>
        <w:tblPrEx>
          <w:tblCellMar>
            <w:top w:w="0" w:type="dxa"/>
            <w:left w:w="108" w:type="dxa"/>
            <w:bottom w:w="0" w:type="dxa"/>
            <w:right w:w="108" w:type="dxa"/>
          </w:tblCellMar>
        </w:tblPrEx>
        <w:trPr>
          <w:trHeight w:val="465"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投标文件的组成</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采用综合评估法一：投标文件由资格审查文件、商务文件和技术文件组成。</w:t>
            </w:r>
          </w:p>
        </w:tc>
      </w:tr>
      <w:tr>
        <w:tblPrEx>
          <w:tblCellMar>
            <w:top w:w="0" w:type="dxa"/>
            <w:left w:w="108" w:type="dxa"/>
            <w:bottom w:w="0" w:type="dxa"/>
            <w:right w:w="108" w:type="dxa"/>
          </w:tblCellMar>
        </w:tblPrEx>
        <w:trPr>
          <w:trHeight w:val="429"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3.2.3</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最高投标限价</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本项目最高投标限价为：</w:t>
            </w:r>
            <w:r>
              <w:rPr>
                <w:rFonts w:hint="eastAsia" w:ascii="宋体" w:hAnsi="宋体" w:eastAsia="宋体" w:cs="宋体"/>
                <w:color w:val="000000" w:themeColor="text1"/>
                <w:szCs w:val="21"/>
                <w:highlight w:val="none"/>
                <w:u w:val="single"/>
                <w14:textFill>
                  <w14:solidFill>
                    <w14:schemeClr w14:val="tx1"/>
                  </w14:solidFill>
                </w14:textFill>
              </w:rPr>
              <w:t>7573604.34</w:t>
            </w:r>
            <w:r>
              <w:rPr>
                <w:rFonts w:hint="eastAsia" w:ascii="宋体" w:hAnsi="宋体" w:eastAsia="宋体" w:cs="宋体"/>
                <w:color w:val="000000" w:themeColor="text1"/>
                <w:szCs w:val="21"/>
                <w:highlight w:val="none"/>
                <w14:textFill>
                  <w14:solidFill>
                    <w14:schemeClr w14:val="tx1"/>
                  </w14:solidFill>
                </w14:textFill>
              </w:rPr>
              <w:t>元。</w:t>
            </w:r>
          </w:p>
          <w:p>
            <w:pPr>
              <w:spacing w:before="120" w:beforeLines="50" w:line="360" w:lineRule="auto"/>
              <w:ind w:firstLine="420" w:firstLineChars="200"/>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本项目投标总价应包含</w:t>
            </w:r>
            <w:r>
              <w:rPr>
                <w:rFonts w:hint="eastAsia" w:ascii="宋体" w:hAnsi="宋体" w:eastAsia="宋体" w:cs="宋体"/>
                <w:color w:val="000000" w:themeColor="text1"/>
                <w:highlight w:val="none"/>
                <w14:textFill>
                  <w14:solidFill>
                    <w14:schemeClr w14:val="tx1"/>
                  </w14:solidFill>
                </w14:textFill>
              </w:rPr>
              <w:t>绿色施工安全防护措施费</w:t>
            </w:r>
            <w:r>
              <w:rPr>
                <w:rFonts w:hint="eastAsia" w:ascii="宋体" w:hAnsi="宋体" w:eastAsia="宋体" w:cs="宋体"/>
                <w:color w:val="000000" w:themeColor="text1"/>
                <w:szCs w:val="21"/>
                <w:highlight w:val="none"/>
                <w14:textFill>
                  <w14:solidFill>
                    <w14:schemeClr w14:val="tx1"/>
                  </w14:solidFill>
                </w14:textFill>
              </w:rPr>
              <w:t>、暂列金额等非竞争性费用。</w:t>
            </w:r>
            <w:r>
              <w:rPr>
                <w:rFonts w:hint="eastAsia" w:ascii="宋体" w:hAnsi="宋体" w:eastAsia="宋体" w:cs="宋体"/>
                <w:color w:val="000000" w:themeColor="text1"/>
                <w:highlight w:val="none"/>
                <w14:textFill>
                  <w14:solidFill>
                    <w14:schemeClr w14:val="tx1"/>
                  </w14:solidFill>
                </w14:textFill>
              </w:rPr>
              <w:t>投标人的投标总报价高于本项目的最高投标限价，则其投标将被拒绝（具体详见最高投标限价公布函）。</w:t>
            </w:r>
          </w:p>
        </w:tc>
      </w:tr>
      <w:tr>
        <w:tblPrEx>
          <w:tblCellMar>
            <w:top w:w="0" w:type="dxa"/>
            <w:left w:w="108" w:type="dxa"/>
            <w:bottom w:w="0" w:type="dxa"/>
            <w:right w:w="108" w:type="dxa"/>
          </w:tblCellMar>
        </w:tblPrEx>
        <w:trPr>
          <w:trHeight w:val="429"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3.2.4</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成本警示价</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成本警示价为</w:t>
            </w:r>
            <w:r>
              <w:rPr>
                <w:rFonts w:hint="eastAsia" w:ascii="宋体" w:hAnsi="宋体" w:eastAsia="宋体" w:cs="宋体"/>
                <w:color w:val="000000" w:themeColor="text1"/>
                <w:szCs w:val="21"/>
                <w:highlight w:val="none"/>
                <w:u w:val="single"/>
                <w14:textFill>
                  <w14:solidFill>
                    <w14:schemeClr w14:val="tx1"/>
                  </w14:solidFill>
                </w14:textFill>
              </w:rPr>
              <w:t>6816243.9</w:t>
            </w:r>
            <w:r>
              <w:rPr>
                <w:rFonts w:hint="eastAsia" w:ascii="宋体" w:hAnsi="宋体" w:eastAsia="宋体" w:cs="宋体"/>
                <w:color w:val="000000" w:themeColor="text1"/>
                <w:szCs w:val="21"/>
                <w:highlight w:val="none"/>
                <w:u w:val="singl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元。（</w:t>
            </w:r>
            <w:r>
              <w:rPr>
                <w:rFonts w:hint="eastAsia" w:ascii="宋体" w:hAnsi="宋体" w:eastAsia="宋体" w:cs="宋体"/>
                <w:color w:val="000000" w:themeColor="text1"/>
                <w:szCs w:val="21"/>
                <w:highlight w:val="none"/>
                <w:u w:val="single"/>
                <w14:textFill>
                  <w14:solidFill>
                    <w14:schemeClr w14:val="tx1"/>
                  </w14:solidFill>
                </w14:textFill>
              </w:rPr>
              <w:t>最高投标限价的90%设置为成本警示价）</w:t>
            </w:r>
          </w:p>
        </w:tc>
      </w:tr>
      <w:tr>
        <w:tblPrEx>
          <w:tblCellMar>
            <w:top w:w="0" w:type="dxa"/>
            <w:left w:w="108" w:type="dxa"/>
            <w:bottom w:w="0" w:type="dxa"/>
            <w:right w:w="108" w:type="dxa"/>
          </w:tblCellMar>
        </w:tblPrEx>
        <w:trPr>
          <w:trHeight w:val="70"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3" w:name="_Toc221950062"/>
            <w:r>
              <w:rPr>
                <w:rFonts w:hint="eastAsia" w:ascii="宋体" w:hAnsi="宋体" w:eastAsia="宋体" w:cs="宋体"/>
                <w:color w:val="000000" w:themeColor="text1"/>
                <w:szCs w:val="21"/>
                <w:highlight w:val="none"/>
                <w14:textFill>
                  <w14:solidFill>
                    <w14:schemeClr w14:val="tx1"/>
                  </w14:solidFill>
                </w14:textFill>
              </w:rPr>
              <w:t>3.3.1</w:t>
            </w:r>
            <w:bookmarkEnd w:id="183"/>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投标有效期</w:t>
            </w:r>
          </w:p>
        </w:tc>
        <w:tc>
          <w:tcPr>
            <w:tcW w:w="2953" w:type="pct"/>
            <w:tcBorders>
              <w:top w:val="single" w:color="auto" w:sz="4" w:space="0"/>
              <w:left w:val="single" w:color="auto" w:sz="4" w:space="0"/>
              <w:right w:val="single" w:color="auto" w:sz="4" w:space="0"/>
            </w:tcBorders>
            <w:vAlign w:val="center"/>
          </w:tcPr>
          <w:p>
            <w:pPr>
              <w:pStyle w:val="18"/>
              <w:topLinePunct/>
              <w:spacing w:before="120" w:beforeLines="50" w:after="0" w:line="360" w:lineRule="auto"/>
              <w:contextualSpacing/>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u w:val="single"/>
                <w14:textFill>
                  <w14:solidFill>
                    <w14:schemeClr w14:val="tx1"/>
                  </w14:solidFill>
                </w14:textFill>
              </w:rPr>
              <w:t>120</w:t>
            </w:r>
            <w:r>
              <w:rPr>
                <w:rFonts w:hint="eastAsia" w:ascii="宋体" w:hAnsi="宋体" w:eastAsia="宋体" w:cs="宋体"/>
                <w:color w:val="000000" w:themeColor="text1"/>
                <w:kern w:val="2"/>
                <w:sz w:val="21"/>
                <w:szCs w:val="21"/>
                <w:highlight w:val="none"/>
                <w14:textFill>
                  <w14:solidFill>
                    <w14:schemeClr w14:val="tx1"/>
                  </w14:solidFill>
                </w14:textFill>
              </w:rPr>
              <w:t>日历天（从投标截止之日计起）</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4" w:name="_Toc221950064"/>
            <w:r>
              <w:rPr>
                <w:rFonts w:hint="eastAsia" w:ascii="宋体" w:hAnsi="宋体" w:eastAsia="宋体" w:cs="宋体"/>
                <w:color w:val="000000" w:themeColor="text1"/>
                <w:szCs w:val="21"/>
                <w:highlight w:val="none"/>
                <w14:textFill>
                  <w14:solidFill>
                    <w14:schemeClr w14:val="tx1"/>
                  </w14:solidFill>
                </w14:textFill>
              </w:rPr>
              <w:t>3.4</w:t>
            </w:r>
            <w:bookmarkEnd w:id="184"/>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85" w:name="_Toc221950065"/>
            <w:r>
              <w:rPr>
                <w:rFonts w:hint="eastAsia" w:ascii="宋体" w:hAnsi="宋体" w:eastAsia="宋体" w:cs="宋体"/>
                <w:color w:val="000000" w:themeColor="text1"/>
                <w:szCs w:val="21"/>
                <w:highlight w:val="none"/>
                <w14:textFill>
                  <w14:solidFill>
                    <w14:schemeClr w14:val="tx1"/>
                  </w14:solidFill>
                </w14:textFill>
              </w:rPr>
              <w:t>投标保证金</w:t>
            </w:r>
            <w:bookmarkEnd w:id="185"/>
          </w:p>
        </w:tc>
        <w:tc>
          <w:tcPr>
            <w:tcW w:w="295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是否要求投标人递交投标保证金：</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■要求，按以下方式递交：</w:t>
            </w:r>
          </w:p>
          <w:p>
            <w:pPr>
              <w:wordWrap w:val="0"/>
              <w:spacing w:line="38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投标保证金：</w:t>
            </w:r>
          </w:p>
          <w:p>
            <w:pPr>
              <w:wordWrap w:val="0"/>
              <w:spacing w:line="380" w:lineRule="exac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lang w:val="en-US" w:eastAsia="zh-CN"/>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万元人民币；</w:t>
            </w:r>
          </w:p>
          <w:p>
            <w:pPr>
              <w:wordWrap w:val="0"/>
              <w:spacing w:line="38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1、缴纳时间：在投标截止前。</w:t>
            </w:r>
          </w:p>
          <w:p>
            <w:pPr>
              <w:wordWrap w:val="0"/>
              <w:spacing w:line="380" w:lineRule="exac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2、投标保证金有效期：与投标有效期一致。</w:t>
            </w:r>
          </w:p>
          <w:p>
            <w:pPr>
              <w:wordWrap w:val="0"/>
              <w:spacing w:line="380" w:lineRule="exac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3、投标保证金的形式：投标保证金可采用现金、支票、转账、投标保证保险、投标保函（银行或专业担保公司出具）等形式，须在递交投标文件截止时间前完成缴纳。</w:t>
            </w:r>
          </w:p>
          <w:p>
            <w:pPr>
              <w:wordWrap w:val="0"/>
              <w:spacing w:line="380" w:lineRule="exac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4、递交方式：</w:t>
            </w:r>
          </w:p>
          <w:p>
            <w:pPr>
              <w:wordWrap w:val="0"/>
              <w:spacing w:line="380" w:lineRule="exac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如采用现金或者转账或者支票形式提交的由广州交易集团有限公司代收。缴纳情况以开标时广州公共资源交易中心网站查询为准。具体操作流程详见广州公共资源交易中心最新的投标保证金缴纳操作指引或自行咨询交易中心。</w:t>
            </w:r>
          </w:p>
          <w:p>
            <w:pPr>
              <w:wordWrap w:val="0"/>
              <w:spacing w:line="380" w:lineRule="exac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如采用投标保证保险、投标保函（银行或专业担保公司出具）形式提交投标保证金的，投标保证保险、投标保函（银行或专业担保公司出具）须开具给招标人（保险受益人须为招标人）。开标前可不提交纸质原件，但投标人应在投标文件中提交投标保证保险、投标保函（银行或专业担保公司出具）的扫描件并加盖投标人电子印章，完成评标后，由中标候选人在中标候选人公示前向招标代理单位提交纸质原件并在网上公示。如投标人选择在开标前提交纸质原件的，可在递交投标文件备用光盘的同时单独密封递交至开标室。</w:t>
            </w:r>
          </w:p>
          <w:p>
            <w:pPr>
              <w:spacing w:line="36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（3）如采用电子保函形式递交投标保证金，按广州公共资源交易中心发布的《关于进一步完善电子保函服务功能的通知</w:t>
            </w:r>
          </w:p>
          <w:p>
            <w:pPr>
              <w:spacing w:line="36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详见</w:t>
            </w:r>
          </w:p>
          <w:p>
            <w:pPr>
              <w:spacing w:line="36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（http://www.gzggzy.cn/fwznbszycwxg/857020.jhtml) 操作到账情况以开标时广州公共资源交易中心数据库查询信息为准。</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□不要求</w:t>
            </w:r>
          </w:p>
        </w:tc>
      </w:tr>
      <w:tr>
        <w:tblPrEx>
          <w:tblCellMar>
            <w:top w:w="0" w:type="dxa"/>
            <w:left w:w="108" w:type="dxa"/>
            <w:bottom w:w="0" w:type="dxa"/>
            <w:right w:w="108" w:type="dxa"/>
          </w:tblCellMar>
        </w:tblPrEx>
        <w:trPr>
          <w:trHeight w:val="70"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3.6.3</w:t>
            </w:r>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签字或盖章要求</w:t>
            </w:r>
          </w:p>
        </w:tc>
        <w:tc>
          <w:tcPr>
            <w:tcW w:w="2953" w:type="pct"/>
            <w:tcBorders>
              <w:top w:val="single" w:color="auto" w:sz="4" w:space="0"/>
              <w:left w:val="single" w:color="auto" w:sz="4" w:space="0"/>
              <w:right w:val="single" w:color="auto" w:sz="4" w:space="0"/>
            </w:tcBorders>
            <w:vAlign w:val="center"/>
          </w:tcPr>
          <w:p>
            <w:pPr>
              <w:pStyle w:val="18"/>
              <w:topLinePunct/>
              <w:spacing w:before="120" w:beforeLines="50" w:after="0" w:line="360" w:lineRule="auto"/>
              <w:contextualSpacing/>
              <w:jc w:val="left"/>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投标文件格式规定盖单位章的页面必须盖单位章，规定法定代表人或授权委托人、项目负责人和技术负责人签字的页面必须签字。签字必须由本人在规定页面手写签名</w:t>
            </w:r>
            <w:r>
              <w:rPr>
                <w:rFonts w:hint="eastAsia" w:ascii="宋体" w:hAnsi="宋体" w:eastAsia="宋体" w:cs="宋体"/>
                <w:color w:val="000000" w:themeColor="text1"/>
                <w:sz w:val="21"/>
                <w:szCs w:val="21"/>
                <w:highlight w:val="none"/>
                <w14:textFill>
                  <w14:solidFill>
                    <w14:schemeClr w14:val="tx1"/>
                  </w14:solidFill>
                </w14:textFill>
              </w:rPr>
              <w:t>或签章</w:t>
            </w:r>
            <w:r>
              <w:rPr>
                <w:rFonts w:hint="eastAsia" w:ascii="宋体" w:hAnsi="宋体" w:eastAsia="宋体" w:cs="宋体"/>
                <w:color w:val="000000" w:themeColor="text1"/>
                <w:kern w:val="2"/>
                <w:sz w:val="21"/>
                <w:szCs w:val="21"/>
                <w:highlight w:val="none"/>
                <w14:textFill>
                  <w14:solidFill>
                    <w14:schemeClr w14:val="tx1"/>
                  </w14:solidFill>
                </w14:textFill>
              </w:rPr>
              <w:t>后扫描上传。</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4.1.1</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投标文件份数</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投标文件为含电子签章的加密电子投标文件1套。</w:t>
            </w:r>
          </w:p>
          <w:p>
            <w:pPr>
              <w:pStyle w:val="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中标人中标后须提供：①与电子投标文件一致的纸质版一正三副；②电子投标文件（PDF格式）两份（光盘或U盘）。</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6" w:name="_Toc221950069"/>
            <w:r>
              <w:rPr>
                <w:rFonts w:hint="eastAsia" w:ascii="宋体" w:hAnsi="宋体" w:eastAsia="宋体" w:cs="宋体"/>
                <w:color w:val="000000" w:themeColor="text1"/>
                <w:szCs w:val="21"/>
                <w:highlight w:val="none"/>
                <w14:textFill>
                  <w14:solidFill>
                    <w14:schemeClr w14:val="tx1"/>
                  </w14:solidFill>
                </w14:textFill>
              </w:rPr>
              <w:t>4.2.</w:t>
            </w:r>
            <w:bookmarkEnd w:id="186"/>
            <w:r>
              <w:rPr>
                <w:rFonts w:hint="eastAsia" w:ascii="宋体" w:hAnsi="宋体" w:eastAsia="宋体" w:cs="宋体"/>
                <w:color w:val="000000" w:themeColor="text1"/>
                <w:szCs w:val="21"/>
                <w:highlight w:val="none"/>
                <w14:textFill>
                  <w14:solidFill>
                    <w14:schemeClr w14:val="tx1"/>
                  </w14:solidFill>
                </w14:textFill>
              </w:rPr>
              <w:t>1</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投标文件的递交时间和地点</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1、递交方式：网上递交投标文件</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2、文件的递交截止时间：____年__月__日 __时__分。</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3、上述时间是否有改变，请密切留意招标答疑纪要的相关信息。</w:t>
            </w:r>
          </w:p>
        </w:tc>
      </w:tr>
      <w:tr>
        <w:tblPrEx>
          <w:tblCellMar>
            <w:top w:w="0" w:type="dxa"/>
            <w:left w:w="108" w:type="dxa"/>
            <w:bottom w:w="0" w:type="dxa"/>
            <w:right w:w="108" w:type="dxa"/>
          </w:tblCellMar>
        </w:tblPrEx>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4.7</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投标文件的解密</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在投标截止时间后</w:t>
            </w:r>
            <w:r>
              <w:rPr>
                <w:rFonts w:hint="eastAsia" w:ascii="宋体" w:hAnsi="宋体" w:eastAsia="宋体" w:cs="宋体"/>
                <w:color w:val="000000" w:themeColor="text1"/>
                <w:szCs w:val="21"/>
                <w:highlight w:val="none"/>
                <w:u w:val="single"/>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分钟内为投标人投标文件解密时间，投标人通过广州公共资源交易平台对已递交的电子投标文件进行解密。</w:t>
            </w:r>
          </w:p>
        </w:tc>
      </w:tr>
      <w:tr>
        <w:tblPrEx>
          <w:tblCellMar>
            <w:top w:w="0" w:type="dxa"/>
            <w:left w:w="108" w:type="dxa"/>
            <w:bottom w:w="0" w:type="dxa"/>
            <w:right w:w="108" w:type="dxa"/>
          </w:tblCellMar>
        </w:tblPrEx>
        <w:trPr>
          <w:trHeight w:val="880"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7" w:name="_Toc221950071"/>
            <w:r>
              <w:rPr>
                <w:rFonts w:hint="eastAsia" w:ascii="宋体" w:hAnsi="宋体" w:eastAsia="宋体" w:cs="宋体"/>
                <w:color w:val="000000" w:themeColor="text1"/>
                <w:szCs w:val="21"/>
                <w:highlight w:val="none"/>
                <w14:textFill>
                  <w14:solidFill>
                    <w14:schemeClr w14:val="tx1"/>
                  </w14:solidFill>
                </w14:textFill>
              </w:rPr>
              <w:t>5.1</w:t>
            </w:r>
            <w:bookmarkEnd w:id="187"/>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88" w:name="_Toc221950072"/>
            <w:r>
              <w:rPr>
                <w:rFonts w:hint="eastAsia" w:ascii="宋体" w:hAnsi="宋体" w:eastAsia="宋体" w:cs="宋体"/>
                <w:color w:val="000000" w:themeColor="text1"/>
                <w:szCs w:val="21"/>
                <w:highlight w:val="none"/>
                <w14:textFill>
                  <w14:solidFill>
                    <w14:schemeClr w14:val="tx1"/>
                  </w14:solidFill>
                </w14:textFill>
              </w:rPr>
              <w:t>开标时间和地点</w:t>
            </w:r>
            <w:bookmarkEnd w:id="188"/>
          </w:p>
        </w:tc>
        <w:tc>
          <w:tcPr>
            <w:tcW w:w="2953" w:type="pct"/>
            <w:tcBorders>
              <w:top w:val="single" w:color="auto" w:sz="4" w:space="0"/>
              <w:left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1、开标开始时间：____年__月__日 __时__分</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2、地点：广州公共资源交易中心第</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开标室。</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3、上述时间及地点是否有改变，请密切留意招标答疑纪要的相关信息。</w:t>
            </w:r>
          </w:p>
        </w:tc>
      </w:tr>
      <w:tr>
        <w:tblPrEx>
          <w:tblCellMar>
            <w:top w:w="0" w:type="dxa"/>
            <w:left w:w="108" w:type="dxa"/>
            <w:bottom w:w="0" w:type="dxa"/>
            <w:right w:w="108" w:type="dxa"/>
          </w:tblCellMar>
        </w:tblPrEx>
        <w:trPr>
          <w:trHeight w:val="634"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开标评标办法</w:t>
            </w:r>
          </w:p>
        </w:tc>
        <w:tc>
          <w:tcPr>
            <w:tcW w:w="2953" w:type="pct"/>
            <w:tcBorders>
              <w:top w:val="single" w:color="auto" w:sz="4" w:space="0"/>
              <w:left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■综合评估法一</w:t>
            </w:r>
          </w:p>
        </w:tc>
      </w:tr>
      <w:tr>
        <w:tblPrEx>
          <w:tblCellMar>
            <w:top w:w="0" w:type="dxa"/>
            <w:left w:w="108" w:type="dxa"/>
            <w:bottom w:w="0" w:type="dxa"/>
            <w:right w:w="108" w:type="dxa"/>
          </w:tblCellMar>
        </w:tblPrEx>
        <w:trPr>
          <w:trHeight w:val="880"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89" w:name="_Toc221950075"/>
            <w:r>
              <w:rPr>
                <w:rFonts w:hint="eastAsia" w:ascii="宋体" w:hAnsi="宋体" w:eastAsia="宋体" w:cs="宋体"/>
                <w:color w:val="000000" w:themeColor="text1"/>
                <w:szCs w:val="21"/>
                <w:highlight w:val="none"/>
                <w14:textFill>
                  <w14:solidFill>
                    <w14:schemeClr w14:val="tx1"/>
                  </w14:solidFill>
                </w14:textFill>
              </w:rPr>
              <w:t>6.1.1</w:t>
            </w:r>
            <w:bookmarkEnd w:id="189"/>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90" w:name="_Toc221950076"/>
            <w:r>
              <w:rPr>
                <w:rFonts w:hint="eastAsia" w:ascii="宋体" w:hAnsi="宋体" w:eastAsia="宋体" w:cs="宋体"/>
                <w:color w:val="000000" w:themeColor="text1"/>
                <w:szCs w:val="21"/>
                <w:highlight w:val="none"/>
                <w14:textFill>
                  <w14:solidFill>
                    <w14:schemeClr w14:val="tx1"/>
                  </w14:solidFill>
                </w14:textFill>
              </w:rPr>
              <w:t>评标委员会的组建</w:t>
            </w:r>
            <w:bookmarkEnd w:id="190"/>
          </w:p>
        </w:tc>
        <w:tc>
          <w:tcPr>
            <w:tcW w:w="2953" w:type="pct"/>
            <w:tcBorders>
              <w:top w:val="single" w:color="auto" w:sz="4" w:space="0"/>
              <w:left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评标委员会构成：5人；</w:t>
            </w:r>
          </w:p>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评标专家确定方式：评标委员会由招标人依法组建。</w:t>
            </w:r>
          </w:p>
        </w:tc>
      </w:tr>
      <w:tr>
        <w:tblPrEx>
          <w:tblCellMar>
            <w:top w:w="0" w:type="dxa"/>
            <w:left w:w="108" w:type="dxa"/>
            <w:bottom w:w="0" w:type="dxa"/>
            <w:right w:w="108" w:type="dxa"/>
          </w:tblCellMar>
        </w:tblPrEx>
        <w:trPr>
          <w:trHeight w:val="880" w:hRule="atLeast"/>
        </w:trPr>
        <w:tc>
          <w:tcPr>
            <w:tcW w:w="758" w:type="pct"/>
            <w:tcBorders>
              <w:top w:val="single" w:color="auto" w:sz="4" w:space="0"/>
              <w:left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7.2.1</w:t>
            </w:r>
          </w:p>
        </w:tc>
        <w:tc>
          <w:tcPr>
            <w:tcW w:w="1288" w:type="pct"/>
            <w:tcBorders>
              <w:top w:val="single" w:color="auto" w:sz="4" w:space="0"/>
              <w:left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中标候选人公示媒介</w:t>
            </w:r>
          </w:p>
        </w:tc>
        <w:tc>
          <w:tcPr>
            <w:tcW w:w="2953" w:type="pct"/>
            <w:tcBorders>
              <w:top w:val="single" w:color="auto" w:sz="4" w:space="0"/>
              <w:left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中国招标投标公共服务平台、广州国企阳光采购信息发布平台、广州公共资源交易中心网站</w:t>
            </w:r>
          </w:p>
        </w:tc>
      </w:tr>
      <w:tr>
        <w:tblPrEx>
          <w:tblCellMar>
            <w:top w:w="0" w:type="dxa"/>
            <w:left w:w="108" w:type="dxa"/>
            <w:bottom w:w="0" w:type="dxa"/>
            <w:right w:w="108" w:type="dxa"/>
          </w:tblCellMar>
        </w:tblPrEx>
        <w:trPr>
          <w:trHeight w:val="844"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bookmarkStart w:id="191" w:name="_Toc221950079"/>
            <w:r>
              <w:rPr>
                <w:rFonts w:hint="eastAsia" w:ascii="宋体" w:hAnsi="宋体" w:eastAsia="宋体" w:cs="宋体"/>
                <w:color w:val="000000" w:themeColor="text1"/>
                <w:szCs w:val="21"/>
                <w:highlight w:val="none"/>
                <w14:textFill>
                  <w14:solidFill>
                    <w14:schemeClr w14:val="tx1"/>
                  </w14:solidFill>
                </w14:textFill>
              </w:rPr>
              <w:t>7.4.1</w:t>
            </w:r>
            <w:bookmarkEnd w:id="191"/>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bookmarkStart w:id="192" w:name="_Toc221950080"/>
            <w:r>
              <w:rPr>
                <w:rFonts w:hint="eastAsia" w:ascii="宋体" w:hAnsi="宋体" w:eastAsia="宋体" w:cs="宋体"/>
                <w:color w:val="000000" w:themeColor="text1"/>
                <w:szCs w:val="21"/>
                <w:highlight w:val="none"/>
                <w14:textFill>
                  <w14:solidFill>
                    <w14:schemeClr w14:val="tx1"/>
                  </w14:solidFill>
                </w14:textFill>
              </w:rPr>
              <w:t>履约担保</w:t>
            </w:r>
            <w:bookmarkEnd w:id="192"/>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履约保证金为中标价款的10%。</w:t>
            </w:r>
          </w:p>
        </w:tc>
      </w:tr>
      <w:tr>
        <w:tblPrEx>
          <w:tblCellMar>
            <w:top w:w="0" w:type="dxa"/>
            <w:left w:w="108" w:type="dxa"/>
            <w:bottom w:w="0" w:type="dxa"/>
            <w:right w:w="108" w:type="dxa"/>
          </w:tblCellMar>
        </w:tblPrEx>
        <w:trPr>
          <w:trHeight w:val="493"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c>
          <w:tcPr>
            <w:tcW w:w="1288"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需要补充的其他内容</w:t>
            </w:r>
          </w:p>
        </w:tc>
        <w:tc>
          <w:tcPr>
            <w:tcW w:w="2953" w:type="pct"/>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contextualSpacing/>
              <w:rPr>
                <w:rFonts w:hint="eastAsia" w:ascii="宋体" w:hAnsi="宋体" w:eastAsia="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320" w:lineRule="exact"/>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10.1</w:t>
            </w:r>
          </w:p>
        </w:tc>
        <w:tc>
          <w:tcPr>
            <w:tcW w:w="1288" w:type="pct"/>
            <w:tcBorders>
              <w:top w:val="single" w:color="auto" w:sz="4" w:space="0"/>
              <w:left w:val="single" w:color="auto" w:sz="4" w:space="0"/>
              <w:bottom w:val="single" w:color="auto" w:sz="4" w:space="0"/>
              <w:right w:val="single" w:color="auto" w:sz="4" w:space="0"/>
            </w:tcBorders>
            <w:vAlign w:val="center"/>
          </w:tcPr>
          <w:p>
            <w:pPr>
              <w:spacing w:line="320" w:lineRule="exact"/>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电子招标投标</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□否</w:t>
            </w:r>
          </w:p>
          <w:p>
            <w:pPr>
              <w:spacing w:line="320" w:lineRule="exact"/>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是</w:t>
            </w:r>
          </w:p>
        </w:tc>
      </w:tr>
      <w:tr>
        <w:tblPrEx>
          <w:tblCellMar>
            <w:top w:w="0" w:type="dxa"/>
            <w:left w:w="108" w:type="dxa"/>
            <w:bottom w:w="0" w:type="dxa"/>
            <w:right w:w="108" w:type="dxa"/>
          </w:tblCellMar>
        </w:tblPrEx>
        <w:trPr>
          <w:trHeight w:val="416"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380" w:lineRule="exact"/>
              <w:contextualSpacing/>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10.2</w:t>
            </w:r>
          </w:p>
        </w:tc>
        <w:tc>
          <w:tcPr>
            <w:tcW w:w="1288" w:type="pct"/>
            <w:tcBorders>
              <w:top w:val="single" w:color="auto" w:sz="4" w:space="0"/>
              <w:left w:val="single" w:color="auto" w:sz="4" w:space="0"/>
              <w:bottom w:val="single" w:color="auto" w:sz="4" w:space="0"/>
              <w:right w:val="single" w:color="auto" w:sz="4" w:space="0"/>
            </w:tcBorders>
            <w:vAlign w:val="center"/>
          </w:tcPr>
          <w:p>
            <w:pPr>
              <w:spacing w:line="380" w:lineRule="exact"/>
              <w:contextualSpacing/>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电子招标投标解密失败及突发情况的补救</w:t>
            </w:r>
          </w:p>
        </w:tc>
        <w:tc>
          <w:tcPr>
            <w:tcW w:w="2953" w:type="pct"/>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1.按照交易平台关于全流程电子化项目的相关指南进行操作。详见：【专业工程】新数字交易平台操作指引（含交易系统、文件编制工具、开评标系统等）。</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2.提交投标文件光盘备用</w:t>
            </w:r>
          </w:p>
          <w:p>
            <w:pPr>
              <w:widowControl/>
              <w:adjustRightInd w:val="0"/>
              <w:snapToGrid w:val="0"/>
              <w:spacing w:line="276" w:lineRule="auto"/>
              <w:ind w:left="-2" w:firstLine="2"/>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投标人可制作非加密的电子投标文件（共1个光盘），在投标须知前附表第5.1项规定的时间、地点提交备用。刻录好的投标文件光盘分别密封在不透明的密封袋并作标记。</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电子投标文件应在密封袋上写明（1）招标人名称；（2）“[项目名称][投标文件光盘]”字样；（3）</w:t>
            </w:r>
            <w:r>
              <w:rPr>
                <w:rFonts w:hint="eastAsia" w:ascii="宋体" w:hAnsi="宋体" w:eastAsia="宋体" w:cs="宋体"/>
                <w:b/>
                <w:bCs/>
                <w:color w:val="000000" w:themeColor="text1"/>
                <w:szCs w:val="21"/>
                <w:highlight w:val="none"/>
                <w:u w:val="single"/>
                <w14:textFill>
                  <w14:solidFill>
                    <w14:schemeClr w14:val="tx1"/>
                  </w14:solidFill>
                </w14:textFill>
              </w:rPr>
              <w:t>并在封口处加盖投标人公章</w:t>
            </w:r>
            <w:r>
              <w:rPr>
                <w:rFonts w:hint="eastAsia" w:ascii="宋体" w:hAnsi="宋体" w:eastAsia="宋体" w:cs="宋体"/>
                <w:color w:val="000000" w:themeColor="text1"/>
                <w:szCs w:val="21"/>
                <w:highlight w:val="none"/>
                <w:u w:val="single"/>
                <w14:textFill>
                  <w14:solidFill>
                    <w14:schemeClr w14:val="tx1"/>
                  </w14:solidFill>
                </w14:textFill>
              </w:rPr>
              <w:t>。</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递交的投标文件光盘不得加密。光盘无法读取或导入的，则视为未提交备用投标文件光盘。如果投标人没有按规定通过交易平台网上递交电子投标文件的，不再读取提交的光盘。投标人也可不提交备用光盘。递交投标文件光盘备用时需提供法定人代表人证明书及授权委托书。</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3.补救方案</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（1）投标文件解密失败的补救方案：</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（2）评标时突发情况的补救方案</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若遇不可抗力发生（指网络瘫痪、服务器损坏、交易系统故障短期无法恢复等因素），由评标委员会开启投标人递交的全部投标文件光盘，并按光盘内容进行评审。</w:t>
            </w:r>
          </w:p>
          <w:p>
            <w:pPr>
              <w:spacing w:line="276" w:lineRule="auto"/>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（3）除发生上述情况外，开标评标均以投标人通过交易平台网上递交的电子投标文件为准。</w:t>
            </w:r>
          </w:p>
        </w:tc>
      </w:tr>
      <w:tr>
        <w:tblPrEx>
          <w:tblCellMar>
            <w:top w:w="0" w:type="dxa"/>
            <w:left w:w="108" w:type="dxa"/>
            <w:bottom w:w="0" w:type="dxa"/>
            <w:right w:w="108" w:type="dxa"/>
          </w:tblCellMar>
        </w:tblPrEx>
        <w:trPr>
          <w:trHeight w:val="416"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380" w:lineRule="exact"/>
              <w:contextualSpacing/>
              <w:jc w:val="center"/>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10.3</w:t>
            </w:r>
          </w:p>
        </w:tc>
        <w:tc>
          <w:tcPr>
            <w:tcW w:w="2035"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分包</w:t>
            </w:r>
          </w:p>
        </w:tc>
        <w:tc>
          <w:tcPr>
            <w:tcW w:w="5362"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zh-CN"/>
                <w14:textFill>
                  <w14:solidFill>
                    <w14:schemeClr w14:val="tx1"/>
                  </w14:solidFill>
                </w14:textFill>
              </w:rPr>
              <w:t>不允许；</w:t>
            </w:r>
          </w:p>
          <w:p>
            <w:pPr>
              <w:spacing w:line="276" w:lineRule="auto"/>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zh-CN"/>
                <w14:textFill>
                  <w14:solidFill>
                    <w14:schemeClr w14:val="tx1"/>
                  </w14:solidFill>
                </w14:textFill>
              </w:rPr>
              <w:t>允许：分包内容要求：</w:t>
            </w:r>
            <w:r>
              <w:rPr>
                <w:rFonts w:hint="eastAsia" w:ascii="宋体" w:hAnsi="宋体" w:eastAsia="宋体" w:cs="宋体"/>
                <w:color w:val="000000" w:themeColor="text1"/>
                <w:kern w:val="0"/>
                <w:szCs w:val="21"/>
                <w:highlight w:val="none"/>
                <w:u w:val="single"/>
                <w:lang w:bidi="ar"/>
                <w14:textFill>
                  <w14:solidFill>
                    <w14:schemeClr w14:val="tx1"/>
                  </w14:solidFill>
                </w14:textFill>
              </w:rPr>
              <w:t>经招标人同意后可依法分包</w:t>
            </w:r>
            <w:r>
              <w:rPr>
                <w:rFonts w:hint="eastAsia" w:ascii="宋体" w:hAnsi="宋体" w:eastAsia="宋体" w:cs="宋体"/>
                <w:color w:val="000000" w:themeColor="text1"/>
                <w:kern w:val="0"/>
                <w:szCs w:val="21"/>
                <w:highlight w:val="none"/>
                <w:u w:val="single"/>
                <w:lang w:val="zh-CN" w:bidi="ar"/>
                <w14:textFill>
                  <w14:solidFill>
                    <w14:schemeClr w14:val="tx1"/>
                  </w14:solidFill>
                </w14:textFill>
              </w:rPr>
              <w:t>。</w:t>
            </w:r>
          </w:p>
          <w:p>
            <w:pPr>
              <w:spacing w:line="276" w:lineRule="auto"/>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 xml:space="preserve">        分包金额要求：</w:t>
            </w:r>
            <w:r>
              <w:rPr>
                <w:rFonts w:hint="eastAsia" w:ascii="宋体" w:hAnsi="宋体" w:eastAsia="宋体" w:cs="宋体"/>
                <w:color w:val="000000" w:themeColor="text1"/>
                <w:szCs w:val="21"/>
                <w:highlight w:val="none"/>
                <w:u w:val="single"/>
                <w14:textFill>
                  <w14:solidFill>
                    <w14:schemeClr w14:val="tx1"/>
                  </w14:solidFill>
                </w14:textFill>
              </w:rPr>
              <w:t>无。</w:t>
            </w:r>
          </w:p>
          <w:p>
            <w:pPr>
              <w:spacing w:line="276" w:lineRule="auto"/>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 xml:space="preserve">        对分包人的资质要求：</w:t>
            </w:r>
            <w:r>
              <w:rPr>
                <w:rFonts w:hint="eastAsia" w:ascii="宋体" w:hAnsi="宋体" w:eastAsia="宋体" w:cs="宋体"/>
                <w:color w:val="000000" w:themeColor="text1"/>
                <w:kern w:val="0"/>
                <w:szCs w:val="21"/>
                <w:highlight w:val="none"/>
                <w:u w:val="single"/>
                <w:lang w:val="zh-CN"/>
                <w14:textFill>
                  <w14:solidFill>
                    <w14:schemeClr w14:val="tx1"/>
                  </w14:solidFill>
                </w14:textFill>
              </w:rPr>
              <w:t>符合有关法律法规和文件规定，并不得再次分包。</w:t>
            </w:r>
          </w:p>
          <w:p>
            <w:pPr>
              <w:spacing w:line="276"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 xml:space="preserve">        对分包人的其他要求：</w:t>
            </w:r>
            <w:r>
              <w:rPr>
                <w:rFonts w:hint="eastAsia" w:ascii="宋体" w:hAnsi="宋体" w:eastAsia="宋体" w:cs="宋体"/>
                <w:color w:val="000000" w:themeColor="text1"/>
                <w:szCs w:val="21"/>
                <w:highlight w:val="none"/>
                <w:u w:val="single"/>
                <w14:textFill>
                  <w14:solidFill>
                    <w14:schemeClr w14:val="tx1"/>
                  </w14:solidFill>
                </w14:textFill>
              </w:rPr>
              <w:t>无。</w:t>
            </w:r>
          </w:p>
        </w:tc>
      </w:tr>
      <w:tr>
        <w:tblPrEx>
          <w:tblCellMar>
            <w:top w:w="0" w:type="dxa"/>
            <w:left w:w="108" w:type="dxa"/>
            <w:bottom w:w="0" w:type="dxa"/>
            <w:right w:w="108" w:type="dxa"/>
          </w:tblCellMar>
        </w:tblPrEx>
        <w:trPr>
          <w:trHeight w:val="416"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10.4</w:t>
            </w:r>
          </w:p>
        </w:tc>
        <w:tc>
          <w:tcPr>
            <w:tcW w:w="1288" w:type="pct"/>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其他</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招标人或评标委员会在任何时候发现投标人有违反以下约定的，招标人或评标委员会有权将该投标人的投标作废标处理，并有权取消其投标资格并没收投标保证金。已中标签订合同的，终止合同，除没收履约保证金外，还需支付合同总额20%的违约金。</w:t>
            </w:r>
          </w:p>
          <w:p>
            <w:pPr>
              <w:spacing w:line="340" w:lineRule="exact"/>
              <w:rPr>
                <w:rFonts w:hint="eastAsia"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中标通知书发放前或在签订合同前或在签订合同后的任何时候，招标人有权到投标人现场进行考察，对投标人投标文件描述内容的真实性进行查实，如发现实际情况与投标文件不符，投标人在招标过程有弄虚作假行为、虚报资料情况的，将被取消中标资格，且不退还投标保证金；如果已经签订合同的，将被解除合同。</w:t>
            </w:r>
          </w:p>
          <w:p>
            <w:pPr>
              <w:spacing w:line="340" w:lineRule="exact"/>
              <w:rPr>
                <w:rFonts w:hint="eastAsia"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（2）招标文件合同条款和发包要求的其他情况。</w:t>
            </w:r>
          </w:p>
          <w:p>
            <w:pPr>
              <w:spacing w:line="340" w:lineRule="exac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特别提醒：招标人或招标代理有权要求投标人于本项目评标结束后至中标通知书发放前在接到通知的三日内提供相关证明材料的原件（包括投标文件中的相关证明材料等）进行核查。如该投标人不能按要求提供原件或提供的某些原件经招标人、招标代理机构共同核查后确认与原件不一致，则招标人有权取消其投标资格或中标候选人资格，被取消投标资格或中标候选人资格的，其保证金不予退还。如第一中标候选人被取消中标候选人资格，则招标人有权按中标候选人的顺序依次确定其他中标候选人为中标人，或重新招标。在此情况下，招标人不予退还该投标人的投标保证金。</w:t>
            </w:r>
          </w:p>
          <w:p>
            <w:pPr>
              <w:spacing w:line="340" w:lineRule="exact"/>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3.交易服务费：</w:t>
            </w:r>
          </w:p>
          <w:p>
            <w:pPr>
              <w:spacing w:line="340" w:lineRule="exac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本项目的公共资源交易服务费由中标人根据相关规定向广州公共资源交易中心缴纳，交易中心向中标人开具增值税发票。</w:t>
            </w:r>
          </w:p>
          <w:p>
            <w:pPr>
              <w:spacing w:line="340" w:lineRule="exact"/>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4.招标代理服务费：</w:t>
            </w:r>
          </w:p>
          <w:p>
            <w:pPr>
              <w:spacing w:line="3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招标人根据与招标代理签订的招标代理合同，由招标人支付。</w:t>
            </w:r>
          </w:p>
          <w:p>
            <w:pPr>
              <w:spacing w:line="340" w:lineRule="exact"/>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 xml:space="preserve">5. 特别提醒：投标文件应按编排要求编制。如因不按编排要求编制而所引起系无法检索、读取相关信息时，其后果将由投标人自行承担。 </w:t>
            </w:r>
          </w:p>
          <w:p>
            <w:pPr>
              <w:spacing w:line="340" w:lineRule="exact"/>
              <w:rPr>
                <w:rFonts w:hint="eastAsia" w:ascii="宋体" w:hAnsi="宋体" w:eastAsia="宋体" w:cs="宋体"/>
                <w:b/>
                <w:bCs/>
                <w:color w:val="000000" w:themeColor="text1"/>
                <w:szCs w:val="21"/>
                <w:highlight w:val="none"/>
                <w:lang w:bidi="ar"/>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6.本项目</w:t>
            </w:r>
            <w:r>
              <w:rPr>
                <w:rFonts w:hint="eastAsia" w:ascii="宋体" w:hAnsi="宋体" w:eastAsia="宋体" w:cs="宋体"/>
                <w:b/>
                <w:bCs/>
                <w:color w:val="000000" w:themeColor="text1"/>
                <w:szCs w:val="21"/>
                <w:highlight w:val="none"/>
                <w:lang w:bidi="ar"/>
                <w14:textFill>
                  <w14:solidFill>
                    <w14:schemeClr w14:val="tx1"/>
                  </w14:solidFill>
                </w14:textFill>
              </w:rPr>
              <w:t>不允许挂靠、转包或擅自分包，一旦发现将取消投标申请人的投标资格，在投标阶段将没收其投标保证金。</w:t>
            </w:r>
          </w:p>
        </w:tc>
      </w:tr>
      <w:tr>
        <w:tblPrEx>
          <w:tblCellMar>
            <w:top w:w="0" w:type="dxa"/>
            <w:left w:w="108" w:type="dxa"/>
            <w:bottom w:w="0" w:type="dxa"/>
            <w:right w:w="108" w:type="dxa"/>
          </w:tblCellMar>
        </w:tblPrEx>
        <w:trPr>
          <w:trHeight w:val="416" w:hRule="atLeast"/>
        </w:trPr>
        <w:tc>
          <w:tcPr>
            <w:tcW w:w="758" w:type="pct"/>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rFonts w:hint="eastAsia"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Cs w:val="21"/>
                <w:highlight w:val="none"/>
                <w:u w:val="single"/>
                <w:lang w:val="en-US" w:eastAsia="zh-CN"/>
                <w14:textFill>
                  <w14:solidFill>
                    <w14:schemeClr w14:val="tx1"/>
                  </w14:solidFill>
                </w14:textFill>
              </w:rPr>
              <w:t>10.5</w:t>
            </w:r>
          </w:p>
        </w:tc>
        <w:tc>
          <w:tcPr>
            <w:tcW w:w="1288" w:type="pct"/>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left"/>
              <w:rPr>
                <w:rFonts w:hint="eastAsia"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Cs w:val="21"/>
                <w:highlight w:val="none"/>
                <w:u w:val="single"/>
                <w:lang w:val="en-US" w:eastAsia="zh-CN"/>
                <w14:textFill>
                  <w14:solidFill>
                    <w14:schemeClr w14:val="tx1"/>
                  </w14:solidFill>
                </w14:textFill>
              </w:rPr>
              <w:t>实质性响应条款</w:t>
            </w:r>
          </w:p>
        </w:tc>
        <w:tc>
          <w:tcPr>
            <w:tcW w:w="2953" w:type="pct"/>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招标文件中，凡标有“★”的地方均为实质性响应条款，投标人若有一项带“★”的条款未响应或不满足，将按无效投标处理。</w:t>
            </w:r>
          </w:p>
        </w:tc>
      </w:tr>
    </w:tbl>
    <w:p>
      <w:pPr>
        <w:pStyle w:val="20"/>
        <w:spacing w:line="360" w:lineRule="auto"/>
        <w:rPr>
          <w:rFonts w:hint="eastAsia" w:ascii="宋体" w:hAnsi="宋体" w:eastAsia="宋体" w:cs="宋体"/>
          <w:b/>
          <w:color w:val="000000" w:themeColor="text1"/>
          <w:sz w:val="24"/>
          <w:highlight w:val="none"/>
          <w14:textFill>
            <w14:solidFill>
              <w14:schemeClr w14:val="tx1"/>
            </w14:solidFill>
          </w14:textFill>
        </w:rPr>
      </w:pPr>
    </w:p>
    <w:p>
      <w:pPr>
        <w:widowControl/>
        <w:jc w:val="lef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193" w:name="_Toc19743"/>
      <w:bookmarkStart w:id="194" w:name="_Toc262229161"/>
      <w:bookmarkStart w:id="195" w:name="_Toc17556931"/>
      <w:bookmarkStart w:id="196" w:name="_Toc17451101"/>
      <w:bookmarkStart w:id="197" w:name="_Toc17451578"/>
      <w:bookmarkStart w:id="198" w:name="_Toc17556876"/>
      <w:bookmarkStart w:id="199" w:name="_Toc12725"/>
      <w:bookmarkStart w:id="200" w:name="_Toc17454871"/>
      <w:bookmarkStart w:id="201" w:name="_Toc12506"/>
      <w:bookmarkStart w:id="202" w:name="_Toc17454922"/>
      <w:bookmarkStart w:id="203" w:name="_Toc15098"/>
      <w:bookmarkStart w:id="204" w:name="_Toc17452664"/>
      <w:bookmarkStart w:id="205" w:name="_Toc17298"/>
      <w:bookmarkStart w:id="206" w:name="_Toc9773"/>
      <w:bookmarkStart w:id="207" w:name="_Toc17451623"/>
      <w:r>
        <w:rPr>
          <w:rFonts w:hint="eastAsia" w:ascii="宋体" w:hAnsi="宋体" w:eastAsia="宋体" w:cs="宋体"/>
          <w:color w:val="000000" w:themeColor="text1"/>
          <w:sz w:val="28"/>
          <w:szCs w:val="27"/>
          <w:highlight w:val="none"/>
          <w14:textFill>
            <w14:solidFill>
              <w14:schemeClr w14:val="tx1"/>
            </w14:solidFill>
          </w14:textFill>
        </w:rPr>
        <w:t>二、投标须知修改表</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38"/>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本投标须知使用SWZB2019-01试行版招标文件范本的投标须知通用条款，与该通用条款不同之处，均在本表中列明，并以现文为准，原文不再有效。</w:t>
      </w:r>
    </w:p>
    <w:p>
      <w:pPr>
        <w:pBdr>
          <w:top w:val="single" w:color="auto" w:sz="4" w:space="0"/>
        </w:pBdr>
        <w:spacing w:line="48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条款号：1.4             修改类型：修改</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bCs/>
          <w:color w:val="000000" w:themeColor="text1"/>
          <w:sz w:val="24"/>
          <w:highlight w:val="none"/>
          <w14:textFill>
            <w14:solidFill>
              <w14:schemeClr w14:val="tx1"/>
            </w14:solidFill>
          </w14:textFill>
        </w:rPr>
        <w:t>1.4.1 投标人应具备承担本项目施工的资质条件、能力和信誉。</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（1）资质条件：见投标人须知前附表； </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（2）项目负责人资格：见投标人须知前附表；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（3）其他要求：</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a)</w:t>
      </w:r>
      <w:r>
        <w:rPr>
          <w:rFonts w:hint="eastAsia" w:ascii="宋体" w:hAnsi="宋体" w:eastAsia="宋体" w:cs="宋体"/>
          <w:bCs/>
          <w:color w:val="000000" w:themeColor="text1"/>
          <w:sz w:val="24"/>
          <w:highlight w:val="none"/>
          <w14:textFill>
            <w14:solidFill>
              <w14:schemeClr w14:val="tx1"/>
            </w14:solidFill>
          </w14:textFill>
        </w:rPr>
        <w:tab/>
      </w:r>
      <w:r>
        <w:rPr>
          <w:rFonts w:hint="eastAsia" w:ascii="宋体" w:hAnsi="宋体" w:eastAsia="宋体" w:cs="宋体"/>
          <w:bCs/>
          <w:color w:val="000000" w:themeColor="text1"/>
          <w:sz w:val="24"/>
          <w:highlight w:val="none"/>
          <w14:textFill>
            <w14:solidFill>
              <w14:schemeClr w14:val="tx1"/>
            </w14:solidFill>
          </w14:textFill>
        </w:rPr>
        <w:t>投标人必须具备独立法人资格，具有有效的安全生产许可证。</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b)</w:t>
      </w:r>
      <w:r>
        <w:rPr>
          <w:rFonts w:hint="eastAsia" w:ascii="宋体" w:hAnsi="宋体" w:eastAsia="宋体" w:cs="宋体"/>
          <w:bCs/>
          <w:color w:val="000000" w:themeColor="text1"/>
          <w:sz w:val="24"/>
          <w:highlight w:val="none"/>
          <w14:textFill>
            <w14:solidFill>
              <w14:schemeClr w14:val="tx1"/>
            </w14:solidFill>
          </w14:textFill>
        </w:rPr>
        <w:tab/>
      </w:r>
      <w:r>
        <w:rPr>
          <w:rFonts w:hint="eastAsia" w:ascii="宋体" w:hAnsi="宋体" w:eastAsia="宋体" w:cs="宋体"/>
          <w:bCs/>
          <w:color w:val="000000" w:themeColor="text1"/>
          <w:sz w:val="24"/>
          <w:highlight w:val="none"/>
          <w14:textFill>
            <w14:solidFill>
              <w14:schemeClr w14:val="tx1"/>
            </w14:solidFill>
          </w14:textFill>
        </w:rPr>
        <w:t>项目负责人持有有效的安全培训考核合格证（B类）。安全培训考核合格证的颁发部门见投标人须知前附表。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c)</w:t>
      </w:r>
      <w:r>
        <w:rPr>
          <w:rFonts w:hint="eastAsia" w:ascii="宋体" w:hAnsi="宋体" w:eastAsia="宋体" w:cs="宋体"/>
          <w:bCs/>
          <w:color w:val="000000" w:themeColor="text1"/>
          <w:sz w:val="24"/>
          <w:highlight w:val="none"/>
          <w14:textFill>
            <w14:solidFill>
              <w14:schemeClr w14:val="tx1"/>
            </w14:solidFill>
          </w14:textFill>
        </w:rPr>
        <w:tab/>
      </w:r>
      <w:r>
        <w:rPr>
          <w:rFonts w:hint="eastAsia" w:ascii="宋体" w:hAnsi="宋体" w:eastAsia="宋体" w:cs="宋体"/>
          <w:bCs/>
          <w:color w:val="000000" w:themeColor="text1"/>
          <w:sz w:val="24"/>
          <w:highlight w:val="none"/>
          <w14:textFill>
            <w14:solidFill>
              <w14:schemeClr w14:val="tx1"/>
            </w14:solidFill>
          </w14:textFill>
        </w:rPr>
        <w:t>专职安全员具有有效的安全培训考核合格证（C证）。安全培训考核合格证的颁发部门见投标人须知前附表。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d）业绩要求：根据工程规模和特点设置。</w:t>
      </w:r>
    </w:p>
    <w:p>
      <w:pPr>
        <w:spacing w:line="360" w:lineRule="auto"/>
        <w:ind w:firstLine="480" w:firstLineChars="200"/>
        <w:rPr>
          <w:rFonts w:hint="eastAsia" w:ascii="宋体" w:hAnsi="宋体" w:eastAsia="宋体" w:cs="宋体"/>
          <w:bCs/>
          <w:i/>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e)其他要求详见投标人须知前附表。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1.4.2 本招标项目是否接受联合体投标以招标公告为准。</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1.4.3 投标人不得存在下列情形之一：</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（1）为招标人不具有独立法人资格的附属机构（单位）；</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（2）为本次招标项目前期准备提供设计或咨询服务的；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（3）为本次招标项目的监理人；</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（4）为本次招标项目的代建人；</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（5）为本次招标项目提供招标代理服务的； </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（6）与本次招标项目的监理人或代建人或招标代理机构同为一个法定代表人的；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（7）与本次招标项目的监理人或代建人或招标代理机构相互控股或参股的；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（8）与本次招标项目的监理人或代建人或招标代理机构相互任职或工作的；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（9）被责令停业的；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（10）被暂停或取消投标资格的；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（11）财产被接管或冻结的；</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（12）单位负责人为同一人或者存在控股、管理关系的不同单位，同时参加本招标项目投标。</w:t>
      </w:r>
    </w:p>
    <w:p>
      <w:pPr>
        <w:pBdr>
          <w:bottom w:val="single" w:color="auto" w:sz="6" w:space="1"/>
        </w:pBdr>
        <w:spacing w:line="48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（13）投标人、投标人主要负责人及拟投入人员在招标投标、合同履行、安全事故方面因违反有关法律、法规规定受到相关行政管理部门的行政处罚，被取消投标资格的。</w:t>
      </w:r>
    </w:p>
    <w:p>
      <w:pPr>
        <w:pBdr>
          <w:bottom w:val="single" w:color="auto" w:sz="6" w:space="1"/>
        </w:pBdr>
        <w:spacing w:line="48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hint="eastAsia" w:ascii="宋体" w:hAnsi="宋体" w:eastAsia="宋体" w:cs="宋体"/>
          <w:bCs/>
          <w:color w:val="000000" w:themeColor="text1"/>
          <w:sz w:val="24"/>
          <w:highlight w:val="none"/>
          <w:u w:val="single"/>
          <w14:textFill>
            <w14:solidFill>
              <w14:schemeClr w14:val="tx1"/>
            </w14:solidFill>
          </w14:textFill>
        </w:rPr>
        <w:t>详见招标公告第3点。</w:t>
      </w:r>
    </w:p>
    <w:p>
      <w:pP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2.1.1           修改类型：修改</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原文：2.1.1</w:t>
      </w:r>
      <w:r>
        <w:rPr>
          <w:rFonts w:hint="eastAsia" w:ascii="宋体" w:hAnsi="宋体" w:eastAsia="宋体" w:cs="宋体"/>
          <w:color w:val="000000" w:themeColor="text1"/>
          <w:sz w:val="24"/>
          <w:highlight w:val="none"/>
          <w14:textFill>
            <w14:solidFill>
              <w14:schemeClr w14:val="tx1"/>
            </w14:solidFill>
          </w14:textFill>
        </w:rPr>
        <w:t>本招标文件包括下列文件，以及所有按本须知第7条发出的澄清或修改和按本须知第8条发出的招标答疑会会议纪要：</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（1）招标公告（或投标邀请书）；</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（2）投标人须知；</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（3）评标办法；</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（4）合同条款及格式；</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（5）工程量清单（采用综合评估法三的，应为与</w:t>
      </w:r>
      <w:r>
        <w:rPr>
          <w:rFonts w:hint="eastAsia" w:ascii="宋体" w:hAnsi="宋体" w:eastAsia="宋体" w:cs="宋体"/>
          <w:color w:val="000000" w:themeColor="text1"/>
          <w:sz w:val="24"/>
          <w:highlight w:val="none"/>
          <w14:textFill>
            <w14:solidFill>
              <w14:schemeClr w14:val="tx1"/>
            </w14:solidFill>
          </w14:textFill>
        </w:rPr>
        <w:t>最高投标限价相对应的</w:t>
      </w:r>
      <w:r>
        <w:rPr>
          <w:rFonts w:hint="eastAsia" w:ascii="宋体" w:hAnsi="宋体" w:eastAsia="宋体" w:cs="宋体"/>
          <w:bCs/>
          <w:color w:val="000000" w:themeColor="text1"/>
          <w:sz w:val="24"/>
          <w:highlight w:val="none"/>
          <w14:textFill>
            <w14:solidFill>
              <w14:schemeClr w14:val="tx1"/>
            </w14:solidFill>
          </w14:textFill>
        </w:rPr>
        <w:t xml:space="preserve">已标价工程量清单）； </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（6）图纸； </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（7）技术标准和要求； </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（8）投标文件格式；</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（9）否决性条款汇总.</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（10）</w:t>
      </w:r>
      <w:r>
        <w:rPr>
          <w:rFonts w:hint="eastAsia" w:ascii="宋体" w:hAnsi="宋体" w:eastAsia="宋体" w:cs="宋体"/>
          <w:bCs/>
          <w:color w:val="000000" w:themeColor="text1"/>
          <w:sz w:val="24"/>
          <w:szCs w:val="24"/>
          <w:highlight w:val="none"/>
          <w14:textFill>
            <w14:solidFill>
              <w14:schemeClr w14:val="tx1"/>
            </w14:solidFill>
          </w14:textFill>
        </w:rPr>
        <w:t>最高投标限价（招标控制价）</w:t>
      </w:r>
      <w:r>
        <w:rPr>
          <w:rFonts w:hint="eastAsia" w:ascii="宋体" w:hAnsi="宋体" w:eastAsia="宋体" w:cs="宋体"/>
          <w:bCs/>
          <w:color w:val="000000" w:themeColor="text1"/>
          <w:sz w:val="24"/>
          <w:highlight w:val="none"/>
          <w14:textFill>
            <w14:solidFill>
              <w14:schemeClr w14:val="tx1"/>
            </w14:solidFill>
          </w14:textFill>
        </w:rPr>
        <w:t>。</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（11）投标人须知前附表规定的其他材料。</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hint="eastAsia" w:ascii="宋体" w:hAnsi="宋体" w:eastAsia="宋体" w:cs="宋体"/>
          <w:bCs/>
          <w:color w:val="000000" w:themeColor="text1"/>
          <w:sz w:val="24"/>
          <w:highlight w:val="none"/>
          <w14:textFill>
            <w14:solidFill>
              <w14:schemeClr w14:val="tx1"/>
            </w14:solidFill>
          </w14:textFill>
        </w:rPr>
        <w:t>2.1.1</w:t>
      </w:r>
      <w:r>
        <w:rPr>
          <w:rFonts w:hint="eastAsia" w:ascii="宋体" w:hAnsi="宋体" w:eastAsia="宋体" w:cs="宋体"/>
          <w:color w:val="000000" w:themeColor="text1"/>
          <w:sz w:val="24"/>
          <w:highlight w:val="none"/>
          <w14:textFill>
            <w14:solidFill>
              <w14:schemeClr w14:val="tx1"/>
            </w14:solidFill>
          </w14:textFill>
        </w:rPr>
        <w:t>本招标文件包括下列文件，以及所有按本须知第</w:t>
      </w:r>
      <w:r>
        <w:rPr>
          <w:rFonts w:hint="eastAsia" w:ascii="宋体" w:hAnsi="宋体" w:eastAsia="宋体" w:cs="宋体"/>
          <w:color w:val="000000" w:themeColor="text1"/>
          <w:sz w:val="24"/>
          <w:highlight w:val="none"/>
          <w:u w:val="single"/>
          <w14:textFill>
            <w14:solidFill>
              <w14:schemeClr w14:val="tx1"/>
            </w14:solidFill>
          </w14:textFill>
        </w:rPr>
        <w:t>2.3</w:t>
      </w:r>
      <w:r>
        <w:rPr>
          <w:rFonts w:hint="eastAsia" w:ascii="宋体" w:hAnsi="宋体" w:eastAsia="宋体" w:cs="宋体"/>
          <w:color w:val="000000" w:themeColor="text1"/>
          <w:sz w:val="24"/>
          <w:highlight w:val="none"/>
          <w14:textFill>
            <w14:solidFill>
              <w14:schemeClr w14:val="tx1"/>
            </w14:solidFill>
          </w14:textFill>
        </w:rPr>
        <w:t>条发出的澄清或修改和按本须知第</w:t>
      </w:r>
      <w:r>
        <w:rPr>
          <w:rFonts w:hint="eastAsia" w:ascii="宋体" w:hAnsi="宋体" w:eastAsia="宋体" w:cs="宋体"/>
          <w:color w:val="000000" w:themeColor="text1"/>
          <w:sz w:val="24"/>
          <w:highlight w:val="none"/>
          <w:u w:val="single"/>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条发出的招标答疑会会议纪要：</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（1）招标公告；</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（2）投标人须知；</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（3）评标及定标办法；</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（4）合同条款；</w:t>
      </w:r>
    </w:p>
    <w:p>
      <w:pPr>
        <w:spacing w:line="440" w:lineRule="exact"/>
        <w:ind w:firstLine="537" w:firstLineChars="224"/>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（5）工程量清单；</w:t>
      </w:r>
    </w:p>
    <w:p>
      <w:pPr>
        <w:spacing w:line="440" w:lineRule="exact"/>
        <w:ind w:firstLine="537" w:firstLineChars="22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（6）图纸；</w:t>
      </w:r>
    </w:p>
    <w:p>
      <w:pPr>
        <w:tabs>
          <w:tab w:val="left" w:pos="5040"/>
        </w:tabs>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（7）技术标准和要求； </w:t>
      </w:r>
    </w:p>
    <w:p>
      <w:pPr>
        <w:tabs>
          <w:tab w:val="left" w:pos="5040"/>
        </w:tabs>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（8）投标文件格式；</w:t>
      </w:r>
    </w:p>
    <w:p>
      <w:pPr>
        <w:tabs>
          <w:tab w:val="left" w:pos="5040"/>
        </w:tabs>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（9）否决性条款汇总；</w:t>
      </w:r>
    </w:p>
    <w:p>
      <w:pPr>
        <w:tabs>
          <w:tab w:val="left" w:pos="5040"/>
        </w:tabs>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（10）</w:t>
      </w:r>
      <w:r>
        <w:rPr>
          <w:rFonts w:hint="eastAsia" w:ascii="宋体" w:hAnsi="宋体" w:eastAsia="宋体" w:cs="宋体"/>
          <w:bCs/>
          <w:color w:val="000000" w:themeColor="text1"/>
          <w:sz w:val="24"/>
          <w:szCs w:val="24"/>
          <w:highlight w:val="none"/>
          <w14:textFill>
            <w14:solidFill>
              <w14:schemeClr w14:val="tx1"/>
            </w14:solidFill>
          </w14:textFill>
        </w:rPr>
        <w:t>最高投标限价（招标控制价）</w:t>
      </w:r>
      <w:r>
        <w:rPr>
          <w:rFonts w:hint="eastAsia" w:ascii="宋体" w:hAnsi="宋体" w:eastAsia="宋体" w:cs="宋体"/>
          <w:bCs/>
          <w:color w:val="000000" w:themeColor="text1"/>
          <w:sz w:val="24"/>
          <w:highlight w:val="none"/>
          <w14:textFill>
            <w14:solidFill>
              <w14:schemeClr w14:val="tx1"/>
            </w14:solidFill>
          </w14:textFill>
        </w:rPr>
        <w:t>。</w:t>
      </w:r>
    </w:p>
    <w:p>
      <w:pPr>
        <w:tabs>
          <w:tab w:val="left" w:pos="5040"/>
        </w:tabs>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（11）投标人须知前附表规定的其他材料。</w:t>
      </w:r>
    </w:p>
    <w:p>
      <w:pPr>
        <w:pBdr>
          <w:top w:val="single" w:color="auto" w:sz="4" w:space="1"/>
        </w:pBd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2.2.1           修改类型：修改</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招标答疑采用网上答疑方式进行。投标人若对招标文件（包括招标图纸、清单、招标控制价）有疑问的，可在规定的时间内通过</w:t>
      </w:r>
      <w:r>
        <w:rPr>
          <w:rFonts w:hint="eastAsia" w:ascii="宋体" w:hAnsi="宋体" w:eastAsia="宋体" w:cs="宋体"/>
          <w:color w:val="000000" w:themeColor="text1"/>
          <w:sz w:val="24"/>
          <w:szCs w:val="24"/>
          <w:highlight w:val="none"/>
          <w14:textFill>
            <w14:solidFill>
              <w14:schemeClr w14:val="tx1"/>
            </w14:solidFill>
          </w14:textFill>
        </w:rPr>
        <w:t>广州公共资源交易中心网站</w:t>
      </w:r>
      <w:r>
        <w:rPr>
          <w:rFonts w:hint="eastAsia" w:ascii="宋体" w:hAnsi="宋体" w:eastAsia="宋体" w:cs="宋体"/>
          <w:color w:val="000000" w:themeColor="text1"/>
          <w:sz w:val="24"/>
          <w:highlight w:val="none"/>
          <w14:textFill>
            <w14:solidFill>
              <w14:schemeClr w14:val="tx1"/>
            </w14:solidFill>
          </w14:textFill>
        </w:rPr>
        <w:t>凭密码进入提问区域将问题提交给招标人或招标代理人，提交问题时一律不得署名。</w:t>
      </w:r>
    </w:p>
    <w:p>
      <w:pPr>
        <w:spacing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网上答疑的操作指南为：登陆广州公共资源交易中心网站→进入“项目招标答疑”专区→通过项目编号或名称找到所需的项目→在上述的答疑时间内点击“提问” →输入密码（密码为：＿）进入到提问区域→无记名或匿名提出问题以及查看所有的问题。</w:t>
      </w:r>
    </w:p>
    <w:p>
      <w:pPr>
        <w:spacing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现文：招标答疑采用网上答疑方式进行。投标人若对招标文件（包括清单、招标控制价）有疑问的，可在规定的时间内通过</w:t>
      </w:r>
      <w:r>
        <w:rPr>
          <w:rFonts w:hint="eastAsia" w:ascii="宋体" w:hAnsi="宋体" w:eastAsia="宋体" w:cs="宋体"/>
          <w:color w:val="000000" w:themeColor="text1"/>
          <w:sz w:val="24"/>
          <w:szCs w:val="24"/>
          <w:highlight w:val="none"/>
          <w14:textFill>
            <w14:solidFill>
              <w14:schemeClr w14:val="tx1"/>
            </w14:solidFill>
          </w14:textFill>
        </w:rPr>
        <w:t>广州公共资源交易中心网站</w:t>
      </w:r>
      <w:r>
        <w:rPr>
          <w:rFonts w:hint="eastAsia" w:ascii="宋体" w:hAnsi="宋体" w:eastAsia="宋体" w:cs="宋体"/>
          <w:color w:val="000000" w:themeColor="text1"/>
          <w:sz w:val="24"/>
          <w:highlight w:val="none"/>
          <w14:textFill>
            <w14:solidFill>
              <w14:schemeClr w14:val="tx1"/>
            </w14:solidFill>
          </w14:textFill>
        </w:rPr>
        <w:t>进入提问区域将问题提交给招标人或招标代理人，提交问题时一律不得署名。</w:t>
      </w:r>
    </w:p>
    <w:p>
      <w:pPr>
        <w:spacing w:line="440" w:lineRule="exact"/>
        <w:ind w:firstLine="537" w:firstLineChars="224"/>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u w:val="single"/>
          <w14:textFill>
            <w14:solidFill>
              <w14:schemeClr w14:val="tx1"/>
            </w14:solidFill>
          </w14:textFill>
        </w:rPr>
        <w:t>网上答疑的操作指南为：投标人登录交易中心数字交易平台，进入“我是投标人（供应商）”-&gt;“我的投标”-&gt;“招标答疑提问”查询项目并提问。</w:t>
      </w:r>
    </w:p>
    <w:p>
      <w:pPr>
        <w:pBdr>
          <w:top w:val="single" w:color="auto" w:sz="4" w:space="1"/>
        </w:pBdr>
        <w:tabs>
          <w:tab w:val="left" w:pos="5511"/>
        </w:tabs>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2.2.2          修改类型：修改</w:t>
      </w:r>
      <w:r>
        <w:rPr>
          <w:rFonts w:hint="eastAsia" w:ascii="宋体" w:hAnsi="宋体" w:eastAsia="宋体" w:cs="宋体"/>
          <w:color w:val="000000" w:themeColor="text1"/>
          <w:sz w:val="24"/>
          <w:szCs w:val="24"/>
          <w:highlight w:val="none"/>
          <w14:textFill>
            <w14:solidFill>
              <w14:schemeClr w14:val="tx1"/>
            </w14:solidFill>
          </w14:textFill>
        </w:rPr>
        <w:tab/>
      </w:r>
    </w:p>
    <w:p>
      <w:pPr>
        <w:spacing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投标人应在投标截止时间前15日停止质疑。招标人应在投标截止时间7日前解答投标人对招标文件提出的疑问，形成答疑纪要，在交易中心网站“招标答疑”专区发布。</w:t>
      </w:r>
    </w:p>
    <w:p>
      <w:pPr>
        <w:spacing w:line="440" w:lineRule="exact"/>
        <w:ind w:firstLine="537" w:firstLineChars="224"/>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u w:val="single"/>
          <w14:textFill>
            <w14:solidFill>
              <w14:schemeClr w14:val="tx1"/>
            </w14:solidFill>
          </w14:textFill>
        </w:rPr>
        <w:t>投标人网上提问截止时间：在提交投标文件截止时间15天前提出。招标人应在投标截止时间7日前解答投标人对招标文件提出的疑问，形成答疑纪要，在广州公共资源交易中心网站发布。投标人可直接从交易中心网站“项目查询（日程安排、答疑纪要）”专区进入，下载项目的答疑纪要；也可以登录交易中心数字交易平台“我是投标人（供应商）”-&gt;“我的投标项目”-&gt;“答疑纪要”。</w:t>
      </w:r>
    </w:p>
    <w:p>
      <w:pPr>
        <w:pBdr>
          <w:top w:val="single" w:color="auto" w:sz="4" w:space="1"/>
        </w:pBdr>
        <w:tabs>
          <w:tab w:val="left" w:pos="5511"/>
        </w:tabs>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3.1.1         修改类型：修改</w:t>
      </w:r>
      <w:r>
        <w:rPr>
          <w:rFonts w:hint="eastAsia" w:ascii="宋体" w:hAnsi="宋体" w:eastAsia="宋体" w:cs="宋体"/>
          <w:color w:val="000000" w:themeColor="text1"/>
          <w:sz w:val="24"/>
          <w:szCs w:val="24"/>
          <w:highlight w:val="none"/>
          <w14:textFill>
            <w14:solidFill>
              <w14:schemeClr w14:val="tx1"/>
            </w14:solidFill>
          </w14:textFill>
        </w:rPr>
        <w:tab/>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3.1.1投标文件应包括下列内容：</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（1）投标函及投标函附录；</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（2）法定代表人身份证明或附有法定代表人身份证明的授权委托书；</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（3）联合体协议书（非联合体不提交）；</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（4）投标保证金（投标保函原件单独提交，投标文件中为原件复印件）；</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（5）已标价工程量清单（采用综合评估法三的，不用提交）；</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（6）施工组织设计（不要求技术标的可不编制，提交施工组织设计要点）； </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（7）项目管理机构；</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（8）资格审查资料；</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（9）其他应提交的材料。</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现文：3.1.1投标文件应包括下列内容：</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（1）投标函及投标函附录；</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（2）法定代表人身份证明或附有法定代表人身份证明的授权委托书；</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（3）联合体协议书（非联合体不提交）-本项目不适用</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（4）投标保证金递交证明；</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（5）已标价工程量清单；</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（6）施工组织设计； </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（7）项目管理机构；</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（8）资格审查资料；</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（9）其他应提交的材料。</w:t>
      </w:r>
    </w:p>
    <w:p>
      <w:pPr>
        <w:pBdr>
          <w:top w:val="single" w:color="auto" w:sz="4" w:space="0"/>
        </w:pBd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3.2.1           修改类型：修改</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3.2.1 投标人应按第五章“工程量清单”的要求填写相应表格。（此条不适用于综合评估法三）</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现文：3.2.1 投标人应按第五章“工程量清单”的要求填写相应表格。</w:t>
      </w:r>
    </w:p>
    <w:p>
      <w:pPr>
        <w:pBdr>
          <w:top w:val="single" w:color="auto" w:sz="4" w:space="0"/>
        </w:pBd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3.2.2           修改类型：修改</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投标人在投标截止时间前修改投标函中的投标报价总额，应同时修改“已标价工程量清单”中的相应报价，投标报价总额为各分项金额之和。此修改须符合本章第4.3款的有关要求。（此条不适用于综合评估法三）</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3.2.2采用综合评估法三的，投标人在投标截止时间前修改投标函中的投标报价总额，并根据评标办法列明的方法重新计算投标报价下浮率。此修改须符合本章第4.3款的有关要求。</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现文：投标人在投标截止时间前修改投标函中的投标报价总额，应同时修改“已标价工程量清单”中的相应报价，投标报价总额为各分项金额之和。此修改须符合本章第4.3款的有关要求。</w:t>
      </w:r>
    </w:p>
    <w:p>
      <w:pPr>
        <w:pBdr>
          <w:top w:val="single" w:color="auto" w:sz="4" w:space="0"/>
        </w:pBdr>
        <w:spacing w:line="440" w:lineRule="exact"/>
        <w:ind w:firstLine="475" w:firstLineChars="19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3.4.1          修改类型：修改</w:t>
      </w:r>
    </w:p>
    <w:p>
      <w:pPr>
        <w:pStyle w:val="38"/>
        <w:spacing w:after="0" w:line="440" w:lineRule="exact"/>
        <w:ind w:firstLine="475" w:firstLineChars="198"/>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原文：投标人应按投标须知前附表规定的金额和时间递交投标保证金。投标保证金以现金或者支票形式提交的，必须由投标人的银行基本账户转出。投标人如采用投标保函或投标保证保险的形式递交的，须在投标截止前单独密封递交至开标室。联合体投标的，其投标担保可以由牵头人递交，并应符合投标人须知前附表的规定。</w:t>
      </w:r>
    </w:p>
    <w:p>
      <w:pPr>
        <w:pStyle w:val="38"/>
        <w:spacing w:after="0" w:line="440" w:lineRule="exact"/>
        <w:ind w:firstLine="475" w:firstLineChars="198"/>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现文：投标人应按投标须知前附表规定的金额和时间递交投标保证金。投标保证金以现金或者支票形式提交的，必须由投标人的银行基本账户转出。</w:t>
      </w:r>
      <w:r>
        <w:rPr>
          <w:rFonts w:hint="eastAsia" w:ascii="宋体" w:hAnsi="宋体" w:eastAsia="宋体" w:cs="宋体"/>
          <w:color w:val="000000" w:themeColor="text1"/>
          <w:sz w:val="24"/>
          <w:highlight w:val="none"/>
          <w:u w:val="single"/>
          <w14:textFill>
            <w14:solidFill>
              <w14:schemeClr w14:val="tx1"/>
            </w14:solidFill>
          </w14:textFill>
        </w:rPr>
        <w:t>投标人如采用投标保函或投标保证保险的形式递交的，在开标前不强制要求提交纸质原件，由中标候选人在中标候选人公示前提交并在网上公示，但投标人应在投标文件中提交投标保函或投标保证保险彩色扫描件并加盖投标人电子印章。</w:t>
      </w:r>
    </w:p>
    <w:p>
      <w:pPr>
        <w:pBdr>
          <w:top w:val="single" w:color="auto" w:sz="4" w:space="0"/>
        </w:pBd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3.4.2          修改类型：修改</w:t>
      </w:r>
    </w:p>
    <w:p>
      <w:pPr>
        <w:pStyle w:val="38"/>
        <w:spacing w:after="0" w:line="440" w:lineRule="exact"/>
        <w:ind w:firstLine="540"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原文：</w:t>
      </w:r>
      <w:r>
        <w:rPr>
          <w:rFonts w:hint="eastAsia" w:ascii="宋体" w:hAnsi="宋体" w:eastAsia="宋体" w:cs="宋体"/>
          <w:color w:val="000000" w:themeColor="text1"/>
          <w:sz w:val="24"/>
          <w:highlight w:val="none"/>
          <w14:textFill>
            <w14:solidFill>
              <w14:schemeClr w14:val="tx1"/>
            </w14:solidFill>
          </w14:textFill>
        </w:rPr>
        <w:t>3.4.2投标保证金采用银行投标保函或投标保证保险的形式。投标人在递交投标文件的同时，应按投标人须知前附表规定的金额、担保形式和第八章“投标文件格式”规定的投标保证金格式（或银行规定的格式或保险公司规定的格式）递交投标保证金，并作为其投标文件的组成部分。联合体投标的，其投标保证金由牵头人递交，并应符合投标人须知前附表的规定。</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3.4.2投标保证金委托广州公共资源交易中心代收的形式，收取办法如下：</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（1）招标人委托广州公共资源交易中心具体实施保证金的收取和退还工作</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（2）所有投标保证金必须由投标单位的银行基本账户转出。</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（3）投标保证金的缴纳情况以广州公共资源交易中心数据库记录的信息为准。</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（4）缴费的操作详见广州公共资源交易中心公布的《投标人基本账户保证金操作指引》。</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3.4.2招标人收取的，由招标人在前附表中明确具体要求。</w:t>
      </w:r>
    </w:p>
    <w:p>
      <w:pPr>
        <w:pStyle w:val="103"/>
        <w:spacing w:after="0" w:line="360" w:lineRule="auto"/>
        <w:ind w:firstLine="482" w:firstLineChars="200"/>
        <w:rPr>
          <w:rFonts w:hint="eastAsia" w:ascii="宋体" w:hAnsi="宋体" w:eastAsia="宋体" w:cs="宋体"/>
          <w:color w:val="000000" w:themeColor="text1"/>
          <w:kern w:val="2"/>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14:textFill>
            <w14:solidFill>
              <w14:schemeClr w14:val="tx1"/>
            </w14:solidFill>
          </w14:textFill>
        </w:rPr>
        <w:t>3.4.2</w:t>
      </w:r>
      <w:r>
        <w:rPr>
          <w:rFonts w:hint="eastAsia" w:ascii="宋体" w:hAnsi="宋体" w:eastAsia="宋体" w:cs="宋体"/>
          <w:color w:val="000000" w:themeColor="text1"/>
          <w:kern w:val="2"/>
          <w:sz w:val="24"/>
          <w:szCs w:val="24"/>
          <w:highlight w:val="none"/>
          <w:u w:val="single"/>
          <w14:textFill>
            <w14:solidFill>
              <w14:schemeClr w14:val="tx1"/>
            </w14:solidFill>
          </w14:textFill>
        </w:rPr>
        <w:t>招标人可委托广州公共资源交易平台具体实施保证金的收取和退还工作。通过广州公共资源交易平台递交投标保证金的相关事宜，请自行咨询广州公共资源交易平台。广州公共资源交易平台代收投标保证金的，其缴纳情况以广州公共资源交易平台数据库记录的信息为准。（注：适用于广州公共资源交易平台代收投标保证金）。</w:t>
      </w:r>
    </w:p>
    <w:p>
      <w:pPr>
        <w:pStyle w:val="38"/>
        <w:spacing w:after="0" w:line="360" w:lineRule="auto"/>
        <w:ind w:firstLine="480" w:firstLineChars="200"/>
        <w:rPr>
          <w:rFonts w:hint="eastAsia" w:ascii="宋体" w:hAnsi="宋体" w:eastAsia="宋体" w:cs="宋体"/>
          <w:color w:val="000000" w:themeColor="text1"/>
          <w:kern w:val="2"/>
          <w:sz w:val="24"/>
          <w:szCs w:val="24"/>
          <w:highlight w:val="none"/>
          <w:u w:val="single"/>
          <w14:textFill>
            <w14:solidFill>
              <w14:schemeClr w14:val="tx1"/>
            </w14:solidFill>
          </w14:textFill>
        </w:rPr>
      </w:pPr>
      <w:r>
        <w:rPr>
          <w:rFonts w:hint="eastAsia" w:ascii="宋体" w:hAnsi="宋体" w:eastAsia="宋体" w:cs="宋体"/>
          <w:color w:val="000000" w:themeColor="text1"/>
          <w:kern w:val="2"/>
          <w:sz w:val="24"/>
          <w:szCs w:val="24"/>
          <w:highlight w:val="none"/>
          <w:u w:val="single"/>
          <w14:textFill>
            <w14:solidFill>
              <w14:schemeClr w14:val="tx1"/>
            </w14:solidFill>
          </w14:textFill>
        </w:rPr>
        <w:t>投标人应按照第八章“投标文件格式”规定的投标保证金格式（或银行规定的格式）提供投标保函或投标保证保险，提交投标保函或投标保证保险的彩色扫描件，并作为其投标文件的组成部分。（注：适用于投标保证金采用投标保函或投标保证保险的形式）。</w:t>
      </w:r>
    </w:p>
    <w:p>
      <w:pPr>
        <w:pBdr>
          <w:top w:val="single" w:color="auto" w:sz="4" w:space="0"/>
        </w:pBdr>
        <w:spacing w:line="44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3.5        修改类型：修改</w:t>
      </w:r>
    </w:p>
    <w:p>
      <w:pPr>
        <w:pStyle w:val="38"/>
        <w:spacing w:after="0" w:line="440" w:lineRule="exact"/>
        <w:ind w:firstLine="540" w:firstLineChars="224"/>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原文：3.5 资格审查资料</w:t>
      </w:r>
    </w:p>
    <w:p>
      <w:pPr>
        <w:pStyle w:val="38"/>
        <w:spacing w:after="0" w:line="440" w:lineRule="exact"/>
        <w:ind w:firstLine="537" w:firstLineChars="22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 “投标人基本情况表”应附投标人营业执照副本、资质证书副本和安全生产许可证等材料的复印件。</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3.5.2 项目负责人建造师证和安全培训考核合格证（B证）复印件。</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3.5.3专职安全员安全培训考核合格证（C证）复印件。</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3.5.4 “近年完成的类似项目情况表”应附中标通知书、合同协议书以及合同工程完工证书（或工程竣工证书副本）的复印件。每张表格只填写一个项目，并标明序号。</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3.5.6 投标人须知前附表规定接受联合体投标的，本章第3.5.1项至3.5.5项规定的表格和资料应包括联合体各方相关情况。</w:t>
      </w:r>
    </w:p>
    <w:p>
      <w:pPr>
        <w:pStyle w:val="38"/>
        <w:spacing w:after="0" w:line="440" w:lineRule="exact"/>
        <w:ind w:firstLine="537" w:firstLineChars="22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3.5.7资审要求的其他材料。</w:t>
      </w:r>
    </w:p>
    <w:p>
      <w:pPr>
        <w:pStyle w:val="38"/>
        <w:spacing w:after="0" w:line="440" w:lineRule="exact"/>
        <w:ind w:firstLine="470" w:firstLineChars="224"/>
        <w:rPr>
          <w:rFonts w:hint="eastAsia" w:ascii="宋体" w:hAnsi="宋体" w:eastAsia="宋体" w:cs="宋体"/>
          <w:i/>
          <w:color w:val="000000" w:themeColor="text1"/>
          <w:sz w:val="21"/>
          <w:szCs w:val="21"/>
          <w:highlight w:val="none"/>
          <w14:textFill>
            <w14:solidFill>
              <w14:schemeClr w14:val="tx1"/>
            </w14:solidFill>
          </w14:textFill>
        </w:rPr>
      </w:pPr>
      <w:r>
        <w:rPr>
          <w:rFonts w:hint="eastAsia" w:ascii="宋体" w:hAnsi="宋体" w:eastAsia="宋体" w:cs="宋体"/>
          <w:i/>
          <w:color w:val="000000" w:themeColor="text1"/>
          <w:sz w:val="21"/>
          <w:szCs w:val="21"/>
          <w:highlight w:val="none"/>
          <w14:textFill>
            <w14:solidFill>
              <w14:schemeClr w14:val="tx1"/>
            </w14:solidFill>
          </w14:textFill>
        </w:rPr>
        <w:t>（说明：3.5.</w:t>
      </w:r>
      <w:r>
        <w:rPr>
          <w:rFonts w:hint="eastAsia" w:ascii="宋体" w:hAnsi="宋体" w:eastAsia="宋体" w:cs="宋体"/>
          <w:i/>
          <w:color w:val="000000" w:themeColor="text1"/>
          <w:szCs w:val="21"/>
          <w:highlight w:val="none"/>
          <w14:textFill>
            <w14:solidFill>
              <w14:schemeClr w14:val="tx1"/>
            </w14:solidFill>
          </w14:textFill>
        </w:rPr>
        <w:t>4</w:t>
      </w:r>
      <w:r>
        <w:rPr>
          <w:rFonts w:hint="eastAsia" w:ascii="宋体" w:hAnsi="宋体" w:eastAsia="宋体" w:cs="宋体"/>
          <w:i/>
          <w:color w:val="000000" w:themeColor="text1"/>
          <w:sz w:val="21"/>
          <w:szCs w:val="21"/>
          <w:highlight w:val="none"/>
          <w14:textFill>
            <w14:solidFill>
              <w14:schemeClr w14:val="tx1"/>
            </w14:solidFill>
          </w14:textFill>
        </w:rPr>
        <w:t xml:space="preserve"> ~ 3.5.</w:t>
      </w:r>
      <w:r>
        <w:rPr>
          <w:rFonts w:hint="eastAsia" w:ascii="宋体" w:hAnsi="宋体" w:eastAsia="宋体" w:cs="宋体"/>
          <w:i/>
          <w:color w:val="000000" w:themeColor="text1"/>
          <w:szCs w:val="21"/>
          <w:highlight w:val="none"/>
          <w14:textFill>
            <w14:solidFill>
              <w14:schemeClr w14:val="tx1"/>
            </w14:solidFill>
          </w14:textFill>
        </w:rPr>
        <w:t>6</w:t>
      </w:r>
      <w:r>
        <w:rPr>
          <w:rFonts w:hint="eastAsia" w:ascii="宋体" w:hAnsi="宋体" w:eastAsia="宋体" w:cs="宋体"/>
          <w:i/>
          <w:color w:val="000000" w:themeColor="text1"/>
          <w:sz w:val="21"/>
          <w:szCs w:val="21"/>
          <w:highlight w:val="none"/>
          <w14:textFill>
            <w14:solidFill>
              <w14:schemeClr w14:val="tx1"/>
            </w14:solidFill>
          </w14:textFill>
        </w:rPr>
        <w:t>为可选项。若资格条件里没有业绩等方面的要求，可不做要求）</w:t>
      </w:r>
    </w:p>
    <w:p>
      <w:pPr>
        <w:pStyle w:val="38"/>
        <w:spacing w:after="0"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ascii="宋体" w:hAnsi="宋体" w:eastAsia="宋体" w:cs="宋体"/>
          <w:b/>
          <w:bCs/>
          <w:color w:val="000000" w:themeColor="text1"/>
          <w:sz w:val="24"/>
          <w:highlight w:val="none"/>
          <w14:textFill>
            <w14:solidFill>
              <w14:schemeClr w14:val="tx1"/>
            </w14:solidFill>
          </w14:textFill>
        </w:rPr>
        <w:t>3.5 资格审查资料</w:t>
      </w:r>
    </w:p>
    <w:p>
      <w:pPr>
        <w:pStyle w:val="38"/>
        <w:spacing w:after="0" w:line="44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 “投标人基本情况表”应附投标人营业执照副本、资质证书副本和安全生产许可证等材料的扫描件。</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3.5.2 </w:t>
      </w:r>
      <w:r>
        <w:rPr>
          <w:rFonts w:hint="eastAsia" w:ascii="宋体" w:hAnsi="宋体" w:eastAsia="宋体" w:cs="宋体"/>
          <w:color w:val="000000" w:themeColor="text1"/>
          <w:sz w:val="24"/>
          <w:highlight w:val="none"/>
          <w:u w:val="single"/>
          <w14:textFill>
            <w14:solidFill>
              <w14:schemeClr w14:val="tx1"/>
            </w14:solidFill>
          </w14:textFill>
        </w:rPr>
        <w:t>项目负责人证件和安全生产考核合格证明清晰扫描件或在有效期内的安全生产考核合格证（B类）清晰扫描件或建筑施工企业项目负责人安全生产考核合格证书清晰扫描件。</w:t>
      </w:r>
    </w:p>
    <w:p>
      <w:pPr>
        <w:pStyle w:val="38"/>
        <w:spacing w:after="0" w:line="440" w:lineRule="exact"/>
        <w:ind w:firstLine="537" w:firstLineChars="224"/>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3.5.3专职安全员安全生产考核合格证（C类）清晰扫描件或建筑施工企业专职安全生产管理人员安全生产考核合格证书（C3）清晰扫描件。</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3.5.4提交社保文件的要求：投标申请人须保证授权的委托代理人及项目部主要组成人员（项目负责人、专职安全员）均为本单位的正式职工，必须具有离投标截止时间最近</w:t>
      </w:r>
      <w:r>
        <w:rPr>
          <w:rFonts w:hint="eastAsia" w:ascii="宋体" w:hAnsi="宋体" w:eastAsia="宋体" w:cs="宋体"/>
          <w:color w:val="000000" w:themeColor="text1"/>
          <w:sz w:val="24"/>
          <w:highlight w:val="none"/>
          <w:u w:val="single"/>
          <w:lang w:val="en-US"/>
          <w14:textFill>
            <w14:solidFill>
              <w14:schemeClr w14:val="tx1"/>
            </w14:solidFill>
          </w14:textFill>
        </w:rPr>
        <w:t>一</w:t>
      </w:r>
      <w:r>
        <w:rPr>
          <w:rFonts w:hint="eastAsia" w:ascii="宋体" w:hAnsi="宋体" w:eastAsia="宋体" w:cs="宋体"/>
          <w:color w:val="000000" w:themeColor="text1"/>
          <w:sz w:val="24"/>
          <w:highlight w:val="none"/>
          <w:u w:val="single"/>
          <w14:textFill>
            <w14:solidFill>
              <w14:schemeClr w14:val="tx1"/>
            </w14:solidFill>
          </w14:textFill>
        </w:rPr>
        <w:t>个月（时间为：2023年</w:t>
      </w:r>
      <w:r>
        <w:rPr>
          <w:rFonts w:hint="eastAsia" w:ascii="宋体" w:hAnsi="宋体" w:eastAsia="宋体" w:cs="宋体"/>
          <w:color w:val="000000" w:themeColor="text1"/>
          <w:sz w:val="24"/>
          <w:highlight w:val="none"/>
          <w:u w:val="single"/>
          <w:lang w:val="en-US" w:eastAsia="zh-CN"/>
          <w14:textFill>
            <w14:solidFill>
              <w14:schemeClr w14:val="tx1"/>
            </w14:solidFill>
          </w14:textFill>
        </w:rPr>
        <w:t>8</w:t>
      </w:r>
      <w:r>
        <w:rPr>
          <w:rFonts w:hint="eastAsia" w:ascii="宋体" w:hAnsi="宋体" w:eastAsia="宋体" w:cs="宋体"/>
          <w:color w:val="000000" w:themeColor="text1"/>
          <w:sz w:val="24"/>
          <w:highlight w:val="none"/>
          <w:u w:val="single"/>
          <w14:textFill>
            <w14:solidFill>
              <w14:schemeClr w14:val="tx1"/>
            </w14:solidFill>
          </w14:textFill>
        </w:rPr>
        <w:t>月）在本单位交纳的社保证明文件（以加盖社会保险基金管理中心印章的《投保单》或《社会保险参保人员证明》资料为准）。</w:t>
      </w:r>
    </w:p>
    <w:p>
      <w:pPr>
        <w:pStyle w:val="38"/>
        <w:pBdr>
          <w:bottom w:val="single" w:color="auto" w:sz="6" w:space="1"/>
        </w:pBdr>
        <w:spacing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3.5.5资审要求的其他材料。</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3.6.2          修改类型：修改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原文：投标人应使用广州市水务工程（给排水专业）的投标文件管理软件进行投标文件的合成、</w:t>
      </w:r>
      <w:r>
        <w:rPr>
          <w:rFonts w:hint="eastAsia" w:ascii="宋体" w:hAnsi="宋体" w:eastAsia="宋体" w:cs="宋体"/>
          <w:strike/>
          <w:color w:val="000000" w:themeColor="text1"/>
          <w:sz w:val="24"/>
          <w:szCs w:val="24"/>
          <w:highlight w:val="none"/>
          <w14:textFill>
            <w14:solidFill>
              <w14:schemeClr w14:val="tx1"/>
            </w14:solidFill>
          </w14:textFill>
        </w:rPr>
        <w:t>电子签名、</w:t>
      </w:r>
      <w:r>
        <w:rPr>
          <w:rFonts w:hint="eastAsia" w:ascii="宋体" w:hAnsi="宋体" w:eastAsia="宋体" w:cs="宋体"/>
          <w:color w:val="000000" w:themeColor="text1"/>
          <w:sz w:val="24"/>
          <w:szCs w:val="24"/>
          <w:highlight w:val="none"/>
          <w14:textFill>
            <w14:solidFill>
              <w14:schemeClr w14:val="tx1"/>
            </w14:solidFill>
          </w14:textFill>
        </w:rPr>
        <w:t>电子签章及加密打包工作，所有电子投标文件不能进行压缩处理。电子投标文件统一采用网络上传的形式，投标人需登录交易中心网站投标人服务区在投标截止时间前完整上传至交易中心的电子评标系统。</w:t>
      </w:r>
    </w:p>
    <w:p>
      <w:pPr>
        <w:tabs>
          <w:tab w:val="left" w:pos="5250"/>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投标人应使用投标文件管理软件进行投标文件的合成、电子签章及加密打包工作，所有电子投标文件不能进行压缩处理。电子投标文件统一采用网络上传的形式，投标人需登录交易中心网站投标人服务区在投标截止时间前完整上传至交易中心的电子评标系统。</w:t>
      </w:r>
    </w:p>
    <w:p>
      <w:pPr>
        <w:pBdr>
          <w:top w:val="single" w:color="auto" w:sz="4" w:space="0"/>
        </w:pBd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3.6.3          修改类型：修改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原文：投标人应使用依法设立的电子认证服务提供者签发的电子签章认证证书对电子投标文件进行电子签章。该电子签章与盖单位章具有同等的法律效力。</w:t>
      </w:r>
    </w:p>
    <w:p>
      <w:pPr>
        <w:pBdr>
          <w:bottom w:val="single" w:color="auto" w:sz="4" w:space="1"/>
        </w:pBdr>
        <w:spacing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u w:val="single"/>
          <w14:textFill>
            <w14:solidFill>
              <w14:schemeClr w14:val="tx1"/>
            </w14:solidFill>
          </w14:textFill>
        </w:rPr>
        <w:t>投标文件全部采用电子文档，投标文件所附证书证件均为原件扫描件，并采用单位数字证书，按招标文件要求在相应位置加盖电子印章。投标文件中需个人签字或盖章的，应手签或盖章后彩色扫描上传。按照交易平台关于全流程电子化项目的相关指南进行操作。详见：广州公共资源交易中心网站首页→服务指南→系统帮助→操作手册→【全流程电子化项目】电子招投标操作手册（无纸化）。投标人应使用依法设立的电子认证服务提供者签发的电子签章认证证书对电子投标文件进行电子签章。该电子签章与盖单位章具有同等的法律效力。</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4.1.1          修改类型：修改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原文：投标文件的密封要求：投标人应使用广州市水务工程（给排水专业）的投标文件管理软件提供的软件制作电子投标文件并进行电子签章及加密打包。不得修改所生成电子投标文件的文件格式。</w:t>
      </w:r>
    </w:p>
    <w:p>
      <w:pPr>
        <w:spacing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bookmarkStart w:id="208" w:name="_Hlk133422500"/>
      <w:r>
        <w:rPr>
          <w:rFonts w:hint="eastAsia" w:ascii="宋体" w:hAnsi="宋体" w:eastAsia="宋体" w:cs="宋体"/>
          <w:color w:val="000000" w:themeColor="text1"/>
          <w:sz w:val="24"/>
          <w:szCs w:val="24"/>
          <w:highlight w:val="none"/>
          <w:u w:val="single"/>
          <w14:textFill>
            <w14:solidFill>
              <w14:schemeClr w14:val="tx1"/>
            </w14:solidFill>
          </w14:textFill>
        </w:rPr>
        <w:t>投标人应当按照招标文件和电子招标投标交易平台的要求加密投标文件，具体操作详见《房屋建筑和市政基础设施工程全流程电子化项目专章》。</w:t>
      </w:r>
      <w:bookmarkEnd w:id="208"/>
    </w:p>
    <w:p>
      <w:pPr>
        <w:pBdr>
          <w:top w:val="single" w:color="auto" w:sz="4" w:space="1"/>
        </w:pBdr>
        <w:spacing w:line="440" w:lineRule="exact"/>
        <w:ind w:firstLine="566" w:firstLineChars="23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7.1          修改类型：增加</w:t>
      </w:r>
    </w:p>
    <w:p>
      <w:pPr>
        <w:spacing w:line="440" w:lineRule="exact"/>
        <w:ind w:firstLine="566" w:firstLineChars="236"/>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w:t>
      </w:r>
      <w:r>
        <w:rPr>
          <w:rFonts w:hint="eastAsia" w:ascii="宋体" w:hAnsi="宋体" w:eastAsia="宋体" w:cs="宋体"/>
          <w:color w:val="000000" w:themeColor="text1"/>
          <w:sz w:val="24"/>
          <w:highlight w:val="none"/>
          <w:u w:val="single"/>
          <w14:textFill>
            <w14:solidFill>
              <w14:schemeClr w14:val="tx1"/>
            </w14:solidFill>
          </w14:textFill>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Bdr>
          <w:top w:val="single" w:color="auto" w:sz="4" w:space="1"/>
        </w:pBdr>
        <w:spacing w:line="440" w:lineRule="exact"/>
        <w:ind w:firstLine="566" w:firstLineChars="23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7.2.2          修改类型：修改</w:t>
      </w:r>
    </w:p>
    <w:p>
      <w:pPr>
        <w:spacing w:line="440" w:lineRule="exact"/>
        <w:ind w:firstLine="566" w:firstLineChars="236"/>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原文：中标候选人公示时，招标人将同时公示中标候选人的投标文件商务部分文件的所有内容（包括人员、业绩、奖项等资料）</w:t>
      </w:r>
    </w:p>
    <w:p>
      <w:pPr>
        <w:spacing w:line="440" w:lineRule="exact"/>
        <w:ind w:firstLine="566" w:firstLineChars="236"/>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w:t>
      </w:r>
      <w:r>
        <w:rPr>
          <w:rFonts w:hint="eastAsia" w:ascii="宋体" w:hAnsi="宋体" w:eastAsia="宋体" w:cs="宋体"/>
          <w:color w:val="000000" w:themeColor="text1"/>
          <w:sz w:val="24"/>
          <w:highlight w:val="none"/>
          <w:u w:val="single"/>
          <w14:textFill>
            <w14:solidFill>
              <w14:schemeClr w14:val="tx1"/>
            </w14:solidFill>
          </w14:textFill>
        </w:rPr>
        <w:t>在产生中标候选人后，招标人将按相关要求在广州公共资源交易中心网站公开。</w:t>
      </w:r>
    </w:p>
    <w:p>
      <w:pPr>
        <w:pBdr>
          <w:top w:val="single" w:color="auto" w:sz="4" w:space="1"/>
        </w:pBdr>
        <w:spacing w:line="440" w:lineRule="exact"/>
        <w:ind w:firstLine="566" w:firstLineChars="23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 7.4.1          修改类型：修改</w:t>
      </w:r>
    </w:p>
    <w:p>
      <w:pPr>
        <w:spacing w:line="440" w:lineRule="exact"/>
        <w:ind w:firstLine="566" w:firstLineChars="236"/>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原文：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14:textFill>
            <w14:solidFill>
              <w14:schemeClr w14:val="tx1"/>
            </w14:solidFill>
          </w14:textFill>
        </w:rPr>
        <w:t>合同签订后10日内</w:t>
      </w:r>
      <w:r>
        <w:rPr>
          <w:rFonts w:hint="eastAsia" w:ascii="宋体" w:hAnsi="宋体" w:eastAsia="宋体" w:cs="宋体"/>
          <w:color w:val="000000" w:themeColor="text1"/>
          <w:sz w:val="24"/>
          <w:highlight w:val="none"/>
          <w14:textFill>
            <w14:solidFill>
              <w14:schemeClr w14:val="tx1"/>
            </w14:solidFill>
          </w14:textFill>
        </w:rPr>
        <w:t>，中标人应按投标人须知前附表规定的担保形式和招标文件第四章“合同条款”规定的或者事先经过招标人书面认可的履约担保格式向招标人提交履约担保。除投标人须知前附表另有规定外，履约担保金额为中标合同金额的10%。</w:t>
      </w:r>
    </w:p>
    <w:p>
      <w:pPr>
        <w:pBdr>
          <w:top w:val="single" w:color="auto" w:sz="4" w:space="0"/>
        </w:pBd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注：以上修改，仅限于本范本中有可供选择条款的情形。</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（以下无正文）</w:t>
      </w:r>
    </w:p>
    <w:p>
      <w:pPr>
        <w:pStyle w:val="20"/>
        <w:spacing w:line="360" w:lineRule="auto"/>
        <w:rPr>
          <w:rFonts w:hint="eastAsia" w:ascii="宋体" w:hAnsi="宋体" w:eastAsia="宋体" w:cs="宋体"/>
          <w:b/>
          <w:color w:val="000000" w:themeColor="text1"/>
          <w:sz w:val="24"/>
          <w:highlight w:val="none"/>
          <w14:textFill>
            <w14:solidFill>
              <w14:schemeClr w14:val="tx1"/>
            </w14:solidFill>
          </w14:textFill>
        </w:rPr>
      </w:pPr>
    </w:p>
    <w:p>
      <w:pPr>
        <w:widowControl/>
        <w:jc w:val="lef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209" w:name="_Toc5701"/>
      <w:bookmarkStart w:id="210" w:name="_Toc17452665"/>
      <w:bookmarkStart w:id="211" w:name="_Toc20391"/>
      <w:bookmarkStart w:id="212" w:name="_Toc17556932"/>
      <w:bookmarkStart w:id="213" w:name="_Toc15646"/>
      <w:bookmarkStart w:id="214" w:name="_Toc17451579"/>
      <w:bookmarkStart w:id="215" w:name="_Toc17556877"/>
      <w:bookmarkStart w:id="216" w:name="_Toc17451624"/>
      <w:bookmarkStart w:id="217" w:name="_Toc31162"/>
      <w:bookmarkStart w:id="218" w:name="_Toc17454872"/>
      <w:bookmarkStart w:id="219" w:name="_Toc17454923"/>
      <w:bookmarkStart w:id="220" w:name="_Toc28405"/>
      <w:bookmarkStart w:id="221" w:name="_Toc26553"/>
      <w:bookmarkStart w:id="222" w:name="_Toc17451102"/>
      <w:r>
        <w:rPr>
          <w:rFonts w:hint="eastAsia" w:ascii="宋体" w:hAnsi="宋体" w:eastAsia="宋体" w:cs="宋体"/>
          <w:color w:val="000000" w:themeColor="text1"/>
          <w:sz w:val="28"/>
          <w:szCs w:val="27"/>
          <w:highlight w:val="none"/>
          <w14:textFill>
            <w14:solidFill>
              <w14:schemeClr w14:val="tx1"/>
            </w14:solidFill>
          </w14:textFill>
        </w:rPr>
        <w:t>三、投标须知通用条款</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bookmarkStart w:id="223" w:name="_Toc101777612"/>
      <w:bookmarkStart w:id="224" w:name="_Toc85505512"/>
      <w:bookmarkStart w:id="225" w:name="_Toc262229163"/>
      <w:r>
        <w:rPr>
          <w:rFonts w:hint="eastAsia" w:ascii="宋体" w:hAnsi="宋体" w:eastAsia="宋体" w:cs="宋体"/>
          <w:b/>
          <w:color w:val="000000" w:themeColor="text1"/>
          <w:sz w:val="30"/>
          <w:szCs w:val="30"/>
          <w:highlight w:val="none"/>
          <w14:textFill>
            <w14:solidFill>
              <w14:schemeClr w14:val="tx1"/>
            </w14:solidFill>
          </w14:textFill>
        </w:rPr>
        <w:t>（一）总则</w:t>
      </w:r>
      <w:bookmarkEnd w:id="223"/>
      <w:bookmarkEnd w:id="224"/>
      <w:bookmarkEnd w:id="225"/>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 项目概况</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1.1.1根据《中华人民共和国招标投标法》等有关法律、法规和规章的规定，本招标项目已具备招标条件，现对本标段施工进行招标。</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1.1.2 本招标项目招标人：见投标人须知前附表。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1.1.3 本标段招标代理机构：见投标人须知前附表。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1.1.4 本招标项目名称：见投标人须知前附表。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1.1.5 本标段建设地点：见投标人须知前附表。</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1.2 资金来源和落实情况</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1.2.1 本招标项目的资金来源及出资比例：见投标人须知前附表。</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1.3 招标范围、计划工期和质量要求</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1.3.1 本次招标范围：见投标人须知前附表。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1.3.2 本标段的计划工期：见投标人须知前附表。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1.3.3 本标段的质量要求：见投标人须知前附表。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1.3.4 本招标项目的承包方式：见投标人须知前附表。</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1.4 投标人资格要求</w:t>
      </w:r>
    </w:p>
    <w:p>
      <w:pPr>
        <w:spacing w:line="360" w:lineRule="auto"/>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详见招标公告第3点</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1.5 费用承担</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投标人准备和参加投标活动发生的费用自理。</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1.6 保密</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参与招标投标活动的各方应对招标文件和投标文件中的商业和技术等秘密保密，违者应对由此造成的后果承担法律责任。 </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1.7 语言文字</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除专用术语外，与招标投标有关的语言均使用中文。必要时专用术语应附有中文注释。</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1.8 计量单位</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所有计量均采用中华人民共和国法定计量单位。</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1.9 踏勘现场</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1.9.1 投标人按投标人须知前附表规定的时间、地点自行踏勘项目现场。 </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1.9.2 投标人踏勘现场发生的费用自理。</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1.9.3 除招标人的原因外，投标人自行负责在踏勘现场中所发生的人员伤亡和财产损失。</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1.9.4 招标人在踏勘现场中了解的工程场地和相关的周边环境情况，供投标人在编制投标文件时参考，招标人不对投标人据此作出的判断和决策负责。</w:t>
      </w:r>
    </w:p>
    <w:p>
      <w:pPr>
        <w:tabs>
          <w:tab w:val="left" w:pos="105"/>
        </w:tabs>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1.10 投标预备会</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1.10.1招标人不召开投标预备会，投标人提出的澄清问题通过交易中心网站提交。网上答疑的相关事项详见招标文件2.2款。</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1.10.2 投标人应在投标人须知前附表规定的时间前，在交易中心网站上提出须澄清的问题。</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1.11 偏离</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投标人须知前附表允许投标文件偏离招标文件某些要求的，偏离应当符合招标文件规定的偏离范围和幅度。</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bookmarkStart w:id="226" w:name="_Toc262229164"/>
      <w:r>
        <w:rPr>
          <w:rFonts w:hint="eastAsia" w:ascii="宋体" w:hAnsi="宋体" w:eastAsia="宋体" w:cs="宋体"/>
          <w:b/>
          <w:color w:val="000000" w:themeColor="text1"/>
          <w:sz w:val="30"/>
          <w:szCs w:val="30"/>
          <w:highlight w:val="none"/>
          <w14:textFill>
            <w14:solidFill>
              <w14:schemeClr w14:val="tx1"/>
            </w14:solidFill>
          </w14:textFill>
        </w:rPr>
        <w:t>（二）招标文件</w:t>
      </w:r>
      <w:bookmarkEnd w:id="226"/>
    </w:p>
    <w:p>
      <w:pPr>
        <w:tabs>
          <w:tab w:val="left" w:pos="105"/>
        </w:tabs>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 招标文件的组成</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2.1.1</w:t>
      </w:r>
      <w:r>
        <w:rPr>
          <w:rFonts w:hint="eastAsia" w:ascii="宋体" w:hAnsi="宋体" w:eastAsia="宋体" w:cs="宋体"/>
          <w:color w:val="000000" w:themeColor="text1"/>
          <w:sz w:val="24"/>
          <w:highlight w:val="none"/>
          <w14:textFill>
            <w14:solidFill>
              <w14:schemeClr w14:val="tx1"/>
            </w14:solidFill>
          </w14:textFill>
        </w:rPr>
        <w:t>本招标文件包括下列文件，以及所有按本须知第</w:t>
      </w:r>
      <w:r>
        <w:rPr>
          <w:rFonts w:hint="eastAsia" w:ascii="宋体" w:hAnsi="宋体" w:eastAsia="宋体" w:cs="宋体"/>
          <w:color w:val="000000" w:themeColor="text1"/>
          <w:sz w:val="24"/>
          <w:highlight w:val="none"/>
          <w:u w:val="single"/>
          <w14:textFill>
            <w14:solidFill>
              <w14:schemeClr w14:val="tx1"/>
            </w14:solidFill>
          </w14:textFill>
        </w:rPr>
        <w:t>2.3</w:t>
      </w:r>
      <w:r>
        <w:rPr>
          <w:rFonts w:hint="eastAsia" w:ascii="宋体" w:hAnsi="宋体" w:eastAsia="宋体" w:cs="宋体"/>
          <w:color w:val="000000" w:themeColor="text1"/>
          <w:sz w:val="24"/>
          <w:highlight w:val="none"/>
          <w14:textFill>
            <w14:solidFill>
              <w14:schemeClr w14:val="tx1"/>
            </w14:solidFill>
          </w14:textFill>
        </w:rPr>
        <w:t>条发出的澄清或修改和按本须知第</w:t>
      </w:r>
      <w:r>
        <w:rPr>
          <w:rFonts w:hint="eastAsia" w:ascii="宋体" w:hAnsi="宋体" w:eastAsia="宋体" w:cs="宋体"/>
          <w:color w:val="000000" w:themeColor="text1"/>
          <w:sz w:val="24"/>
          <w:highlight w:val="none"/>
          <w:u w:val="single"/>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条发出的招标答疑会会议纪要：</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（1）招标公告；</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（2）投标人须知；</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（3）评标及定标办法；</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（4）合同条款；</w:t>
      </w:r>
    </w:p>
    <w:p>
      <w:pPr>
        <w:spacing w:line="440" w:lineRule="exact"/>
        <w:ind w:firstLine="537" w:firstLineChars="224"/>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（5）工程量清单；</w:t>
      </w:r>
    </w:p>
    <w:p>
      <w:pPr>
        <w:spacing w:line="440" w:lineRule="exact"/>
        <w:ind w:firstLine="537" w:firstLineChars="224"/>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（6）图纸</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（7）技术标准和要求； </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（8）投标文件格式；</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（9）否决性条款汇总；</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（10）最高投标限价（招标控制价）。</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（11）投标人须知前附表规定的其他材料。</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2.1.2根据本章第1.10款、第2.2款和第2.3款对招标文件所作的澄清、修改，构成招标文件的组成部分。</w:t>
      </w:r>
    </w:p>
    <w:p>
      <w:pPr>
        <w:spacing w:line="440" w:lineRule="exact"/>
        <w:ind w:firstLine="537" w:firstLineChars="224"/>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2.1.3招标人（或委托招标代理机构）使用广东省内依法设立的电子认证服务机构签发的电子签章认证证书对电子形式的招标文件进行</w:t>
      </w:r>
      <w:r>
        <w:rPr>
          <w:rFonts w:hint="eastAsia" w:ascii="宋体" w:hAnsi="宋体" w:eastAsia="宋体" w:cs="宋体"/>
          <w:bCs/>
          <w:strike/>
          <w:color w:val="000000" w:themeColor="text1"/>
          <w:sz w:val="24"/>
          <w:highlight w:val="none"/>
          <w14:textFill>
            <w14:solidFill>
              <w14:schemeClr w14:val="tx1"/>
            </w14:solidFill>
          </w14:textFill>
        </w:rPr>
        <w:t>电子签名及</w:t>
      </w:r>
      <w:r>
        <w:rPr>
          <w:rFonts w:hint="eastAsia" w:ascii="宋体" w:hAnsi="宋体" w:eastAsia="宋体" w:cs="宋体"/>
          <w:bCs/>
          <w:color w:val="000000" w:themeColor="text1"/>
          <w:sz w:val="24"/>
          <w:highlight w:val="none"/>
          <w14:textFill>
            <w14:solidFill>
              <w14:schemeClr w14:val="tx1"/>
            </w14:solidFill>
          </w14:textFill>
        </w:rPr>
        <w:t>电子签章。该电子签章对招标人手写签名或者盖章同等的法律效力。</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2.1.4投标人获取电子招标文件后，应仔细检查电子招标文件的合法有效性。合法有效的电子招标文件应具有招标人（或招标代理机构）的电子签章。</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2.1.5招标人应在招标文件中明确投标文件主要内容编制的格式要求。</w:t>
      </w:r>
    </w:p>
    <w:p>
      <w:pPr>
        <w:widowControl/>
        <w:snapToGrid w:val="0"/>
        <w:spacing w:line="360" w:lineRule="auto"/>
        <w:ind w:firstLine="482"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2.2招标答疑</w:t>
      </w:r>
    </w:p>
    <w:p>
      <w:pPr>
        <w:pStyle w:val="38"/>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2.2.1</w:t>
      </w:r>
      <w:r>
        <w:rPr>
          <w:rFonts w:hint="eastAsia" w:ascii="宋体" w:hAnsi="宋体" w:eastAsia="宋体" w:cs="宋体"/>
          <w:color w:val="000000" w:themeColor="text1"/>
          <w:sz w:val="24"/>
          <w:highlight w:val="none"/>
          <w14:textFill>
            <w14:solidFill>
              <w14:schemeClr w14:val="tx1"/>
            </w14:solidFill>
          </w14:textFill>
        </w:rPr>
        <w:t xml:space="preserve"> 招标答疑采用网上答疑方式进行。投标人若对招标文件（包括招标图纸、清单、招标控制价）有疑问的，可在规定的时间内通过</w:t>
      </w:r>
      <w:r>
        <w:rPr>
          <w:rFonts w:hint="eastAsia" w:ascii="宋体" w:hAnsi="宋体" w:eastAsia="宋体" w:cs="宋体"/>
          <w:color w:val="000000" w:themeColor="text1"/>
          <w:sz w:val="24"/>
          <w:szCs w:val="24"/>
          <w:highlight w:val="none"/>
          <w14:textFill>
            <w14:solidFill>
              <w14:schemeClr w14:val="tx1"/>
            </w14:solidFill>
          </w14:textFill>
        </w:rPr>
        <w:t>广州公共资源交易中心网站</w:t>
      </w:r>
      <w:r>
        <w:rPr>
          <w:rFonts w:hint="eastAsia" w:ascii="宋体" w:hAnsi="宋体" w:eastAsia="宋体" w:cs="宋体"/>
          <w:color w:val="000000" w:themeColor="text1"/>
          <w:sz w:val="24"/>
          <w:highlight w:val="none"/>
          <w14:textFill>
            <w14:solidFill>
              <w14:schemeClr w14:val="tx1"/>
            </w14:solidFill>
          </w14:textFill>
        </w:rPr>
        <w:t>凭密码进入提问区域将问题提交给招标人或招标代理人，提交问题时一律不得署名。</w:t>
      </w:r>
      <w:r>
        <w:rPr>
          <w:rFonts w:hint="eastAsia" w:ascii="宋体" w:hAnsi="宋体" w:eastAsia="宋体" w:cs="宋体"/>
          <w:color w:val="000000" w:themeColor="text1"/>
          <w:sz w:val="24"/>
          <w:szCs w:val="24"/>
          <w:highlight w:val="none"/>
          <w:u w:val="single"/>
          <w14:textFill>
            <w14:solidFill>
              <w14:schemeClr w14:val="tx1"/>
            </w14:solidFill>
          </w14:textFill>
        </w:rPr>
        <w:t>网上答疑的操作指南为：投标人登录交易中心数字交易平台，进入“我是投标人（供应商）”-&gt;“我的投标”-&gt;“招标答疑提问”查询项目并提问。</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2.2.2</w:t>
      </w:r>
      <w:r>
        <w:rPr>
          <w:rFonts w:hint="eastAsia" w:ascii="宋体" w:hAnsi="宋体" w:eastAsia="宋体" w:cs="宋体"/>
          <w:color w:val="000000" w:themeColor="text1"/>
          <w:sz w:val="24"/>
          <w:szCs w:val="24"/>
          <w:highlight w:val="none"/>
          <w:u w:val="single"/>
          <w14:textFill>
            <w14:solidFill>
              <w14:schemeClr w14:val="tx1"/>
            </w14:solidFill>
          </w14:textFill>
        </w:rPr>
        <w:t>投标人网上提问截止时间：在提交投标文件截止时间15天前提出。招标人应在投标截止时间7日前解答投标人对招标文件提出的疑问，形成答疑纪要，在广州公共资源交易中心网站发布。投标人可直接从交易中心网站“项目查询（日程安排、答疑纪要）”专区进入，下载项目的答疑纪要；也可以登录交易中心数字交易平台“我是投标人（供应商）”-&gt;“我的投标项目”-&gt;“答疑纪要”。</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2.2.3</w:t>
      </w:r>
      <w:r>
        <w:rPr>
          <w:rFonts w:hint="eastAsia" w:ascii="宋体" w:hAnsi="宋体" w:eastAsia="宋体" w:cs="宋体"/>
          <w:color w:val="000000" w:themeColor="text1"/>
          <w:sz w:val="24"/>
          <w:highlight w:val="none"/>
          <w14:textFill>
            <w14:solidFill>
              <w14:schemeClr w14:val="tx1"/>
            </w14:solidFill>
          </w14:textFill>
        </w:rPr>
        <w:t>招标答疑纪要一经在广州公共资源交易中心网站发布，视作已发放给所有投标人。</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2.2.4招标答疑纪要为招标文件的一部分。</w:t>
      </w:r>
      <w:r>
        <w:rPr>
          <w:rFonts w:hint="eastAsia" w:ascii="宋体" w:hAnsi="宋体" w:eastAsia="宋体" w:cs="宋体"/>
          <w:color w:val="000000" w:themeColor="text1"/>
          <w:sz w:val="24"/>
          <w:szCs w:val="24"/>
          <w:highlight w:val="none"/>
          <w14:textFill>
            <w14:solidFill>
              <w14:schemeClr w14:val="tx1"/>
            </w14:solidFill>
          </w14:textFill>
        </w:rPr>
        <w:t>投标人可在广州公共资源交易中心网站浏览、下载招标答疑纪要。</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2.2.5若招标答疑纪要与招标文件有矛盾时，以</w:t>
      </w:r>
      <w:r>
        <w:rPr>
          <w:rFonts w:hint="eastAsia" w:ascii="宋体" w:hAnsi="宋体" w:eastAsia="宋体" w:cs="宋体"/>
          <w:color w:val="000000" w:themeColor="text1"/>
          <w:sz w:val="24"/>
          <w:szCs w:val="24"/>
          <w:highlight w:val="none"/>
          <w14:textFill>
            <w14:solidFill>
              <w14:schemeClr w14:val="tx1"/>
            </w14:solidFill>
          </w14:textFill>
        </w:rPr>
        <w:t>广州公共资源交易中心网站</w:t>
      </w:r>
      <w:r>
        <w:rPr>
          <w:rFonts w:hint="eastAsia" w:ascii="宋体" w:hAnsi="宋体" w:eastAsia="宋体" w:cs="宋体"/>
          <w:color w:val="000000" w:themeColor="text1"/>
          <w:sz w:val="24"/>
          <w:highlight w:val="none"/>
          <w14:textFill>
            <w14:solidFill>
              <w14:schemeClr w14:val="tx1"/>
            </w14:solidFill>
          </w14:textFill>
        </w:rPr>
        <w:t>最后发布的答疑纪要为准。</w:t>
      </w:r>
    </w:p>
    <w:p>
      <w:pPr>
        <w:tabs>
          <w:tab w:val="left" w:pos="105"/>
        </w:tabs>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2.3</w:t>
      </w:r>
      <w:r>
        <w:rPr>
          <w:rFonts w:hint="eastAsia" w:ascii="宋体" w:hAnsi="宋体" w:eastAsia="宋体" w:cs="宋体"/>
          <w:b/>
          <w:color w:val="000000" w:themeColor="text1"/>
          <w:sz w:val="24"/>
          <w:szCs w:val="24"/>
          <w:highlight w:val="none"/>
          <w14:textFill>
            <w14:solidFill>
              <w14:schemeClr w14:val="tx1"/>
            </w14:solidFill>
          </w14:textFill>
        </w:rPr>
        <w:t>招标文件的澄清与修改</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2.3.1 在投标须知前附表规定的时间前，招标人可以书面形式修改招标文件，并通过广州公共资源交易中心网站发布。如果修改招标文件的时间距投标截止时间不足投标须知前附表规定的时间，并且修改内容影响投标文件编制的，相应延长投标截止时间。</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2.3.2投标人应及时通过广州公共资源交易中心网站浏览、下载招标文件修改。</w:t>
      </w:r>
    </w:p>
    <w:p>
      <w:pPr>
        <w:pStyle w:val="38"/>
        <w:spacing w:before="50" w:after="5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2.3.3招标文件的澄清或修改在广州公共资源交易中心网站发布。招标文件的澄清或修改一经在广州公共资源交易中心网站发布，视作已发放给所有投标人。</w:t>
      </w:r>
    </w:p>
    <w:p>
      <w:pPr>
        <w:pStyle w:val="38"/>
        <w:spacing w:before="50" w:after="5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2.3.4招标文件的澄清、修改作为招标文件的组成部分，具有约束作用。</w:t>
      </w: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2.3.5招标文件的澄清、修改均以广州公共资源交易中心网站</w:t>
      </w:r>
      <w:r>
        <w:rPr>
          <w:rFonts w:hint="eastAsia" w:ascii="宋体" w:hAnsi="宋体" w:eastAsia="宋体" w:cs="宋体"/>
          <w:color w:val="000000" w:themeColor="text1"/>
          <w:sz w:val="24"/>
          <w:szCs w:val="24"/>
          <w:highlight w:val="none"/>
          <w14:textFill>
            <w14:solidFill>
              <w14:schemeClr w14:val="tx1"/>
            </w14:solidFill>
          </w14:textFill>
        </w:rPr>
        <w:t>发布</w:t>
      </w:r>
      <w:r>
        <w:rPr>
          <w:rFonts w:hint="eastAsia" w:ascii="宋体" w:hAnsi="宋体" w:eastAsia="宋体" w:cs="宋体"/>
          <w:color w:val="000000" w:themeColor="text1"/>
          <w:sz w:val="24"/>
          <w:highlight w:val="none"/>
          <w14:textFill>
            <w14:solidFill>
              <w14:schemeClr w14:val="tx1"/>
            </w14:solidFill>
          </w14:textFill>
        </w:rPr>
        <w:t>的内容为准。当招标文件的澄清、修改在同一内容的表述不一致时，以广州公共资源交易中心网站最后发布的内容为准。</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bookmarkStart w:id="227" w:name="_Toc262229165"/>
      <w:bookmarkStart w:id="228" w:name="_Toc101777614"/>
      <w:r>
        <w:rPr>
          <w:rFonts w:hint="eastAsia" w:ascii="宋体" w:hAnsi="宋体" w:eastAsia="宋体" w:cs="宋体"/>
          <w:b/>
          <w:color w:val="000000" w:themeColor="text1"/>
          <w:sz w:val="30"/>
          <w:szCs w:val="30"/>
          <w:highlight w:val="none"/>
          <w14:textFill>
            <w14:solidFill>
              <w14:schemeClr w14:val="tx1"/>
            </w14:solidFill>
          </w14:textFill>
        </w:rPr>
        <w:t>（三）投标文件的编制</w:t>
      </w:r>
      <w:bookmarkEnd w:id="227"/>
      <w:bookmarkEnd w:id="228"/>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3.1 投标文件的组成</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3.1.1投标文件应包括下列内容：</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（1）投标函及投标函附录；</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（2）法定代表人身份证明或附有法定代表人身份证明的授权委托书；</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（3）联合体协议书（非联合体不提交）-本项目不适用</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（4）投标保证金递交证明；</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（5）已标价工程量清单；</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（6）施工组织设计； </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（7）项目管理机构；</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（8）资格审查资料；</w:t>
      </w:r>
    </w:p>
    <w:p>
      <w:pPr>
        <w:pStyle w:val="38"/>
        <w:spacing w:after="0" w:line="44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（9）其他应提交的材料。</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3.2 投标报价</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3.2.1 投标人应按第五章“工程量清单”的要求填写相应表格。</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3.2.2 </w:t>
      </w:r>
      <w:r>
        <w:rPr>
          <w:rFonts w:hint="eastAsia" w:ascii="宋体" w:hAnsi="宋体" w:eastAsia="宋体" w:cs="宋体"/>
          <w:color w:val="000000" w:themeColor="text1"/>
          <w:sz w:val="24"/>
          <w:highlight w:val="none"/>
          <w:u w:val="single"/>
          <w14:textFill>
            <w14:solidFill>
              <w14:schemeClr w14:val="tx1"/>
            </w14:solidFill>
          </w14:textFill>
        </w:rPr>
        <w:t>投标人在投标截止时间前修改投标函中的投标报价总额，应同时修改“已标价工程量清单”中的相应报价，投标报价总额为各分项金额之和。此修改须符合本章第4.3款的有关要求</w:t>
      </w:r>
      <w:r>
        <w:rPr>
          <w:rFonts w:hint="eastAsia" w:ascii="宋体" w:hAnsi="宋体" w:eastAsia="宋体" w:cs="宋体"/>
          <w:color w:val="000000" w:themeColor="text1"/>
          <w:sz w:val="24"/>
          <w:highlight w:val="none"/>
          <w14:textFill>
            <w14:solidFill>
              <w14:schemeClr w14:val="tx1"/>
            </w14:solidFill>
          </w14:textFill>
        </w:rPr>
        <w:t>。</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3.2.3投标人的投标报价不得超过最高投标限价，最高投标限价见投标人须知前附表。</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3.3 投标有效期</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3.3.1 除投标人须知前附表另有规定外，投标有效期为60天。</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3.3.2在投标有效期内，投标人撤销或修改其投标文件的，应承担招标文件和法律规定的责任。</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3.4 投标保证金</w:t>
      </w:r>
    </w:p>
    <w:p>
      <w:pPr>
        <w:pStyle w:val="38"/>
        <w:spacing w:after="0" w:line="360" w:lineRule="auto"/>
        <w:ind w:firstLine="48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3.4.1投标人应按投标须知前附表规定的金额和时间递交投标保证金。投标保证金以现金或者支票形式提交的，必须由投标人的银行基本账户转出。</w:t>
      </w:r>
      <w:r>
        <w:rPr>
          <w:rFonts w:hint="eastAsia" w:ascii="宋体" w:hAnsi="宋体" w:eastAsia="宋体" w:cs="宋体"/>
          <w:color w:val="000000" w:themeColor="text1"/>
          <w:sz w:val="24"/>
          <w:highlight w:val="none"/>
          <w:u w:val="single"/>
          <w14:textFill>
            <w14:solidFill>
              <w14:schemeClr w14:val="tx1"/>
            </w14:solidFill>
          </w14:textFill>
        </w:rPr>
        <w:t>投标人如采用投标保函或投标保证保险的形式递交的，在开标前不强制要求提交纸质原件，由中标候选人在中标候选人公示前提交并在网上公示，但投标人应在投标文件中提交投标保函或投标保证保险彩色扫描件并加盖投标人电子印章。</w:t>
      </w:r>
    </w:p>
    <w:p>
      <w:pPr>
        <w:pStyle w:val="103"/>
        <w:spacing w:after="0" w:line="360" w:lineRule="auto"/>
        <w:ind w:firstLine="480" w:firstLineChars="200"/>
        <w:rPr>
          <w:rFonts w:hint="eastAsia" w:ascii="宋体" w:hAnsi="宋体" w:eastAsia="宋体" w:cs="宋体"/>
          <w:color w:val="000000" w:themeColor="text1"/>
          <w:kern w:val="2"/>
          <w:sz w:val="24"/>
          <w:szCs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w:t>
      </w:r>
      <w:r>
        <w:rPr>
          <w:rFonts w:hint="eastAsia" w:ascii="宋体" w:hAnsi="宋体" w:eastAsia="宋体" w:cs="宋体"/>
          <w:color w:val="000000" w:themeColor="text1"/>
          <w:kern w:val="2"/>
          <w:sz w:val="24"/>
          <w:szCs w:val="24"/>
          <w:highlight w:val="none"/>
          <w:u w:val="single"/>
          <w14:textFill>
            <w14:solidFill>
              <w14:schemeClr w14:val="tx1"/>
            </w14:solidFill>
          </w14:textFill>
        </w:rPr>
        <w:t>招标人可委托广州公共资源交易平台具体实施保证金的收取和退还工作。通过广州公共资源交易平台递交投标保证金的相关事宜，请自行咨询广州公共资源交易平台。广州公共资源交易平台代收投标保证金的，其缴纳情况以广州公共资源交易平台数据库记录的信息为准。（注：适用于广州公共资源交易平台代收投标保证金）。</w:t>
      </w:r>
    </w:p>
    <w:p>
      <w:pPr>
        <w:pStyle w:val="38"/>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u w:val="single"/>
          <w14:textFill>
            <w14:solidFill>
              <w14:schemeClr w14:val="tx1"/>
            </w14:solidFill>
          </w14:textFill>
        </w:rPr>
        <w:t>投标人应按照第八章“投标文件格式”规定的投标保证金格式（或银行规定的格式）提供投标保函或投标保证保险，提交投标保函或投标保证保险的彩色扫描件，并作为其投标文件的组成部分。（注：适用于投标保证金采用投标保函或投标保证保险的形式）。</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3.4.3要求提交投标保证金的,投标人不按本章第3.4.1项要求提交投标保证金的，评标委员会将否决其投标。</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3.4.4 招标人与中标人签订合同后5个工作日内，向未中标的投标人和中标人退还投标保证金。</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3.4.5 有下列情形之一的，投标保证金将不予退还： </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（1）投标人在规定的投标有效期内撤销或修改其投标文件；</w:t>
      </w:r>
    </w:p>
    <w:p>
      <w:pPr>
        <w:pStyle w:val="38"/>
        <w:spacing w:after="0"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（2）中标人在收到中标通知书后，无正当理由拒签合同协议书或未按招标文件规定提交履约担保。</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3.5 资格审查资料</w:t>
      </w:r>
    </w:p>
    <w:p>
      <w:pPr>
        <w:pStyle w:val="38"/>
        <w:spacing w:after="0" w:line="44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 “投标人基本情况表”应附投标人营业执照副本、资质证书副本和安全生产许可证等材料的扫描件。</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3.5.2 </w:t>
      </w:r>
      <w:r>
        <w:rPr>
          <w:rFonts w:hint="eastAsia" w:ascii="宋体" w:hAnsi="宋体" w:eastAsia="宋体" w:cs="宋体"/>
          <w:color w:val="000000" w:themeColor="text1"/>
          <w:sz w:val="24"/>
          <w:highlight w:val="none"/>
          <w:u w:val="single"/>
          <w14:textFill>
            <w14:solidFill>
              <w14:schemeClr w14:val="tx1"/>
            </w14:solidFill>
          </w14:textFill>
        </w:rPr>
        <w:t>项目负责人证件和安全生产考核合格证明清晰扫描件或在有效期内的安全生产考核合格证（B类）清晰扫描件或建筑施工企业项目负责人安全生产考核合格证书清晰扫描件。</w:t>
      </w:r>
    </w:p>
    <w:p>
      <w:pPr>
        <w:pStyle w:val="38"/>
        <w:spacing w:after="0" w:line="440" w:lineRule="exact"/>
        <w:ind w:firstLine="537" w:firstLineChars="224"/>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3.5.3专职安全员安全生产考核合格证（C类）清晰扫描件或建筑施工企业专职安全生产管理人员安全生产考核合格证书（C3）清晰扫描件。</w:t>
      </w:r>
    </w:p>
    <w:p>
      <w:pPr>
        <w:pStyle w:val="38"/>
        <w:spacing w:after="0" w:line="44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3.5.4提交社保文件的要求：投标申请人须保证授权的委托代理人及项目部主要组成人员（项目负责人、专职安全员）均为本单位的正式职工，必须具有离投标截止时间最近</w:t>
      </w:r>
      <w:r>
        <w:rPr>
          <w:rFonts w:hint="eastAsia" w:ascii="宋体" w:hAnsi="宋体" w:eastAsia="宋体" w:cs="宋体"/>
          <w:color w:val="000000" w:themeColor="text1"/>
          <w:sz w:val="24"/>
          <w:highlight w:val="none"/>
          <w:u w:val="single"/>
          <w:lang w:val="en-US"/>
          <w14:textFill>
            <w14:solidFill>
              <w14:schemeClr w14:val="tx1"/>
            </w14:solidFill>
          </w14:textFill>
        </w:rPr>
        <w:t>一</w:t>
      </w:r>
      <w:r>
        <w:rPr>
          <w:rFonts w:hint="eastAsia" w:ascii="宋体" w:hAnsi="宋体" w:eastAsia="宋体" w:cs="宋体"/>
          <w:color w:val="000000" w:themeColor="text1"/>
          <w:sz w:val="24"/>
          <w:highlight w:val="none"/>
          <w:u w:val="single"/>
          <w14:textFill>
            <w14:solidFill>
              <w14:schemeClr w14:val="tx1"/>
            </w14:solidFill>
          </w14:textFill>
        </w:rPr>
        <w:t>个月（时间为：2023年</w:t>
      </w:r>
      <w:r>
        <w:rPr>
          <w:rFonts w:hint="eastAsia" w:ascii="宋体" w:hAnsi="宋体" w:eastAsia="宋体" w:cs="宋体"/>
          <w:color w:val="000000" w:themeColor="text1"/>
          <w:sz w:val="24"/>
          <w:highlight w:val="none"/>
          <w:u w:val="single"/>
          <w:lang w:val="en-US" w:eastAsia="zh-CN"/>
          <w14:textFill>
            <w14:solidFill>
              <w14:schemeClr w14:val="tx1"/>
            </w14:solidFill>
          </w14:textFill>
        </w:rPr>
        <w:t>8</w:t>
      </w:r>
      <w:r>
        <w:rPr>
          <w:rFonts w:hint="eastAsia" w:ascii="宋体" w:hAnsi="宋体" w:eastAsia="宋体" w:cs="宋体"/>
          <w:color w:val="000000" w:themeColor="text1"/>
          <w:sz w:val="24"/>
          <w:highlight w:val="none"/>
          <w:u w:val="single"/>
          <w14:textFill>
            <w14:solidFill>
              <w14:schemeClr w14:val="tx1"/>
            </w14:solidFill>
          </w14:textFill>
        </w:rPr>
        <w:t>月）在本单位交纳的社保证明文件（以加盖社会保险基金管理中心印章的《投保单》或《社会保险参保人员证明》资料为准）。</w:t>
      </w:r>
    </w:p>
    <w:p>
      <w:pPr>
        <w:pStyle w:val="38"/>
        <w:spacing w:after="0" w:line="360" w:lineRule="auto"/>
        <w:ind w:firstLine="480" w:firstLineChars="200"/>
        <w:rPr>
          <w:rFonts w:hint="eastAsia" w:ascii="宋体" w:hAnsi="宋体" w:eastAsia="宋体" w:cs="宋体"/>
          <w:i/>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3.5.5资审要求的其他材料。</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3.6 投标文件的编制</w:t>
      </w:r>
    </w:p>
    <w:p>
      <w:pPr>
        <w:pStyle w:val="38"/>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3.6.1投标人应使用符合《广东省工程造价文件数据交换标准（电子评标部分） 交易中心实施细则》的计价软件制作工程量清单报价表和单价分析表（如本招标文件要求单价分析表）。</w:t>
      </w:r>
    </w:p>
    <w:p>
      <w:pPr>
        <w:spacing w:line="360" w:lineRule="auto"/>
        <w:ind w:firstLine="470" w:firstLineChars="19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3.6.2投标人应使用投标文件管理软件进行投标文件的合成、电子签章及加密打包工作，所有电子投标文件不能进行压缩处理。电子投标文件统一采用网络上传的形式，投标人需登录交易中心网站投标人服务区在投标截止时间前完整上传至交易中心的电子评标系统。</w:t>
      </w:r>
    </w:p>
    <w:p>
      <w:pPr>
        <w:spacing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3.6.3</w:t>
      </w:r>
      <w:r>
        <w:rPr>
          <w:rFonts w:hint="eastAsia" w:ascii="宋体" w:hAnsi="宋体" w:eastAsia="宋体" w:cs="宋体"/>
          <w:color w:val="000000" w:themeColor="text1"/>
          <w:sz w:val="24"/>
          <w:szCs w:val="24"/>
          <w:highlight w:val="none"/>
          <w:u w:val="single"/>
          <w14:textFill>
            <w14:solidFill>
              <w14:schemeClr w14:val="tx1"/>
            </w14:solidFill>
          </w14:textFill>
        </w:rPr>
        <w:t>投标文件全部采用电子文档，投标文件所附证书证件均为原件扫描件，并采用单位数字证书，按招标文件要求在相应位置加盖电子印章。投标文件中需个人签字或盖章的，应手签或盖章后彩色扫描上传。按照交易平台关于全流程电子化项目的相关指南进行操作。详见：广州公共资源交易中心网站首页→服务指南→系统帮助→操作手册→【全流程电子化项目】电子招投标操作手册（无纸化）。投标人应使用依法设立的电子认证服务提供者签发的电子签章认证证书对电子投标文件进行电子签章。该电子签章与盖单位章具有同等的法律效力。</w:t>
      </w:r>
    </w:p>
    <w:p>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3.6.4</w:t>
      </w:r>
      <w:r>
        <w:rPr>
          <w:rFonts w:hint="eastAsia" w:ascii="宋体" w:hAnsi="宋体" w:eastAsia="宋体" w:cs="宋体"/>
          <w:bCs/>
          <w:color w:val="000000" w:themeColor="text1"/>
          <w:sz w:val="24"/>
          <w:szCs w:val="24"/>
          <w:highlight w:val="none"/>
          <w14:textFill>
            <w14:solidFill>
              <w14:schemeClr w14:val="tx1"/>
            </w14:solidFill>
          </w14:textFill>
        </w:rPr>
        <w:t>除工程量清单报价表相关的内容、</w:t>
      </w:r>
      <w:r>
        <w:rPr>
          <w:rFonts w:hint="eastAsia" w:ascii="宋体" w:hAnsi="宋体" w:eastAsia="宋体" w:cs="宋体"/>
          <w:color w:val="000000" w:themeColor="text1"/>
          <w:sz w:val="24"/>
          <w:szCs w:val="24"/>
          <w:highlight w:val="none"/>
          <w14:textFill>
            <w14:solidFill>
              <w14:schemeClr w14:val="tx1"/>
            </w14:solidFill>
          </w14:textFill>
        </w:rPr>
        <w:t>《投标函附录》</w:t>
      </w:r>
      <w:r>
        <w:rPr>
          <w:rFonts w:hint="eastAsia" w:ascii="宋体" w:hAnsi="宋体" w:eastAsia="宋体" w:cs="宋体"/>
          <w:bCs/>
          <w:color w:val="000000" w:themeColor="text1"/>
          <w:sz w:val="24"/>
          <w:szCs w:val="24"/>
          <w:highlight w:val="none"/>
          <w14:textFill>
            <w14:solidFill>
              <w14:schemeClr w14:val="tx1"/>
            </w14:solidFill>
          </w14:textFill>
        </w:rPr>
        <w:t>外，投标文件的其他内容均以电子文件（纸质原件的扫描件）编制，其格式要求详见第八章投标文件格式说明。</w:t>
      </w:r>
    </w:p>
    <w:p>
      <w:pPr>
        <w:pStyle w:val="38"/>
        <w:spacing w:after="0"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3.6.5</w:t>
      </w:r>
      <w:r>
        <w:rPr>
          <w:rFonts w:hint="eastAsia" w:ascii="宋体" w:hAnsi="宋体" w:eastAsia="宋体" w:cs="宋体"/>
          <w:bCs/>
          <w:color w:val="000000" w:themeColor="text1"/>
          <w:sz w:val="24"/>
          <w:szCs w:val="24"/>
          <w:highlight w:val="none"/>
          <w14:textFill>
            <w14:solidFill>
              <w14:schemeClr w14:val="tx1"/>
            </w14:solidFill>
          </w14:textFill>
        </w:rPr>
        <w:t>投标文件应按上述的编排要求编制。如因不按上述编排要求编制而所引起系统无法检索、读取相关信息时，其后果将由投标人自行承担。</w:t>
      </w:r>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bookmarkStart w:id="229" w:name="_Toc101777615"/>
      <w:bookmarkStart w:id="230" w:name="_Toc262229166"/>
      <w:r>
        <w:rPr>
          <w:rFonts w:hint="eastAsia" w:ascii="宋体" w:hAnsi="宋体" w:eastAsia="宋体" w:cs="宋体"/>
          <w:b/>
          <w:color w:val="000000" w:themeColor="text1"/>
          <w:sz w:val="30"/>
          <w:szCs w:val="30"/>
          <w:highlight w:val="none"/>
          <w14:textFill>
            <w14:solidFill>
              <w14:schemeClr w14:val="tx1"/>
            </w14:solidFill>
          </w14:textFill>
        </w:rPr>
        <w:t>（四）投标文件的递交</w:t>
      </w:r>
      <w:bookmarkEnd w:id="229"/>
      <w:bookmarkEnd w:id="230"/>
    </w:p>
    <w:p>
      <w:pPr>
        <w:pStyle w:val="38"/>
        <w:spacing w:after="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4.1 </w:t>
      </w:r>
      <w:r>
        <w:rPr>
          <w:rFonts w:hint="eastAsia" w:ascii="宋体" w:hAnsi="宋体" w:eastAsia="宋体" w:cs="宋体"/>
          <w:b/>
          <w:color w:val="000000" w:themeColor="text1"/>
          <w:sz w:val="24"/>
          <w:szCs w:val="24"/>
          <w:highlight w:val="none"/>
          <w14:textFill>
            <w14:solidFill>
              <w14:schemeClr w14:val="tx1"/>
            </w14:solidFill>
          </w14:textFill>
        </w:rPr>
        <w:t>投标文件的包封、密封和标志</w:t>
      </w:r>
    </w:p>
    <w:p>
      <w:pPr>
        <w:spacing w:line="360" w:lineRule="auto"/>
        <w:ind w:firstLine="480" w:firstLineChars="20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4.1.1</w:t>
      </w:r>
      <w:r>
        <w:rPr>
          <w:rFonts w:hint="eastAsia" w:ascii="宋体" w:hAnsi="宋体" w:eastAsia="宋体" w:cs="宋体"/>
          <w:color w:val="000000" w:themeColor="text1"/>
          <w:sz w:val="24"/>
          <w:szCs w:val="21"/>
          <w:highlight w:val="none"/>
          <w:u w:val="single"/>
          <w14:textFill>
            <w14:solidFill>
              <w14:schemeClr w14:val="tx1"/>
            </w14:solidFill>
          </w14:textFill>
        </w:rPr>
        <w:t>投标人应当按照招标文件和电子招标投标交易平台的要求加密投标文件，具体操作详见《房屋建筑和市政基础设施工程全流程电子化项目专章》。</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4.1.2投标文件的电子签章要求： 电子投标文件必须包含完整的投标人电子签章</w:t>
      </w:r>
    </w:p>
    <w:p>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4.2 投标文件的递交和接收</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4.2.1投标人代表应按投标须知前附表所规定的时间和地点向招标人递交投标文件。</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4.2.2投标人应凭以下资料递交投标文件：</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（1）使用制作该投标文件的投标人电子签章认证证书；</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（2）投标人应使用制作该投标文件的电子签章认证证书递交投标文件。</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若出现以下情况，招标人将拒绝接收投标文件：</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（1）电子投标文件未在投标截止时间前完整上传并保存在广州公共资源交易中心电子评标系统且取得回执的； </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（2）投标文件未按招标文件要求进行电子签章，并进行加密的；</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（3）电子投标文件中投标人电子签章不完整的；</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（4）电子投标文件损坏或格式不正确的；</w:t>
      </w:r>
    </w:p>
    <w:p>
      <w:pPr>
        <w:spacing w:line="360" w:lineRule="auto"/>
        <w:ind w:firstLine="523" w:firstLineChars="21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（5）电子投标文件未加密的。</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r>
        <w:rPr>
          <w:rFonts w:hint="eastAsia" w:ascii="宋体" w:hAnsi="宋体" w:eastAsia="宋体" w:cs="宋体"/>
          <w:color w:val="000000" w:themeColor="text1"/>
          <w:sz w:val="24"/>
          <w:highlight w:val="none"/>
          <w14:textFill>
            <w14:solidFill>
              <w14:schemeClr w14:val="tx1"/>
            </w14:solidFill>
          </w14:textFill>
        </w:rPr>
        <w:t xml:space="preserve">.4 </w:t>
      </w:r>
      <w:r>
        <w:rPr>
          <w:rFonts w:hint="eastAsia" w:ascii="宋体" w:hAnsi="宋体" w:eastAsia="宋体" w:cs="宋体"/>
          <w:color w:val="000000" w:themeColor="text1"/>
          <w:sz w:val="24"/>
          <w:szCs w:val="24"/>
          <w:highlight w:val="none"/>
          <w14:textFill>
            <w14:solidFill>
              <w14:schemeClr w14:val="tx1"/>
            </w14:solidFill>
          </w14:textFill>
        </w:rPr>
        <w:t>投标截止前，招标人拒绝接收符合条件的投标文件，投标人可向招标监督机构投诉。</w:t>
      </w:r>
    </w:p>
    <w:p>
      <w:pPr>
        <w:spacing w:line="360" w:lineRule="auto"/>
        <w:ind w:firstLine="48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4.3 </w:t>
      </w:r>
      <w:r>
        <w:rPr>
          <w:rFonts w:hint="eastAsia" w:ascii="宋体" w:hAnsi="宋体" w:eastAsia="宋体" w:cs="宋体"/>
          <w:b/>
          <w:bCs/>
          <w:color w:val="000000" w:themeColor="text1"/>
          <w:sz w:val="24"/>
          <w:highlight w:val="none"/>
          <w14:textFill>
            <w14:solidFill>
              <w14:schemeClr w14:val="tx1"/>
            </w14:solidFill>
          </w14:textFill>
        </w:rPr>
        <w:t>投标文件递交的截止时间</w:t>
      </w:r>
    </w:p>
    <w:p>
      <w:pPr>
        <w:spacing w:line="360" w:lineRule="auto"/>
        <w:ind w:firstLine="48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.1投标人应在4.2.1所述的时间前递交投标文件。截止时间以广州公共资源交易中心电子评标系统服务器从中国科学院国家授时中心取得的北京时间为准。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.2招标人可按本须知第2.4条规定以招标文件修改的方式，酌情延长递交投标文件的截止时间。在此情况下，投标人的所有权利和义务以及投标人受制约的截止时间，均以延长后新的投标截止时间为准。</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4.3</w:t>
      </w:r>
      <w:r>
        <w:rPr>
          <w:rFonts w:hint="eastAsia" w:ascii="宋体" w:hAnsi="宋体" w:eastAsia="宋体" w:cs="宋体"/>
          <w:color w:val="000000" w:themeColor="text1"/>
          <w:sz w:val="24"/>
          <w:highlight w:val="none"/>
          <w14:textFill>
            <w14:solidFill>
              <w14:schemeClr w14:val="tx1"/>
            </w14:solidFill>
          </w14:textFill>
        </w:rPr>
        <w:t>.3 到投标截止时间止，招标人收到的投标文件少于3家的，招标人将依法重新组织招标。（当N个标段同时招标且不允许兼中时，若有效投标人不足N+2家，则重新组织招标）。</w:t>
      </w:r>
    </w:p>
    <w:p>
      <w:pPr>
        <w:spacing w:line="360" w:lineRule="auto"/>
        <w:ind w:firstLine="48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r>
        <w:rPr>
          <w:rFonts w:hint="eastAsia" w:ascii="宋体" w:hAnsi="宋体" w:eastAsia="宋体" w:cs="宋体"/>
          <w:b/>
          <w:bCs/>
          <w:color w:val="000000" w:themeColor="text1"/>
          <w:sz w:val="24"/>
          <w:highlight w:val="none"/>
          <w14:textFill>
            <w14:solidFill>
              <w14:schemeClr w14:val="tx1"/>
            </w14:solidFill>
          </w14:textFill>
        </w:rPr>
        <w:t xml:space="preserve"> 迟交的投标文件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r>
        <w:rPr>
          <w:rFonts w:hint="eastAsia" w:ascii="宋体" w:hAnsi="宋体" w:eastAsia="宋体" w:cs="宋体"/>
          <w:color w:val="000000" w:themeColor="text1"/>
          <w:sz w:val="24"/>
          <w:highlight w:val="none"/>
          <w14:textFill>
            <w14:solidFill>
              <w14:schemeClr w14:val="tx1"/>
            </w14:solidFill>
          </w14:textFill>
        </w:rPr>
        <w:t>.1投标截止时间到达后，电子评标系统将不允许投标人上传投标文件。</w:t>
      </w:r>
    </w:p>
    <w:p>
      <w:pPr>
        <w:spacing w:line="360" w:lineRule="auto"/>
        <w:ind w:firstLine="48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w:t>
      </w:r>
      <w:r>
        <w:rPr>
          <w:rFonts w:hint="eastAsia" w:ascii="宋体" w:hAnsi="宋体" w:eastAsia="宋体" w:cs="宋体"/>
          <w:b/>
          <w:bCs/>
          <w:color w:val="000000" w:themeColor="text1"/>
          <w:sz w:val="24"/>
          <w:highlight w:val="none"/>
          <w14:textFill>
            <w14:solidFill>
              <w14:schemeClr w14:val="tx1"/>
            </w14:solidFill>
          </w14:textFill>
        </w:rPr>
        <w:t xml:space="preserve"> 投标文件的补充、修改与撤回</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w:t>
      </w:r>
      <w:r>
        <w:rPr>
          <w:rFonts w:hint="eastAsia" w:ascii="宋体" w:hAnsi="宋体" w:eastAsia="宋体" w:cs="宋体"/>
          <w:color w:val="000000" w:themeColor="text1"/>
          <w:sz w:val="24"/>
          <w:highlight w:val="none"/>
          <w14:textFill>
            <w14:solidFill>
              <w14:schemeClr w14:val="tx1"/>
            </w14:solidFill>
          </w14:textFill>
        </w:rPr>
        <w:t>.1 投标人在递交投标文件以后，在规定的投标截止时间之前，可以撤回或替换已递交的投标文件。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w:t>
      </w:r>
      <w:r>
        <w:rPr>
          <w:rFonts w:hint="eastAsia" w:ascii="宋体" w:hAnsi="宋体" w:eastAsia="宋体" w:cs="宋体"/>
          <w:color w:val="000000" w:themeColor="text1"/>
          <w:sz w:val="24"/>
          <w:highlight w:val="none"/>
          <w14:textFill>
            <w14:solidFill>
              <w14:schemeClr w14:val="tx1"/>
            </w14:solidFill>
          </w14:textFill>
        </w:rPr>
        <w:t>.3 在投标截止时间之后，投标人不得补充、修改和更换投标文件。</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4.5</w:t>
      </w:r>
      <w:r>
        <w:rPr>
          <w:rFonts w:hint="eastAsia" w:ascii="宋体" w:hAnsi="宋体" w:eastAsia="宋体" w:cs="宋体"/>
          <w:color w:val="000000" w:themeColor="text1"/>
          <w:sz w:val="24"/>
          <w:highlight w:val="none"/>
          <w14:textFill>
            <w14:solidFill>
              <w14:schemeClr w14:val="tx1"/>
            </w14:solidFill>
          </w14:textFill>
        </w:rPr>
        <w:t>.4在投标截止后，投标人在投标文件格式中规定的有效期终止日前，投标人不能撤回投标文件，否则其投标保证金将被没收，且招标人有权就其撤回行为报告政府主管部门载入不良信用记录。</w:t>
      </w:r>
    </w:p>
    <w:p>
      <w:pPr>
        <w:snapToGrid w:val="0"/>
        <w:spacing w:line="360" w:lineRule="auto"/>
        <w:ind w:firstLine="480"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w:t>
      </w:r>
      <w:r>
        <w:rPr>
          <w:rFonts w:hint="eastAsia" w:ascii="宋体" w:hAnsi="宋体" w:eastAsia="宋体" w:cs="宋体"/>
          <w:b/>
          <w:color w:val="000000" w:themeColor="text1"/>
          <w:sz w:val="24"/>
          <w:highlight w:val="none"/>
          <w14:textFill>
            <w14:solidFill>
              <w14:schemeClr w14:val="tx1"/>
            </w14:solidFill>
          </w14:textFill>
        </w:rPr>
        <w:t xml:space="preserve"> 投标信息录入</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4.6</w:t>
      </w:r>
      <w:r>
        <w:rPr>
          <w:rFonts w:hint="eastAsia" w:ascii="宋体" w:hAnsi="宋体" w:eastAsia="宋体" w:cs="宋体"/>
          <w:color w:val="000000" w:themeColor="text1"/>
          <w:sz w:val="24"/>
          <w:highlight w:val="none"/>
          <w14:textFill>
            <w14:solidFill>
              <w14:schemeClr w14:val="tx1"/>
            </w14:solidFill>
          </w14:textFill>
        </w:rPr>
        <w:t>.1 投标人应在上传电子投标文件前将广州公共资源交易中心交易服务系统要求的相关信息在广州公共资源交易中心交易服务系统中录入完毕。</w:t>
      </w:r>
    </w:p>
    <w:p>
      <w:pPr>
        <w:spacing w:line="360" w:lineRule="auto"/>
        <w:ind w:firstLine="480"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w:t>
      </w:r>
      <w:r>
        <w:rPr>
          <w:rFonts w:hint="eastAsia" w:ascii="宋体" w:hAnsi="宋体" w:eastAsia="宋体" w:cs="宋体"/>
          <w:b/>
          <w:color w:val="000000" w:themeColor="text1"/>
          <w:sz w:val="24"/>
          <w:highlight w:val="none"/>
          <w14:textFill>
            <w14:solidFill>
              <w14:schemeClr w14:val="tx1"/>
            </w14:solidFill>
          </w14:textFill>
        </w:rPr>
        <w:t xml:space="preserve"> 投标文件的解密</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4.7.1投标人须对在投标须知前附表规定的时间内完成电子投标文件解密。超过时间未解密的投标文件将作为放弃投标处理。</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（五）开标</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5.1 开标时间和地点</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投标人在本章第4.2.1款规定的投标截止时间（开标时间）和投标人须知前附表规定的地点公开开标，并邀请所有投标人的法定代表人或其委托代理人准时参加。</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5.2 开标程序</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5.2.1 招标人按投标须知前附表第4.2.1项所规定的时间和地点公开开标，并邀请所有投标人参加，不参加视为认可唱标结果。</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5.2.2唱标前公开摇取评标基准价下浮率（下浮率取值范围在2%~5%，按0.5%设定级差）（经评审的最低投标价法不需要摇评标基准价下浮率）。</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5.2.3 招标人在招标文件要求的递交投标文件截止时间前收到的投标文件，在开标前未完成投标人解密的，其视为投标人放弃投标。</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5.2.3 招标人在开标开始时间后，使用制作该招标文件的机构业务数字证书对所有投标人电子投标文件进行招标人解密。</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5.2.5招标人完成解密后按开标记录表规定的内容进行唱标。</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5.2.5唱标结束，参与开标的招标人、招标代理、投标人及有关人员对开标记录表进行签字确认。</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5.2.4投标人没有按要求提供投标保证金的，其投标无效，不参与排序和资格审查。</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5.3 开标异议</w:t>
      </w:r>
    </w:p>
    <w:p>
      <w:pPr>
        <w:widowControl/>
        <w:tabs>
          <w:tab w:val="left" w:pos="105"/>
        </w:tabs>
        <w:ind w:firstLine="420" w:firstLineChars="175"/>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5.3.1投标人对开标有异议的，应当在开标现场提出，招标人当场作出答复，并制作记录。</w:t>
      </w:r>
    </w:p>
    <w:p>
      <w:pPr>
        <w:widowControl/>
        <w:tabs>
          <w:tab w:val="left" w:pos="105"/>
        </w:tabs>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5.3.2对开标的异议，招标人应当当场作出答复并予以书面记录，异议成立的，招标人应当及时采取纠正措施，或者提交评标委员会评审确认；异议不成立的，招标人应当当场给予解释说明。</w:t>
      </w:r>
    </w:p>
    <w:p>
      <w:pPr>
        <w:widowControl/>
        <w:tabs>
          <w:tab w:val="left" w:pos="105"/>
        </w:tabs>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5.3.3招标人应当按照同一异议提起人一份记录的方式，对异议事项的处理应逐条进行书面记录，并由异议提起人、招标人签名确认。书面记录含义应清晰而明确，包括但不限于纠正的措施、解释说明的内容、相关依据等。</w:t>
      </w:r>
    </w:p>
    <w:p>
      <w:pPr>
        <w:tabs>
          <w:tab w:val="left" w:pos="105"/>
        </w:tabs>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5.4开标时，出现下列情形之一的，不参与资格审查和评标：</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5.4.1未成功递交投标文件的；</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5.4.2因投标人原因造成投标文件未解密的；</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5.4.3未按招标文件要求提供投标保证金的；</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5.4.4两个（含两个）以上的投标人加密打包投标文件电脑机器码一致的；</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5.4.5项目负责人和安全员为同一人的；</w:t>
      </w:r>
    </w:p>
    <w:p>
      <w:pPr>
        <w:tabs>
          <w:tab w:val="left" w:pos="105"/>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5.4.6投标文件中的投标人、项目负责人、安全员与投标登记时的信息不一致的。</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（六）评标</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6.1 评标委员会</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6.1.1 评标由招标人依法组建的评标委员会负责。评标委员会由有关技术、经济等方面的专家和招标人代表组成，专家从交易中心符合规定的评标专家库中抽取。评标委员会成员人数以及技术、经济等方面专家的确定方式见投标人须知前附表。</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6.1.2 评标委员会成员有下列情形之一的，应当回避：</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（1）招标人或投标人的主要负责人的近亲属；</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（2）项目主管部门或者行政监督部门的人员；</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（3）与投标人有经济利益关系，可能影响对投标公正评审的；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（4）曾因在招标、评标以及其他与招标投标有关活动中从事违法行为而受过行政处罚或刑事处罚的。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（5）与投标人有其他利害关系。</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6.2 评标原则</w:t>
      </w:r>
      <w:r>
        <w:rPr>
          <w:rFonts w:hint="eastAsia" w:ascii="宋体" w:hAnsi="宋体" w:eastAsia="宋体" w:cs="宋体"/>
          <w:b/>
          <w:color w:val="000000" w:themeColor="text1"/>
          <w:sz w:val="24"/>
          <w:highlight w:val="none"/>
          <w14:textFill>
            <w14:solidFill>
              <w14:schemeClr w14:val="tx1"/>
            </w14:solidFill>
          </w14:textFill>
        </w:rPr>
        <w:tab/>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评标活动遵循公平、公正、科学和择优的原则。</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6.3 评标</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评标委员会按照第三章“评标办法”规定的方法、评审因素、标准和程序对投标文件进行评审。第三章“评标办法”没有规定的方法、评审因素和标准，不作为评标依据。</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（七）合同授予</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7.1 定标方式</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招标人根据评标委员会推荐的中标候选人确定中标人，评标委员会推荐中标候选人的人数为3个。</w:t>
      </w:r>
    </w:p>
    <w:p>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7.2 中标候选人公示</w:t>
      </w:r>
    </w:p>
    <w:p>
      <w:pPr>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7.2.1招标人在《投标人须知前附表》规定的媒介公示中标候选人，公示期为三天，最后一天应为工作日。</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7.2.2</w:t>
      </w:r>
      <w:r>
        <w:rPr>
          <w:rFonts w:hint="eastAsia" w:ascii="宋体" w:hAnsi="宋体" w:eastAsia="宋体" w:cs="宋体"/>
          <w:color w:val="000000" w:themeColor="text1"/>
          <w:sz w:val="24"/>
          <w:highlight w:val="none"/>
          <w:u w:val="single"/>
          <w14:textFill>
            <w14:solidFill>
              <w14:schemeClr w14:val="tx1"/>
            </w14:solidFill>
          </w14:textFill>
        </w:rPr>
        <w:t>在产生中标候选人后，招标人将按相关要求在广州公共资源交易中心网站公开。</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7.3 中标通知</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在法规规定的时间内，招标人以书面形式向中标人发出中标通知书。在</w:t>
      </w:r>
      <w:r>
        <w:rPr>
          <w:rFonts w:hint="eastAsia" w:ascii="宋体" w:hAnsi="宋体" w:eastAsia="宋体" w:cs="宋体"/>
          <w:color w:val="000000" w:themeColor="text1"/>
          <w:sz w:val="24"/>
          <w:szCs w:val="24"/>
          <w:highlight w:val="none"/>
          <w14:textFill>
            <w14:solidFill>
              <w14:schemeClr w14:val="tx1"/>
            </w14:solidFill>
          </w14:textFill>
        </w:rPr>
        <w:t>广州公共资源交易网</w:t>
      </w:r>
      <w:r>
        <w:rPr>
          <w:rFonts w:hint="eastAsia" w:ascii="宋体" w:hAnsi="宋体" w:eastAsia="宋体" w:cs="宋体"/>
          <w:color w:val="000000" w:themeColor="text1"/>
          <w:sz w:val="24"/>
          <w:highlight w:val="none"/>
          <w14:textFill>
            <w14:solidFill>
              <w14:schemeClr w14:val="tx1"/>
            </w14:solidFill>
          </w14:textFill>
        </w:rPr>
        <w:t>发布中标信息，视同将中标结果通知未中标的投标人。</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7.4 履约担保</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7.4.1</w:t>
      </w:r>
      <w:r>
        <w:rPr>
          <w:rFonts w:hint="eastAsia" w:ascii="宋体" w:hAnsi="宋体" w:eastAsia="宋体" w:cs="宋体"/>
          <w:color w:val="000000" w:themeColor="text1"/>
          <w:sz w:val="24"/>
          <w:highlight w:val="none"/>
          <w:u w:val="single"/>
          <w14:textFill>
            <w14:solidFill>
              <w14:schemeClr w14:val="tx1"/>
            </w14:solidFill>
          </w14:textFill>
        </w:rPr>
        <w:t>合同签订后10日内，</w:t>
      </w:r>
      <w:r>
        <w:rPr>
          <w:rFonts w:hint="eastAsia" w:ascii="宋体" w:hAnsi="宋体" w:eastAsia="宋体" w:cs="宋体"/>
          <w:color w:val="000000" w:themeColor="text1"/>
          <w:sz w:val="24"/>
          <w:highlight w:val="none"/>
          <w14:textFill>
            <w14:solidFill>
              <w14:schemeClr w14:val="tx1"/>
            </w14:solidFill>
          </w14:textFill>
        </w:rPr>
        <w:t>中标人应按投标人须知前附表规定的担保形式和招标文件第四章“合同条款”规定的或者事先经过招标人书面认可的履约担保格式向招标人提交履约担保。除投标人须知前附表另有规定外，履约担保金额为中标合同金额的10%。</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7.4.2 中标人不能按本章第7.4.1项要求提交履约担保的，视为放弃中标，其投标保证金不予退还，给招标人造成的损失超过投标保证金数额的，中标人还应当对超过部分予以赔偿。</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7.5 签订合同</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7.5.1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7.5.2 发出中标通知书后，招标人无正当理由拒签合同的，招标人向中标人退还投标保证金；给中标人造成损失的，还应当赔偿损失。</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（八）重新招标</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8.1 重新招标</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有下列情形之一的，招标人将重新招标；</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（1）投标截止时间止，投标人少于3个的；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（2）经评标委员会评审后否决所有投标的；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（3）资审合格的投标人少于3家或经评审有效标少于3家的；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（4）同意延长投标有效期的投标人少于3个的；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（5）中标候选人均未与招标人签订合同的。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（6）当N个标段同时招标且不允许兼中时，若有效投标人不足N+2家，则重新组织招标</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（九）纪律和监督</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9.1对招标人的纪律要求</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招标人不得泄漏招标投标活动中应当保密的情况和资料，不得与投标人串通损害国家利益、社会公共利益或者他人合法权益。</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9.2 对投标人的纪律要求</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9.3 对评标委员会成员的纪律要求</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及定标办法”没有规定的评审因素和标准进行评标。</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9.4 对与评标活动有关的工作人员的纪律要求</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9.5 投诉</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pPr>
        <w:jc w:val="center"/>
        <w:outlineLvl w:val="3"/>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（十）需要补充的其他内容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10.1 需要补充的其他内容：见投标人须知前附表。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widowControl/>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spacing w:line="360" w:lineRule="auto"/>
        <w:jc w:val="left"/>
        <w:outlineLvl w:val="2"/>
        <w:rPr>
          <w:rFonts w:hint="eastAsia" w:ascii="宋体" w:hAnsi="宋体" w:eastAsia="宋体" w:cs="宋体"/>
          <w:color w:val="000000" w:themeColor="text1"/>
          <w:sz w:val="28"/>
          <w:szCs w:val="27"/>
          <w:highlight w:val="none"/>
          <w14:textFill>
            <w14:solidFill>
              <w14:schemeClr w14:val="tx1"/>
            </w14:solidFill>
          </w14:textFill>
        </w:rPr>
      </w:pPr>
      <w:bookmarkStart w:id="231" w:name="_Toc152045581"/>
      <w:bookmarkStart w:id="232" w:name="_Toc2790"/>
      <w:bookmarkStart w:id="233" w:name="_Toc17451103"/>
      <w:bookmarkStart w:id="234" w:name="_Toc152042358"/>
      <w:bookmarkStart w:id="235" w:name="_Toc5970"/>
      <w:bookmarkStart w:id="236" w:name="_Toc17451625"/>
      <w:bookmarkStart w:id="237" w:name="_Toc21968"/>
      <w:bookmarkStart w:id="238" w:name="_Toc17452666"/>
      <w:bookmarkStart w:id="239" w:name="_Toc27571"/>
      <w:bookmarkStart w:id="240" w:name="_Toc332641306"/>
      <w:bookmarkStart w:id="241" w:name="_Toc17556878"/>
      <w:bookmarkStart w:id="242" w:name="_Toc247085739"/>
      <w:bookmarkStart w:id="243" w:name="_Toc17451580"/>
      <w:bookmarkStart w:id="244" w:name="_Toc17454924"/>
      <w:bookmarkStart w:id="245" w:name="_Toc179632599"/>
      <w:bookmarkStart w:id="246" w:name="_Toc17556933"/>
      <w:bookmarkStart w:id="247" w:name="_Toc17454873"/>
      <w:bookmarkStart w:id="248" w:name="_Toc6010"/>
      <w:bookmarkStart w:id="249" w:name="_Toc144974548"/>
      <w:bookmarkStart w:id="250" w:name="_Toc29663"/>
      <w:r>
        <w:rPr>
          <w:rFonts w:hint="eastAsia" w:ascii="宋体" w:hAnsi="宋体" w:eastAsia="宋体" w:cs="宋体"/>
          <w:color w:val="000000" w:themeColor="text1"/>
          <w:sz w:val="28"/>
          <w:szCs w:val="27"/>
          <w:highlight w:val="none"/>
          <w14:textFill>
            <w14:solidFill>
              <w14:schemeClr w14:val="tx1"/>
            </w14:solidFill>
          </w14:textFill>
        </w:rPr>
        <w:t>附件一：开标记录表</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spacing w:line="400" w:lineRule="exact"/>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b/>
          <w:color w:val="000000" w:themeColor="text1"/>
          <w:sz w:val="28"/>
          <w:szCs w:val="28"/>
          <w:highlight w:val="none"/>
          <w14:textFill>
            <w14:solidFill>
              <w14:schemeClr w14:val="tx1"/>
            </w14:solidFill>
          </w14:textFill>
        </w:rPr>
        <w:t>（项目名称）开标记录表</w:t>
      </w:r>
    </w:p>
    <w:p>
      <w:pPr>
        <w:spacing w:line="360" w:lineRule="auto"/>
        <w:jc w:val="center"/>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以广州公共资源交易中心系统为准</w:t>
      </w:r>
    </w:p>
    <w:p>
      <w:pPr>
        <w:pStyle w:val="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抽取评标基准价的下浮率记录表</w:t>
      </w:r>
    </w:p>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工程名称：</w:t>
      </w:r>
    </w:p>
    <w:p>
      <w:pPr>
        <w:tabs>
          <w:tab w:val="left" w:pos="720"/>
        </w:tabs>
        <w:snapToGrid w:val="0"/>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抽取评标基准价的下浮率记录表</w:t>
      </w:r>
    </w:p>
    <w:p>
      <w:pPr>
        <w:tabs>
          <w:tab w:val="left" w:pos="720"/>
        </w:tabs>
        <w:snapToGrid w:val="0"/>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p>
    <w:p>
      <w:pPr>
        <w:tabs>
          <w:tab w:val="left" w:pos="720"/>
        </w:tabs>
        <w:snapToGrid w:val="0"/>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开标地点：</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9"/>
        <w:gridCol w:w="1535"/>
        <w:gridCol w:w="1620"/>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vAlign w:val="center"/>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球号</w:t>
            </w:r>
          </w:p>
        </w:tc>
        <w:tc>
          <w:tcPr>
            <w:tcW w:w="900" w:type="pct"/>
            <w:vAlign w:val="center"/>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代表下浮率（%）</w:t>
            </w:r>
          </w:p>
        </w:tc>
        <w:tc>
          <w:tcPr>
            <w:tcW w:w="950" w:type="pct"/>
            <w:vAlign w:val="center"/>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摇出球号</w:t>
            </w:r>
          </w:p>
        </w:tc>
        <w:tc>
          <w:tcPr>
            <w:tcW w:w="2500" w:type="pct"/>
            <w:vAlign w:val="center"/>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随机抽取的评标基准价的下浮率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950" w:type="pct"/>
            <w:vMerge w:val="restar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restar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4.5</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900" w:type="pct"/>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p>
        </w:tc>
        <w:tc>
          <w:tcPr>
            <w:tcW w:w="95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c>
          <w:tcPr>
            <w:tcW w:w="2500" w:type="pct"/>
            <w:vMerge w:val="continue"/>
          </w:tcPr>
          <w:p>
            <w:pPr>
              <w:tabs>
                <w:tab w:val="left" w:pos="720"/>
              </w:tabs>
              <w:snapToGrid w:val="0"/>
              <w:jc w:val="center"/>
              <w:rPr>
                <w:rFonts w:hint="eastAsia" w:ascii="宋体" w:hAnsi="宋体" w:eastAsia="宋体" w:cs="宋体"/>
                <w:color w:val="000000" w:themeColor="text1"/>
                <w:sz w:val="24"/>
                <w:highlight w:val="none"/>
                <w14:textFill>
                  <w14:solidFill>
                    <w14:schemeClr w14:val="tx1"/>
                  </w14:solidFill>
                </w14:textFill>
              </w:rPr>
            </w:pPr>
          </w:p>
        </w:tc>
      </w:tr>
    </w:tbl>
    <w:p>
      <w:pPr>
        <w:spacing w:line="440" w:lineRule="exact"/>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注：1、计算评标基准价的下浮率从2%、2.5%、3%、3.5%、4%、4.5%、5%中随机抽取</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 xml:space="preserve">    2、球号根据交易中心提供号球填写，如提供的球为1、2、3、4、5、6、7，则按从小到大的顺序对应填写1、2、3、4、5、6、7；如提供的球号2、2.5、3、3.5、4、4.5、5，则对应填写2、2.5、3、3.5、4、4.5、5。</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监标人：             </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招标代理记录人：              </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招标代理唱标人:               </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见证人:              </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日期:     年  月  日</w:t>
      </w:r>
      <w:r>
        <w:rPr>
          <w:rFonts w:hint="eastAsia" w:ascii="宋体" w:hAnsi="宋体" w:eastAsia="宋体" w:cs="宋体"/>
          <w:color w:val="000000" w:themeColor="text1"/>
          <w:highlight w:val="none"/>
          <w14:textFill>
            <w14:solidFill>
              <w14:schemeClr w14:val="tx1"/>
            </w14:solidFill>
          </w14:textFill>
        </w:rPr>
        <w:br w:type="page"/>
      </w:r>
    </w:p>
    <w:p>
      <w:pPr>
        <w:spacing w:line="360" w:lineRule="auto"/>
        <w:jc w:val="left"/>
        <w:outlineLvl w:val="2"/>
        <w:rPr>
          <w:rFonts w:hint="eastAsia" w:ascii="宋体" w:hAnsi="宋体" w:eastAsia="宋体" w:cs="宋体"/>
          <w:color w:val="000000" w:themeColor="text1"/>
          <w:sz w:val="28"/>
          <w:szCs w:val="27"/>
          <w:highlight w:val="none"/>
          <w14:textFill>
            <w14:solidFill>
              <w14:schemeClr w14:val="tx1"/>
            </w14:solidFill>
          </w14:textFill>
        </w:rPr>
      </w:pPr>
      <w:bookmarkStart w:id="251" w:name="_Toc152042359"/>
      <w:bookmarkStart w:id="252" w:name="_Toc246996225"/>
      <w:bookmarkStart w:id="253" w:name="_Toc17451581"/>
      <w:bookmarkStart w:id="254" w:name="_Toc6921"/>
      <w:bookmarkStart w:id="255" w:name="_Toc31764"/>
      <w:bookmarkStart w:id="256" w:name="_Toc17452667"/>
      <w:bookmarkStart w:id="257" w:name="_Toc25190"/>
      <w:bookmarkStart w:id="258" w:name="_Toc25298"/>
      <w:bookmarkStart w:id="259" w:name="_Toc332641307"/>
      <w:bookmarkStart w:id="260" w:name="_Toc17451626"/>
      <w:bookmarkStart w:id="261" w:name="_Toc17451104"/>
      <w:bookmarkStart w:id="262" w:name="_Toc17556934"/>
      <w:bookmarkStart w:id="263" w:name="_Toc30030"/>
      <w:bookmarkStart w:id="264" w:name="_Toc6362"/>
      <w:bookmarkStart w:id="265" w:name="_Toc144974549"/>
      <w:bookmarkStart w:id="266" w:name="_Toc246996968"/>
      <w:bookmarkStart w:id="267" w:name="_Toc247085740"/>
      <w:bookmarkStart w:id="268" w:name="_Toc17556879"/>
      <w:bookmarkStart w:id="269" w:name="_Toc17454925"/>
      <w:bookmarkStart w:id="270" w:name="_Toc179632600"/>
      <w:bookmarkStart w:id="271" w:name="_Toc17454874"/>
      <w:bookmarkStart w:id="272" w:name="_Toc152045582"/>
      <w:r>
        <w:rPr>
          <w:rFonts w:hint="eastAsia" w:ascii="宋体" w:hAnsi="宋体" w:eastAsia="宋体" w:cs="宋体"/>
          <w:color w:val="000000" w:themeColor="text1"/>
          <w:sz w:val="28"/>
          <w:szCs w:val="27"/>
          <w:highlight w:val="none"/>
          <w14:textFill>
            <w14:solidFill>
              <w14:schemeClr w14:val="tx1"/>
            </w14:solidFill>
          </w14:textFill>
        </w:rPr>
        <w:t>附件二：问题澄清通知</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p>
      <w:pPr>
        <w:spacing w:line="440" w:lineRule="exact"/>
        <w:jc w:val="center"/>
        <w:rPr>
          <w:rFonts w:hint="eastAsia" w:ascii="宋体" w:hAnsi="宋体" w:eastAsia="宋体" w:cs="宋体"/>
          <w:b/>
          <w:color w:val="000000" w:themeColor="text1"/>
          <w:sz w:val="36"/>
          <w:szCs w:val="28"/>
          <w:highlight w:val="none"/>
          <w14:textFill>
            <w14:solidFill>
              <w14:schemeClr w14:val="tx1"/>
            </w14:solidFill>
          </w14:textFill>
        </w:rPr>
      </w:pPr>
      <w:r>
        <w:rPr>
          <w:rFonts w:hint="eastAsia" w:ascii="宋体" w:hAnsi="宋体" w:eastAsia="宋体" w:cs="宋体"/>
          <w:b/>
          <w:color w:val="000000" w:themeColor="text1"/>
          <w:sz w:val="36"/>
          <w:szCs w:val="28"/>
          <w:highlight w:val="none"/>
          <w14:textFill>
            <w14:solidFill>
              <w14:schemeClr w14:val="tx1"/>
            </w14:solidFill>
          </w14:textFill>
        </w:rPr>
        <w:t>问题澄清通知</w:t>
      </w:r>
    </w:p>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编号：__________________________</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（投标人名称）：</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（项目名称）招标的评标委员会，对你方的投标文件进行了仔细的审查，现需你方对下列问题以书面形式予以澄清：</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请将上述问题的澄清于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时前递交至</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（详细地址）或传真至</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（传真号码）。采用传真方式的，应在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时前将原件递交至</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（详细地址）。</w:t>
      </w: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440" w:lineRule="exact"/>
        <w:rPr>
          <w:rFonts w:hint="eastAsia" w:ascii="宋体" w:hAnsi="宋体" w:eastAsia="宋体" w:cs="宋体"/>
          <w:color w:val="000000" w:themeColor="text1"/>
          <w:szCs w:val="21"/>
          <w:highlight w:val="none"/>
          <w14:textFill>
            <w14:solidFill>
              <w14:schemeClr w14:val="tx1"/>
            </w14:solidFill>
          </w14:textFill>
        </w:rPr>
      </w:pPr>
    </w:p>
    <w:p>
      <w:pPr>
        <w:spacing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招标人或招标代理机构：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（签字或盖章）</w:t>
      </w:r>
    </w:p>
    <w:p>
      <w:pPr>
        <w:spacing w:line="360" w:lineRule="auto"/>
        <w:ind w:firstLine="3480" w:firstLineChars="145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年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月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spacing w:line="360" w:lineRule="auto"/>
        <w:jc w:val="left"/>
        <w:outlineLvl w:val="2"/>
        <w:rPr>
          <w:rFonts w:hint="eastAsia" w:ascii="宋体" w:hAnsi="宋体" w:eastAsia="宋体" w:cs="宋体"/>
          <w:color w:val="000000" w:themeColor="text1"/>
          <w:sz w:val="28"/>
          <w:szCs w:val="27"/>
          <w:highlight w:val="none"/>
          <w14:textFill>
            <w14:solidFill>
              <w14:schemeClr w14:val="tx1"/>
            </w14:solidFill>
          </w14:textFill>
        </w:rPr>
      </w:pPr>
      <w:bookmarkStart w:id="273" w:name="_Toc16625"/>
      <w:bookmarkStart w:id="274" w:name="_Toc30634"/>
      <w:bookmarkStart w:id="275" w:name="_Toc17556880"/>
      <w:bookmarkStart w:id="276" w:name="_Toc17452668"/>
      <w:bookmarkStart w:id="277" w:name="_Toc247085741"/>
      <w:bookmarkStart w:id="278" w:name="_Toc332641308"/>
      <w:bookmarkStart w:id="279" w:name="_Toc17556935"/>
      <w:bookmarkStart w:id="280" w:name="_Toc246996969"/>
      <w:bookmarkStart w:id="281" w:name="_Toc32624"/>
      <w:bookmarkStart w:id="282" w:name="_Toc246996226"/>
      <w:bookmarkStart w:id="283" w:name="_Toc17451105"/>
      <w:bookmarkStart w:id="284" w:name="_Toc17454926"/>
      <w:bookmarkStart w:id="285" w:name="_Toc24751"/>
      <w:bookmarkStart w:id="286" w:name="_Toc17451627"/>
      <w:bookmarkStart w:id="287" w:name="_Toc17451582"/>
      <w:bookmarkStart w:id="288" w:name="_Toc144974550"/>
      <w:bookmarkStart w:id="289" w:name="_Toc8443"/>
      <w:bookmarkStart w:id="290" w:name="_Toc152042360"/>
      <w:bookmarkStart w:id="291" w:name="_Toc17454875"/>
      <w:bookmarkStart w:id="292" w:name="_Toc152045583"/>
      <w:bookmarkStart w:id="293" w:name="_Toc179632601"/>
      <w:bookmarkStart w:id="294" w:name="_Toc2494"/>
      <w:r>
        <w:rPr>
          <w:rFonts w:hint="eastAsia" w:ascii="宋体" w:hAnsi="宋体" w:eastAsia="宋体" w:cs="宋体"/>
          <w:color w:val="000000" w:themeColor="text1"/>
          <w:sz w:val="28"/>
          <w:szCs w:val="27"/>
          <w:highlight w:val="none"/>
          <w14:textFill>
            <w14:solidFill>
              <w14:schemeClr w14:val="tx1"/>
            </w14:solidFill>
          </w14:textFill>
        </w:rPr>
        <w:t>附件三：问题的澄清</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spacing w:line="400" w:lineRule="exact"/>
        <w:jc w:val="center"/>
        <w:rPr>
          <w:rFonts w:hint="eastAsia" w:ascii="宋体" w:hAnsi="宋体" w:eastAsia="宋体" w:cs="宋体"/>
          <w:color w:val="000000" w:themeColor="text1"/>
          <w:sz w:val="28"/>
          <w:szCs w:val="28"/>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36"/>
          <w:szCs w:val="24"/>
          <w:highlight w:val="none"/>
          <w14:textFill>
            <w14:solidFill>
              <w14:schemeClr w14:val="tx1"/>
            </w14:solidFill>
          </w14:textFill>
        </w:rPr>
      </w:pPr>
      <w:r>
        <w:rPr>
          <w:rFonts w:hint="eastAsia" w:ascii="宋体" w:hAnsi="宋体" w:eastAsia="宋体" w:cs="宋体"/>
          <w:b/>
          <w:color w:val="000000" w:themeColor="text1"/>
          <w:sz w:val="36"/>
          <w:szCs w:val="24"/>
          <w:highlight w:val="none"/>
          <w14:textFill>
            <w14:solidFill>
              <w14:schemeClr w14:val="tx1"/>
            </w14:solidFill>
          </w14:textFill>
        </w:rPr>
        <w:t>问题的澄清</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编号：_____________________</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项目名称）招标评标委员会：</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问题澄清通知（编号：</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______）已收悉，现澄清如下：</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（盖单位章）</w:t>
      </w:r>
    </w:p>
    <w:p>
      <w:pPr>
        <w:spacing w:line="440" w:lineRule="exact"/>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440" w:lineRule="exact"/>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spacing w:line="360" w:lineRule="auto"/>
        <w:jc w:val="left"/>
        <w:outlineLvl w:val="2"/>
        <w:rPr>
          <w:rFonts w:hint="eastAsia" w:ascii="宋体" w:hAnsi="宋体" w:eastAsia="宋体" w:cs="宋体"/>
          <w:color w:val="000000" w:themeColor="text1"/>
          <w:sz w:val="28"/>
          <w:szCs w:val="27"/>
          <w:highlight w:val="none"/>
          <w14:textFill>
            <w14:solidFill>
              <w14:schemeClr w14:val="tx1"/>
            </w14:solidFill>
          </w14:textFill>
        </w:rPr>
      </w:pPr>
      <w:bookmarkStart w:id="295" w:name="_Toc2336"/>
      <w:bookmarkStart w:id="296" w:name="_Toc246996227"/>
      <w:bookmarkStart w:id="297" w:name="_Toc152042361"/>
      <w:bookmarkStart w:id="298" w:name="_Toc17454927"/>
      <w:bookmarkStart w:id="299" w:name="_Toc246996970"/>
      <w:bookmarkStart w:id="300" w:name="_Toc332641309"/>
      <w:bookmarkStart w:id="301" w:name="_Toc17451628"/>
      <w:bookmarkStart w:id="302" w:name="_Toc227"/>
      <w:bookmarkStart w:id="303" w:name="_Toc17556936"/>
      <w:bookmarkStart w:id="304" w:name="_Toc17556881"/>
      <w:bookmarkStart w:id="305" w:name="_Toc29083"/>
      <w:bookmarkStart w:id="306" w:name="_Toc152045584"/>
      <w:bookmarkStart w:id="307" w:name="_Toc144974551"/>
      <w:bookmarkStart w:id="308" w:name="_Toc17452669"/>
      <w:bookmarkStart w:id="309" w:name="_Toc14283"/>
      <w:bookmarkStart w:id="310" w:name="_Toc17529"/>
      <w:bookmarkStart w:id="311" w:name="_Toc7347"/>
      <w:bookmarkStart w:id="312" w:name="_Toc17454876"/>
      <w:bookmarkStart w:id="313" w:name="_Toc17451583"/>
      <w:bookmarkStart w:id="314" w:name="_Toc247085742"/>
      <w:bookmarkStart w:id="315" w:name="_Toc179632602"/>
      <w:bookmarkStart w:id="316" w:name="_Toc17451106"/>
      <w:r>
        <w:rPr>
          <w:rFonts w:hint="eastAsia" w:ascii="宋体" w:hAnsi="宋体" w:eastAsia="宋体" w:cs="宋体"/>
          <w:color w:val="000000" w:themeColor="text1"/>
          <w:sz w:val="28"/>
          <w:szCs w:val="27"/>
          <w:highlight w:val="none"/>
          <w14:textFill>
            <w14:solidFill>
              <w14:schemeClr w14:val="tx1"/>
            </w14:solidFill>
          </w14:textFill>
        </w:rPr>
        <w:t>附件四：中标通知书</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ind w:firstLine="480" w:firstLineChars="200"/>
        <w:jc w:val="left"/>
        <w:rPr>
          <w:rFonts w:hint="eastAsia" w:ascii="宋体" w:hAnsi="宋体" w:eastAsia="宋体" w:cs="宋体"/>
          <w:color w:val="000000" w:themeColor="text1"/>
          <w:sz w:val="32"/>
          <w:highlight w:val="none"/>
          <w14:textFill>
            <w14:solidFill>
              <w14:schemeClr w14:val="tx1"/>
            </w14:solidFill>
          </w14:textFill>
        </w:rPr>
      </w:pPr>
      <w:r>
        <w:rPr>
          <w:rFonts w:hint="eastAsia" w:ascii="宋体" w:hAnsi="宋体" w:eastAsia="宋体" w:cs="宋体"/>
          <w:color w:val="000000" w:themeColor="text1"/>
          <w:sz w:val="24"/>
          <w:szCs w:val="21"/>
          <w:highlight w:val="none"/>
          <w:u w:val="single"/>
          <w14:textFill>
            <w14:solidFill>
              <w14:schemeClr w14:val="tx1"/>
            </w14:solidFill>
          </w14:textFill>
        </w:rPr>
        <w:t>（说明：中标通知书采用广州公共资源交易中心规定的格式）</w:t>
      </w:r>
    </w:p>
    <w:p>
      <w:pPr>
        <w:spacing w:line="360" w:lineRule="auto"/>
        <w:jc w:val="left"/>
        <w:outlineLvl w:val="2"/>
        <w:rPr>
          <w:rFonts w:hint="eastAsia" w:ascii="宋体" w:hAnsi="宋体" w:eastAsia="宋体" w:cs="宋体"/>
          <w:color w:val="000000" w:themeColor="text1"/>
          <w:sz w:val="28"/>
          <w:szCs w:val="27"/>
          <w:highlight w:val="none"/>
          <w14:textFill>
            <w14:solidFill>
              <w14:schemeClr w14:val="tx1"/>
            </w14:solidFill>
          </w14:textFill>
        </w:rPr>
      </w:pPr>
      <w:bookmarkStart w:id="317" w:name="_Toc155150492"/>
      <w:bookmarkStart w:id="318" w:name="_Toc262229168"/>
      <w:r>
        <w:rPr>
          <w:rFonts w:hint="eastAsia" w:ascii="宋体" w:hAnsi="宋体" w:eastAsia="宋体" w:cs="宋体"/>
          <w:color w:val="000000" w:themeColor="text1"/>
          <w:sz w:val="32"/>
          <w:szCs w:val="27"/>
          <w:highlight w:val="none"/>
          <w14:textFill>
            <w14:solidFill>
              <w14:schemeClr w14:val="tx1"/>
            </w14:solidFill>
          </w14:textFill>
        </w:rPr>
        <w:br w:type="page"/>
      </w:r>
      <w:bookmarkStart w:id="319" w:name="_Toc26139"/>
      <w:bookmarkStart w:id="320" w:name="_Toc4499"/>
      <w:bookmarkStart w:id="321" w:name="_Toc17185"/>
      <w:bookmarkStart w:id="322" w:name="_Toc28120"/>
      <w:bookmarkStart w:id="323" w:name="_Toc8010"/>
      <w:r>
        <w:rPr>
          <w:rFonts w:hint="eastAsia" w:ascii="宋体" w:hAnsi="宋体" w:eastAsia="宋体" w:cs="宋体"/>
          <w:color w:val="000000" w:themeColor="text1"/>
          <w:sz w:val="28"/>
          <w:szCs w:val="27"/>
          <w:highlight w:val="none"/>
          <w14:textFill>
            <w14:solidFill>
              <w14:schemeClr w14:val="tx1"/>
            </w14:solidFill>
          </w14:textFill>
        </w:rPr>
        <w:t>附件五：异议书及投诉书</w:t>
      </w:r>
      <w:bookmarkEnd w:id="319"/>
      <w:bookmarkEnd w:id="320"/>
      <w:bookmarkEnd w:id="321"/>
      <w:bookmarkEnd w:id="322"/>
      <w:bookmarkEnd w:id="323"/>
    </w:p>
    <w:p>
      <w:pPr>
        <w:spacing w:line="200" w:lineRule="exact"/>
        <w:rPr>
          <w:rFonts w:hint="eastAsia" w:ascii="宋体" w:hAnsi="宋体" w:eastAsia="宋体" w:cs="宋体"/>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关于**项目异议书</w:t>
      </w:r>
    </w:p>
    <w:p>
      <w:pPr>
        <w:widowControl/>
        <w:spacing w:line="408" w:lineRule="auto"/>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(参考格式)</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项目名称：</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异议人：</w:t>
      </w:r>
      <w:r>
        <w:rPr>
          <w:rFonts w:hint="eastAsia" w:ascii="宋体" w:hAnsi="宋体" w:eastAsia="宋体" w:cs="宋体"/>
          <w:bCs/>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住所地：</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 xml:space="preserve"> 邮编：</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 xml:space="preserve"> 联系电话：</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异议人授权代表：</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性别：</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住址：</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联系电话：</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提起异议事项的基本事实：</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相关请求及主张：</w:t>
      </w: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有效线索和相关证明材料：</w:t>
      </w: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异议提起人与项目有利害关系的证明材料（见说明）：</w:t>
      </w: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此致</w:t>
      </w:r>
    </w:p>
    <w:p>
      <w:pPr>
        <w:widowControl/>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u w:val="single"/>
          <w14:textFill>
            <w14:solidFill>
              <w14:schemeClr w14:val="tx1"/>
            </w14:solidFill>
          </w14:textFill>
        </w:rPr>
        <w:t>（采购人）</w:t>
      </w:r>
    </w:p>
    <w:p>
      <w:pPr>
        <w:widowControl/>
        <w:ind w:left="99" w:leftChars="47" w:firstLine="2400" w:firstLineChars="1000"/>
        <w:jc w:val="left"/>
        <w:rPr>
          <w:rFonts w:hint="eastAsia" w:ascii="宋体" w:hAnsi="宋体" w:eastAsia="宋体" w:cs="宋体"/>
          <w:color w:val="000000" w:themeColor="text1"/>
          <w:kern w:val="0"/>
          <w:sz w:val="24"/>
          <w:szCs w:val="24"/>
          <w:highlight w:val="none"/>
          <w14:textFill>
            <w14:solidFill>
              <w14:schemeClr w14:val="tx1"/>
            </w14:solidFill>
          </w14:textFill>
        </w:rPr>
      </w:pPr>
    </w:p>
    <w:p>
      <w:pPr>
        <w:widowControl/>
        <w:spacing w:line="360" w:lineRule="auto"/>
        <w:ind w:left="99" w:leftChars="47" w:firstLine="2400" w:firstLineChars="10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异议人（公章）：</w:t>
      </w:r>
    </w:p>
    <w:p>
      <w:pPr>
        <w:widowControl/>
        <w:spacing w:line="360" w:lineRule="auto"/>
        <w:ind w:left="99" w:leftChars="47" w:firstLine="1680" w:firstLineChars="700"/>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法定代表人或授权代表（签字）</w:t>
      </w:r>
    </w:p>
    <w:p>
      <w:pPr>
        <w:widowControl/>
        <w:spacing w:line="360" w:lineRule="auto"/>
        <w:ind w:firstLine="480" w:firstLineChars="20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年    月   日</w:t>
      </w:r>
    </w:p>
    <w:p>
      <w:pPr>
        <w:widowControl/>
        <w:spacing w:line="360" w:lineRule="auto"/>
        <w:jc w:val="left"/>
        <w:rPr>
          <w:rFonts w:hint="eastAsia" w:ascii="宋体" w:hAnsi="宋体" w:eastAsia="宋体" w:cs="宋体"/>
          <w:bCs/>
          <w:color w:val="000000" w:themeColor="text1"/>
          <w:kern w:val="0"/>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1.异议提起人是法人的，异议书必须由其法定代表人或者授权代表签字并盖章；其他组织或者自然人提出异议的，异议书必须由其主要负责人或者异议提起人本人签字，并附有效身份证明复印件。</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2.异议提起人可以自己直接提交异议书，也可以委托代理人办理异议事务。代理人办理异议事务时，应当将授权委托书连同异议书一并提交给招标人。授权委托书应当明确有关委托代理权限和事项。</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3.为证明与异议项目有利害关系，投标人以外的其他异议提起人应当提供相应证明材料：</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（1）属潜在投标人的，提交符合法定有关资格要求的证明文件；</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（2）属特定分包人或者供应商的，提交证明其与该项目投标人绑定投标的附条件生效协议以及能证明其能履行该协议项下的合同义务的能力的证明文件。</w:t>
      </w:r>
      <w:r>
        <w:rPr>
          <w:rFonts w:hint="eastAsia" w:ascii="宋体" w:hAnsi="宋体" w:eastAsia="宋体" w:cs="宋体"/>
          <w:color w:val="000000" w:themeColor="text1"/>
          <w:szCs w:val="21"/>
          <w:highlight w:val="none"/>
          <w14:textFill>
            <w14:solidFill>
              <w14:schemeClr w14:val="tx1"/>
            </w14:solidFill>
          </w14:textFill>
        </w:rPr>
        <w:tab/>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（3）可证明与异议项目有利害关系的其他证明文件。</w:t>
      </w: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pStyle w:val="7"/>
        <w:rPr>
          <w:rFonts w:hint="eastAsia" w:ascii="宋体" w:hAnsi="宋体" w:eastAsia="宋体" w:cs="宋体"/>
          <w:color w:val="000000" w:themeColor="text1"/>
          <w:szCs w:val="21"/>
          <w:highlight w:val="none"/>
          <w14:textFill>
            <w14:solidFill>
              <w14:schemeClr w14:val="tx1"/>
            </w14:solidFill>
          </w14:textFill>
        </w:rPr>
      </w:pPr>
    </w:p>
    <w:p>
      <w:pPr>
        <w:jc w:val="center"/>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关于**项目投诉书</w:t>
      </w:r>
    </w:p>
    <w:p>
      <w:pPr>
        <w:widowControl/>
        <w:spacing w:line="408" w:lineRule="auto"/>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(参考格式)</w:t>
      </w:r>
    </w:p>
    <w:p>
      <w:pPr>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项目名称：</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投诉人：</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住所地：         邮编：</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法定代表人：      联系电话：</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投诉人</w:t>
      </w:r>
      <w:r>
        <w:rPr>
          <w:rFonts w:hint="eastAsia" w:ascii="宋体" w:hAnsi="宋体" w:eastAsia="宋体" w:cs="宋体"/>
          <w:color w:val="000000" w:themeColor="text1"/>
          <w:kern w:val="0"/>
          <w:sz w:val="28"/>
          <w:szCs w:val="28"/>
          <w:highlight w:val="none"/>
          <w14:textFill>
            <w14:solidFill>
              <w14:schemeClr w14:val="tx1"/>
            </w14:solidFill>
          </w14:textFill>
        </w:rPr>
        <w:t>授权代表：    性别：</w:t>
      </w:r>
    </w:p>
    <w:p>
      <w:pPr>
        <w:widowControl/>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住址：            联系电话：</w:t>
      </w:r>
    </w:p>
    <w:p>
      <w:pPr>
        <w:widowControl/>
        <w:spacing w:line="408" w:lineRule="auto"/>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被投诉人：</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通讯地址（如有）：</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提起投诉事项的基本事实：</w:t>
      </w:r>
    </w:p>
    <w:p>
      <w:pPr>
        <w:widowControl/>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相关请求及主张：</w:t>
      </w:r>
    </w:p>
    <w:p>
      <w:pPr>
        <w:widowControl/>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有效线索和相关证明材料（包括主要证据）：</w:t>
      </w: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p>
    <w:p>
      <w:pPr>
        <w:widowControl/>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投诉人与提起项目有利害关系的证明材料（见说明）：</w:t>
      </w:r>
    </w:p>
    <w:p>
      <w:pPr>
        <w:widowControl/>
        <w:ind w:left="99" w:leftChars="47" w:firstLine="2800" w:firstLineChars="1000"/>
        <w:jc w:val="left"/>
        <w:rPr>
          <w:rFonts w:hint="eastAsia" w:ascii="宋体" w:hAnsi="宋体" w:eastAsia="宋体" w:cs="宋体"/>
          <w:color w:val="000000" w:themeColor="text1"/>
          <w:kern w:val="0"/>
          <w:sz w:val="28"/>
          <w:szCs w:val="28"/>
          <w:highlight w:val="none"/>
          <w14:textFill>
            <w14:solidFill>
              <w14:schemeClr w14:val="tx1"/>
            </w14:solidFill>
          </w14:textFill>
        </w:rPr>
      </w:pPr>
    </w:p>
    <w:p>
      <w:pPr>
        <w:widowControl/>
        <w:ind w:left="99" w:leftChars="47" w:firstLine="2800" w:firstLineChars="1000"/>
        <w:jc w:val="left"/>
        <w:rPr>
          <w:rFonts w:hint="eastAsia" w:ascii="宋体" w:hAnsi="宋体" w:eastAsia="宋体" w:cs="宋体"/>
          <w:color w:val="000000" w:themeColor="text1"/>
          <w:kern w:val="0"/>
          <w:sz w:val="28"/>
          <w:szCs w:val="28"/>
          <w:highlight w:val="none"/>
          <w14:textFill>
            <w14:solidFill>
              <w14:schemeClr w14:val="tx1"/>
            </w14:solidFill>
          </w14:textFill>
        </w:rPr>
      </w:pPr>
    </w:p>
    <w:p>
      <w:pPr>
        <w:widowControl/>
        <w:ind w:left="99" w:leftChars="47" w:firstLine="2800" w:firstLineChars="1000"/>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投诉人（公章）：</w:t>
      </w:r>
    </w:p>
    <w:p>
      <w:pPr>
        <w:widowControl/>
        <w:ind w:left="99" w:leftChars="47" w:firstLine="1960" w:firstLineChars="700"/>
        <w:jc w:val="left"/>
        <w:rPr>
          <w:rFonts w:hint="eastAsia" w:ascii="宋体" w:hAnsi="宋体" w:eastAsia="宋体" w:cs="宋体"/>
          <w:color w:val="000000" w:themeColor="text1"/>
          <w:kern w:val="0"/>
          <w:sz w:val="28"/>
          <w:szCs w:val="28"/>
          <w:highlight w:val="none"/>
          <w14:textFill>
            <w14:solidFill>
              <w14:schemeClr w14:val="tx1"/>
            </w14:solidFill>
          </w14:textFill>
        </w:rPr>
      </w:pPr>
    </w:p>
    <w:p>
      <w:pPr>
        <w:widowControl/>
        <w:ind w:left="99" w:leftChars="47" w:firstLine="1960" w:firstLineChars="700"/>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法定代表人或授权代表（签字）</w:t>
      </w:r>
    </w:p>
    <w:p>
      <w:pPr>
        <w:widowControl/>
        <w:ind w:left="99" w:leftChars="47" w:firstLine="1960" w:firstLineChars="700"/>
        <w:jc w:val="left"/>
        <w:rPr>
          <w:rFonts w:hint="eastAsia" w:ascii="宋体" w:hAnsi="宋体" w:eastAsia="宋体" w:cs="宋体"/>
          <w:color w:val="000000" w:themeColor="text1"/>
          <w:kern w:val="0"/>
          <w:sz w:val="28"/>
          <w:szCs w:val="28"/>
          <w:highlight w:val="none"/>
          <w:u w:val="single"/>
          <w14:textFill>
            <w14:solidFill>
              <w14:schemeClr w14:val="tx1"/>
            </w14:solidFill>
          </w14:textFill>
        </w:rPr>
      </w:pPr>
    </w:p>
    <w:p>
      <w:pPr>
        <w:widowControl/>
        <w:ind w:firstLine="560" w:firstLineChars="200"/>
        <w:jc w:val="center"/>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14:textFill>
            <w14:solidFill>
              <w14:schemeClr w14:val="tx1"/>
            </w14:solidFill>
          </w14:textFill>
        </w:rPr>
        <w:t xml:space="preserve">                                     年    月   日</w:t>
      </w:r>
    </w:p>
    <w:p>
      <w:pPr>
        <w:widowControl/>
        <w:jc w:val="left"/>
        <w:rPr>
          <w:rFonts w:hint="eastAsia" w:ascii="宋体" w:hAnsi="宋体" w:eastAsia="宋体" w:cs="宋体"/>
          <w:bCs/>
          <w:color w:val="000000" w:themeColor="text1"/>
          <w:kern w:val="0"/>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说明：</w:t>
      </w: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1.投诉人是法人的，投诉书必须由其法定代表人或者授权代表签字并盖章；其他组织或者自然人提出投诉的，投诉书必须由其主要负责人或者投诉提起人本人签字，并附有效身份证明复印件。</w:t>
      </w: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 投诉人可以自己直接提交投诉书，也可以委托代理人办理投诉事务。代理人办理投诉事务时，应当将授权委托书连同投诉书一并提交给招标人。授权委托书应当明确有关委托代理权限和事项。</w:t>
      </w: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3.为证明与投诉项目有利害关系，投标人以外的其他投诉人应当提供相应证明材料：</w:t>
      </w:r>
    </w:p>
    <w:p>
      <w:pPr>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bookmarkStart w:id="324" w:name="_Toc30643"/>
      <w:bookmarkStart w:id="325" w:name="_Toc24280"/>
      <w:bookmarkStart w:id="326" w:name="_Toc10641"/>
      <w:bookmarkStart w:id="327" w:name="_Toc3148"/>
      <w:r>
        <w:rPr>
          <w:rFonts w:hint="eastAsia" w:ascii="宋体" w:hAnsi="宋体" w:eastAsia="宋体" w:cs="宋体"/>
          <w:color w:val="000000" w:themeColor="text1"/>
          <w:sz w:val="24"/>
          <w:highlight w:val="none"/>
          <w14:textFill>
            <w14:solidFill>
              <w14:schemeClr w14:val="tx1"/>
            </w14:solidFill>
          </w14:textFill>
        </w:rPr>
        <w:t>（1）属潜在投标人的，提交符合法定有关资格要求的证明文件；</w:t>
      </w:r>
      <w:bookmarkEnd w:id="324"/>
      <w:bookmarkEnd w:id="325"/>
      <w:bookmarkEnd w:id="326"/>
      <w:bookmarkEnd w:id="327"/>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（2）属特定分包人或者供应商的，提交证明其与该项目投标人绑定投标的附条件生效协议以及能证明其能履行该协议项下的合同义务的能力的证明文件。</w:t>
      </w:r>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328" w:name="_Toc18574"/>
      <w:bookmarkStart w:id="329" w:name="_Toc17545"/>
      <w:bookmarkStart w:id="330" w:name="_Toc25747"/>
      <w:bookmarkStart w:id="331" w:name="_Toc11144"/>
      <w:r>
        <w:rPr>
          <w:rFonts w:hint="eastAsia" w:ascii="宋体" w:hAnsi="宋体" w:eastAsia="宋体" w:cs="宋体"/>
          <w:color w:val="000000" w:themeColor="text1"/>
          <w:sz w:val="24"/>
          <w:highlight w:val="none"/>
          <w14:textFill>
            <w14:solidFill>
              <w14:schemeClr w14:val="tx1"/>
            </w14:solidFill>
          </w14:textFill>
        </w:rPr>
        <w:t>（3）可证明与投诉项目有利害关系的其他证明文件。</w:t>
      </w:r>
      <w:r>
        <w:rPr>
          <w:rFonts w:hint="eastAsia" w:ascii="宋体" w:hAnsi="宋体" w:eastAsia="宋体" w:cs="宋体"/>
          <w:color w:val="000000" w:themeColor="text1"/>
          <w:sz w:val="32"/>
          <w:szCs w:val="27"/>
          <w:highlight w:val="none"/>
          <w14:textFill>
            <w14:solidFill>
              <w14:schemeClr w14:val="tx1"/>
            </w14:solidFill>
          </w14:textFill>
        </w:rPr>
        <w:br w:type="page"/>
      </w:r>
      <w:bookmarkEnd w:id="328"/>
      <w:bookmarkEnd w:id="329"/>
      <w:bookmarkEnd w:id="330"/>
      <w:bookmarkEnd w:id="331"/>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332" w:name="_Toc17454877"/>
      <w:bookmarkStart w:id="333" w:name="_Toc17556937"/>
      <w:bookmarkStart w:id="334" w:name="_Toc31933"/>
      <w:bookmarkStart w:id="335" w:name="_Toc17452670"/>
      <w:bookmarkStart w:id="336" w:name="_Toc17454928"/>
      <w:bookmarkStart w:id="337" w:name="_Toc17451584"/>
      <w:bookmarkStart w:id="338" w:name="_Toc18709"/>
      <w:bookmarkStart w:id="339" w:name="_Toc17451629"/>
      <w:bookmarkStart w:id="340" w:name="_Toc17556882"/>
      <w:bookmarkStart w:id="341" w:name="_Toc17451107"/>
      <w:bookmarkStart w:id="342" w:name="_Toc19390"/>
      <w:bookmarkStart w:id="343" w:name="_Toc27274"/>
      <w:bookmarkStart w:id="344" w:name="_Toc13838"/>
      <w:bookmarkStart w:id="345" w:name="_Toc13141"/>
      <w:r>
        <w:rPr>
          <w:rFonts w:hint="eastAsia" w:ascii="宋体" w:hAnsi="宋体" w:eastAsia="宋体" w:cs="宋体"/>
          <w:color w:val="000000" w:themeColor="text1"/>
          <w:sz w:val="32"/>
          <w:szCs w:val="27"/>
          <w:highlight w:val="none"/>
          <w14:textFill>
            <w14:solidFill>
              <w14:schemeClr w14:val="tx1"/>
            </w14:solidFill>
          </w14:textFill>
        </w:rPr>
        <w:t>第三章 评标及定标办法</w:t>
      </w:r>
      <w:bookmarkEnd w:id="317"/>
      <w:bookmarkEnd w:id="31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346" w:name="_Toc16904"/>
      <w:bookmarkStart w:id="347" w:name="_Toc5354"/>
      <w:bookmarkStart w:id="348" w:name="_Toc24661"/>
      <w:bookmarkStart w:id="349" w:name="_Toc11978"/>
      <w:bookmarkStart w:id="350" w:name="_Toc17454878"/>
      <w:bookmarkStart w:id="351" w:name="_Toc17556938"/>
      <w:bookmarkStart w:id="352" w:name="_Toc17451630"/>
      <w:bookmarkStart w:id="353" w:name="_Toc17451108"/>
      <w:bookmarkStart w:id="354" w:name="_Toc17556883"/>
      <w:bookmarkStart w:id="355" w:name="_Toc17451585"/>
      <w:bookmarkStart w:id="356" w:name="_Toc262229169"/>
      <w:bookmarkStart w:id="357" w:name="_Toc17454929"/>
      <w:bookmarkStart w:id="358" w:name="_Toc155150493"/>
      <w:bookmarkStart w:id="359" w:name="_Toc17452671"/>
      <w:bookmarkStart w:id="360" w:name="_Toc27540"/>
      <w:bookmarkStart w:id="361" w:name="_Toc14901"/>
      <w:r>
        <w:rPr>
          <w:rFonts w:hint="eastAsia" w:ascii="宋体" w:hAnsi="宋体" w:eastAsia="宋体" w:cs="宋体"/>
          <w:color w:val="000000" w:themeColor="text1"/>
          <w:sz w:val="28"/>
          <w:szCs w:val="27"/>
          <w:highlight w:val="none"/>
          <w14:textFill>
            <w14:solidFill>
              <w14:schemeClr w14:val="tx1"/>
            </w14:solidFill>
          </w14:textFill>
        </w:rPr>
        <w:t>一、评标及定标办法修改表</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38"/>
        <w:spacing w:after="0" w:line="360" w:lineRule="auto"/>
        <w:rPr>
          <w:rFonts w:hint="eastAsia" w:ascii="宋体" w:hAnsi="宋体" w:eastAsia="宋体" w:cs="宋体"/>
          <w:b/>
          <w:color w:val="000000" w:themeColor="text1"/>
          <w:sz w:val="24"/>
          <w:szCs w:val="2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本修改表是对评标及定标办法</w:t>
      </w:r>
      <w:r>
        <w:rPr>
          <w:rFonts w:hint="eastAsia" w:ascii="宋体" w:hAnsi="宋体" w:eastAsia="宋体" w:cs="宋体"/>
          <w:b/>
          <w:color w:val="000000" w:themeColor="text1"/>
          <w:sz w:val="24"/>
          <w:szCs w:val="21"/>
          <w:highlight w:val="none"/>
          <w14:textFill>
            <w14:solidFill>
              <w14:schemeClr w14:val="tx1"/>
            </w14:solidFill>
          </w14:textFill>
        </w:rPr>
        <w:t>通用条款的修改，与该通用条款不同之处，均在本表中列明，并以现文为准，原文不再有效。</w:t>
      </w:r>
    </w:p>
    <w:p>
      <w:pPr>
        <w:spacing w:line="46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条款号：方法二、方法三、方法四      修改类型：删除</w:t>
      </w:r>
    </w:p>
    <w:p>
      <w:pPr>
        <w:pBdr>
          <w:bottom w:val="single" w:color="auto" w:sz="6" w:space="1"/>
        </w:pBdr>
        <w:spacing w:line="460" w:lineRule="exact"/>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原文：方法二、方法三、方法四 全文删除</w:t>
      </w:r>
    </w:p>
    <w:p>
      <w:pPr>
        <w:pBdr>
          <w:top w:val="single" w:color="auto" w:sz="4" w:space="0"/>
        </w:pBdr>
        <w:spacing w:line="480" w:lineRule="auto"/>
        <w:ind w:firstLine="540" w:firstLineChars="224"/>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条款号：2.2.3          修改类型：修改</w:t>
      </w:r>
    </w:p>
    <w:p>
      <w:p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szCs w:val="24"/>
          <w:highlight w:val="none"/>
          <w14:textFill>
            <w14:solidFill>
              <w14:schemeClr w14:val="tx1"/>
            </w14:solidFill>
          </w14:textFill>
        </w:rPr>
        <w:t>2.2.3 评标基准价计算</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评标基准价可按以下方式确定（招标人以下两种方式任选一）：</w:t>
      </w:r>
    </w:p>
    <w:p>
      <w:p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14:textFill>
            <w14:solidFill>
              <w14:schemeClr w14:val="tx1"/>
            </w14:solidFill>
          </w14:textFill>
        </w:rPr>
        <w:t>2.2.3 评标基准价计算</w:t>
      </w:r>
    </w:p>
    <w:p>
      <w:pPr>
        <w:pBdr>
          <w:bottom w:val="single" w:color="auto" w:sz="6" w:space="1"/>
        </w:pBdr>
        <w:spacing w:line="48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评标基准价可按以下方式确定：</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本项目采用方式一  </w:t>
      </w:r>
    </w:p>
    <w:p>
      <w:pPr>
        <w:pBdr>
          <w:top w:val="single" w:color="auto" w:sz="4" w:space="0"/>
        </w:pBdr>
        <w:spacing w:line="36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条款号：3.1.2（4）             修改类型：增加</w:t>
      </w:r>
    </w:p>
    <w:p>
      <w:pPr>
        <w:pBdr>
          <w:bottom w:val="single" w:color="auto" w:sz="6" w:space="1"/>
        </w:pBdr>
        <w:spacing w:line="36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现文：两个（含两个）以上投标人加密打包投标文件工程量清单编制机器硬件信息一致。</w:t>
      </w:r>
    </w:p>
    <w:p>
      <w:pPr>
        <w:pBdr>
          <w:top w:val="single" w:color="auto" w:sz="4" w:space="0"/>
        </w:pBdr>
        <w:spacing w:line="480" w:lineRule="auto"/>
        <w:ind w:firstLine="540" w:firstLineChars="224"/>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条款号：3.2.3          修改类型：修改</w:t>
      </w:r>
    </w:p>
    <w:p>
      <w:pPr>
        <w:spacing w:line="360" w:lineRule="auto"/>
        <w:ind w:firstLine="540" w:firstLineChars="224"/>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szCs w:val="24"/>
          <w:highlight w:val="none"/>
          <w14:textFill>
            <w14:solidFill>
              <w14:schemeClr w14:val="tx1"/>
            </w14:solidFill>
          </w14:textFill>
        </w:rPr>
        <w:t>投标人的得分为技术部分得分、商务部分得分、投标报价得分和诚信得分之和。评标委员会应按照得分从高至低的顺序，确定得分前三名的投标人为第一中标候选人、第二中标候选人和第三中标候选人。当中标候选人得分相同时，按投标报价由低至高的顺序确定排名；当得分和投标报价均相同时，以记名投票表决等其他可行的方式确定排序。计分采用百分制，得分计算方法：评标总得分=技术部分得分（A）×得分权重+商务部分得分（B）×得分权重+投标报价得分(C) ×得分权重+诚信评价分（D）×得分权重。</w:t>
      </w:r>
    </w:p>
    <w:p>
      <w:p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14:textFill>
            <w14:solidFill>
              <w14:schemeClr w14:val="tx1"/>
            </w14:solidFill>
          </w14:textFill>
        </w:rPr>
        <w:t>投标人的得分为技术部分得分、商务部分得分、投标报价得分之和。评标委员会应按照得分从高至低的顺序，确定得分前三名的投标人为第一中标候选人、第二中标候选人和第三中标候选人。当中标候选人得分相同时，按投标报价由低至高的顺序确定排名；当得分和投标报价均相同时，以记名投票表决等其他可行的方式确定排序。计分采用百分制，得分计算方法：</w:t>
      </w:r>
      <w:r>
        <w:rPr>
          <w:rFonts w:hint="eastAsia" w:ascii="宋体" w:hAnsi="宋体" w:eastAsia="宋体" w:cs="宋体"/>
          <w:color w:val="000000" w:themeColor="text1"/>
          <w:sz w:val="24"/>
          <w:szCs w:val="24"/>
          <w:highlight w:val="none"/>
          <w:u w:val="single"/>
          <w14:textFill>
            <w14:solidFill>
              <w14:schemeClr w14:val="tx1"/>
            </w14:solidFill>
          </w14:textFill>
        </w:rPr>
        <w:t>评标总得分=技术部分得分（A）+商务部分得分（B）+投标报价得分(C)。</w:t>
      </w:r>
    </w:p>
    <w:p>
      <w:pPr>
        <w:pBdr>
          <w:top w:val="single" w:color="auto" w:sz="4" w:space="0"/>
        </w:pBdr>
        <w:spacing w:line="480" w:lineRule="auto"/>
        <w:ind w:firstLine="537" w:firstLineChars="22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条款号：4.诚信评价分             修改类型：删除</w:t>
      </w:r>
    </w:p>
    <w:p>
      <w:pPr>
        <w:ind w:firstLine="537" w:firstLineChars="224"/>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原文：4.1</w:t>
      </w:r>
      <w:r>
        <w:rPr>
          <w:rFonts w:hint="eastAsia" w:ascii="宋体" w:hAnsi="宋体" w:eastAsia="宋体" w:cs="宋体"/>
          <w:color w:val="000000" w:themeColor="text1"/>
          <w:kern w:val="0"/>
          <w:sz w:val="24"/>
          <w:szCs w:val="24"/>
          <w:highlight w:val="none"/>
          <w14:textFill>
            <w14:solidFill>
              <w14:schemeClr w14:val="tx1"/>
            </w14:solidFill>
          </w14:textFill>
        </w:rPr>
        <w:t>投标人诚信评价分取自本项目招标公告第1天所在季度的上一季度广州市水务工程企业信息库及诚信中心网站（</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"http://121.8.226.19/gzswcx/index.jsp"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kern w:val="0"/>
          <w:sz w:val="24"/>
          <w:szCs w:val="24"/>
          <w:highlight w:val="none"/>
          <w14:textFill>
            <w14:solidFill>
              <w14:schemeClr w14:val="tx1"/>
            </w14:solidFill>
          </w14:textFill>
        </w:rPr>
        <w:t>http://121.8.226.19/gzswcx/index.jsp</w:t>
      </w:r>
      <w:r>
        <w:rPr>
          <w:rFonts w:hint="eastAsia" w:ascii="宋体" w:hAnsi="宋体" w:eastAsia="宋体" w:cs="宋体"/>
          <w:color w:val="000000" w:themeColor="text1"/>
          <w:kern w:val="0"/>
          <w:sz w:val="24"/>
          <w:szCs w:val="24"/>
          <w:highlight w:val="none"/>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14:textFill>
            <w14:solidFill>
              <w14:schemeClr w14:val="tx1"/>
            </w14:solidFill>
          </w14:textFill>
        </w:rPr>
        <w:t>）中的“诚信排名&gt;&gt;施工—给排水(或水利)”中“诚信综合评价”分，未入库企业或在广州市水务工程企业信息库及诚信中心网中尚无诚信排名“施工－给排水（或水利）”得分的投标人，其诚信评价分按40分计算。</w:t>
      </w:r>
    </w:p>
    <w:p>
      <w:pPr>
        <w:ind w:firstLine="537" w:firstLineChars="224"/>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4.2两个或者两个以上水务建设市场主体组成联合体投标时，按联合体中诚信评价得分低的市场主体作为联合体的诚信评价得分。</w:t>
      </w:r>
    </w:p>
    <w:p>
      <w:pPr>
        <w:pBdr>
          <w:top w:val="single" w:color="auto" w:sz="4" w:space="0"/>
        </w:pBd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注：以上修改，仅限于本范本中有可供选择条款的情形。</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（以下无正文）</w:t>
      </w:r>
    </w:p>
    <w:p>
      <w:pPr>
        <w:widowControl/>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362" w:name="_Toc7809"/>
      <w:bookmarkStart w:id="363" w:name="_Toc17451109"/>
      <w:bookmarkStart w:id="364" w:name="_Toc17454930"/>
      <w:bookmarkStart w:id="365" w:name="_Toc17452672"/>
      <w:bookmarkStart w:id="366" w:name="_Toc27325"/>
      <w:bookmarkStart w:id="367" w:name="_Toc17556884"/>
      <w:bookmarkStart w:id="368" w:name="_Toc16148"/>
      <w:bookmarkStart w:id="369" w:name="_Toc17454879"/>
      <w:bookmarkStart w:id="370" w:name="_Toc17952"/>
      <w:bookmarkStart w:id="371" w:name="_Toc17556939"/>
      <w:bookmarkStart w:id="372" w:name="_Toc17671"/>
      <w:bookmarkStart w:id="373" w:name="_Toc17430"/>
      <w:bookmarkStart w:id="374" w:name="_Toc17451631"/>
      <w:bookmarkStart w:id="375" w:name="_Toc17451586"/>
      <w:r>
        <w:rPr>
          <w:rFonts w:hint="eastAsia" w:ascii="宋体" w:hAnsi="宋体" w:eastAsia="宋体" w:cs="宋体"/>
          <w:color w:val="000000" w:themeColor="text1"/>
          <w:sz w:val="28"/>
          <w:szCs w:val="27"/>
          <w:highlight w:val="none"/>
          <w14:textFill>
            <w14:solidFill>
              <w14:schemeClr w14:val="tx1"/>
            </w14:solidFill>
          </w14:textFill>
        </w:rPr>
        <w:t>二、评标及定标办法通用条款</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376" w:name="_Toc17451110"/>
      <w:bookmarkStart w:id="377" w:name="_Toc17451632"/>
      <w:bookmarkStart w:id="378" w:name="_Toc17451587"/>
      <w:bookmarkStart w:id="379" w:name="_Toc17452673"/>
      <w:bookmarkStart w:id="380" w:name="_Toc17454880"/>
      <w:bookmarkStart w:id="381" w:name="_Toc17454931"/>
      <w:bookmarkStart w:id="382" w:name="_Toc3767"/>
      <w:bookmarkStart w:id="383" w:name="_Toc17556940"/>
      <w:bookmarkStart w:id="384" w:name="_Toc6506"/>
      <w:bookmarkStart w:id="385" w:name="_Toc17556885"/>
      <w:bookmarkStart w:id="386" w:name="_Toc28838"/>
      <w:bookmarkStart w:id="387" w:name="_Toc3289"/>
      <w:bookmarkStart w:id="388" w:name="_Toc15741"/>
      <w:bookmarkStart w:id="389" w:name="_Toc14987"/>
      <w:r>
        <w:rPr>
          <w:rFonts w:hint="eastAsia" w:ascii="宋体" w:hAnsi="宋体" w:eastAsia="宋体" w:cs="宋体"/>
          <w:color w:val="000000" w:themeColor="text1"/>
          <w:sz w:val="28"/>
          <w:szCs w:val="27"/>
          <w:highlight w:val="none"/>
          <w14:textFill>
            <w14:solidFill>
              <w14:schemeClr w14:val="tx1"/>
            </w14:solidFill>
          </w14:textFill>
        </w:rPr>
        <w:t>方法一：</w:t>
      </w:r>
      <w:bookmarkEnd w:id="376"/>
      <w:bookmarkEnd w:id="377"/>
      <w:bookmarkEnd w:id="378"/>
      <w:bookmarkEnd w:id="379"/>
      <w:r>
        <w:rPr>
          <w:rFonts w:hint="eastAsia" w:ascii="宋体" w:hAnsi="宋体" w:eastAsia="宋体" w:cs="宋体"/>
          <w:color w:val="000000" w:themeColor="text1"/>
          <w:sz w:val="28"/>
          <w:szCs w:val="27"/>
          <w:highlight w:val="none"/>
          <w14:textFill>
            <w14:solidFill>
              <w14:schemeClr w14:val="tx1"/>
            </w14:solidFill>
          </w14:textFill>
        </w:rPr>
        <w:t>综合评估法</w:t>
      </w:r>
      <w:bookmarkEnd w:id="380"/>
      <w:r>
        <w:rPr>
          <w:rFonts w:hint="eastAsia" w:ascii="宋体" w:hAnsi="宋体" w:eastAsia="宋体" w:cs="宋体"/>
          <w:color w:val="000000" w:themeColor="text1"/>
          <w:sz w:val="28"/>
          <w:szCs w:val="27"/>
          <w:highlight w:val="none"/>
          <w14:textFill>
            <w14:solidFill>
              <w14:schemeClr w14:val="tx1"/>
            </w14:solidFill>
          </w14:textFill>
        </w:rPr>
        <w:t>一</w:t>
      </w:r>
      <w:bookmarkEnd w:id="381"/>
      <w:bookmarkEnd w:id="382"/>
      <w:bookmarkEnd w:id="383"/>
      <w:bookmarkEnd w:id="384"/>
      <w:bookmarkEnd w:id="385"/>
      <w:bookmarkEnd w:id="386"/>
      <w:bookmarkEnd w:id="387"/>
      <w:bookmarkEnd w:id="388"/>
      <w:bookmarkEnd w:id="389"/>
    </w:p>
    <w:p>
      <w:pPr>
        <w:spacing w:line="360" w:lineRule="auto"/>
        <w:jc w:val="center"/>
        <w:rPr>
          <w:rFonts w:hint="eastAsia" w:ascii="宋体" w:hAnsi="宋体" w:eastAsia="宋体" w:cs="宋体"/>
          <w:b/>
          <w:color w:val="000000" w:themeColor="text1"/>
          <w:sz w:val="28"/>
          <w:highlight w:val="none"/>
          <w14:textFill>
            <w14:solidFill>
              <w14:schemeClr w14:val="tx1"/>
            </w14:solidFill>
          </w14:textFill>
        </w:rPr>
      </w:pPr>
      <w:bookmarkStart w:id="390" w:name="_Toc144974566"/>
      <w:bookmarkStart w:id="391" w:name="_Toc152045599"/>
      <w:bookmarkStart w:id="392" w:name="_Toc152042376"/>
      <w:bookmarkStart w:id="393" w:name="_Toc179632617"/>
      <w:r>
        <w:rPr>
          <w:rFonts w:hint="eastAsia" w:ascii="宋体" w:hAnsi="宋体" w:eastAsia="宋体" w:cs="宋体"/>
          <w:b/>
          <w:color w:val="000000" w:themeColor="text1"/>
          <w:sz w:val="28"/>
          <w:highlight w:val="none"/>
          <w14:textFill>
            <w14:solidFill>
              <w14:schemeClr w14:val="tx1"/>
            </w14:solidFill>
          </w14:textFill>
        </w:rPr>
        <w:t>评标办法前附表</w:t>
      </w:r>
      <w:bookmarkEnd w:id="390"/>
      <w:bookmarkEnd w:id="391"/>
      <w:bookmarkEnd w:id="392"/>
      <w:bookmarkEnd w:id="393"/>
    </w:p>
    <w:tbl>
      <w:tblPr>
        <w:tblStyle w:val="3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8"/>
        <w:gridCol w:w="984"/>
        <w:gridCol w:w="1537"/>
        <w:gridCol w:w="52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9" w:type="pct"/>
            <w:gridSpan w:val="2"/>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评审因素</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restart"/>
            <w:tcBorders>
              <w:top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2.1.1</w:t>
            </w:r>
          </w:p>
        </w:tc>
        <w:tc>
          <w:tcPr>
            <w:tcW w:w="576" w:type="pct"/>
            <w:vMerge w:val="restart"/>
            <w:tcBorders>
              <w:top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资格评审标准</w:t>
            </w:r>
            <w:r>
              <w:rPr>
                <w:rFonts w:hint="eastAsia" w:ascii="宋体" w:hAnsi="宋体" w:eastAsia="宋体" w:cs="宋体"/>
                <w:color w:val="000000" w:themeColor="text1"/>
                <w:sz w:val="18"/>
                <w:szCs w:val="18"/>
                <w:highlight w:val="none"/>
                <w14:textFill>
                  <w14:solidFill>
                    <w14:schemeClr w14:val="tx1"/>
                  </w14:solidFill>
                </w14:textFill>
              </w:rPr>
              <w:t>（营业执照、安全生产许可证、资质等级、项目负责人资格、安全员等信息取自交易中心信息库，其他在投标文件中提交）</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营业执照</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安全生产许可证</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具有有效的建设行政主管部门颁发的安全生产许可证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资质等级</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项目负责人资格</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符合第二章“投标人须知”第1.4.1项规定，且未被广州公共资源交易中心锁定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安全生产考核合格证</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项目负责人及专职安全员具备有效的符合第二章“投标人须知”第1.4.1项规定的行政主管部门颁发的安全生产考核合格证。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社保要求</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联合体投标人</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投标人声明</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投标人已按招标文件规定格式签署盖章的《投标人声明》，该声明必须由法定代表人或其委托代理人、项目负责人、技术负责人签字或签章及加盖单位公章。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投标人廉洁承诺书</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投标申请人须在投标文件中按招标文件要求提交签署盖章的《投标人廉洁承诺书》。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432" w:type="pct"/>
            <w:vMerge w:val="restart"/>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2.1.2</w:t>
            </w:r>
          </w:p>
        </w:tc>
        <w:tc>
          <w:tcPr>
            <w:tcW w:w="576" w:type="pct"/>
            <w:vMerge w:val="restart"/>
            <w:tcBorders>
              <w:top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形式评审标准</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trike/>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投标文件格式</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trike/>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符合第八章“投标文件格式”的要求。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top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投标函盖章</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要求盖章的，有加盖单位章。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top w:val="nil"/>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top w:val="nil"/>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投标文件机器码</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投标人与本项目其他投标人打包投标文件电脑机器特征码不一致（以广州公共交易平台评标系统的检索信息为准）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top w:val="nil"/>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top w:val="nil"/>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工程项清单编制码</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投标人与本项目其他投标人的投标文件工程量清单编制机器硬件信息不一致（以交易平台评标系统的检索信息为准）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top w:val="nil"/>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top w:val="nil"/>
              <w:bottom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报价唯一</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只能有一个有效报价（有效报价是指符合</w:t>
            </w:r>
            <w:r>
              <w:rPr>
                <w:rFonts w:hint="eastAsia" w:ascii="宋体" w:hAnsi="宋体" w:eastAsia="宋体" w:cs="宋体"/>
                <w:color w:val="000000" w:themeColor="text1"/>
                <w:highlight w:val="none"/>
                <w14:textFill>
                  <w14:solidFill>
                    <w14:schemeClr w14:val="tx1"/>
                  </w14:solidFill>
                </w14:textFill>
              </w:rPr>
              <w:t>第三章“评标及定标办法”</w:t>
            </w:r>
            <w:r>
              <w:rPr>
                <w:rFonts w:hint="eastAsia" w:ascii="宋体" w:hAnsi="宋体" w:eastAsia="宋体" w:cs="宋体"/>
                <w:color w:val="000000" w:themeColor="text1"/>
                <w:szCs w:val="21"/>
                <w:highlight w:val="none"/>
                <w14:textFill>
                  <w14:solidFill>
                    <w14:schemeClr w14:val="tx1"/>
                  </w14:solidFill>
                </w14:textFill>
              </w:rPr>
              <w:t>2.2.2规定的投标报价）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restart"/>
            <w:tcBorders>
              <w:top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2.1.3</w:t>
            </w:r>
          </w:p>
        </w:tc>
        <w:tc>
          <w:tcPr>
            <w:tcW w:w="576" w:type="pct"/>
            <w:vMerge w:val="restart"/>
            <w:tcBorders>
              <w:top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响应性评审标准</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符合第二章“投标人须知”第3.2.3项规定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计划工期</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工程质量</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投标保证金</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已标价工程量清单</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技术标准和要求</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符合七章“技术标准和要求”规定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实质性响应</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投标文件完全满足招标文件中带★条款的要求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9" w:type="pct"/>
            <w:gridSpan w:val="2"/>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条款内容</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9" w:type="pct"/>
            <w:gridSpan w:val="2"/>
            <w:tcBorders>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分值构成</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(总分100分)</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商务部分分值：</w:t>
            </w:r>
            <w:r>
              <w:rPr>
                <w:rFonts w:hint="eastAsia" w:ascii="宋体" w:hAnsi="宋体" w:eastAsia="宋体" w:cs="宋体"/>
                <w:color w:val="000000" w:themeColor="text1"/>
                <w:szCs w:val="21"/>
                <w:highlight w:val="none"/>
                <w:u w:val="single"/>
                <w14:textFill>
                  <w14:solidFill>
                    <w14:schemeClr w14:val="tx1"/>
                  </w14:solidFill>
                </w14:textFill>
              </w:rPr>
              <w:t>15分</w:t>
            </w:r>
          </w:p>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技术部分分值：</w:t>
            </w:r>
            <w:r>
              <w:rPr>
                <w:rFonts w:hint="eastAsia" w:ascii="宋体" w:hAnsi="宋体" w:eastAsia="宋体" w:cs="宋体"/>
                <w:color w:val="000000" w:themeColor="text1"/>
                <w:szCs w:val="21"/>
                <w:highlight w:val="none"/>
                <w:u w:val="single"/>
                <w14:textFill>
                  <w14:solidFill>
                    <w14:schemeClr w14:val="tx1"/>
                  </w14:solidFill>
                </w14:textFill>
              </w:rPr>
              <w:t>5分</w:t>
            </w:r>
          </w:p>
          <w:p>
            <w:pPr>
              <w:spacing w:line="36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w:t>
            </w:r>
            <w:r>
              <w:rPr>
                <w:rFonts w:hint="eastAsia" w:ascii="宋体" w:hAnsi="宋体" w:eastAsia="宋体" w:cs="宋体"/>
                <w:color w:val="000000" w:themeColor="text1"/>
                <w:szCs w:val="21"/>
                <w:highlight w:val="none"/>
                <w:lang w:val="en-US" w:eastAsia="zh-CN"/>
                <w14:textFill>
                  <w14:solidFill>
                    <w14:schemeClr w14:val="tx1"/>
                  </w14:solidFill>
                </w14:textFill>
              </w:rPr>
              <w:t>分值</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_80</w:t>
            </w:r>
            <w:r>
              <w:rPr>
                <w:rFonts w:hint="eastAsia" w:ascii="宋体" w:hAnsi="宋体" w:eastAsia="宋体" w:cs="宋体"/>
                <w:color w:val="000000" w:themeColor="text1"/>
                <w:szCs w:val="21"/>
                <w:highlight w:val="none"/>
                <w:u w:val="single"/>
                <w:lang w:val="en-US"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9" w:type="pct"/>
            <w:gridSpan w:val="2"/>
            <w:tcBorders>
              <w:top w:val="nil"/>
              <w:bottom w:val="single" w:color="auto" w:sz="4" w:space="0"/>
              <w:right w:val="single" w:color="auto" w:sz="4" w:space="0"/>
            </w:tcBorders>
            <w:vAlign w:val="center"/>
          </w:tcPr>
          <w:p>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901"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评分因素</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restart"/>
            <w:tcBorders>
              <w:top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2.2.5(1)</w:t>
            </w:r>
          </w:p>
        </w:tc>
        <w:tc>
          <w:tcPr>
            <w:tcW w:w="576" w:type="pct"/>
            <w:vMerge w:val="restart"/>
            <w:tcBorders>
              <w:top w:val="single" w:color="auto" w:sz="4" w:space="0"/>
              <w:right w:val="single" w:color="auto" w:sz="4" w:space="0"/>
            </w:tcBorders>
            <w:vAlign w:val="center"/>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技术部分（5分）</w:t>
            </w: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工程建设进度计划与措施</w:t>
            </w:r>
          </w:p>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工程建设进度计划满足招标文件要求，关键线路清晰、准确、完整，计划编制合理、可行，关键节点的控制措施合理，按编制内容酌情打分；无措施的不得分。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【优】得（1分），【良】得（0.6分），【一般】得（0.2分）。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安全管理体系与措施</w:t>
            </w:r>
          </w:p>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有健全的文明、安全施工保证体系，承诺不发生等级安全事故，安全措施实施方案明确、具体、可行；按编制内容酌情打分；无措施的不得分。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【优】得（1分），【良】得（0.6分），【一般】得（0.2分）。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拟供产品质量保证（1分）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拟供的控制系统通过了G3防腐认证的得1分，没有的不得分。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注：提供相应的认证证书。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质保及售后服务（1分）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投标人结合项目需求，对项目售后服务时响应性等进行评价；并在投标文件中阐述其售后服务及时响应性方案及提供相关证明，横向比较：</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（1）优1分：方案全面合理可行、响应时间快，能够快速满足项目服务需求。</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（2）良0.6分：方案合理可行、响应时间较快、能够满足项目服务需求。</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（3）一般0.2分：方案基本可行；响应时间一般，一般满足项目服务需求。</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注：投标文件中须提供服务处所房产证（或租赁合同）和营业执照（含分公司、售后服务机构或维保机构）复印件加盖公章，未按要求提供、没有响应、没相关阐述的不得分。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施工技术方案（1分）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投标人需针对各改造厂区涉及改造的设备提交具体的改造更换保障方案及施工方法措施，避免在更换过程中对生产造成影响，经专家评审：</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优秀方案得1分；良好方案得0.6分；中等方案得 0.2分；无提供方案或其它情况不得分。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本项满分为 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432" w:type="pct"/>
            <w:vMerge w:val="restart"/>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2.2.5(2)</w:t>
            </w:r>
          </w:p>
        </w:tc>
        <w:tc>
          <w:tcPr>
            <w:tcW w:w="576" w:type="pct"/>
            <w:vMerge w:val="restart"/>
            <w:tcBorders>
              <w:top w:val="single" w:color="auto" w:sz="4" w:space="0"/>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商务部分（15分）</w:t>
            </w: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 w:val="21"/>
                <w:szCs w:val="21"/>
                <w:highlight w:val="none"/>
                <w14:textFill>
                  <w14:solidFill>
                    <w14:schemeClr w14:val="tx1"/>
                  </w14:solidFill>
                </w14:textFill>
              </w:rPr>
            </w:pPr>
          </w:p>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项目管理团队主要人员（</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担任本项目的项目负责人具有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机电类专业</w:t>
            </w:r>
            <w:r>
              <w:rPr>
                <w:rFonts w:hint="eastAsia" w:ascii="宋体" w:hAnsi="宋体" w:eastAsia="宋体" w:cs="宋体"/>
                <w:color w:val="000000" w:themeColor="text1"/>
                <w:sz w:val="21"/>
                <w:szCs w:val="21"/>
                <w:highlight w:val="none"/>
                <w14:textFill>
                  <w14:solidFill>
                    <w14:schemeClr w14:val="tx1"/>
                  </w14:solidFill>
                </w14:textFill>
              </w:rPr>
              <w:t>高级</w:t>
            </w:r>
            <w:r>
              <w:rPr>
                <w:rFonts w:hint="eastAsia" w:ascii="宋体" w:hAnsi="宋体" w:eastAsia="宋体" w:cs="宋体"/>
                <w:color w:val="000000" w:themeColor="text1"/>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sz w:val="21"/>
                <w:szCs w:val="21"/>
                <w:highlight w:val="none"/>
                <w14:textFill>
                  <w14:solidFill>
                    <w14:schemeClr w14:val="tx1"/>
                  </w14:solidFill>
                </w14:textFill>
              </w:rPr>
              <w:t>以上技术职称的得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机电类专业中</w:t>
            </w:r>
            <w:r>
              <w:rPr>
                <w:rFonts w:hint="eastAsia" w:ascii="宋体" w:hAnsi="宋体" w:eastAsia="宋体" w:cs="宋体"/>
                <w:color w:val="000000" w:themeColor="text1"/>
                <w:sz w:val="21"/>
                <w:szCs w:val="21"/>
                <w:highlight w:val="none"/>
                <w14:textFill>
                  <w14:solidFill>
                    <w14:schemeClr w14:val="tx1"/>
                  </w14:solidFill>
                </w14:textFill>
              </w:rPr>
              <w:t>级技术职称的得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spacing w:line="34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2、担任本项目的</w:t>
            </w:r>
            <w:r>
              <w:rPr>
                <w:rFonts w:hint="eastAsia" w:ascii="宋体" w:hAnsi="宋体" w:eastAsia="宋体" w:cs="宋体"/>
                <w:color w:val="000000" w:themeColor="text1"/>
                <w:sz w:val="21"/>
                <w:szCs w:val="21"/>
                <w:highlight w:val="none"/>
                <w14:textFill>
                  <w14:solidFill>
                    <w14:schemeClr w14:val="tx1"/>
                  </w14:solidFill>
                </w14:textFill>
              </w:rPr>
              <w:t>技术负责人具有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机电类专业</w:t>
            </w:r>
            <w:r>
              <w:rPr>
                <w:rFonts w:hint="eastAsia" w:ascii="宋体" w:hAnsi="宋体" w:eastAsia="宋体" w:cs="宋体"/>
                <w:color w:val="000000" w:themeColor="text1"/>
                <w:sz w:val="21"/>
                <w:szCs w:val="21"/>
                <w:highlight w:val="none"/>
                <w14:textFill>
                  <w14:solidFill>
                    <w14:schemeClr w14:val="tx1"/>
                  </w14:solidFill>
                </w14:textFill>
              </w:rPr>
              <w:t>高级</w:t>
            </w:r>
            <w:r>
              <w:rPr>
                <w:rFonts w:hint="eastAsia" w:ascii="宋体" w:hAnsi="宋体" w:eastAsia="宋体" w:cs="宋体"/>
                <w:color w:val="000000" w:themeColor="text1"/>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sz w:val="21"/>
                <w:szCs w:val="21"/>
                <w:highlight w:val="none"/>
                <w14:textFill>
                  <w14:solidFill>
                    <w14:schemeClr w14:val="tx1"/>
                  </w14:solidFill>
                </w14:textFill>
              </w:rPr>
              <w:t>以上技术职称证书的得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机电类专业中</w:t>
            </w:r>
            <w:r>
              <w:rPr>
                <w:rFonts w:hint="eastAsia" w:ascii="宋体" w:hAnsi="宋体" w:eastAsia="宋体" w:cs="宋体"/>
                <w:color w:val="000000" w:themeColor="text1"/>
                <w:sz w:val="21"/>
                <w:szCs w:val="21"/>
                <w:highlight w:val="none"/>
                <w14:textFill>
                  <w14:solidFill>
                    <w14:schemeClr w14:val="tx1"/>
                  </w14:solidFill>
                </w14:textFill>
              </w:rPr>
              <w:t>级技术职称的得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w:t>
            </w:r>
            <w:r>
              <w:rPr>
                <w:rFonts w:hint="eastAsia" w:ascii="宋体" w:hAnsi="宋体" w:eastAsia="宋体" w:cs="宋体"/>
                <w:color w:val="000000" w:themeColor="text1"/>
                <w:sz w:val="21"/>
                <w:szCs w:val="21"/>
                <w:highlight w:val="none"/>
                <w14:textFill>
                  <w14:solidFill>
                    <w14:schemeClr w14:val="tx1"/>
                  </w14:solidFill>
                </w14:textFill>
              </w:rPr>
              <w:t>本项最高得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所有人员均必须为本单位的正式员工，且必须具有离投标截止时间最近</w:t>
            </w:r>
            <w:r>
              <w:rPr>
                <w:rFonts w:hint="eastAsia" w:ascii="宋体" w:hAnsi="宋体" w:eastAsia="宋体" w:cs="宋体"/>
                <w:color w:val="000000" w:themeColor="text1"/>
                <w:sz w:val="21"/>
                <w:szCs w:val="21"/>
                <w:highlight w:val="none"/>
                <w:lang w:val="en-US" w:eastAsia="zh-CN"/>
                <w14:textFill>
                  <w14:solidFill>
                    <w14:schemeClr w14:val="tx1"/>
                  </w14:solidFill>
                </w14:textFill>
              </w:rPr>
              <w:t>一</w:t>
            </w:r>
            <w:r>
              <w:rPr>
                <w:rFonts w:hint="eastAsia" w:ascii="宋体" w:hAnsi="宋体" w:eastAsia="宋体" w:cs="宋体"/>
                <w:color w:val="000000" w:themeColor="text1"/>
                <w:sz w:val="21"/>
                <w:szCs w:val="21"/>
                <w:highlight w:val="none"/>
                <w14:textFill>
                  <w14:solidFill>
                    <w14:schemeClr w14:val="tx1"/>
                  </w14:solidFill>
                </w14:textFill>
              </w:rPr>
              <w:t>个月（时间为：2023年</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月）在本单位交纳的社保证明文件（以加盖社会保险基金管理中心印章的《投保单》或《社会保险参保人员证明》资料为准）。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投标人的业绩、类似工程经历（</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投标人自 20</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年1月1日以来完成过质量合格的金额大于或等于</w:t>
            </w:r>
            <w:r>
              <w:rPr>
                <w:rFonts w:hint="eastAsia" w:ascii="宋体" w:hAnsi="宋体" w:eastAsia="宋体" w:cs="宋体"/>
                <w:color w:val="000000" w:themeColor="text1"/>
                <w:sz w:val="21"/>
                <w:szCs w:val="21"/>
                <w:highlight w:val="none"/>
                <w:lang w:val="en-US" w:eastAsia="zh-CN"/>
                <w14:textFill>
                  <w14:solidFill>
                    <w14:schemeClr w14:val="tx1"/>
                  </w14:solidFill>
                </w14:textFill>
              </w:rPr>
              <w:t>500</w:t>
            </w:r>
            <w:r>
              <w:rPr>
                <w:rFonts w:hint="eastAsia" w:ascii="宋体" w:hAnsi="宋体" w:eastAsia="宋体" w:cs="宋体"/>
                <w:color w:val="000000" w:themeColor="text1"/>
                <w:sz w:val="21"/>
                <w:szCs w:val="21"/>
                <w:highlight w:val="none"/>
                <w14:textFill>
                  <w14:solidFill>
                    <w14:schemeClr w14:val="tx1"/>
                  </w14:solidFill>
                </w14:textFill>
              </w:rPr>
              <w:t>万元或以上</w:t>
            </w:r>
            <w:r>
              <w:rPr>
                <w:rFonts w:hint="eastAsia" w:ascii="宋体" w:hAnsi="宋体" w:eastAsia="宋体" w:cs="宋体"/>
                <w:color w:val="000000" w:themeColor="text1"/>
                <w:sz w:val="21"/>
                <w:szCs w:val="21"/>
                <w:highlight w:val="none"/>
                <w:lang w:val="en-US" w:eastAsia="zh-CN"/>
                <w14:textFill>
                  <w14:solidFill>
                    <w14:schemeClr w14:val="tx1"/>
                  </w14:solidFill>
                </w14:textFill>
              </w:rPr>
              <w:t>的相关</w:t>
            </w:r>
            <w:r>
              <w:rPr>
                <w:rFonts w:hint="eastAsia" w:ascii="宋体" w:hAnsi="宋体" w:eastAsia="宋体" w:cs="宋体"/>
                <w:color w:val="000000" w:themeColor="text1"/>
                <w:sz w:val="21"/>
                <w:szCs w:val="21"/>
                <w:highlight w:val="none"/>
                <w14:textFill>
                  <w14:solidFill>
                    <w14:schemeClr w14:val="tx1"/>
                  </w14:solidFill>
                </w14:textFill>
              </w:rPr>
              <w:t>自动化控制系统（自控系统）的项目，每提供一个得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r>
              <w:rPr>
                <w:rFonts w:hint="eastAsia" w:ascii="宋体" w:hAnsi="宋体" w:eastAsia="宋体" w:cs="宋体"/>
                <w:color w:val="000000" w:themeColor="text1"/>
                <w:sz w:val="21"/>
                <w:szCs w:val="21"/>
                <w:highlight w:val="none"/>
                <w14:textFill>
                  <w14:solidFill>
                    <w14:schemeClr w14:val="tx1"/>
                  </w14:solidFill>
                </w14:textFill>
              </w:rPr>
              <w:t>分，最高得2分。</w:t>
            </w:r>
            <w:r>
              <w:rPr>
                <w:rFonts w:hint="eastAsia" w:ascii="宋体" w:hAnsi="宋体" w:eastAsia="宋体" w:cs="宋体"/>
                <w:color w:val="000000" w:themeColor="text1"/>
                <w:sz w:val="21"/>
                <w:szCs w:val="21"/>
                <w:highlight w:val="none"/>
                <w:lang w:val="en-US" w:eastAsia="zh-CN"/>
                <w14:textFill>
                  <w14:solidFill>
                    <w14:schemeClr w14:val="tx1"/>
                  </w14:solidFill>
                </w14:textFill>
              </w:rPr>
              <w:t>注：时间以验收报告为准、金额以合同签订金额为准，业绩证明材料需同时提供：中标通知书及中标网页截图（如为非公开招标项目，须提供视同为中标通知书的相关资料，如发包通知书等）、合同复印件、验收报告等。</w:t>
            </w:r>
            <w:r>
              <w:rPr>
                <w:rFonts w:hint="eastAsia" w:ascii="宋体" w:hAnsi="宋体" w:eastAsia="宋体" w:cs="宋体"/>
                <w:color w:val="000000" w:themeColor="text1"/>
                <w:sz w:val="21"/>
                <w:szCs w:val="21"/>
                <w:highlight w:val="none"/>
                <w14:textFill>
                  <w14:solidFill>
                    <w14:schemeClr w14:val="tx1"/>
                  </w14:solidFill>
                </w14:textFill>
              </w:rPr>
              <w:t>不提供业绩资料不得分。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企业</w:t>
            </w:r>
            <w:r>
              <w:rPr>
                <w:rFonts w:hint="eastAsia" w:ascii="宋体" w:hAnsi="宋体" w:eastAsia="宋体" w:cs="宋体"/>
                <w:color w:val="000000" w:themeColor="text1"/>
                <w:sz w:val="21"/>
                <w:szCs w:val="21"/>
                <w:highlight w:val="none"/>
                <w14:textFill>
                  <w14:solidFill>
                    <w14:schemeClr w14:val="tx1"/>
                  </w14:solidFill>
                </w14:textFill>
              </w:rPr>
              <w:t>获奖情况（</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投标人自 20</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年1月1日以来获得</w:t>
            </w:r>
            <w:r>
              <w:rPr>
                <w:rFonts w:hint="eastAsia" w:ascii="宋体" w:hAnsi="宋体" w:eastAsia="宋体" w:cs="宋体"/>
                <w:color w:val="000000" w:themeColor="text1"/>
                <w:sz w:val="21"/>
                <w:szCs w:val="21"/>
                <w:highlight w:val="none"/>
                <w:lang w:val="en-US" w:eastAsia="zh-CN"/>
                <w14:textFill>
                  <w14:solidFill>
                    <w14:schemeClr w14:val="tx1"/>
                  </w14:solidFill>
                </w14:textFill>
              </w:rPr>
              <w:t>过</w:t>
            </w:r>
            <w:r>
              <w:rPr>
                <w:rFonts w:hint="eastAsia" w:ascii="宋体" w:hAnsi="宋体" w:eastAsia="宋体" w:cs="宋体"/>
                <w:color w:val="000000" w:themeColor="text1"/>
                <w:sz w:val="21"/>
                <w:szCs w:val="21"/>
                <w:highlight w:val="none"/>
                <w14:textFill>
                  <w14:solidFill>
                    <w14:schemeClr w14:val="tx1"/>
                  </w14:solidFill>
                </w14:textFill>
              </w:rPr>
              <w:t>政府颁发的科</w:t>
            </w:r>
            <w:r>
              <w:rPr>
                <w:rFonts w:hint="eastAsia" w:ascii="宋体" w:hAnsi="宋体" w:eastAsia="宋体" w:cs="宋体"/>
                <w:color w:val="000000" w:themeColor="text1"/>
                <w:sz w:val="21"/>
                <w:szCs w:val="21"/>
                <w:highlight w:val="none"/>
                <w:lang w:val="en-US" w:eastAsia="zh-CN"/>
                <w14:textFill>
                  <w14:solidFill>
                    <w14:schemeClr w14:val="tx1"/>
                  </w14:solidFill>
                </w14:textFill>
              </w:rPr>
              <w:t>学技术</w:t>
            </w:r>
            <w:r>
              <w:rPr>
                <w:rFonts w:hint="eastAsia" w:ascii="宋体" w:hAnsi="宋体" w:eastAsia="宋体" w:cs="宋体"/>
                <w:color w:val="000000" w:themeColor="text1"/>
                <w:sz w:val="21"/>
                <w:szCs w:val="21"/>
                <w:highlight w:val="none"/>
                <w14:textFill>
                  <w14:solidFill>
                    <w14:schemeClr w14:val="tx1"/>
                  </w14:solidFill>
                </w14:textFill>
              </w:rPr>
              <w:t>奖项</w:t>
            </w:r>
            <w:r>
              <w:rPr>
                <w:rFonts w:hint="eastAsia" w:ascii="宋体" w:hAnsi="宋体" w:eastAsia="宋体" w:cs="宋体"/>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省级或以上的得3分；市级的得2分，其他不得分。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 科学技术奖项包括：科学技术奖、自然科学奖、技术发明奖、科</w:t>
            </w:r>
            <w:r>
              <w:rPr>
                <w:rFonts w:hint="eastAsia" w:ascii="宋体" w:hAnsi="宋体" w:eastAsia="宋体" w:cs="宋体"/>
                <w:color w:val="000000" w:themeColor="text1"/>
                <w:sz w:val="21"/>
                <w:szCs w:val="21"/>
                <w:highlight w:val="none"/>
                <w:lang w:val="en-US" w:eastAsia="zh-CN"/>
                <w14:textFill>
                  <w14:solidFill>
                    <w14:schemeClr w14:val="tx1"/>
                  </w14:solidFill>
                </w14:textFill>
              </w:rPr>
              <w:t>学技术</w:t>
            </w:r>
            <w:r>
              <w:rPr>
                <w:rFonts w:hint="eastAsia" w:ascii="宋体" w:hAnsi="宋体" w:eastAsia="宋体" w:cs="宋体"/>
                <w:color w:val="000000" w:themeColor="text1"/>
                <w:sz w:val="21"/>
                <w:szCs w:val="21"/>
                <w:highlight w:val="none"/>
                <w14:textFill>
                  <w14:solidFill>
                    <w14:schemeClr w14:val="tx1"/>
                  </w14:solidFill>
                </w14:textFill>
              </w:rPr>
              <w:t>进步奖和科学技术合作奖。投标人需提供证书复印件，时间以证书时间为准。以上获奖证书须为国务院、省、市各级人民政府颁发，不包含政府所属各工作部门及各种学会或协会颁发的奖项，本项满分为 3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企业资信（3分）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以下证书的</w:t>
            </w:r>
            <w:r>
              <w:rPr>
                <w:rFonts w:hint="eastAsia" w:ascii="宋体" w:hAnsi="宋体" w:eastAsia="宋体" w:cs="宋体"/>
                <w:color w:val="000000" w:themeColor="text1"/>
                <w:sz w:val="21"/>
                <w:szCs w:val="21"/>
                <w:highlight w:val="none"/>
                <w14:textFill>
                  <w14:solidFill>
                    <w14:schemeClr w14:val="tx1"/>
                  </w14:solidFill>
                </w14:textFill>
              </w:rPr>
              <w:t>：</w:t>
            </w:r>
          </w:p>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质量管理体系认证证书（ISO9001）；</w:t>
            </w:r>
          </w:p>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环境管理体系认证证书（ISO14001)；</w:t>
            </w:r>
          </w:p>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职业健康安全管理体系认证证书(ISO45001)；；</w:t>
            </w:r>
          </w:p>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售后服务认证证书(GB/T27922)；</w:t>
            </w:r>
          </w:p>
          <w:p>
            <w:pPr>
              <w:spacing w:line="34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信息安全管理体系认证证书（ISO27001）</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信息安全服务资质认证证书（二级或以上）；</w:t>
            </w:r>
          </w:p>
          <w:p>
            <w:pPr>
              <w:spacing w:line="3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高新技术企业证书；</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以上证书全部提供得3分，每缺一个扣0.5分，扣完为止。（证书要求须在有效期内，投标人需提供证书复印件并加盖公章，否则不得分。)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32"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76" w:type="pct"/>
            <w:vMerge w:val="continue"/>
            <w:tcBorders>
              <w:right w:val="single" w:color="auto" w:sz="4" w:space="0"/>
            </w:tcBorders>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3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企业技术与安全管理能力（5分）</w:t>
            </w:r>
          </w:p>
        </w:tc>
        <w:tc>
          <w:tcPr>
            <w:tcW w:w="526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1、投标人通过CMMI认证(软件能力成熟度集成模型) 5级得2分，4级得1.5分，3级得1分，2级或以下的0.5分;没有不得分。</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2、投标人具有信息系统建设和服务能力等级证书，能力达到CS4或以上得2分；能力达到CS3得1.5分；能力达到CS2得1分；达到CS1得0.5分；其他不得分。</w:t>
            </w:r>
          </w:p>
          <w:p>
            <w:pPr>
              <w:spacing w:line="34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3、投标人具有省级或以上行政主管部门颁发的安全生产标准化企业证书的得1分;具有市级行政主管部门颁发的安全生产标准化企业证书的得0.5分。</w:t>
            </w:r>
          </w:p>
          <w:p>
            <w:pPr>
              <w:spacing w:line="34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注：所提供相关证书，证书在有效期内，且加盖单位公章，否则不得分。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43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2.2.5（3）</w:t>
            </w:r>
          </w:p>
        </w:tc>
        <w:tc>
          <w:tcPr>
            <w:tcW w:w="1478" w:type="pct"/>
            <w:gridSpan w:val="2"/>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投标报价评审（</w:t>
            </w:r>
            <w:r>
              <w:rPr>
                <w:rFonts w:hint="eastAsia" w:ascii="宋体" w:hAnsi="宋体" w:eastAsia="宋体" w:cs="宋体"/>
                <w:color w:val="000000" w:themeColor="text1"/>
                <w:szCs w:val="21"/>
                <w:highlight w:val="none"/>
                <w:lang w:val="en-US" w:eastAsia="zh-CN"/>
                <w14:textFill>
                  <w14:solidFill>
                    <w14:schemeClr w14:val="tx1"/>
                  </w14:solidFill>
                </w14:textFill>
              </w:rPr>
              <w:t>80分</w:t>
            </w:r>
            <w:r>
              <w:rPr>
                <w:rFonts w:hint="eastAsia" w:ascii="宋体" w:hAnsi="宋体" w:eastAsia="宋体" w:cs="宋体"/>
                <w:color w:val="000000" w:themeColor="text1"/>
                <w:szCs w:val="21"/>
                <w:highlight w:val="none"/>
                <w14:textFill>
                  <w14:solidFill>
                    <w14:schemeClr w14:val="tx1"/>
                  </w14:solidFill>
                </w14:textFill>
              </w:rPr>
              <w:t>）</w:t>
            </w:r>
          </w:p>
        </w:tc>
        <w:tc>
          <w:tcPr>
            <w:tcW w:w="308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投标报价等于评标基准价的得</w:t>
            </w:r>
            <w:r>
              <w:rPr>
                <w:rFonts w:hint="eastAsia" w:ascii="宋体" w:hAnsi="宋体" w:eastAsia="宋体" w:cs="宋体"/>
                <w:color w:val="000000" w:themeColor="text1"/>
                <w:szCs w:val="21"/>
                <w:highlight w:val="none"/>
                <w:lang w:val="en-US" w:eastAsia="zh-CN"/>
                <w14:textFill>
                  <w14:solidFill>
                    <w14:schemeClr w14:val="tx1"/>
                  </w14:solidFill>
                </w14:textFill>
              </w:rPr>
              <w:t>80</w:t>
            </w:r>
            <w:r>
              <w:rPr>
                <w:rFonts w:hint="eastAsia" w:ascii="宋体" w:hAnsi="宋体" w:eastAsia="宋体" w:cs="宋体"/>
                <w:color w:val="000000" w:themeColor="text1"/>
                <w:szCs w:val="21"/>
                <w:highlight w:val="none"/>
                <w14:textFill>
                  <w14:solidFill>
                    <w14:schemeClr w14:val="tx1"/>
                  </w14:solidFill>
                </w14:textFill>
              </w:rPr>
              <w:t>分，投标报价比评标基准价每高1%扣0.5分，每低1%扣0.3分，扣至0分为止。投标报价偏差率=（投标报价-评标基准价）/评标基准价×100%。</w:t>
            </w:r>
          </w:p>
        </w:tc>
      </w:tr>
    </w:tbl>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bookmarkStart w:id="394" w:name="_Toc152042377"/>
      <w:bookmarkStart w:id="395" w:name="_Toc179632618"/>
      <w:bookmarkStart w:id="396" w:name="_Toc144974567"/>
      <w:bookmarkStart w:id="397" w:name="_Toc152045600"/>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 评标方法</w:t>
      </w:r>
      <w:bookmarkEnd w:id="394"/>
      <w:bookmarkEnd w:id="395"/>
      <w:bookmarkEnd w:id="396"/>
      <w:bookmarkEnd w:id="39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bookmarkStart w:id="398" w:name="_Toc152045601"/>
      <w:bookmarkStart w:id="399" w:name="_Toc144974568"/>
      <w:bookmarkStart w:id="400" w:name="_Toc179632619"/>
      <w:bookmarkStart w:id="401" w:name="_Toc152042378"/>
      <w:r>
        <w:rPr>
          <w:rFonts w:hint="eastAsia" w:ascii="宋体" w:hAnsi="宋体" w:eastAsia="宋体" w:cs="宋体"/>
          <w:b/>
          <w:bCs/>
          <w:color w:val="000000" w:themeColor="text1"/>
          <w:sz w:val="24"/>
          <w:szCs w:val="24"/>
          <w:highlight w:val="none"/>
          <w14:textFill>
            <w14:solidFill>
              <w14:schemeClr w14:val="tx1"/>
            </w14:solidFill>
          </w14:textFill>
        </w:rPr>
        <w:t>2. 评审标准</w:t>
      </w:r>
      <w:bookmarkEnd w:id="398"/>
      <w:bookmarkEnd w:id="399"/>
      <w:bookmarkEnd w:id="400"/>
      <w:bookmarkEnd w:id="40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02" w:name="_Toc152042379"/>
      <w:bookmarkStart w:id="403" w:name="_Toc144974569"/>
      <w:bookmarkStart w:id="404" w:name="_Toc152045602"/>
      <w:bookmarkStart w:id="405" w:name="_Toc179632620"/>
      <w:r>
        <w:rPr>
          <w:rFonts w:hint="eastAsia" w:ascii="宋体" w:hAnsi="宋体" w:eastAsia="宋体" w:cs="宋体"/>
          <w:color w:val="000000" w:themeColor="text1"/>
          <w:sz w:val="24"/>
          <w:highlight w:val="none"/>
          <w14:textFill>
            <w14:solidFill>
              <w14:schemeClr w14:val="tx1"/>
            </w14:solidFill>
          </w14:textFill>
        </w:rPr>
        <w:t>2.1 初步评审标准</w:t>
      </w:r>
      <w:bookmarkEnd w:id="402"/>
      <w:bookmarkEnd w:id="403"/>
      <w:bookmarkEnd w:id="404"/>
      <w:bookmarkEnd w:id="40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 资格评审标准：见评标办法前附表。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 形式评审标准：见评标办法前附表。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2.1.3 响应性评审标准：见评标办法前附表。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06" w:name="_Toc144974570"/>
      <w:bookmarkStart w:id="407" w:name="_Toc179632621"/>
      <w:bookmarkStart w:id="408" w:name="_Toc152042380"/>
      <w:bookmarkStart w:id="409" w:name="_Toc152045603"/>
      <w:r>
        <w:rPr>
          <w:rFonts w:hint="eastAsia" w:ascii="宋体" w:hAnsi="宋体" w:eastAsia="宋体" w:cs="宋体"/>
          <w:color w:val="000000" w:themeColor="text1"/>
          <w:sz w:val="24"/>
          <w:highlight w:val="none"/>
          <w14:textFill>
            <w14:solidFill>
              <w14:schemeClr w14:val="tx1"/>
            </w14:solidFill>
          </w14:textFill>
        </w:rPr>
        <w:t>2.2 分值构成与评分标准</w:t>
      </w:r>
      <w:bookmarkEnd w:id="406"/>
      <w:bookmarkEnd w:id="407"/>
      <w:bookmarkEnd w:id="408"/>
      <w:bookmarkEnd w:id="40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2.2.1 分值构成</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（1）技术部分：见评标办法前附表；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（2）商务部分：见评标办法前附表；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（3）投标报价：见评标办法前附表；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2.2.2 有效投标报价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通过初步评审且不高于最高投标限价的投标报价为有效投标报价，高于最高投标限价的投标报价无效。投标报价不得低于成本价，否则投标报价为无效投标报价。非竞争性费用须与招标人发布的金额一致，不一致的投标报价无效。评标时，评标委员会发现投标人的报价明显低于其他投标报价，或者低于成本警示价的报价，使得其投标报价可能低于其成本的，应当要求该投标人作出书面说明并提供相应的证明材料。投标人不能合理说明或者不能提供相应证明材料的，由评标委员会认定该投标人以低于成本报价竞标，评标委员会应当否决其投标。</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低于第二章投标须知3.2.4规定的成本警示价的投标报价，招标人可以在要求投标人在投标文件中提供其成本价分析（内容包括成本价的详细计算过程、计算依据及计算依据的证明材料，材料单价、人工单价、机械台班费的确定依据及其计算过程；管理费率、税金、利润率的确定依据及其计算过程应包括在成本价分析内容中），以方便评标委员会评标。</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2.2.3 评标基准价计算</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评标基准价可按以下方式确定：</w:t>
      </w:r>
      <w:r>
        <w:rPr>
          <w:rFonts w:hint="eastAsia" w:ascii="宋体" w:hAnsi="宋体" w:eastAsia="宋体" w:cs="宋体"/>
          <w:color w:val="000000" w:themeColor="text1"/>
          <w:sz w:val="24"/>
          <w:highlight w:val="none"/>
          <w:u w:val="single"/>
          <w14:textFill>
            <w14:solidFill>
              <w14:schemeClr w14:val="tx1"/>
            </w14:solidFill>
          </w14:textFill>
        </w:rPr>
        <w:t>本项目采用方式一</w:t>
      </w:r>
    </w:p>
    <w:p>
      <w:pPr>
        <w:spacing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方式一</w:t>
      </w:r>
      <w:r>
        <w:rPr>
          <w:rFonts w:hint="eastAsia" w:ascii="宋体" w:hAnsi="宋体" w:eastAsia="宋体" w:cs="宋体"/>
          <w:color w:val="000000" w:themeColor="text1"/>
          <w:sz w:val="24"/>
          <w:highlight w:val="none"/>
          <w14:textFill>
            <w14:solidFill>
              <w14:schemeClr w14:val="tx1"/>
            </w14:solidFill>
          </w14:textFill>
        </w:rPr>
        <w:t>：以全部或随机抽取的有效投标报价的算术平均值</w:t>
      </w: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sz w:val="24"/>
          <w:highlight w:val="none"/>
          <w14:textFill>
            <w14:solidFill>
              <w14:schemeClr w14:val="tx1"/>
            </w14:solidFill>
          </w14:textFill>
        </w:rPr>
        <w:t>随机抽取的评标基准价下浮率（2～5%，0.5一个级别）下浮作为评标基准价。具体确定方法如下：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a、当有效投标报价的投标人少于或等于5个时，取全部有效投标报价的算术平均</w:t>
      </w: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sz w:val="24"/>
          <w:highlight w:val="none"/>
          <w14:textFill>
            <w14:solidFill>
              <w14:schemeClr w14:val="tx1"/>
            </w14:solidFill>
          </w14:textFill>
        </w:rPr>
        <w:t>随机抽取的评标基准价下浮率（2～5%，0.5一个级别）下浮作为评标基准价。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b、当有效投标报价的投标人为6至10个时，从全部有效投标报价中去掉一个最大值和最小值，其他有效投标报价的算术平均值</w:t>
      </w: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sz w:val="24"/>
          <w:highlight w:val="none"/>
          <w14:textFill>
            <w14:solidFill>
              <w14:schemeClr w14:val="tx1"/>
            </w14:solidFill>
          </w14:textFill>
        </w:rPr>
        <w:t>随机抽取的评标基准价下浮率（2～5%，0.5一个级别）下浮作为评标基准价。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c、当有效投标报价的投标人大于10个时，随机抽取10个有效投标报价并从中去掉一个最大值和最小值后计算算术平均值，该平均值</w:t>
      </w: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sz w:val="24"/>
          <w:highlight w:val="none"/>
          <w14:textFill>
            <w14:solidFill>
              <w14:schemeClr w14:val="tx1"/>
            </w14:solidFill>
          </w14:textFill>
        </w:rPr>
        <w:t>随机抽取的评标基准价下浮率（2～5%，0.5一个级别）下浮作为评标基准价。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在首次评标过程中，投标人未被发现存在串通投标、弄虚作假、行贿等情形的，无论是否重评，经确定的评标基准价不变。</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2.2.4 投标报价的得分计算</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2.2.5 评分标准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（1）技术部分评分标准：见评标办法前附表；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（2）商务部分评分标准：见评标办法前附表；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（3）投标报价评分标准：见评标办法前附表；</w:t>
      </w:r>
    </w:p>
    <w:p>
      <w:pPr>
        <w:pStyle w:val="38"/>
        <w:spacing w:after="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bookmarkStart w:id="410" w:name="_Toc152045604"/>
      <w:bookmarkStart w:id="411" w:name="_Toc144974571"/>
      <w:bookmarkStart w:id="412" w:name="_Toc152042381"/>
      <w:bookmarkStart w:id="413" w:name="_Toc179632622"/>
      <w:r>
        <w:rPr>
          <w:rFonts w:hint="eastAsia" w:ascii="宋体" w:hAnsi="宋体" w:eastAsia="宋体" w:cs="宋体"/>
          <w:b/>
          <w:bCs/>
          <w:color w:val="000000" w:themeColor="text1"/>
          <w:sz w:val="24"/>
          <w:szCs w:val="24"/>
          <w:highlight w:val="none"/>
          <w14:textFill>
            <w14:solidFill>
              <w14:schemeClr w14:val="tx1"/>
            </w14:solidFill>
          </w14:textFill>
        </w:rPr>
        <w:t>3. 评标程序</w:t>
      </w:r>
      <w:bookmarkEnd w:id="410"/>
      <w:bookmarkEnd w:id="411"/>
      <w:bookmarkEnd w:id="412"/>
      <w:bookmarkEnd w:id="41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14" w:name="_Toc152045605"/>
      <w:bookmarkStart w:id="415" w:name="_Toc179632623"/>
      <w:bookmarkStart w:id="416" w:name="_Toc144974572"/>
      <w:bookmarkStart w:id="417" w:name="_Toc152042382"/>
      <w:r>
        <w:rPr>
          <w:rFonts w:hint="eastAsia" w:ascii="宋体" w:hAnsi="宋体" w:eastAsia="宋体" w:cs="宋体"/>
          <w:color w:val="000000" w:themeColor="text1"/>
          <w:sz w:val="24"/>
          <w:highlight w:val="none"/>
          <w14:textFill>
            <w14:solidFill>
              <w14:schemeClr w14:val="tx1"/>
            </w14:solidFill>
          </w14:textFill>
        </w:rPr>
        <w:t>3.1 初步评审</w:t>
      </w:r>
      <w:bookmarkEnd w:id="414"/>
      <w:bookmarkEnd w:id="415"/>
      <w:bookmarkEnd w:id="416"/>
      <w:bookmarkEnd w:id="41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3.1.2 投标人有以下情形之一的，评标委员会应当否决其投标。：</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（1）第二章“投标人须知”第1.4.3项规定的任何一种情形的；</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（2）串通投标或弄虚作假或有其他违法行为的；</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（3）不按评标委员会要求澄清、说明或补正的。</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（4）两个（含两个）以上投标人加密打包投标文件工程量清单编制机器硬件信息一致。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3.1.3投标报价有算术错误的，评标委员会按以下原则对投标报价进行修正，修正的价格经投标人书面确认后具有约束力。投标人不接受修正价格的，评标委员会应当否决其投标。</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18" w:name="_Toc152042383"/>
      <w:r>
        <w:rPr>
          <w:rFonts w:hint="eastAsia" w:ascii="宋体" w:hAnsi="宋体" w:eastAsia="宋体" w:cs="宋体"/>
          <w:color w:val="000000" w:themeColor="text1"/>
          <w:sz w:val="24"/>
          <w:highlight w:val="none"/>
          <w14:textFill>
            <w14:solidFill>
              <w14:schemeClr w14:val="tx1"/>
            </w14:solidFill>
          </w14:textFill>
        </w:rPr>
        <w:t>（1）投标文件中的大写金额与小写金额不一致的，以大写金额为准；</w:t>
      </w:r>
      <w:bookmarkEnd w:id="41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（2）总价金额与依据单价计算出的结果不一致的，以单价金额为准修正总价，但单价金额小数点有明显错误的除外。</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19" w:name="_Toc152042384"/>
      <w:bookmarkStart w:id="420" w:name="_Toc144974573"/>
      <w:bookmarkStart w:id="421" w:name="_Toc152045606"/>
      <w:bookmarkStart w:id="422" w:name="_Toc179632624"/>
      <w:r>
        <w:rPr>
          <w:rFonts w:hint="eastAsia" w:ascii="宋体" w:hAnsi="宋体" w:eastAsia="宋体" w:cs="宋体"/>
          <w:color w:val="000000" w:themeColor="text1"/>
          <w:sz w:val="24"/>
          <w:highlight w:val="none"/>
          <w14:textFill>
            <w14:solidFill>
              <w14:schemeClr w14:val="tx1"/>
            </w14:solidFill>
          </w14:textFill>
        </w:rPr>
        <w:t>3.2 详细评审</w:t>
      </w:r>
      <w:bookmarkEnd w:id="419"/>
      <w:bookmarkEnd w:id="420"/>
      <w:bookmarkEnd w:id="421"/>
      <w:bookmarkEnd w:id="42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3.2.1 评标委员会按本章第2.2款规定的量化因素和分值进行打分，并计算出综合评估得分。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（1）按本章第2.2.5（1）目规定的评审因素和分值对技术部分计算出得分A；技术部分得分为从各评标专家打分中去掉一个最高分和去掉一个最低分后的剩余评标专家打分的平均值。</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（2）按本章第2.2.5（2）目规定的评审因素和分值对商务部分计算出得分B；商务部分得分为从各评标专家打分中去掉一个最高分和去掉一个最低分后的剩余评标专家打分的平均值。</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（3）按本章第2.2.5（3）目规定的评审因素和分值对投标报价计算出得分C；</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3.2.2 评分分值计算保留小数点后两位，小数点后第三位“四舍五入”。</w:t>
      </w:r>
    </w:p>
    <w:p>
      <w:pPr>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3.2.3 投标人的得分为技术部分得分、商务部分得分、投标报价得分之和。评标委员会应按照得分从高至低的顺序，确定得分前三名的投标人为第一中标候选人、第二中标候选人和第三中标候选人。当中标候选人得分相同时，按投标报价由低至高的顺序确定排名；当得分和投标报价均相同时，以记名投票表决等其他可行的方式确定排序。计分采用百分制，得分计算方法：</w:t>
      </w:r>
      <w:r>
        <w:rPr>
          <w:rFonts w:hint="eastAsia" w:ascii="宋体" w:hAnsi="宋体" w:eastAsia="宋体" w:cs="宋体"/>
          <w:color w:val="000000" w:themeColor="text1"/>
          <w:sz w:val="24"/>
          <w:highlight w:val="none"/>
          <w:u w:val="single"/>
          <w14:textFill>
            <w14:solidFill>
              <w14:schemeClr w14:val="tx1"/>
            </w14:solidFill>
          </w14:textFill>
        </w:rPr>
        <w:t>评标总得分=技术部分得分（A）+商务部分得分（B）+投标报价得分(C)。</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23" w:name="_Toc144974575"/>
      <w:bookmarkStart w:id="424" w:name="_Toc152042385"/>
      <w:bookmarkStart w:id="425" w:name="_Toc179632625"/>
      <w:bookmarkStart w:id="426" w:name="_Toc152045607"/>
      <w:r>
        <w:rPr>
          <w:rFonts w:hint="eastAsia" w:ascii="宋体" w:hAnsi="宋体" w:eastAsia="宋体" w:cs="宋体"/>
          <w:color w:val="000000" w:themeColor="text1"/>
          <w:sz w:val="24"/>
          <w:highlight w:val="none"/>
          <w14:textFill>
            <w14:solidFill>
              <w14:schemeClr w14:val="tx1"/>
            </w14:solidFill>
          </w14:textFill>
        </w:rPr>
        <w:t>3.3 投标文件的澄清</w:t>
      </w:r>
      <w:bookmarkEnd w:id="423"/>
      <w:r>
        <w:rPr>
          <w:rFonts w:hint="eastAsia" w:ascii="宋体" w:hAnsi="宋体" w:eastAsia="宋体" w:cs="宋体"/>
          <w:color w:val="000000" w:themeColor="text1"/>
          <w:sz w:val="24"/>
          <w:highlight w:val="none"/>
          <w14:textFill>
            <w14:solidFill>
              <w14:schemeClr w14:val="tx1"/>
            </w14:solidFill>
          </w14:textFill>
        </w:rPr>
        <w:t>和补正</w:t>
      </w:r>
      <w:bookmarkEnd w:id="424"/>
      <w:bookmarkEnd w:id="425"/>
      <w:bookmarkEnd w:id="42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3.3.1在评标过程中，评标委员会可以书面形式要求投标人对所提交投标文件中不明确的内容进行书面澄清或说明，或者对细微偏差进行补正。评标委员会不接受投标人主动提出的澄清、说明或补正。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3.3.2 澄清、说明和补正不得改变投标文件的实质性内容（算术性错误修正的除外）。投标人的书面澄清、说明和补正属于投标文件的组成部分。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3.3.3 评标委员会对投标人提交的澄清、说明或补正有疑问的，可以要求投标人进一步澄清、说明或补正，直至满足评标委员会的要求。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27" w:name="_Toc179632626"/>
      <w:bookmarkStart w:id="428" w:name="_Toc152045608"/>
      <w:bookmarkStart w:id="429" w:name="_Toc144974576"/>
      <w:bookmarkStart w:id="430" w:name="_Toc152042386"/>
      <w:r>
        <w:rPr>
          <w:rFonts w:hint="eastAsia" w:ascii="宋体" w:hAnsi="宋体" w:eastAsia="宋体" w:cs="宋体"/>
          <w:color w:val="000000" w:themeColor="text1"/>
          <w:sz w:val="24"/>
          <w:highlight w:val="none"/>
          <w14:textFill>
            <w14:solidFill>
              <w14:schemeClr w14:val="tx1"/>
            </w14:solidFill>
          </w14:textFill>
        </w:rPr>
        <w:t>3.4 评标结果</w:t>
      </w:r>
      <w:bookmarkEnd w:id="427"/>
      <w:bookmarkEnd w:id="428"/>
      <w:bookmarkEnd w:id="429"/>
      <w:bookmarkEnd w:id="43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 评标委员会完成评标后，应当向招标人提交书面评标报告。</w:t>
      </w:r>
    </w:p>
    <w:p>
      <w:pPr>
        <w:pStyle w:val="38"/>
        <w:spacing w:after="0" w:line="360" w:lineRule="auto"/>
        <w:ind w:firstLine="482" w:firstLineChars="200"/>
        <w:rPr>
          <w:rFonts w:hint="eastAsia" w:ascii="宋体" w:hAnsi="宋体" w:eastAsia="宋体" w:cs="宋体"/>
          <w:b/>
          <w:bCs/>
          <w:strike/>
          <w:color w:val="000000" w:themeColor="text1"/>
          <w:sz w:val="24"/>
          <w:szCs w:val="24"/>
          <w:highlight w:val="none"/>
          <w14:textFill>
            <w14:solidFill>
              <w14:schemeClr w14:val="tx1"/>
            </w14:solidFill>
          </w14:textFill>
        </w:rPr>
      </w:pPr>
      <w:r>
        <w:rPr>
          <w:rFonts w:hint="eastAsia" w:ascii="宋体" w:hAnsi="宋体" w:eastAsia="宋体" w:cs="宋体"/>
          <w:b/>
          <w:bCs/>
          <w:strike/>
          <w:color w:val="000000" w:themeColor="text1"/>
          <w:sz w:val="24"/>
          <w:szCs w:val="24"/>
          <w:highlight w:val="none"/>
          <w14:textFill>
            <w14:solidFill>
              <w14:schemeClr w14:val="tx1"/>
            </w14:solidFill>
          </w14:textFill>
        </w:rPr>
        <w:t xml:space="preserve">4. </w:t>
      </w:r>
      <w:r>
        <w:rPr>
          <w:rFonts w:hint="eastAsia" w:ascii="宋体" w:hAnsi="宋体" w:eastAsia="宋体" w:cs="宋体"/>
          <w:b/>
          <w:strike/>
          <w:color w:val="000000" w:themeColor="text1"/>
          <w:sz w:val="24"/>
          <w:szCs w:val="24"/>
          <w:highlight w:val="none"/>
          <w14:textFill>
            <w14:solidFill>
              <w14:schemeClr w14:val="tx1"/>
            </w14:solidFill>
          </w14:textFill>
        </w:rPr>
        <w:t>诚信评价</w:t>
      </w:r>
      <w:r>
        <w:rPr>
          <w:rFonts w:hint="eastAsia" w:ascii="宋体" w:hAnsi="宋体" w:eastAsia="宋体" w:cs="宋体"/>
          <w:b/>
          <w:bCs/>
          <w:strike/>
          <w:color w:val="000000" w:themeColor="text1"/>
          <w:sz w:val="24"/>
          <w:szCs w:val="24"/>
          <w:highlight w:val="none"/>
          <w14:textFill>
            <w14:solidFill>
              <w14:schemeClr w14:val="tx1"/>
            </w14:solidFill>
          </w14:textFill>
        </w:rPr>
        <w:t>分</w:t>
      </w:r>
    </w:p>
    <w:p>
      <w:pPr>
        <w:spacing w:line="360" w:lineRule="auto"/>
        <w:ind w:firstLine="480" w:firstLineChars="200"/>
        <w:rPr>
          <w:rFonts w:hint="eastAsia" w:ascii="宋体" w:hAnsi="宋体" w:eastAsia="宋体" w:cs="宋体"/>
          <w:strike/>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4.1 </w:t>
      </w:r>
      <w:r>
        <w:rPr>
          <w:rFonts w:hint="eastAsia" w:ascii="宋体" w:hAnsi="宋体" w:eastAsia="宋体" w:cs="宋体"/>
          <w:strike/>
          <w:color w:val="000000" w:themeColor="text1"/>
          <w:kern w:val="0"/>
          <w:sz w:val="24"/>
          <w:szCs w:val="24"/>
          <w:highlight w:val="none"/>
          <w14:textFill>
            <w14:solidFill>
              <w14:schemeClr w14:val="tx1"/>
            </w14:solidFill>
          </w14:textFill>
        </w:rPr>
        <w:t>投标人诚信评价分取自本项目招标公告第1天所在季度的上一季度广州市水务工程企业信息库及诚信中心网站（</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"http://121.8.226.19/gzswcx/index.jsp"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strike/>
          <w:color w:val="000000" w:themeColor="text1"/>
          <w:kern w:val="0"/>
          <w:sz w:val="24"/>
          <w:szCs w:val="24"/>
          <w:highlight w:val="none"/>
          <w14:textFill>
            <w14:solidFill>
              <w14:schemeClr w14:val="tx1"/>
            </w14:solidFill>
          </w14:textFill>
        </w:rPr>
        <w:t>http://121.8.226.19/gzswcx/index.jsp</w:t>
      </w:r>
      <w:r>
        <w:rPr>
          <w:rFonts w:hint="eastAsia" w:ascii="宋体" w:hAnsi="宋体" w:eastAsia="宋体" w:cs="宋体"/>
          <w:strike/>
          <w:color w:val="000000" w:themeColor="text1"/>
          <w:kern w:val="0"/>
          <w:sz w:val="24"/>
          <w:szCs w:val="24"/>
          <w:highlight w:val="none"/>
          <w14:textFill>
            <w14:solidFill>
              <w14:schemeClr w14:val="tx1"/>
            </w14:solidFill>
          </w14:textFill>
        </w:rPr>
        <w:fldChar w:fldCharType="end"/>
      </w:r>
      <w:r>
        <w:rPr>
          <w:rFonts w:hint="eastAsia" w:ascii="宋体" w:hAnsi="宋体" w:eastAsia="宋体" w:cs="宋体"/>
          <w:strike/>
          <w:color w:val="000000" w:themeColor="text1"/>
          <w:kern w:val="0"/>
          <w:sz w:val="24"/>
          <w:szCs w:val="24"/>
          <w:highlight w:val="none"/>
          <w14:textFill>
            <w14:solidFill>
              <w14:schemeClr w14:val="tx1"/>
            </w14:solidFill>
          </w14:textFill>
        </w:rPr>
        <w:t>）中的“诚信排名&gt;&gt;施工—给排水(或水利)”中“诚信综合评价”分，未入库企业或在广州市水务工程企业信息库及诚信中心网中尚无诚信排名“施工－给排水（或水利）”得分的投标人，其诚信评价分按40分计算。</w:t>
      </w:r>
    </w:p>
    <w:p>
      <w:pPr>
        <w:spacing w:line="360" w:lineRule="auto"/>
        <w:ind w:firstLine="480" w:firstLineChars="200"/>
        <w:rPr>
          <w:rFonts w:hint="eastAsia" w:ascii="宋体" w:hAnsi="宋体" w:eastAsia="宋体" w:cs="宋体"/>
          <w:strike/>
          <w:color w:val="000000" w:themeColor="text1"/>
          <w:sz w:val="24"/>
          <w:szCs w:val="24"/>
          <w:highlight w:val="none"/>
          <w14:textFill>
            <w14:solidFill>
              <w14:schemeClr w14:val="tx1"/>
            </w14:solidFill>
          </w14:textFill>
        </w:rPr>
      </w:pPr>
      <w:r>
        <w:rPr>
          <w:rFonts w:hint="eastAsia" w:ascii="宋体" w:hAnsi="宋体" w:eastAsia="宋体" w:cs="宋体"/>
          <w:strike/>
          <w:color w:val="000000" w:themeColor="text1"/>
          <w:sz w:val="24"/>
          <w:szCs w:val="24"/>
          <w:highlight w:val="none"/>
          <w14:textFill>
            <w14:solidFill>
              <w14:schemeClr w14:val="tx1"/>
            </w14:solidFill>
          </w14:textFill>
        </w:rPr>
        <w:t>4.2两个或者两个以上水务建设市场主体组成联合体投标时，按联合体中诚信评价得分低的市场主体作为联合体的诚信评价得分。</w:t>
      </w:r>
    </w:p>
    <w:p>
      <w:pPr>
        <w:widowControl/>
        <w:spacing w:line="360" w:lineRule="auto"/>
        <w:ind w:firstLine="482" w:firstLineChars="200"/>
        <w:jc w:val="left"/>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5.评标应急预案</w:t>
      </w:r>
    </w:p>
    <w:p>
      <w:pPr>
        <w:widowControl/>
        <w:spacing w:line="360" w:lineRule="auto"/>
        <w:ind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5.1在评标过程中，当采用电子评标系统评标发生评审故障时，若广州公共资源交易中心当天可解除评审故障，则继续采用电子评标系统评标；若广州公共资源交易中心当天无法解除评审故障，则评标委员会依据电子投标文件对未完成的评标活动采用手动评审，提交包含已完成电子评审成果在内的纸质评标报告。评审故障以广州公共资源交易中心的认定为准。当广州公共资源交易中心的系统维护人员在评标室告知评标委员会当天无法解除评审故障后，评标委员会即可对未完成的评标活动启动手动评审。</w:t>
      </w:r>
    </w:p>
    <w:p>
      <w:pPr>
        <w:widowControl/>
        <w:spacing w:line="360" w:lineRule="auto"/>
        <w:ind w:firstLine="480" w:firstLineChars="200"/>
        <w:jc w:val="left"/>
        <w:rPr>
          <w:rFonts w:hint="eastAsia" w:ascii="宋体" w:hAnsi="宋体" w:eastAsia="宋体" w:cs="宋体"/>
          <w:b/>
          <w:color w:val="000000" w:themeColor="text1"/>
          <w:sz w:val="36"/>
          <w:szCs w:val="36"/>
          <w:highlight w:val="none"/>
          <w14:textFill>
            <w14:solidFill>
              <w14:schemeClr w14:val="tx1"/>
            </w14:solidFill>
          </w14:textFill>
        </w:rPr>
        <w:sectPr>
          <w:footerReference r:id="rId6" w:type="default"/>
          <w:pgSz w:w="11906" w:h="16838"/>
          <w:pgMar w:top="1440" w:right="1797" w:bottom="1440" w:left="1797" w:header="851" w:footer="992" w:gutter="0"/>
          <w:pgNumType w:fmt="decimal" w:start="1"/>
          <w:cols w:space="720" w:num="1"/>
          <w:docGrid w:linePitch="312" w:charSpace="0"/>
        </w:sectPr>
      </w:pPr>
      <w:r>
        <w:rPr>
          <w:rFonts w:hint="eastAsia" w:ascii="宋体" w:hAnsi="宋体" w:eastAsia="宋体" w:cs="宋体"/>
          <w:color w:val="000000" w:themeColor="text1"/>
          <w:kern w:val="0"/>
          <w:sz w:val="24"/>
          <w:szCs w:val="24"/>
          <w:highlight w:val="none"/>
          <w14:textFill>
            <w14:solidFill>
              <w14:schemeClr w14:val="tx1"/>
            </w14:solidFill>
          </w14:textFill>
        </w:rPr>
        <w:t>5.2在电子评标过程中，无论遇到任何系统异常或故障，评标委员会均应出具评标报告。</w:t>
      </w:r>
    </w:p>
    <w:p>
      <w:pPr>
        <w:pageBreakBefore/>
        <w:spacing w:line="360" w:lineRule="auto"/>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平均值法评标基准价计算表（适用于随机抽取）</w:t>
      </w:r>
    </w:p>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工程名称：                                                                                    最高投标限价：</w:t>
      </w:r>
      <w:r>
        <w:rPr>
          <w:rFonts w:hint="eastAsia" w:ascii="宋体" w:hAnsi="宋体" w:eastAsia="宋体" w:cs="宋体"/>
          <w:b/>
          <w:color w:val="000000" w:themeColor="text1"/>
          <w:szCs w:val="21"/>
          <w:highlight w:val="none"/>
          <w:u w:val="single"/>
          <w14:textFill>
            <w14:solidFill>
              <w14:schemeClr w14:val="tx1"/>
            </w14:solidFill>
          </w14:textFill>
        </w:rPr>
        <w:t xml:space="preserve">           </w:t>
      </w:r>
      <w:r>
        <w:rPr>
          <w:rFonts w:hint="eastAsia" w:ascii="宋体" w:hAnsi="宋体" w:eastAsia="宋体" w:cs="宋体"/>
          <w:b/>
          <w:color w:val="000000" w:themeColor="text1"/>
          <w:szCs w:val="21"/>
          <w:highlight w:val="none"/>
          <w14:textFill>
            <w14:solidFill>
              <w14:schemeClr w14:val="tx1"/>
            </w14:solidFill>
          </w14:textFill>
        </w:rPr>
        <w:t>元</w:t>
      </w:r>
    </w:p>
    <w:tbl>
      <w:tblPr>
        <w:tblStyle w:val="39"/>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893"/>
        <w:gridCol w:w="1621"/>
        <w:gridCol w:w="745"/>
        <w:gridCol w:w="900"/>
        <w:gridCol w:w="1800"/>
        <w:gridCol w:w="1836"/>
        <w:gridCol w:w="5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1893" w:type="dxa"/>
            <w:vMerge w:val="restart"/>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投标人名称</w:t>
            </w:r>
          </w:p>
        </w:tc>
        <w:tc>
          <w:tcPr>
            <w:tcW w:w="1621" w:type="dxa"/>
            <w:vMerge w:val="restart"/>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投标价C</w:t>
            </w:r>
          </w:p>
        </w:tc>
        <w:tc>
          <w:tcPr>
            <w:tcW w:w="1645" w:type="dxa"/>
            <w:gridSpan w:val="2"/>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摇珠结果</w:t>
            </w:r>
          </w:p>
        </w:tc>
        <w:tc>
          <w:tcPr>
            <w:tcW w:w="1800" w:type="dxa"/>
            <w:vMerge w:val="restart"/>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是否参与基准价计算【去掉最低及最高】</w:t>
            </w:r>
          </w:p>
          <w:p>
            <w:pPr>
              <w:jc w:val="center"/>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restart"/>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计算评标基准价的下浮率X</w:t>
            </w:r>
          </w:p>
        </w:tc>
        <w:tc>
          <w:tcPr>
            <w:tcW w:w="5462" w:type="dxa"/>
            <w:vMerge w:val="restart"/>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评标基准价（元）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p>
        </w:tc>
        <w:tc>
          <w:tcPr>
            <w:tcW w:w="1893" w:type="dxa"/>
            <w:vMerge w:val="continue"/>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p>
        </w:tc>
        <w:tc>
          <w:tcPr>
            <w:tcW w:w="1621" w:type="dxa"/>
            <w:vMerge w:val="continue"/>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p>
        </w:tc>
        <w:tc>
          <w:tcPr>
            <w:tcW w:w="745"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号球号码</w:t>
            </w:r>
          </w:p>
        </w:tc>
        <w:tc>
          <w:tcPr>
            <w:tcW w:w="900"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是否被摇中</w:t>
            </w:r>
          </w:p>
        </w:tc>
        <w:tc>
          <w:tcPr>
            <w:tcW w:w="1800" w:type="dxa"/>
            <w:vMerge w:val="continue"/>
          </w:tcPr>
          <w:p>
            <w:pPr>
              <w:jc w:val="center"/>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jc w:val="center"/>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restart"/>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restart"/>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restart"/>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93"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1"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745"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9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0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836"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462"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bl>
    <w:p>
      <w:pP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注：</w:t>
      </w:r>
      <w:r>
        <w:rPr>
          <w:rFonts w:hint="eastAsia" w:ascii="宋体" w:hAnsi="宋体" w:eastAsia="宋体" w:cs="宋体"/>
          <w:b/>
          <w:color w:val="000000" w:themeColor="text1"/>
          <w:szCs w:val="21"/>
          <w:highlight w:val="none"/>
          <w14:textFill>
            <w14:solidFill>
              <w14:schemeClr w14:val="tx1"/>
            </w14:solidFill>
          </w14:textFill>
        </w:rPr>
        <w:t>1. 该表格适用于以有效投标价为基础计算并根据抽取的计算评标基准价的下浮率下浮后确定评标基准价。</w:t>
      </w:r>
    </w:p>
    <w:p>
      <w:pPr>
        <w:ind w:firstLine="525" w:firstLineChars="2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b/>
          <w:color w:val="000000" w:themeColor="text1"/>
          <w:szCs w:val="21"/>
          <w:highlight w:val="none"/>
          <w14:textFill>
            <w14:solidFill>
              <w14:schemeClr w14:val="tx1"/>
            </w14:solidFill>
          </w14:textFill>
        </w:rPr>
        <w:t>使用此表时，对于已经确定为无效报价的，不得在本计算表中列出。投标单位的序号按开标时的顺序从小到大排列。</w:t>
      </w:r>
    </w:p>
    <w:p>
      <w:pP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评标委员会全体评委签名：</w:t>
      </w:r>
    </w:p>
    <w:p>
      <w:pPr>
        <w:ind w:right="-722" w:rightChars="-34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招标代理记录：            监督人：           见证人:            </w:t>
      </w:r>
      <w:r>
        <w:rPr>
          <w:rFonts w:hint="eastAsia" w:ascii="宋体" w:hAnsi="宋体" w:eastAsia="宋体" w:cs="宋体"/>
          <w:color w:val="000000" w:themeColor="text1"/>
          <w:kern w:val="0"/>
          <w:highlight w:val="none"/>
          <w14:textFill>
            <w14:solidFill>
              <w14:schemeClr w14:val="tx1"/>
            </w14:solidFill>
          </w14:textFill>
        </w:rPr>
        <w:t>日期：   年   月  日</w:t>
      </w:r>
    </w:p>
    <w:p>
      <w:pPr>
        <w:spacing w:line="360" w:lineRule="auto"/>
        <w:jc w:val="center"/>
        <w:rPr>
          <w:rFonts w:hint="eastAsia" w:ascii="宋体" w:hAnsi="宋体" w:eastAsia="宋体" w:cs="宋体"/>
          <w:b/>
          <w:color w:val="000000" w:themeColor="text1"/>
          <w:sz w:val="36"/>
          <w:szCs w:val="36"/>
          <w:highlight w:val="none"/>
          <w14:textFill>
            <w14:solidFill>
              <w14:schemeClr w14:val="tx1"/>
            </w14:solidFill>
          </w14:textFill>
        </w:rPr>
      </w:pPr>
      <w:bookmarkStart w:id="431" w:name="_Toc262229174"/>
      <w:r>
        <w:rPr>
          <w:rFonts w:hint="eastAsia" w:ascii="宋体" w:hAnsi="宋体" w:eastAsia="宋体" w:cs="宋体"/>
          <w:b/>
          <w:color w:val="000000" w:themeColor="text1"/>
          <w:sz w:val="36"/>
          <w:szCs w:val="36"/>
          <w:highlight w:val="none"/>
          <w14:textFill>
            <w14:solidFill>
              <w14:schemeClr w14:val="tx1"/>
            </w14:solidFill>
          </w14:textFill>
        </w:rPr>
        <w:br w:type="page"/>
      </w:r>
      <w:r>
        <w:rPr>
          <w:rFonts w:hint="eastAsia" w:ascii="宋体" w:hAnsi="宋体" w:eastAsia="宋体" w:cs="宋体"/>
          <w:b/>
          <w:color w:val="000000" w:themeColor="text1"/>
          <w:sz w:val="36"/>
          <w:szCs w:val="36"/>
          <w:highlight w:val="none"/>
          <w14:textFill>
            <w14:solidFill>
              <w14:schemeClr w14:val="tx1"/>
            </w14:solidFill>
          </w14:textFill>
        </w:rPr>
        <w:t>平均值法评标基准价计算表（适用于直接选取）</w:t>
      </w:r>
    </w:p>
    <w:p>
      <w:pPr>
        <w:spacing w:line="360" w:lineRule="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工程名称：                                                                                       最高投标限价：</w:t>
      </w:r>
      <w:r>
        <w:rPr>
          <w:rFonts w:hint="eastAsia" w:ascii="宋体" w:hAnsi="宋体" w:eastAsia="宋体" w:cs="宋体"/>
          <w:b/>
          <w:color w:val="000000" w:themeColor="text1"/>
          <w:szCs w:val="21"/>
          <w:highlight w:val="none"/>
          <w:u w:val="single"/>
          <w14:textFill>
            <w14:solidFill>
              <w14:schemeClr w14:val="tx1"/>
            </w14:solidFill>
          </w14:textFill>
        </w:rPr>
        <w:t xml:space="preserve">            </w:t>
      </w:r>
      <w:r>
        <w:rPr>
          <w:rFonts w:hint="eastAsia" w:ascii="宋体" w:hAnsi="宋体" w:eastAsia="宋体" w:cs="宋体"/>
          <w:b/>
          <w:color w:val="000000" w:themeColor="text1"/>
          <w:szCs w:val="21"/>
          <w:highlight w:val="none"/>
          <w14:textFill>
            <w14:solidFill>
              <w14:schemeClr w14:val="tx1"/>
            </w14:solidFill>
          </w14:textFill>
        </w:rPr>
        <w:t>元</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946"/>
        <w:gridCol w:w="1350"/>
        <w:gridCol w:w="1620"/>
        <w:gridCol w:w="1440"/>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2946"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投标人名称</w:t>
            </w:r>
          </w:p>
        </w:tc>
        <w:tc>
          <w:tcPr>
            <w:tcW w:w="1350" w:type="dxa"/>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投标价C</w:t>
            </w:r>
          </w:p>
        </w:tc>
        <w:tc>
          <w:tcPr>
            <w:tcW w:w="1620"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是否参与评标基准价的计算【是/否】</w:t>
            </w:r>
          </w:p>
        </w:tc>
        <w:tc>
          <w:tcPr>
            <w:tcW w:w="1440" w:type="dxa"/>
          </w:tcPr>
          <w:p>
            <w:pP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计算评标基准价的下浮率X</w:t>
            </w:r>
          </w:p>
        </w:tc>
        <w:tc>
          <w:tcPr>
            <w:tcW w:w="58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评标基准价（元）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restart"/>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restart"/>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2946"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35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620" w:type="dxa"/>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1440"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c>
          <w:tcPr>
            <w:tcW w:w="5834" w:type="dxa"/>
            <w:vMerge w:val="continue"/>
          </w:tcPr>
          <w:p>
            <w:pPr>
              <w:spacing w:line="560" w:lineRule="exact"/>
              <w:rPr>
                <w:rFonts w:hint="eastAsia" w:ascii="宋体" w:hAnsi="宋体" w:eastAsia="宋体" w:cs="宋体"/>
                <w:color w:val="000000" w:themeColor="text1"/>
                <w:szCs w:val="21"/>
                <w:highlight w:val="none"/>
                <w14:textFill>
                  <w14:solidFill>
                    <w14:schemeClr w14:val="tx1"/>
                  </w14:solidFill>
                </w14:textFill>
              </w:rPr>
            </w:pPr>
          </w:p>
        </w:tc>
      </w:tr>
    </w:tbl>
    <w:p>
      <w:pP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1. 以有效投标价为基础计算并根据抽取的计算评标基准价的下浮率下浮后确定评标基准价。</w:t>
      </w:r>
    </w:p>
    <w:p>
      <w:pP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b/>
          <w:color w:val="000000" w:themeColor="text1"/>
          <w:szCs w:val="21"/>
          <w:highlight w:val="none"/>
          <w14:textFill>
            <w14:solidFill>
              <w14:schemeClr w14:val="tx1"/>
            </w14:solidFill>
          </w14:textFill>
        </w:rPr>
        <w:t>使用此表时，对于已经确定为无效报价的，不得在本计算表中列出。</w:t>
      </w:r>
    </w:p>
    <w:p>
      <w:pP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评标委员会全体评委签名：                              </w:t>
      </w:r>
      <w:r>
        <w:rPr>
          <w:rFonts w:hint="eastAsia" w:ascii="宋体" w:hAnsi="宋体" w:eastAsia="宋体" w:cs="宋体"/>
          <w:color w:val="000000" w:themeColor="text1"/>
          <w:kern w:val="0"/>
          <w:highlight w:val="none"/>
          <w14:textFill>
            <w14:solidFill>
              <w14:schemeClr w14:val="tx1"/>
            </w14:solidFill>
          </w14:textFill>
        </w:rPr>
        <w:t>日期：   年   月  日</w:t>
      </w:r>
    </w:p>
    <w:p>
      <w:pPr>
        <w:rPr>
          <w:rFonts w:hint="eastAsia" w:ascii="宋体" w:hAnsi="宋体" w:eastAsia="宋体" w:cs="宋体"/>
          <w:color w:val="000000" w:themeColor="text1"/>
          <w:kern w:val="0"/>
          <w:highlight w:val="none"/>
          <w14:textFill>
            <w14:solidFill>
              <w14:schemeClr w14:val="tx1"/>
            </w14:solidFill>
          </w14:textFill>
        </w:rPr>
      </w:pPr>
    </w:p>
    <w:p>
      <w:pPr>
        <w:pageBreakBefore/>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sectPr>
          <w:pgSz w:w="16838" w:h="11906" w:orient="landscape"/>
          <w:pgMar w:top="1797" w:right="1440" w:bottom="1797" w:left="1440" w:header="851" w:footer="992" w:gutter="0"/>
          <w:pgNumType w:fmt="decimal"/>
          <w:cols w:space="720" w:num="1"/>
          <w:docGrid w:linePitch="312" w:charSpace="0"/>
        </w:sectPr>
      </w:pPr>
    </w:p>
    <w:p>
      <w:pPr>
        <w:pageBreakBefore/>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432" w:name="_Toc17454936"/>
      <w:bookmarkStart w:id="433" w:name="_Toc17451637"/>
      <w:bookmarkStart w:id="434" w:name="_Toc17454885"/>
      <w:bookmarkStart w:id="435" w:name="_Toc17451592"/>
      <w:bookmarkStart w:id="436" w:name="_Toc25303"/>
      <w:bookmarkStart w:id="437" w:name="_Toc17452678"/>
      <w:bookmarkStart w:id="438" w:name="_Toc3351"/>
      <w:bookmarkStart w:id="439" w:name="_Toc17451115"/>
      <w:bookmarkStart w:id="440" w:name="_Toc17556945"/>
      <w:bookmarkStart w:id="441" w:name="_Toc6449"/>
      <w:bookmarkStart w:id="442" w:name="_Toc29241"/>
      <w:bookmarkStart w:id="443" w:name="_Toc32202"/>
      <w:bookmarkStart w:id="444" w:name="_Toc9036"/>
      <w:bookmarkStart w:id="445" w:name="_Toc17556890"/>
      <w:r>
        <w:rPr>
          <w:rFonts w:hint="eastAsia" w:ascii="宋体" w:hAnsi="宋体" w:eastAsia="宋体" w:cs="宋体"/>
          <w:color w:val="000000" w:themeColor="text1"/>
          <w:sz w:val="32"/>
          <w:szCs w:val="27"/>
          <w:highlight w:val="none"/>
          <w14:textFill>
            <w14:solidFill>
              <w14:schemeClr w14:val="tx1"/>
            </w14:solidFill>
          </w14:textFill>
        </w:rPr>
        <w:t>第四章 合同条款</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ind w:firstLine="9240" w:firstLineChars="3300"/>
        <w:rPr>
          <w:rFonts w:hint="eastAsia" w:ascii="宋体" w:hAnsi="宋体" w:eastAsia="宋体" w:cs="宋体"/>
          <w:bCs/>
          <w:color w:val="auto"/>
          <w:sz w:val="28"/>
          <w:szCs w:val="28"/>
          <w:highlight w:val="none"/>
        </w:rPr>
      </w:pPr>
    </w:p>
    <w:p>
      <w:pPr>
        <w:rPr>
          <w:rFonts w:hint="eastAsia" w:ascii="宋体" w:hAnsi="宋体" w:eastAsia="宋体" w:cs="宋体"/>
          <w:bCs/>
          <w:color w:val="auto"/>
          <w:sz w:val="28"/>
          <w:szCs w:val="28"/>
          <w:highlight w:val="none"/>
        </w:rPr>
      </w:pPr>
    </w:p>
    <w:p>
      <w:pPr>
        <w:spacing w:line="400" w:lineRule="atLeast"/>
        <w:rPr>
          <w:rFonts w:hint="eastAsia" w:ascii="宋体" w:hAnsi="宋体" w:eastAsia="宋体" w:cs="宋体"/>
          <w:color w:val="auto"/>
          <w:sz w:val="52"/>
          <w:szCs w:val="52"/>
          <w:highlight w:val="none"/>
        </w:rPr>
      </w:pPr>
    </w:p>
    <w:p>
      <w:pPr>
        <w:spacing w:line="400" w:lineRule="atLeast"/>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广州市净水有限公司</w:t>
      </w:r>
    </w:p>
    <w:p>
      <w:pPr>
        <w:spacing w:line="400" w:lineRule="atLeast"/>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48"/>
          <w:szCs w:val="48"/>
          <w:highlight w:val="none"/>
        </w:rPr>
        <w:t>设备维修维护/技改项目合同</w:t>
      </w:r>
    </w:p>
    <w:p>
      <w:pPr>
        <w:spacing w:line="400" w:lineRule="atLeast"/>
        <w:jc w:val="center"/>
        <w:rPr>
          <w:rFonts w:hint="eastAsia" w:ascii="宋体" w:hAnsi="宋体" w:eastAsia="宋体" w:cs="宋体"/>
          <w:b/>
          <w:color w:val="auto"/>
          <w:sz w:val="28"/>
          <w:highlight w:val="none"/>
        </w:rPr>
      </w:pPr>
    </w:p>
    <w:p>
      <w:pPr>
        <w:spacing w:line="400" w:lineRule="atLeast"/>
        <w:jc w:val="center"/>
        <w:rPr>
          <w:rFonts w:hint="eastAsia" w:ascii="宋体" w:hAnsi="宋体" w:eastAsia="宋体" w:cs="宋体"/>
          <w:b/>
          <w:color w:val="auto"/>
          <w:sz w:val="28"/>
          <w:highlight w:val="none"/>
        </w:rPr>
      </w:pPr>
    </w:p>
    <w:p>
      <w:pPr>
        <w:spacing w:line="0" w:lineRule="atLeast"/>
        <w:rPr>
          <w:rFonts w:hint="eastAsia" w:ascii="宋体" w:hAnsi="宋体" w:eastAsia="宋体" w:cs="宋体"/>
          <w:b/>
          <w:color w:val="auto"/>
          <w:sz w:val="30"/>
          <w:highlight w:val="none"/>
        </w:rPr>
      </w:pPr>
    </w:p>
    <w:p>
      <w:pPr>
        <w:pStyle w:val="23"/>
        <w:spacing w:line="0" w:lineRule="atLeast"/>
        <w:jc w:val="both"/>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项目名称: 广州净水公司2023年净水厂通风</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除臭系统自动化监控改造项目</w:t>
      </w:r>
    </w:p>
    <w:p>
      <w:pPr>
        <w:pStyle w:val="50"/>
        <w:rPr>
          <w:rFonts w:hint="eastAsia" w:ascii="宋体" w:hAnsi="宋体" w:eastAsia="宋体" w:cs="宋体"/>
          <w:color w:val="auto"/>
          <w:highlight w:val="none"/>
        </w:rPr>
      </w:pPr>
      <w:r>
        <w:rPr>
          <w:rFonts w:hint="eastAsia" w:ascii="宋体" w:hAnsi="宋体" w:eastAsia="宋体" w:cs="宋体"/>
          <w:b/>
          <w:color w:val="auto"/>
          <w:sz w:val="30"/>
          <w:szCs w:val="30"/>
          <w:highlight w:val="none"/>
        </w:rPr>
        <w:t>项目编号：</w:t>
      </w:r>
    </w:p>
    <w:p>
      <w:pPr>
        <w:spacing w:line="400" w:lineRule="atLeast"/>
        <w:rPr>
          <w:rFonts w:hint="eastAsia" w:ascii="宋体" w:hAnsi="宋体" w:eastAsia="宋体" w:cs="宋体"/>
          <w:b/>
          <w:color w:val="auto"/>
          <w:sz w:val="30"/>
          <w:szCs w:val="30"/>
          <w:highlight w:val="none"/>
        </w:rPr>
      </w:pPr>
    </w:p>
    <w:p>
      <w:pPr>
        <w:spacing w:line="400" w:lineRule="atLeast"/>
        <w:rPr>
          <w:rFonts w:hint="eastAsia" w:ascii="宋体" w:hAnsi="宋体" w:eastAsia="宋体" w:cs="宋体"/>
          <w:b/>
          <w:color w:val="auto"/>
          <w:sz w:val="30"/>
          <w:szCs w:val="30"/>
          <w:highlight w:val="none"/>
        </w:rPr>
      </w:pPr>
    </w:p>
    <w:p>
      <w:pPr>
        <w:spacing w:line="480" w:lineRule="auto"/>
        <w:ind w:firstLine="0" w:firstLineChars="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合同编号：</w:t>
      </w:r>
      <w:r>
        <w:rPr>
          <w:rFonts w:hint="eastAsia" w:ascii="宋体" w:hAnsi="宋体" w:eastAsia="宋体" w:cs="宋体"/>
          <w:b/>
          <w:bCs/>
          <w:color w:val="auto"/>
          <w:sz w:val="30"/>
          <w:szCs w:val="30"/>
          <w:highlight w:val="none"/>
        </w:rPr>
        <w:t>穗净水合[     ]    号</w:t>
      </w:r>
    </w:p>
    <w:p>
      <w:pPr>
        <w:spacing w:line="400" w:lineRule="atLeast"/>
        <w:rPr>
          <w:rFonts w:hint="eastAsia" w:ascii="宋体" w:hAnsi="宋体" w:eastAsia="宋体" w:cs="宋体"/>
          <w:b/>
          <w:color w:val="auto"/>
          <w:sz w:val="30"/>
          <w:szCs w:val="30"/>
          <w:highlight w:val="none"/>
        </w:rPr>
      </w:pPr>
    </w:p>
    <w:p>
      <w:pPr>
        <w:spacing w:line="400" w:lineRule="atLeas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甲方： 广州市净水有限公司</w:t>
      </w:r>
    </w:p>
    <w:p>
      <w:pPr>
        <w:spacing w:line="400" w:lineRule="atLeast"/>
        <w:rPr>
          <w:rFonts w:hint="eastAsia" w:ascii="宋体" w:hAnsi="宋体" w:eastAsia="宋体" w:cs="宋体"/>
          <w:b/>
          <w:color w:val="auto"/>
          <w:sz w:val="30"/>
          <w:szCs w:val="30"/>
          <w:highlight w:val="none"/>
        </w:rPr>
      </w:pPr>
    </w:p>
    <w:p>
      <w:pPr>
        <w:spacing w:line="400" w:lineRule="atLeas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乙方</w:t>
      </w:r>
      <w:r>
        <w:rPr>
          <w:rFonts w:hint="eastAsia" w:ascii="宋体" w:hAnsi="宋体" w:eastAsia="宋体" w:cs="宋体"/>
          <w:color w:val="auto"/>
          <w:sz w:val="30"/>
          <w:szCs w:val="30"/>
          <w:highlight w:val="none"/>
        </w:rPr>
        <w:t>：</w:t>
      </w:r>
    </w:p>
    <w:p>
      <w:pPr>
        <w:spacing w:line="400" w:lineRule="atLeast"/>
        <w:rPr>
          <w:rFonts w:hint="eastAsia" w:ascii="宋体" w:hAnsi="宋体" w:eastAsia="宋体" w:cs="宋体"/>
          <w:b/>
          <w:color w:val="auto"/>
          <w:sz w:val="30"/>
          <w:szCs w:val="30"/>
          <w:highlight w:val="none"/>
        </w:rPr>
      </w:pPr>
    </w:p>
    <w:p>
      <w:pPr>
        <w:spacing w:line="400" w:lineRule="atLeast"/>
        <w:rPr>
          <w:rFonts w:hint="eastAsia" w:ascii="宋体" w:hAnsi="宋体" w:eastAsia="宋体" w:cs="宋体"/>
          <w:b/>
          <w:color w:val="auto"/>
          <w:sz w:val="30"/>
          <w:szCs w:val="30"/>
          <w:highlight w:val="none"/>
        </w:rPr>
      </w:pPr>
    </w:p>
    <w:p>
      <w:pPr>
        <w:spacing w:line="400" w:lineRule="atLeas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签订日期：       年   月   日       </w:t>
      </w:r>
    </w:p>
    <w:p>
      <w:pPr>
        <w:spacing w:line="400" w:lineRule="atLeast"/>
        <w:rPr>
          <w:rFonts w:hint="eastAsia" w:ascii="宋体" w:hAnsi="宋体" w:eastAsia="宋体" w:cs="宋体"/>
          <w:b/>
          <w:color w:val="auto"/>
          <w:sz w:val="30"/>
          <w:highlight w:val="none"/>
        </w:rPr>
      </w:pPr>
      <w:r>
        <w:rPr>
          <w:rFonts w:hint="eastAsia" w:ascii="宋体" w:hAnsi="宋体" w:eastAsia="宋体" w:cs="宋体"/>
          <w:b/>
          <w:color w:val="auto"/>
          <w:sz w:val="30"/>
          <w:highlight w:val="none"/>
        </w:rPr>
        <w:t>签约地点：广州市</w:t>
      </w:r>
    </w:p>
    <w:p>
      <w:pPr>
        <w:spacing w:line="360" w:lineRule="auto"/>
        <w:rPr>
          <w:rFonts w:hint="eastAsia" w:ascii="宋体" w:hAnsi="宋体" w:eastAsia="宋体" w:cs="宋体"/>
          <w:color w:val="auto"/>
          <w:sz w:val="24"/>
          <w:highlight w:val="none"/>
          <w:u w:val="single"/>
        </w:rPr>
      </w:pPr>
    </w:p>
    <w:p>
      <w:pPr>
        <w:spacing w:beforeLines="30" w:line="360" w:lineRule="auto"/>
        <w:ind w:left="210" w:leftChars="100" w:firstLine="600" w:firstLineChars="250"/>
        <w:rPr>
          <w:rFonts w:hint="eastAsia" w:ascii="宋体" w:hAnsi="宋体" w:eastAsia="宋体" w:cs="宋体"/>
          <w:color w:val="auto"/>
          <w:sz w:val="24"/>
          <w:highlight w:val="none"/>
          <w:u w:val="single"/>
        </w:rPr>
      </w:pPr>
    </w:p>
    <w:p>
      <w:pPr>
        <w:pStyle w:val="23"/>
        <w:spacing w:beforeLines="30" w:line="384" w:lineRule="auto"/>
        <w:ind w:left="210" w:leftChars="100" w:firstLine="600" w:firstLineChars="250"/>
        <w:jc w:val="center"/>
        <w:rPr>
          <w:rFonts w:hint="eastAsia" w:ascii="宋体" w:hAnsi="宋体" w:eastAsia="宋体" w:cs="宋体"/>
          <w:color w:val="auto"/>
          <w:highlight w:val="none"/>
        </w:rPr>
      </w:pPr>
      <w:r>
        <w:rPr>
          <w:rFonts w:hint="eastAsia" w:ascii="宋体" w:hAnsi="宋体" w:eastAsia="宋体" w:cs="宋体"/>
          <w:color w:val="auto"/>
          <w:highlight w:val="none"/>
        </w:rPr>
        <w:t>根据《中华人民共和国民法典》及其他有关法律、行政法规，</w:t>
      </w:r>
      <w:r>
        <w:rPr>
          <w:rFonts w:hint="eastAsia" w:ascii="宋体" w:hAnsi="宋体" w:eastAsia="宋体" w:cs="宋体"/>
          <w:color w:val="auto"/>
          <w:highlight w:val="none"/>
          <w:u w:val="single"/>
        </w:rPr>
        <w:t>广州市净水有限公司</w:t>
      </w:r>
      <w:r>
        <w:rPr>
          <w:rFonts w:hint="eastAsia" w:ascii="宋体" w:hAnsi="宋体" w:eastAsia="宋体" w:cs="宋体"/>
          <w:color w:val="auto"/>
          <w:highlight w:val="none"/>
        </w:rPr>
        <w:t xml:space="preserve"> （以下简称“甲方”）与 </w:t>
      </w:r>
      <w:r>
        <w:rPr>
          <w:rFonts w:hint="eastAsia" w:ascii="宋体" w:hAnsi="宋体" w:eastAsia="宋体" w:cs="宋体"/>
          <w:color w:val="auto"/>
          <w:highlight w:val="none"/>
          <w:u w:val="single"/>
        </w:rPr>
        <w:t>…</w:t>
      </w:r>
      <w:r>
        <w:rPr>
          <w:rFonts w:hint="eastAsia" w:ascii="宋体" w:hAnsi="宋体" w:eastAsia="宋体" w:cs="宋体"/>
          <w:color w:val="auto"/>
          <w:highlight w:val="none"/>
        </w:rPr>
        <w:t xml:space="preserve">（以下简称“乙方”）就 </w:t>
      </w:r>
      <w:r>
        <w:rPr>
          <w:rFonts w:hint="eastAsia" w:ascii="宋体" w:hAnsi="宋体" w:eastAsia="宋体" w:cs="宋体"/>
          <w:color w:val="auto"/>
          <w:highlight w:val="none"/>
          <w:u w:val="single"/>
        </w:rPr>
        <w:t>广州净水公司2023年净水厂通风、除臭系统自动化监控改造</w:t>
      </w:r>
      <w:r>
        <w:rPr>
          <w:rFonts w:hint="eastAsia" w:ascii="宋体" w:hAnsi="宋体" w:eastAsia="宋体" w:cs="宋体"/>
          <w:color w:val="auto"/>
          <w:highlight w:val="none"/>
        </w:rPr>
        <w:t>项目承接工作事宜，遵循平等、自</w:t>
      </w:r>
    </w:p>
    <w:p>
      <w:pPr>
        <w:pStyle w:val="23"/>
        <w:spacing w:beforeLines="30" w:line="384" w:lineRule="auto"/>
        <w:ind w:left="0" w:leftChars="0" w:firstLine="240" w:firstLineChars="100"/>
        <w:jc w:val="both"/>
        <w:rPr>
          <w:rFonts w:hint="eastAsia" w:ascii="宋体" w:hAnsi="宋体" w:eastAsia="宋体" w:cs="宋体"/>
          <w:color w:val="auto"/>
          <w:highlight w:val="none"/>
        </w:rPr>
      </w:pPr>
      <w:r>
        <w:rPr>
          <w:rFonts w:hint="eastAsia" w:ascii="宋体" w:hAnsi="宋体" w:eastAsia="宋体" w:cs="宋体"/>
          <w:color w:val="auto"/>
          <w:highlight w:val="none"/>
        </w:rPr>
        <w:t>愿、公平和诚实信用的原则，双方协商一致，订立本合同。</w:t>
      </w:r>
    </w:p>
    <w:p>
      <w:pPr>
        <w:spacing w:beforeLines="30" w:line="384" w:lineRule="auto"/>
        <w:ind w:left="210" w:leftChars="10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第一条 组成合同的文件及优先顺序</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⑴ </w:t>
      </w:r>
      <w:r>
        <w:rPr>
          <w:rFonts w:hint="eastAsia" w:ascii="宋体" w:hAnsi="宋体" w:eastAsia="宋体" w:cs="宋体"/>
          <w:color w:val="auto"/>
          <w:sz w:val="24"/>
          <w:highlight w:val="none"/>
        </w:rPr>
        <w:t>在本合同实施过程双方签署的补充与修正文件</w:t>
      </w:r>
      <w:r>
        <w:rPr>
          <w:rFonts w:hint="eastAsia" w:ascii="宋体" w:hAnsi="宋体" w:eastAsia="宋体" w:cs="宋体"/>
          <w:bCs/>
          <w:color w:val="auto"/>
          <w:sz w:val="24"/>
          <w:highlight w:val="none"/>
        </w:rPr>
        <w:t>；</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⑵ 本合同书；</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⑶ 中标通知书；</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⑷ 招标文件；</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⑸ 投标文件；</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⑹ 标准、规范及有关技术性文件；</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⑺ 图纸；</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⑻ 工程量清单/</w:t>
      </w:r>
      <w:r>
        <w:rPr>
          <w:rFonts w:hint="eastAsia" w:ascii="宋体" w:hAnsi="宋体" w:eastAsia="宋体" w:cs="宋体"/>
          <w:color w:val="auto"/>
          <w:sz w:val="24"/>
          <w:highlight w:val="none"/>
        </w:rPr>
        <w:t>工程报价单或预算书；</w:t>
      </w:r>
    </w:p>
    <w:p>
      <w:pPr>
        <w:spacing w:line="384" w:lineRule="auto"/>
        <w:ind w:firstLine="48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⑼ 本合同其他附件；</w:t>
      </w:r>
    </w:p>
    <w:p>
      <w:pPr>
        <w:spacing w:line="384" w:lineRule="auto"/>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第二条 项目概况、项目承包范围</w:t>
      </w:r>
    </w:p>
    <w:p>
      <w:pPr>
        <w:spacing w:line="384"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2.1项目名称：</w:t>
      </w:r>
      <w:r>
        <w:rPr>
          <w:rFonts w:hint="eastAsia" w:ascii="宋体" w:hAnsi="宋体" w:eastAsia="宋体" w:cs="宋体"/>
          <w:color w:val="auto"/>
          <w:sz w:val="24"/>
          <w:highlight w:val="none"/>
          <w:u w:val="single"/>
        </w:rPr>
        <w:t>广州净水公司2023年净水厂</w:t>
      </w:r>
      <w:r>
        <w:rPr>
          <w:rFonts w:hint="eastAsia" w:ascii="宋体" w:hAnsi="宋体" w:eastAsia="宋体" w:cs="宋体"/>
          <w:color w:val="auto"/>
          <w:highlight w:val="none"/>
          <w:u w:val="single"/>
        </w:rPr>
        <w:t>通风、除臭</w:t>
      </w:r>
      <w:r>
        <w:rPr>
          <w:rFonts w:hint="eastAsia" w:ascii="宋体" w:hAnsi="宋体" w:eastAsia="宋体" w:cs="宋体"/>
          <w:color w:val="auto"/>
          <w:sz w:val="24"/>
          <w:highlight w:val="none"/>
          <w:u w:val="single"/>
        </w:rPr>
        <w:t>系统自动化监控改造项目。</w:t>
      </w:r>
    </w:p>
    <w:p>
      <w:pPr>
        <w:pStyle w:val="2"/>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项目包含的子项目如下：</w:t>
      </w:r>
    </w:p>
    <w:p>
      <w:pPr>
        <w:pStyle w:val="2"/>
        <w:ind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项目一:</w:t>
      </w:r>
      <w:r>
        <w:rPr>
          <w:rFonts w:hint="eastAsia" w:ascii="宋体" w:hAnsi="宋体" w:eastAsia="宋体" w:cs="宋体"/>
          <w:color w:val="auto"/>
          <w:sz w:val="24"/>
          <w:szCs w:val="24"/>
          <w:highlight w:val="none"/>
          <w:u w:val="single"/>
        </w:rPr>
        <w:t>猎德分公司除臭系统自动化监控改造项目 （以下简称“项目一”）</w:t>
      </w:r>
    </w:p>
    <w:p>
      <w:pPr>
        <w:pStyle w:val="2"/>
        <w:ind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项目二：</w:t>
      </w:r>
      <w:r>
        <w:rPr>
          <w:rFonts w:hint="eastAsia" w:ascii="宋体" w:hAnsi="宋体" w:eastAsia="宋体" w:cs="宋体"/>
          <w:color w:val="auto"/>
          <w:sz w:val="24"/>
          <w:szCs w:val="24"/>
          <w:highlight w:val="none"/>
          <w:u w:val="single"/>
        </w:rPr>
        <w:t>石井净分公司除臭、通风系统自动化监控改造</w:t>
      </w:r>
      <w:r>
        <w:rPr>
          <w:rFonts w:hint="eastAsia" w:ascii="宋体" w:hAnsi="宋体" w:eastAsia="宋体" w:cs="宋体"/>
          <w:color w:val="auto"/>
          <w:sz w:val="24"/>
          <w:szCs w:val="24"/>
          <w:highlight w:val="none"/>
          <w:u w:val="single"/>
          <w:lang w:val="en-US" w:eastAsia="zh-CN"/>
        </w:rPr>
        <w:t>项目</w:t>
      </w:r>
      <w:r>
        <w:rPr>
          <w:rFonts w:hint="eastAsia" w:ascii="宋体" w:hAnsi="宋体" w:eastAsia="宋体" w:cs="宋体"/>
          <w:color w:val="auto"/>
          <w:sz w:val="24"/>
          <w:szCs w:val="24"/>
          <w:highlight w:val="none"/>
          <w:u w:val="single"/>
        </w:rPr>
        <w:t>（以下简称“项目二”）</w:t>
      </w:r>
    </w:p>
    <w:p>
      <w:pPr>
        <w:spacing w:line="384"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2.2项目地点：</w:t>
      </w:r>
      <w:r>
        <w:rPr>
          <w:rFonts w:hint="eastAsia" w:ascii="宋体" w:hAnsi="宋体" w:eastAsia="宋体" w:cs="宋体"/>
          <w:color w:val="auto"/>
          <w:sz w:val="24"/>
          <w:highlight w:val="none"/>
          <w:u w:val="single"/>
        </w:rPr>
        <w:t>广州净水公司各子项目所在分公司 。</w:t>
      </w:r>
    </w:p>
    <w:p>
      <w:pPr>
        <w:spacing w:line="384" w:lineRule="auto"/>
        <w:ind w:firstLine="480" w:firstLineChars="200"/>
        <w:rPr>
          <w:rFonts w:hint="eastAsia" w:ascii="宋体" w:hAnsi="宋体" w:eastAsia="宋体" w:cs="宋体"/>
          <w:color w:val="auto"/>
          <w:spacing w:val="8"/>
          <w:sz w:val="24"/>
          <w:highlight w:val="none"/>
        </w:rPr>
      </w:pPr>
      <w:r>
        <w:rPr>
          <w:rFonts w:hint="eastAsia" w:ascii="宋体" w:hAnsi="宋体" w:eastAsia="宋体" w:cs="宋体"/>
          <w:color w:val="auto"/>
          <w:sz w:val="24"/>
          <w:highlight w:val="none"/>
        </w:rPr>
        <w:t>2.3项目内容：</w:t>
      </w:r>
      <w:r>
        <w:rPr>
          <w:rFonts w:hint="eastAsia" w:ascii="宋体" w:hAnsi="宋体" w:eastAsia="宋体" w:cs="宋体"/>
          <w:color w:val="auto"/>
          <w:sz w:val="24"/>
          <w:highlight w:val="none"/>
          <w:u w:val="single"/>
        </w:rPr>
        <w:t>…      。</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384"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第三条 项目承包方式</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color w:val="auto"/>
          <w:sz w:val="24"/>
          <w:highlight w:val="none"/>
        </w:rPr>
        <w:t>包工、包料、包工期、包质量、包安全、包文明施工、包调试、包试运行、包验收、包竣工图纸。综合单价包干、项目措施费</w:t>
      </w:r>
      <w:r>
        <w:rPr>
          <w:rFonts w:hint="eastAsia" w:ascii="宋体" w:hAnsi="宋体" w:eastAsia="宋体" w:cs="宋体"/>
          <w:color w:val="auto"/>
          <w:sz w:val="24"/>
          <w:highlight w:val="none"/>
          <w:lang w:val="en-US" w:eastAsia="zh-CN"/>
        </w:rPr>
        <w:t>按实结算</w:t>
      </w:r>
      <w:r>
        <w:rPr>
          <w:rFonts w:hint="eastAsia" w:ascii="宋体" w:hAnsi="宋体" w:eastAsia="宋体" w:cs="宋体"/>
          <w:color w:val="auto"/>
          <w:sz w:val="24"/>
          <w:highlight w:val="none"/>
        </w:rPr>
        <w:t>。（单价包干要求附工程量报价/工程预算书）</w:t>
      </w:r>
    </w:p>
    <w:p>
      <w:pPr>
        <w:spacing w:line="384"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w:t>
      </w:r>
      <w:r>
        <w:rPr>
          <w:rFonts w:hint="eastAsia" w:ascii="宋体" w:hAnsi="宋体" w:eastAsia="宋体" w:cs="宋体"/>
          <w:color w:val="auto"/>
          <w:sz w:val="24"/>
          <w:highlight w:val="none"/>
        </w:rPr>
        <w:t>包工、包料、包质量、包工期、包安全、包文明施工、包设计、包调试、包验收的施工图纸，以总价包干形式。</w:t>
      </w:r>
    </w:p>
    <w:p>
      <w:pPr>
        <w:spacing w:line="384"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第四条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合同价款</w:t>
      </w:r>
    </w:p>
    <w:p>
      <w:pPr>
        <w:spacing w:line="384" w:lineRule="auto"/>
        <w:ind w:firstLine="480" w:firstLineChars="200"/>
        <w:rPr>
          <w:rFonts w:hint="eastAsia" w:ascii="宋体" w:hAnsi="宋体" w:eastAsia="宋体" w:cs="宋体"/>
          <w:bCs/>
          <w:color w:val="auto"/>
          <w:sz w:val="24"/>
          <w:highlight w:val="none"/>
          <w:bdr w:val="single" w:color="auto" w:sz="4" w:space="0"/>
        </w:rPr>
      </w:pPr>
      <w:r>
        <w:rPr>
          <w:rFonts w:hint="eastAsia" w:ascii="宋体" w:hAnsi="宋体" w:eastAsia="宋体" w:cs="宋体"/>
          <w:color w:val="auto"/>
          <w:sz w:val="24"/>
          <w:highlight w:val="none"/>
        </w:rPr>
        <w:t>4.1合同价款按以下</w:t>
      </w:r>
      <w:r>
        <w:rPr>
          <w:rFonts w:hint="eastAsia" w:ascii="宋体" w:hAnsi="宋体" w:eastAsia="宋体" w:cs="宋体"/>
          <w:bCs/>
          <w:color w:val="auto"/>
          <w:sz w:val="24"/>
          <w:highlight w:val="none"/>
          <w:u w:val="single"/>
        </w:rPr>
        <w:t>（1）</w:t>
      </w:r>
      <w:r>
        <w:rPr>
          <w:rFonts w:hint="eastAsia" w:ascii="宋体" w:hAnsi="宋体" w:eastAsia="宋体" w:cs="宋体"/>
          <w:color w:val="auto"/>
          <w:sz w:val="24"/>
          <w:highlight w:val="none"/>
        </w:rPr>
        <w:t>执行。</w:t>
      </w:r>
    </w:p>
    <w:p>
      <w:pPr>
        <w:numPr>
          <w:ilvl w:val="0"/>
          <w:numId w:val="3"/>
        </w:num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合同暂定总价为：</w:t>
      </w:r>
      <w:r>
        <w:rPr>
          <w:rFonts w:hint="eastAsia" w:ascii="宋体" w:hAnsi="宋体" w:eastAsia="宋体" w:cs="宋体"/>
          <w:b/>
          <w:color w:val="auto"/>
          <w:sz w:val="24"/>
          <w:highlight w:val="none"/>
          <w:u w:val="single"/>
        </w:rPr>
        <w:t>人民币…元</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）。经甲方或甲方委托有资质第三方机构审核后，审核价作为合同结算价。若合同结算价超合同暂定总价，双方另行签订补充协议。合同暂定总价组成：</w:t>
      </w:r>
    </w:p>
    <w:tbl>
      <w:tblPr>
        <w:tblStyle w:val="39"/>
        <w:tblW w:w="4998" w:type="pct"/>
        <w:tblInd w:w="0" w:type="dxa"/>
        <w:tblLayout w:type="autofit"/>
        <w:tblCellMar>
          <w:top w:w="0" w:type="dxa"/>
          <w:left w:w="108" w:type="dxa"/>
          <w:bottom w:w="0" w:type="dxa"/>
          <w:right w:w="108" w:type="dxa"/>
        </w:tblCellMar>
      </w:tblPr>
      <w:tblGrid>
        <w:gridCol w:w="1257"/>
        <w:gridCol w:w="2079"/>
        <w:gridCol w:w="5381"/>
      </w:tblGrid>
      <w:tr>
        <w:tblPrEx>
          <w:tblCellMar>
            <w:top w:w="0" w:type="dxa"/>
            <w:left w:w="108" w:type="dxa"/>
            <w:bottom w:w="0" w:type="dxa"/>
            <w:right w:w="108" w:type="dxa"/>
          </w:tblCellMar>
        </w:tblPrEx>
        <w:tc>
          <w:tcPr>
            <w:tcW w:w="721"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项目一：</w:t>
            </w:r>
          </w:p>
        </w:tc>
        <w:tc>
          <w:tcPr>
            <w:tcW w:w="1192" w:type="pct"/>
          </w:tcPr>
          <w:p>
            <w:pPr>
              <w:pStyle w:val="50"/>
              <w:numPr>
                <w:ilvl w:val="255"/>
                <w:numId w:val="0"/>
              </w:numPr>
              <w:rPr>
                <w:rFonts w:hint="eastAsia" w:ascii="宋体" w:hAnsi="宋体" w:eastAsia="宋体" w:cs="宋体"/>
                <w:b/>
                <w:bCs/>
                <w:color w:val="auto"/>
                <w:highlight w:val="none"/>
              </w:rPr>
            </w:pPr>
            <w:r>
              <w:rPr>
                <w:rFonts w:hint="eastAsia" w:ascii="宋体" w:hAnsi="宋体" w:eastAsia="宋体" w:cs="宋体"/>
                <w:b/>
                <w:bCs/>
                <w:color w:val="auto"/>
                <w:highlight w:val="none"/>
              </w:rPr>
              <w:t>人民币</w:t>
            </w:r>
            <w:r>
              <w:rPr>
                <w:rFonts w:hint="eastAsia" w:ascii="宋体" w:hAnsi="宋体" w:eastAsia="宋体" w:cs="宋体"/>
                <w:b/>
                <w:bCs/>
                <w:color w:val="auto"/>
                <w:highlight w:val="none"/>
                <w:u w:val="single"/>
              </w:rPr>
              <w:t>…</w:t>
            </w:r>
            <w:r>
              <w:rPr>
                <w:rFonts w:hint="eastAsia" w:ascii="宋体" w:hAnsi="宋体" w:eastAsia="宋体" w:cs="宋体"/>
                <w:b/>
                <w:bCs/>
                <w:color w:val="auto"/>
                <w:highlight w:val="none"/>
              </w:rPr>
              <w:t>元</w:t>
            </w:r>
          </w:p>
        </w:tc>
        <w:tc>
          <w:tcPr>
            <w:tcW w:w="3086"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r>
        <w:tblPrEx>
          <w:tblCellMar>
            <w:top w:w="0" w:type="dxa"/>
            <w:left w:w="108" w:type="dxa"/>
            <w:bottom w:w="0" w:type="dxa"/>
            <w:right w:w="108" w:type="dxa"/>
          </w:tblCellMar>
        </w:tblPrEx>
        <w:tc>
          <w:tcPr>
            <w:tcW w:w="721"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项目二：</w:t>
            </w:r>
          </w:p>
        </w:tc>
        <w:tc>
          <w:tcPr>
            <w:tcW w:w="1192" w:type="pct"/>
          </w:tcPr>
          <w:p>
            <w:pPr>
              <w:pStyle w:val="50"/>
              <w:numPr>
                <w:ilvl w:val="255"/>
                <w:numId w:val="0"/>
              </w:numPr>
              <w:rPr>
                <w:rFonts w:hint="eastAsia" w:ascii="宋体" w:hAnsi="宋体" w:eastAsia="宋体" w:cs="宋体"/>
                <w:b/>
                <w:bCs/>
                <w:color w:val="auto"/>
                <w:highlight w:val="none"/>
              </w:rPr>
            </w:pPr>
            <w:r>
              <w:rPr>
                <w:rFonts w:hint="eastAsia" w:ascii="宋体" w:hAnsi="宋体" w:eastAsia="宋体" w:cs="宋体"/>
                <w:b/>
                <w:bCs/>
                <w:color w:val="auto"/>
                <w:highlight w:val="none"/>
              </w:rPr>
              <w:t>人民币</w:t>
            </w:r>
            <w:r>
              <w:rPr>
                <w:rFonts w:hint="eastAsia" w:ascii="宋体" w:hAnsi="宋体" w:eastAsia="宋体" w:cs="宋体"/>
                <w:b/>
                <w:bCs/>
                <w:color w:val="auto"/>
                <w:highlight w:val="none"/>
                <w:u w:val="single"/>
              </w:rPr>
              <w:t>…</w:t>
            </w:r>
            <w:r>
              <w:rPr>
                <w:rFonts w:hint="eastAsia" w:ascii="宋体" w:hAnsi="宋体" w:eastAsia="宋体" w:cs="宋体"/>
                <w:b/>
                <w:bCs/>
                <w:color w:val="auto"/>
                <w:highlight w:val="none"/>
              </w:rPr>
              <w:t>元</w:t>
            </w:r>
          </w:p>
        </w:tc>
        <w:tc>
          <w:tcPr>
            <w:tcW w:w="3086"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bl>
    <w:p>
      <w:pPr>
        <w:pStyle w:val="50"/>
        <w:numPr>
          <w:ilvl w:val="255"/>
          <w:numId w:val="0"/>
        </w:numPr>
        <w:rPr>
          <w:rFonts w:hint="eastAsia" w:ascii="宋体" w:hAnsi="宋体" w:eastAsia="宋体" w:cs="宋体"/>
          <w:color w:val="auto"/>
          <w:highlight w:val="none"/>
        </w:rPr>
      </w:pP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综合单价详见附件工程量报价清单。</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highlight w:val="none"/>
        </w:rPr>
        <w:t>（2）</w:t>
      </w:r>
      <w:r>
        <w:rPr>
          <w:rFonts w:hint="eastAsia" w:ascii="宋体" w:hAnsi="宋体" w:eastAsia="宋体" w:cs="宋体"/>
          <w:color w:val="auto"/>
          <w:sz w:val="24"/>
          <w:highlight w:val="none"/>
        </w:rPr>
        <w:t>合同以总价包干形式，合同暂定总价为：</w:t>
      </w:r>
      <w:r>
        <w:rPr>
          <w:rFonts w:hint="eastAsia" w:ascii="宋体" w:hAnsi="宋体" w:eastAsia="宋体" w:cs="宋体"/>
          <w:b/>
          <w:color w:val="auto"/>
          <w:sz w:val="24"/>
          <w:highlight w:val="none"/>
          <w:u w:val="single"/>
        </w:rPr>
        <w:t>人民币…元</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4.2</w:t>
      </w:r>
      <w:r>
        <w:rPr>
          <w:rFonts w:hint="eastAsia" w:ascii="宋体" w:hAnsi="宋体" w:eastAsia="宋体" w:cs="宋体"/>
          <w:color w:val="auto"/>
          <w:kern w:val="0"/>
          <w:sz w:val="24"/>
          <w:highlight w:val="none"/>
        </w:rPr>
        <w:t>本合同约定的价格为含税价价格</w:t>
      </w:r>
      <w:r>
        <w:rPr>
          <w:rFonts w:hint="eastAsia" w:ascii="宋体" w:hAnsi="宋体" w:eastAsia="宋体" w:cs="宋体"/>
          <w:color w:val="auto"/>
          <w:sz w:val="24"/>
          <w:highlight w:val="none"/>
        </w:rPr>
        <w:t>（税率</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9 %</w:t>
      </w:r>
      <w:r>
        <w:rPr>
          <w:rFonts w:hint="eastAsia" w:ascii="宋体" w:hAnsi="宋体" w:eastAsia="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84"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4.3因非乙方原因引起工程量报价清单中工程量发生增减，且单个子目工程量变化幅度在25%以内（含）时，按工程量报价清单中列明的子目单价结算。否则，有权按新增单价执行。</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4.4合同中没有适用于变更工程项目的单价的，按新增单价执行。</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新增单价计价原则：</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2.项目计价材料、设备价格的控制：按以下顺序作为降序优先级依次采用工程开工报告中开工日期当月的下列价格：</w:t>
      </w:r>
    </w:p>
    <w:p>
      <w:pPr>
        <w:spacing w:line="384"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（1）《广州地区建设工程常用材料税前综合价格》（下称综合价格）。</w:t>
      </w:r>
    </w:p>
    <w:p>
      <w:pPr>
        <w:spacing w:line="384"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（2）《广州地区建设工程材料（设备）厂商价格信息》（下称厂商价格）下浮10-20%。</w:t>
      </w:r>
    </w:p>
    <w:p>
      <w:pPr>
        <w:spacing w:line="384"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（3）综合价格、厂商价格中缺项的，采用由北京瑞恒达建筑咨询有限公司提供服务的“慧讯网”中查到的相应材料、设备价格的工程价。</w:t>
      </w:r>
    </w:p>
    <w:p>
      <w:pPr>
        <w:pStyle w:val="50"/>
        <w:spacing w:line="384" w:lineRule="auto"/>
        <w:rPr>
          <w:rFonts w:hint="eastAsia" w:ascii="宋体" w:hAnsi="宋体" w:eastAsia="宋体" w:cs="宋体"/>
          <w:color w:val="auto"/>
          <w:highlight w:val="none"/>
        </w:rPr>
      </w:pPr>
      <w:r>
        <w:rPr>
          <w:rFonts w:hint="eastAsia" w:ascii="宋体" w:hAnsi="宋体" w:eastAsia="宋体" w:cs="宋体"/>
          <w:color w:val="auto"/>
          <w:highlight w:val="none"/>
        </w:rPr>
        <w:t>（4）通过市场询价双方协商确定。</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3.按1、2组价后下浮5%计取。</w:t>
      </w:r>
    </w:p>
    <w:p>
      <w:pPr>
        <w:widowControl/>
        <w:spacing w:line="384" w:lineRule="auto"/>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第五条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工期及要求</w:t>
      </w:r>
    </w:p>
    <w:p>
      <w:pPr>
        <w:pStyle w:val="96"/>
        <w:widowControl/>
        <w:numPr>
          <w:ilvl w:val="-1"/>
          <w:numId w:val="0"/>
        </w:numPr>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sz w:val="24"/>
          <w:highlight w:val="none"/>
        </w:rPr>
        <w:t>5.1</w:t>
      </w:r>
      <w:r>
        <w:rPr>
          <w:rFonts w:hint="eastAsia" w:ascii="宋体" w:hAnsi="宋体" w:eastAsia="宋体" w:cs="宋体"/>
          <w:bCs/>
          <w:color w:val="auto"/>
          <w:kern w:val="0"/>
          <w:sz w:val="24"/>
          <w:szCs w:val="24"/>
          <w:highlight w:val="none"/>
        </w:rPr>
        <w:t>合同工期要求</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各子项施工和调试总工期为120天，工期包括施工、调试和试运行</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工期计算由乙方收到开工</w:t>
      </w:r>
      <w:r>
        <w:rPr>
          <w:rFonts w:hint="eastAsia" w:ascii="宋体" w:hAnsi="宋体" w:eastAsia="宋体" w:cs="宋体"/>
          <w:bCs/>
          <w:color w:val="auto"/>
          <w:kern w:val="0"/>
          <w:sz w:val="24"/>
          <w:szCs w:val="24"/>
          <w:highlight w:val="none"/>
        </w:rPr>
        <w:t>通知</w:t>
      </w:r>
      <w:r>
        <w:rPr>
          <w:rFonts w:hint="eastAsia" w:ascii="宋体" w:hAnsi="宋体" w:eastAsia="宋体" w:cs="宋体"/>
          <w:bCs/>
          <w:color w:val="auto"/>
          <w:kern w:val="0"/>
          <w:sz w:val="24"/>
          <w:szCs w:val="24"/>
          <w:highlight w:val="none"/>
          <w:lang w:val="en-US" w:eastAsia="zh-CN"/>
        </w:rPr>
        <w:t>次</w:t>
      </w:r>
      <w:r>
        <w:rPr>
          <w:rFonts w:hint="eastAsia" w:ascii="宋体" w:hAnsi="宋体" w:eastAsia="宋体" w:cs="宋体"/>
          <w:bCs/>
          <w:color w:val="auto"/>
          <w:kern w:val="0"/>
          <w:sz w:val="24"/>
          <w:szCs w:val="24"/>
          <w:highlight w:val="none"/>
        </w:rPr>
        <w:t>日起开始起算</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至通过试运行为止，</w:t>
      </w:r>
      <w:r>
        <w:rPr>
          <w:rFonts w:hint="eastAsia" w:ascii="宋体" w:hAnsi="宋体" w:eastAsia="宋体" w:cs="宋体"/>
          <w:bCs/>
          <w:color w:val="auto"/>
          <w:kern w:val="0"/>
          <w:sz w:val="24"/>
          <w:szCs w:val="24"/>
          <w:highlight w:val="none"/>
        </w:rPr>
        <w:t>工期调整根据实际计划时间而定。</w:t>
      </w:r>
    </w:p>
    <w:p>
      <w:pPr>
        <w:pStyle w:val="96"/>
        <w:widowControl/>
        <w:numPr>
          <w:ilvl w:val="-1"/>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5.1.1深化设计期：合同签订后30天内，承包人应在施工前完成对应子项目的二次深化设计（含主要设备仪表的样本、选型说明以及工程预算等内容，二次深化设计工作应为限额设计，不得超出子项目实施范围）、施工倒排工期计划、进场前所有准备工作（含工程备案资料），并提交上述资料的盖章纸质版报甲方审核，其中各子项目二次深化设计方案和实施备案资料须通过甲方所属分公司审核后方可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Cs/>
          <w:color w:val="auto"/>
          <w:sz w:val="24"/>
          <w:szCs w:val="24"/>
          <w:highlight w:val="none"/>
          <w:lang w:val="en-US" w:eastAsia="zh-CN"/>
        </w:rPr>
        <w:t>5.1.2</w:t>
      </w:r>
      <w:r>
        <w:rPr>
          <w:rFonts w:hint="eastAsia" w:ascii="宋体" w:hAnsi="宋体" w:eastAsia="宋体" w:cs="宋体"/>
          <w:bCs/>
          <w:color w:val="auto"/>
          <w:kern w:val="0"/>
          <w:sz w:val="24"/>
          <w:szCs w:val="24"/>
          <w:highlight w:val="none"/>
          <w:lang w:val="en-US" w:eastAsia="zh-CN"/>
        </w:rPr>
        <w:t>子项目调试、试运行期间，乙方应安排人员</w:t>
      </w:r>
      <w:r>
        <w:rPr>
          <w:rFonts w:hint="eastAsia" w:ascii="宋体" w:hAnsi="宋体" w:eastAsia="宋体" w:cs="宋体"/>
          <w:bCs/>
          <w:color w:val="auto"/>
          <w:kern w:val="0"/>
          <w:sz w:val="24"/>
          <w:szCs w:val="24"/>
          <w:highlight w:val="none"/>
        </w:rPr>
        <w:t>驻点陪产</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各子项目完成调试后由乙方提交验收工作方案。子项项目验收工作方案经甲方审核同意后，子项项目开展</w:t>
      </w:r>
      <w:r>
        <w:rPr>
          <w:rFonts w:hint="eastAsia" w:ascii="宋体" w:hAnsi="宋体" w:eastAsia="宋体" w:cs="宋体"/>
          <w:bCs/>
          <w:color w:val="auto"/>
          <w:kern w:val="0"/>
          <w:sz w:val="24"/>
          <w:szCs w:val="24"/>
          <w:highlight w:val="none"/>
        </w:rPr>
        <w:t>7天稳定</w:t>
      </w:r>
      <w:r>
        <w:rPr>
          <w:rFonts w:hint="eastAsia" w:ascii="宋体" w:hAnsi="宋体" w:eastAsia="宋体" w:cs="宋体"/>
          <w:bCs/>
          <w:color w:val="auto"/>
          <w:kern w:val="0"/>
          <w:sz w:val="24"/>
          <w:szCs w:val="24"/>
          <w:highlight w:val="none"/>
          <w:lang w:val="en-US" w:eastAsia="zh-CN"/>
        </w:rPr>
        <w:t>试运行进行效果验收。</w:t>
      </w:r>
      <w:r>
        <w:rPr>
          <w:rFonts w:hint="eastAsia" w:ascii="宋体" w:hAnsi="宋体" w:eastAsia="宋体" w:cs="宋体"/>
          <w:b w:val="0"/>
          <w:bCs/>
          <w:color w:val="auto"/>
          <w:kern w:val="0"/>
          <w:sz w:val="24"/>
          <w:szCs w:val="24"/>
          <w:highlight w:val="none"/>
          <w:lang w:val="en-US" w:eastAsia="zh-CN"/>
        </w:rPr>
        <w:t>试运行期间，如发现未能达到项目验收要求的问题，即判定试运行期考核结果失败并立即结束考核。当出现不及格的情况后，在设备完成整改和调试后，乙方应向甲方递交再次开始7天稳定试运行的申请，甲方同意后方可再次开始试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如经过3次试运行不及格，则判定工程验收失败，甲方有权解除合同，并要求</w:t>
      </w:r>
      <w:r>
        <w:rPr>
          <w:rFonts w:hint="eastAsia" w:ascii="宋体" w:hAnsi="宋体" w:eastAsia="宋体" w:cs="宋体"/>
          <w:b w:val="0"/>
          <w:bCs/>
          <w:color w:val="auto"/>
          <w:kern w:val="0"/>
          <w:sz w:val="24"/>
          <w:szCs w:val="24"/>
          <w:highlight w:val="none"/>
          <w:lang w:val="en-US" w:eastAsia="zh-CN" w:bidi="ar"/>
        </w:rPr>
        <w:t>乙方支付对应子项目合同暂定总价的20%作为违约金，且</w:t>
      </w:r>
      <w:r>
        <w:rPr>
          <w:rFonts w:hint="eastAsia" w:ascii="宋体" w:hAnsi="宋体" w:eastAsia="宋体" w:cs="宋体"/>
          <w:b w:val="0"/>
          <w:bCs/>
          <w:color w:val="auto"/>
          <w:kern w:val="0"/>
          <w:sz w:val="24"/>
          <w:szCs w:val="24"/>
          <w:highlight w:val="none"/>
          <w:lang w:val="en-US" w:eastAsia="zh-CN"/>
        </w:rPr>
        <w:t>乙方须承担所有损失。</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009"/>
        <w:gridCol w:w="2886"/>
        <w:gridCol w:w="937"/>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60" w:type="pct"/>
            <w:noWrap/>
            <w:vAlign w:val="center"/>
          </w:tcPr>
          <w:p>
            <w:pPr>
              <w:widowControl/>
              <w:ind w:firstLine="2" w:firstLineChars="1"/>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578" w:type="pct"/>
            <w:noWrap/>
            <w:vAlign w:val="center"/>
          </w:tcPr>
          <w:p>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分公司</w:t>
            </w:r>
          </w:p>
        </w:tc>
        <w:tc>
          <w:tcPr>
            <w:tcW w:w="1654" w:type="pct"/>
            <w:noWrap/>
            <w:vAlign w:val="center"/>
          </w:tcPr>
          <w:p>
            <w:pPr>
              <w:widowControl/>
              <w:ind w:firstLine="7" w:firstLineChars="3"/>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537" w:type="pct"/>
            <w:noWrap/>
            <w:vAlign w:val="center"/>
          </w:tcPr>
          <w:p>
            <w:pPr>
              <w:widowControl/>
              <w:ind w:firstLine="4" w:firstLineChars="2"/>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工期（天）</w:t>
            </w:r>
          </w:p>
        </w:tc>
        <w:tc>
          <w:tcPr>
            <w:tcW w:w="1969" w:type="pct"/>
            <w:noWrap/>
            <w:vAlign w:val="center"/>
          </w:tcPr>
          <w:p>
            <w:pPr>
              <w:widowControl/>
              <w:ind w:firstLine="4" w:firstLineChars="2"/>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60" w:type="pct"/>
            <w:noWrap/>
            <w:vAlign w:val="center"/>
          </w:tcPr>
          <w:p>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78" w:type="pct"/>
            <w:noWrap/>
            <w:vAlign w:val="center"/>
          </w:tcPr>
          <w:p>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猎德分公司</w:t>
            </w:r>
          </w:p>
        </w:tc>
        <w:tc>
          <w:tcPr>
            <w:tcW w:w="1654" w:type="pct"/>
            <w:noWrap/>
            <w:vAlign w:val="center"/>
          </w:tcPr>
          <w:p>
            <w:pPr>
              <w:widowControl/>
              <w:ind w:firstLine="7" w:firstLineChars="3"/>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猎德分公司除臭系统自动化监控改造</w:t>
            </w:r>
            <w:r>
              <w:rPr>
                <w:rFonts w:hint="eastAsia" w:ascii="宋体" w:hAnsi="宋体" w:eastAsia="宋体" w:cs="宋体"/>
                <w:color w:val="auto"/>
                <w:sz w:val="24"/>
                <w:highlight w:val="none"/>
                <w:lang w:val="en-US" w:eastAsia="zh-CN"/>
              </w:rPr>
              <w:t>项目</w:t>
            </w:r>
          </w:p>
        </w:tc>
        <w:tc>
          <w:tcPr>
            <w:tcW w:w="537" w:type="pct"/>
            <w:noWrap/>
            <w:vAlign w:val="center"/>
          </w:tcPr>
          <w:p>
            <w:pPr>
              <w:widowControl/>
              <w:ind w:firstLine="4" w:firstLineChars="2"/>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120</w:t>
            </w:r>
            <w:r>
              <w:rPr>
                <w:rFonts w:hint="eastAsia" w:ascii="宋体" w:hAnsi="宋体" w:eastAsia="宋体" w:cs="宋体"/>
                <w:color w:val="auto"/>
                <w:sz w:val="24"/>
                <w:highlight w:val="none"/>
              </w:rPr>
              <w:t>天</w:t>
            </w:r>
          </w:p>
        </w:tc>
        <w:tc>
          <w:tcPr>
            <w:tcW w:w="1969" w:type="pct"/>
            <w:vMerge w:val="restart"/>
            <w:noWrap/>
            <w:vAlign w:val="center"/>
          </w:tcPr>
          <w:p>
            <w:pPr>
              <w:widowControl/>
              <w:ind w:firstLine="4" w:firstLineChars="2"/>
              <w:jc w:val="center"/>
              <w:textAlignment w:val="center"/>
              <w:rPr>
                <w:rFonts w:hint="eastAsia" w:ascii="宋体" w:hAnsi="宋体" w:eastAsia="宋体" w:cs="宋体"/>
                <w:color w:val="auto"/>
                <w:sz w:val="24"/>
                <w:highlight w:val="none"/>
              </w:rPr>
            </w:pPr>
            <w:r>
              <w:rPr>
                <w:rFonts w:hint="eastAsia" w:ascii="宋体" w:hAnsi="宋体" w:eastAsia="宋体" w:cs="宋体"/>
                <w:bCs w:val="0"/>
                <w:color w:val="auto"/>
                <w:sz w:val="24"/>
                <w:szCs w:val="24"/>
                <w:highlight w:val="none"/>
                <w:lang w:val="en-US" w:eastAsia="zh-CN"/>
              </w:rPr>
              <w:t>工期包括施工、调试和试运行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60" w:type="pct"/>
            <w:noWrap/>
            <w:vAlign w:val="center"/>
          </w:tcPr>
          <w:p>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78" w:type="pct"/>
            <w:noWrap/>
            <w:vAlign w:val="center"/>
          </w:tcPr>
          <w:p>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石井净分公司</w:t>
            </w:r>
          </w:p>
        </w:tc>
        <w:tc>
          <w:tcPr>
            <w:tcW w:w="1654" w:type="pct"/>
            <w:noWrap/>
            <w:vAlign w:val="center"/>
          </w:tcPr>
          <w:p>
            <w:pPr>
              <w:widowControl/>
              <w:ind w:firstLine="7" w:firstLineChars="3"/>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石井净分公司除臭、通风系统自动化监控改造</w:t>
            </w:r>
            <w:r>
              <w:rPr>
                <w:rFonts w:hint="eastAsia" w:ascii="宋体" w:hAnsi="宋体" w:eastAsia="宋体" w:cs="宋体"/>
                <w:color w:val="auto"/>
                <w:sz w:val="24"/>
                <w:highlight w:val="none"/>
                <w:lang w:val="en-US" w:eastAsia="zh-CN"/>
              </w:rPr>
              <w:t>项目</w:t>
            </w:r>
          </w:p>
        </w:tc>
        <w:tc>
          <w:tcPr>
            <w:tcW w:w="537" w:type="pct"/>
            <w:noWrap/>
            <w:vAlign w:val="center"/>
          </w:tcPr>
          <w:p>
            <w:pPr>
              <w:widowControl/>
              <w:ind w:firstLine="4" w:firstLineChars="2"/>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120</w:t>
            </w:r>
            <w:r>
              <w:rPr>
                <w:rFonts w:hint="eastAsia" w:ascii="宋体" w:hAnsi="宋体" w:eastAsia="宋体" w:cs="宋体"/>
                <w:color w:val="auto"/>
                <w:sz w:val="24"/>
                <w:highlight w:val="none"/>
              </w:rPr>
              <w:t>天</w:t>
            </w:r>
          </w:p>
        </w:tc>
        <w:tc>
          <w:tcPr>
            <w:tcW w:w="1969" w:type="pct"/>
            <w:vMerge w:val="continue"/>
            <w:noWrap/>
            <w:vAlign w:val="center"/>
          </w:tcPr>
          <w:p>
            <w:pPr>
              <w:widowControl/>
              <w:ind w:firstLine="480"/>
              <w:jc w:val="center"/>
              <w:textAlignment w:val="center"/>
              <w:rPr>
                <w:rFonts w:hint="eastAsia" w:ascii="宋体" w:hAnsi="宋体" w:eastAsia="宋体" w:cs="宋体"/>
                <w:color w:val="auto"/>
                <w:sz w:val="24"/>
                <w:highlight w:val="none"/>
              </w:rPr>
            </w:pPr>
          </w:p>
        </w:tc>
      </w:tr>
    </w:tbl>
    <w:p>
      <w:pPr>
        <w:pStyle w:val="22"/>
        <w:spacing w:line="500" w:lineRule="exact"/>
        <w:ind w:firstLine="448"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pacing w:val="-8"/>
          <w:sz w:val="24"/>
          <w:highlight w:val="none"/>
        </w:rPr>
        <w:t>5.2项目每个子项均需要按照合同条款5.1</w:t>
      </w:r>
      <w:r>
        <w:rPr>
          <w:rFonts w:hint="eastAsia" w:ascii="宋体" w:hAnsi="宋体" w:eastAsia="宋体" w:cs="宋体"/>
          <w:color w:val="auto"/>
          <w:spacing w:val="-8"/>
          <w:sz w:val="24"/>
          <w:highlight w:val="none"/>
          <w:lang w:val="en-US" w:eastAsia="zh-CN"/>
        </w:rPr>
        <w:t>.1</w:t>
      </w:r>
      <w:r>
        <w:rPr>
          <w:rFonts w:hint="eastAsia" w:ascii="宋体" w:hAnsi="宋体" w:eastAsia="宋体" w:cs="宋体"/>
          <w:color w:val="auto"/>
          <w:spacing w:val="-8"/>
          <w:sz w:val="24"/>
          <w:highlight w:val="none"/>
        </w:rPr>
        <w:t>规定完成二次深化设计和办理施工备案等工作，合同签订后</w:t>
      </w:r>
      <w:r>
        <w:rPr>
          <w:rFonts w:hint="eastAsia" w:ascii="宋体" w:hAnsi="宋体" w:eastAsia="宋体" w:cs="宋体"/>
          <w:color w:val="auto"/>
          <w:spacing w:val="-8"/>
          <w:sz w:val="24"/>
          <w:highlight w:val="none"/>
          <w:u w:val="single"/>
        </w:rPr>
        <w:t>30</w:t>
      </w:r>
      <w:r>
        <w:rPr>
          <w:rFonts w:hint="eastAsia" w:ascii="宋体" w:hAnsi="宋体" w:eastAsia="宋体" w:cs="宋体"/>
          <w:color w:val="auto"/>
          <w:spacing w:val="-8"/>
          <w:sz w:val="24"/>
          <w:highlight w:val="none"/>
        </w:rPr>
        <w:t>天内，乙方需提交合同条款5.1</w:t>
      </w:r>
      <w:r>
        <w:rPr>
          <w:rFonts w:hint="eastAsia" w:ascii="宋体" w:hAnsi="宋体" w:eastAsia="宋体" w:cs="宋体"/>
          <w:color w:val="auto"/>
          <w:spacing w:val="-8"/>
          <w:sz w:val="24"/>
          <w:highlight w:val="none"/>
          <w:lang w:val="en-US" w:eastAsia="zh-CN"/>
        </w:rPr>
        <w:t>.1</w:t>
      </w:r>
      <w:r>
        <w:rPr>
          <w:rFonts w:hint="eastAsia" w:ascii="宋体" w:hAnsi="宋体" w:eastAsia="宋体" w:cs="宋体"/>
          <w:color w:val="auto"/>
          <w:spacing w:val="-8"/>
          <w:sz w:val="24"/>
          <w:highlight w:val="none"/>
        </w:rPr>
        <w:t>规定的完整的盖章版施工备案资料，</w:t>
      </w:r>
      <w:r>
        <w:rPr>
          <w:rFonts w:hint="eastAsia" w:ascii="宋体" w:hAnsi="宋体" w:eastAsia="宋体" w:cs="宋体"/>
          <w:color w:val="auto"/>
          <w:sz w:val="24"/>
          <w:szCs w:val="24"/>
          <w:highlight w:val="none"/>
        </w:rPr>
        <w:t>每逾期一天，</w:t>
      </w:r>
      <w:r>
        <w:rPr>
          <w:rFonts w:hint="eastAsia" w:ascii="宋体" w:hAnsi="宋体" w:eastAsia="宋体" w:cs="宋体"/>
          <w:color w:val="auto"/>
          <w:sz w:val="24"/>
          <w:highlight w:val="none"/>
        </w:rPr>
        <w:t>甲方有权要求乙方</w:t>
      </w: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u w:val="single"/>
        </w:rPr>
        <w:t>对应子项目合同暂定总价的1%</w:t>
      </w:r>
      <w:r>
        <w:rPr>
          <w:rFonts w:hint="eastAsia" w:ascii="宋体" w:hAnsi="宋体" w:eastAsia="宋体" w:cs="宋体"/>
          <w:color w:val="auto"/>
          <w:sz w:val="24"/>
          <w:szCs w:val="24"/>
          <w:highlight w:val="none"/>
        </w:rPr>
        <w:t>支付逾期违约金，逾期达到</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天及以上的，甲方有权解除合同。</w:t>
      </w:r>
    </w:p>
    <w:p>
      <w:pPr>
        <w:widowControl/>
        <w:spacing w:line="384"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5.3项目每个子项的</w:t>
      </w:r>
      <w:r>
        <w:rPr>
          <w:rFonts w:hint="eastAsia" w:ascii="宋体" w:hAnsi="宋体" w:eastAsia="宋体" w:cs="宋体"/>
          <w:color w:val="auto"/>
          <w:sz w:val="24"/>
          <w:highlight w:val="none"/>
          <w:lang w:val="en-US" w:eastAsia="zh-CN"/>
        </w:rPr>
        <w:t>工期</w:t>
      </w:r>
      <w:r>
        <w:rPr>
          <w:rFonts w:hint="eastAsia" w:ascii="宋体" w:hAnsi="宋体" w:eastAsia="宋体" w:cs="宋体"/>
          <w:color w:val="auto"/>
          <w:sz w:val="24"/>
          <w:highlight w:val="none"/>
        </w:rPr>
        <w:t>的开工具体日期以甲方发出的开工通知书为准，乙方不能按时开工，应当于开工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乙方不得有异议。</w:t>
      </w:r>
      <w:r>
        <w:rPr>
          <w:rFonts w:hint="eastAsia" w:ascii="宋体" w:hAnsi="宋体" w:eastAsia="宋体" w:cs="宋体"/>
          <w:color w:val="auto"/>
          <w:sz w:val="24"/>
          <w:highlight w:val="none"/>
          <w:lang w:val="en-US" w:eastAsia="zh-CN"/>
        </w:rPr>
        <w:t>因乙方原因未按甲方开工通知时间进场施工的，每逾期一日，应按2000元/日支付逾期违约金，逾期达7日及以上的，甲方有权解除合同。</w:t>
      </w:r>
    </w:p>
    <w:p>
      <w:pPr>
        <w:widowControl/>
        <w:spacing w:line="384"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5.4</w:t>
      </w:r>
      <w:r>
        <w:rPr>
          <w:rFonts w:hint="eastAsia" w:ascii="宋体" w:hAnsi="宋体" w:eastAsia="宋体" w:cs="宋体"/>
          <w:color w:val="auto"/>
          <w:sz w:val="24"/>
          <w:highlight w:val="none"/>
        </w:rPr>
        <w:t>因乙方原因，乙方未按合同条款5.1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规定的工期内完成工作内容，每逾期一日，应按2000元/日支付逾期违约金，对应子项目工期逾期合计达到30日及以上的，甲方有权解除合同并要求乙方支付对应子项目</w:t>
      </w:r>
      <w:r>
        <w:rPr>
          <w:rFonts w:hint="eastAsia" w:ascii="宋体" w:hAnsi="宋体" w:eastAsia="宋体" w:cs="宋体"/>
          <w:color w:val="auto"/>
          <w:sz w:val="24"/>
          <w:highlight w:val="none"/>
          <w:u w:val="single"/>
        </w:rPr>
        <w:t>合同暂定总价的20%</w:t>
      </w:r>
      <w:r>
        <w:rPr>
          <w:rFonts w:hint="eastAsia" w:ascii="宋体" w:hAnsi="宋体" w:eastAsia="宋体" w:cs="宋体"/>
          <w:color w:val="auto"/>
          <w:sz w:val="24"/>
          <w:highlight w:val="none"/>
        </w:rPr>
        <w:t>作为违约金。</w:t>
      </w:r>
    </w:p>
    <w:p>
      <w:pPr>
        <w:widowControl/>
        <w:spacing w:line="384"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5.5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对应子项目</w:t>
      </w:r>
      <w:r>
        <w:rPr>
          <w:rFonts w:hint="eastAsia" w:ascii="宋体" w:hAnsi="宋体" w:eastAsia="宋体" w:cs="宋体"/>
          <w:bCs/>
          <w:color w:val="auto"/>
          <w:sz w:val="24"/>
          <w:highlight w:val="none"/>
          <w:u w:val="single"/>
        </w:rPr>
        <w:t>合同暂定总价的5%/次</w:t>
      </w:r>
      <w:r>
        <w:rPr>
          <w:rFonts w:hint="eastAsia" w:ascii="宋体" w:hAnsi="宋体" w:eastAsia="宋体" w:cs="宋体"/>
          <w:bCs/>
          <w:color w:val="auto"/>
          <w:sz w:val="24"/>
          <w:highlight w:val="none"/>
        </w:rPr>
        <w:t>作为违约金，超过三次（含三次）的，甲方有权解除合同，要求乙方支付对应子项目</w:t>
      </w:r>
      <w:r>
        <w:rPr>
          <w:rFonts w:hint="eastAsia" w:ascii="宋体" w:hAnsi="宋体" w:eastAsia="宋体" w:cs="宋体"/>
          <w:bCs/>
          <w:color w:val="auto"/>
          <w:sz w:val="24"/>
          <w:highlight w:val="none"/>
          <w:u w:val="single"/>
        </w:rPr>
        <w:t>合同暂定总价的20%</w:t>
      </w:r>
      <w:r>
        <w:rPr>
          <w:rFonts w:hint="eastAsia" w:ascii="宋体" w:hAnsi="宋体" w:eastAsia="宋体" w:cs="宋体"/>
          <w:bCs/>
          <w:color w:val="auto"/>
          <w:sz w:val="24"/>
          <w:highlight w:val="none"/>
        </w:rPr>
        <w:t>作为违约金。由此造成的经济和法律责任，均由乙方负责。</w:t>
      </w:r>
    </w:p>
    <w:p>
      <w:pPr>
        <w:widowControl/>
        <w:spacing w:line="384" w:lineRule="auto"/>
        <w:ind w:left="1"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5.6乙方应按合同及甲方提供的技术文件要求进行本项目实施和安装。乙方未经甲方同意，不得将本项目图纸泄露或转给第三人。除乙方存档需要的图纸外，乙方应于项目质量保修期满后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eastAsia="宋体" w:cs="宋体"/>
          <w:bCs/>
          <w:color w:val="auto"/>
          <w:sz w:val="24"/>
          <w:highlight w:val="none"/>
          <w:u w:val="single"/>
        </w:rPr>
        <w:t xml:space="preserve"> 20 </w:t>
      </w:r>
      <w:r>
        <w:rPr>
          <w:rFonts w:hint="eastAsia" w:ascii="宋体" w:hAnsi="宋体" w:eastAsia="宋体" w:cs="宋体"/>
          <w:bCs/>
          <w:color w:val="auto"/>
          <w:sz w:val="24"/>
          <w:highlight w:val="none"/>
        </w:rPr>
        <w:t>日内将全部图纸退还给甲方。</w:t>
      </w:r>
    </w:p>
    <w:p>
      <w:pPr>
        <w:widowControl/>
        <w:spacing w:line="384" w:lineRule="auto"/>
        <w:ind w:left="1"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5.7合同约定的项目，乙方不得转包，不许擅自分包。否则，甲方有权单方面终止合同，并令其立即退场，由此而造成的经济损失由乙方负责赔偿。</w:t>
      </w:r>
    </w:p>
    <w:p>
      <w:pPr>
        <w:widowControl/>
        <w:spacing w:line="384" w:lineRule="auto"/>
        <w:ind w:left="1"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5.8乙方不履行合同义务、或履行合同义务不符合合同约定、或违反国家、省、市行业标准的，甲方有权要求乙方限期整改。乙方逾期未完成整改的，每项每超过1日支付违约金人民币</w:t>
      </w:r>
      <w:r>
        <w:rPr>
          <w:rFonts w:hint="eastAsia" w:ascii="宋体" w:hAnsi="宋体" w:eastAsia="宋体" w:cs="宋体"/>
          <w:bCs/>
          <w:color w:val="auto"/>
          <w:sz w:val="24"/>
          <w:highlight w:val="none"/>
          <w:u w:val="single"/>
        </w:rPr>
        <w:t>1万元</w:t>
      </w:r>
      <w:r>
        <w:rPr>
          <w:rFonts w:hint="eastAsia" w:ascii="宋体" w:hAnsi="宋体" w:eastAsia="宋体" w:cs="宋体"/>
          <w:bCs/>
          <w:color w:val="auto"/>
          <w:sz w:val="24"/>
          <w:highlight w:val="none"/>
        </w:rPr>
        <w:t>，超过_</w:t>
      </w:r>
      <w:r>
        <w:rPr>
          <w:rFonts w:hint="eastAsia" w:ascii="宋体" w:hAnsi="宋体" w:eastAsia="宋体" w:cs="宋体"/>
          <w:bCs/>
          <w:color w:val="auto"/>
          <w:sz w:val="24"/>
          <w:highlight w:val="none"/>
          <w:u w:val="single"/>
        </w:rPr>
        <w:t>7</w:t>
      </w:r>
      <w:r>
        <w:rPr>
          <w:rFonts w:hint="eastAsia" w:ascii="宋体" w:hAnsi="宋体" w:eastAsia="宋体" w:cs="宋体"/>
          <w:bCs/>
          <w:color w:val="auto"/>
          <w:sz w:val="24"/>
          <w:highlight w:val="none"/>
        </w:rPr>
        <w:t>_日，甲方有权解除合同并要求乙方支付对应子项目</w:t>
      </w:r>
      <w:r>
        <w:rPr>
          <w:rFonts w:hint="eastAsia" w:ascii="宋体" w:hAnsi="宋体" w:eastAsia="宋体" w:cs="宋体"/>
          <w:bCs/>
          <w:color w:val="auto"/>
          <w:sz w:val="24"/>
          <w:highlight w:val="none"/>
          <w:u w:val="single"/>
        </w:rPr>
        <w:t>合同暂定总价的20%</w:t>
      </w:r>
      <w:r>
        <w:rPr>
          <w:rFonts w:hint="eastAsia" w:ascii="宋体" w:hAnsi="宋体" w:eastAsia="宋体" w:cs="宋体"/>
          <w:bCs/>
          <w:color w:val="auto"/>
          <w:sz w:val="24"/>
          <w:highlight w:val="none"/>
        </w:rPr>
        <w:t>作为违约金（</w:t>
      </w:r>
      <w:r>
        <w:rPr>
          <w:rFonts w:hint="eastAsia" w:ascii="宋体" w:hAnsi="宋体" w:eastAsia="宋体" w:cs="宋体"/>
          <w:color w:val="auto"/>
          <w:sz w:val="24"/>
          <w:highlight w:val="none"/>
        </w:rPr>
        <w:t>如合同另行约定违约责任，从其约定</w:t>
      </w:r>
      <w:r>
        <w:rPr>
          <w:rFonts w:hint="eastAsia" w:ascii="宋体" w:hAnsi="宋体" w:eastAsia="宋体" w:cs="宋体"/>
          <w:bCs/>
          <w:color w:val="auto"/>
          <w:sz w:val="24"/>
          <w:highlight w:val="none"/>
        </w:rPr>
        <w:t>）。</w:t>
      </w:r>
    </w:p>
    <w:p>
      <w:pPr>
        <w:topLinePunct/>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5.9乙方不得随意更换项目负责人及附件5中的相关人员，如确须更换，应提前征得甲方同意。如有违反，甲方有权解除合同并要求乙方支付</w:t>
      </w:r>
      <w:r>
        <w:rPr>
          <w:rFonts w:hint="eastAsia" w:ascii="宋体" w:hAnsi="宋体" w:eastAsia="宋体" w:cs="宋体"/>
          <w:color w:val="auto"/>
          <w:sz w:val="24"/>
          <w:highlight w:val="none"/>
          <w:u w:val="single"/>
        </w:rPr>
        <w:t>5000元/人次</w:t>
      </w:r>
      <w:r>
        <w:rPr>
          <w:rFonts w:hint="eastAsia" w:ascii="宋体" w:hAnsi="宋体" w:eastAsia="宋体" w:cs="宋体"/>
          <w:color w:val="auto"/>
          <w:sz w:val="24"/>
          <w:highlight w:val="none"/>
        </w:rPr>
        <w:t>作为违约金，以及赔偿由此造成的一切损失(包含质量安全事故、工期延误、增加投资等)。</w:t>
      </w:r>
    </w:p>
    <w:p>
      <w:pPr>
        <w:topLinePunct/>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5.10施工过程中，</w:t>
      </w:r>
      <w:r>
        <w:rPr>
          <w:rFonts w:hint="eastAsia" w:ascii="宋体" w:hAnsi="宋体" w:eastAsia="宋体" w:cs="宋体"/>
          <w:color w:val="auto"/>
          <w:sz w:val="24"/>
          <w:highlight w:val="none"/>
          <w:shd w:val="clear" w:color="auto" w:fill="FFFFFF"/>
        </w:rPr>
        <w:t>每个子项目施工现场所需人员最低配置要求为项目现场</w:t>
      </w:r>
      <w:r>
        <w:rPr>
          <w:rFonts w:hint="eastAsia" w:ascii="宋体" w:hAnsi="宋体" w:eastAsia="宋体" w:cs="宋体"/>
          <w:color w:val="auto"/>
          <w:sz w:val="24"/>
          <w:highlight w:val="none"/>
          <w:shd w:val="clear" w:color="auto" w:fill="FFFFFF"/>
          <w:lang w:val="en-US" w:eastAsia="zh-CN"/>
        </w:rPr>
        <w:t>负责人</w:t>
      </w:r>
      <w:r>
        <w:rPr>
          <w:rFonts w:hint="eastAsia" w:ascii="宋体" w:hAnsi="宋体" w:eastAsia="宋体" w:cs="宋体"/>
          <w:color w:val="auto"/>
          <w:sz w:val="24"/>
          <w:highlight w:val="none"/>
          <w:shd w:val="clear" w:color="auto" w:fill="FFFFFF"/>
        </w:rPr>
        <w:t>、安全员、电工各1人以及普工2人，</w:t>
      </w:r>
      <w:r>
        <w:rPr>
          <w:rFonts w:hint="eastAsia" w:ascii="宋体" w:hAnsi="宋体" w:eastAsia="宋体" w:cs="宋体"/>
          <w:color w:val="auto"/>
          <w:sz w:val="24"/>
          <w:highlight w:val="none"/>
          <w:shd w:val="clear" w:color="auto" w:fill="FFFFFF"/>
          <w:lang w:val="en-US" w:eastAsia="zh-CN"/>
        </w:rPr>
        <w:t>项目</w:t>
      </w:r>
      <w:r>
        <w:rPr>
          <w:rFonts w:hint="eastAsia" w:ascii="宋体" w:hAnsi="宋体" w:eastAsia="宋体" w:cs="宋体"/>
          <w:color w:val="auto"/>
          <w:sz w:val="24"/>
          <w:highlight w:val="none"/>
          <w:shd w:val="clear" w:color="auto" w:fill="FFFFFF"/>
        </w:rPr>
        <w:t>现场</w:t>
      </w:r>
      <w:r>
        <w:rPr>
          <w:rFonts w:hint="eastAsia" w:ascii="宋体" w:hAnsi="宋体" w:eastAsia="宋体" w:cs="宋体"/>
          <w:color w:val="auto"/>
          <w:sz w:val="24"/>
          <w:highlight w:val="none"/>
          <w:shd w:val="clear" w:color="auto" w:fill="FFFFFF"/>
          <w:lang w:val="en-US" w:eastAsia="zh-CN"/>
        </w:rPr>
        <w:t>负责人</w:t>
      </w:r>
      <w:r>
        <w:rPr>
          <w:rFonts w:hint="eastAsia" w:ascii="宋体" w:hAnsi="宋体" w:eastAsia="宋体" w:cs="宋体"/>
          <w:color w:val="auto"/>
          <w:sz w:val="24"/>
          <w:highlight w:val="none"/>
        </w:rPr>
        <w:t>、安全员、电工应驻场管理，否则甲方有权要求乙方支付对应子项目违约</w:t>
      </w:r>
      <w:r>
        <w:rPr>
          <w:rFonts w:hint="eastAsia" w:ascii="宋体" w:hAnsi="宋体" w:eastAsia="宋体" w:cs="宋体"/>
          <w:color w:val="auto"/>
          <w:sz w:val="24"/>
          <w:highlight w:val="none"/>
          <w:u w:val="single"/>
        </w:rPr>
        <w:t>金1000元/天</w:t>
      </w:r>
      <w:r>
        <w:rPr>
          <w:rFonts w:hint="eastAsia" w:ascii="宋体" w:hAnsi="宋体" w:eastAsia="宋体" w:cs="宋体"/>
          <w:color w:val="auto"/>
          <w:sz w:val="24"/>
          <w:highlight w:val="none"/>
        </w:rPr>
        <w:t>，因此造成损失的，按实际发生额赔偿。</w:t>
      </w:r>
    </w:p>
    <w:p>
      <w:pPr>
        <w:pStyle w:val="2"/>
        <w:ind w:firstLine="480"/>
        <w:rPr>
          <w:rFonts w:hint="eastAsia" w:ascii="宋体" w:hAnsi="宋体" w:eastAsia="宋体" w:cs="宋体"/>
          <w:color w:val="auto"/>
          <w:sz w:val="24"/>
          <w:szCs w:val="24"/>
          <w:highlight w:val="none"/>
          <w:shd w:val="clear" w:color="auto" w:fill="EEECE1" w:themeFill="background2"/>
        </w:rPr>
      </w:pPr>
      <w:r>
        <w:rPr>
          <w:rFonts w:hint="eastAsia" w:ascii="宋体" w:hAnsi="宋体" w:eastAsia="宋体" w:cs="宋体"/>
          <w:color w:val="auto"/>
          <w:sz w:val="24"/>
          <w:szCs w:val="24"/>
          <w:highlight w:val="none"/>
        </w:rPr>
        <w:t>5.11</w:t>
      </w:r>
      <w:r>
        <w:rPr>
          <w:rFonts w:hint="eastAsia" w:ascii="宋体" w:hAnsi="宋体" w:eastAsia="宋体" w:cs="宋体"/>
          <w:color w:val="auto"/>
          <w:kern w:val="2"/>
          <w:sz w:val="24"/>
          <w:szCs w:val="24"/>
          <w:highlight w:val="none"/>
          <w:lang w:val="en-US" w:eastAsia="zh-CN" w:bidi="ar-SA"/>
        </w:rPr>
        <w:t>项目实施期间管理要求</w:t>
      </w:r>
    </w:p>
    <w:p>
      <w:pPr>
        <w:pStyle w:val="50"/>
        <w:spacing w:line="500" w:lineRule="exact"/>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5.11.1</w:t>
      </w:r>
      <w:r>
        <w:rPr>
          <w:rFonts w:hint="eastAsia" w:ascii="宋体" w:hAnsi="宋体" w:eastAsia="宋体" w:cs="宋体"/>
          <w:color w:val="auto"/>
          <w:highlight w:val="none"/>
        </w:rPr>
        <w:t>乙方应需每日填写施工日志并发送给甲方，如有违反，甲方可要求乙方支付500元/次作为违约金</w:t>
      </w:r>
      <w:r>
        <w:rPr>
          <w:rFonts w:hint="eastAsia" w:ascii="宋体" w:hAnsi="宋体" w:eastAsia="宋体" w:cs="宋体"/>
          <w:color w:val="auto"/>
          <w:highlight w:val="none"/>
          <w:lang w:eastAsia="zh-CN"/>
        </w:rPr>
        <w:t>。</w:t>
      </w:r>
    </w:p>
    <w:p>
      <w:pPr>
        <w:pStyle w:val="50"/>
        <w:spacing w:line="50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5.11.2 </w:t>
      </w:r>
      <w:r>
        <w:rPr>
          <w:rFonts w:hint="eastAsia" w:ascii="宋体" w:hAnsi="宋体" w:eastAsia="宋体" w:cs="宋体"/>
          <w:color w:val="auto"/>
          <w:highlight w:val="none"/>
        </w:rPr>
        <w:t>项目负责人、各专业技术负责人、安全员、</w:t>
      </w:r>
      <w:r>
        <w:rPr>
          <w:rFonts w:hint="eastAsia" w:ascii="宋体" w:hAnsi="宋体" w:eastAsia="宋体" w:cs="宋体"/>
          <w:color w:val="auto"/>
          <w:sz w:val="24"/>
          <w:highlight w:val="none"/>
          <w:shd w:val="clear" w:color="auto" w:fill="auto"/>
          <w:lang w:val="en-US" w:eastAsia="zh-CN"/>
        </w:rPr>
        <w:t>项目</w:t>
      </w:r>
      <w:r>
        <w:rPr>
          <w:rFonts w:hint="eastAsia" w:ascii="宋体" w:hAnsi="宋体" w:eastAsia="宋体" w:cs="宋体"/>
          <w:color w:val="auto"/>
          <w:sz w:val="24"/>
          <w:highlight w:val="none"/>
          <w:shd w:val="clear" w:color="auto" w:fill="auto"/>
        </w:rPr>
        <w:t>现场</w:t>
      </w:r>
      <w:r>
        <w:rPr>
          <w:rFonts w:hint="eastAsia" w:ascii="宋体" w:hAnsi="宋体" w:eastAsia="宋体" w:cs="宋体"/>
          <w:color w:val="auto"/>
          <w:sz w:val="24"/>
          <w:highlight w:val="none"/>
          <w:shd w:val="clear" w:color="auto" w:fill="auto"/>
          <w:lang w:val="en-US" w:eastAsia="zh-CN"/>
        </w:rPr>
        <w:t>负责人</w:t>
      </w:r>
      <w:r>
        <w:rPr>
          <w:rFonts w:hint="eastAsia" w:ascii="宋体" w:hAnsi="宋体" w:eastAsia="宋体" w:cs="宋体"/>
          <w:color w:val="auto"/>
          <w:highlight w:val="none"/>
        </w:rPr>
        <w:t>等相关人员必须参加甲方或甲方聘请的监理组织的工作例会，如有违反，甲方可要求乙方支付5000元/人次作为违约金；每次例会后由</w:t>
      </w:r>
      <w:r>
        <w:rPr>
          <w:rFonts w:hint="eastAsia" w:ascii="宋体" w:hAnsi="宋体" w:eastAsia="宋体" w:cs="宋体"/>
          <w:color w:val="auto"/>
          <w:sz w:val="24"/>
          <w:highlight w:val="none"/>
          <w:shd w:val="clear" w:color="auto" w:fill="auto"/>
          <w:lang w:val="en-US" w:eastAsia="zh-CN"/>
        </w:rPr>
        <w:t>项目</w:t>
      </w:r>
      <w:r>
        <w:rPr>
          <w:rFonts w:hint="eastAsia" w:ascii="宋体" w:hAnsi="宋体" w:eastAsia="宋体" w:cs="宋体"/>
          <w:color w:val="auto"/>
          <w:sz w:val="24"/>
          <w:highlight w:val="none"/>
          <w:shd w:val="clear" w:color="auto" w:fill="auto"/>
        </w:rPr>
        <w:t>现场</w:t>
      </w:r>
      <w:r>
        <w:rPr>
          <w:rFonts w:hint="eastAsia" w:ascii="宋体" w:hAnsi="宋体" w:eastAsia="宋体" w:cs="宋体"/>
          <w:color w:val="auto"/>
          <w:sz w:val="24"/>
          <w:highlight w:val="none"/>
          <w:shd w:val="clear" w:color="auto" w:fill="auto"/>
          <w:lang w:val="en-US" w:eastAsia="zh-CN"/>
        </w:rPr>
        <w:t>负责人</w:t>
      </w:r>
      <w:r>
        <w:rPr>
          <w:rFonts w:hint="eastAsia" w:ascii="宋体" w:hAnsi="宋体" w:eastAsia="宋体" w:cs="宋体"/>
          <w:color w:val="auto"/>
          <w:highlight w:val="none"/>
        </w:rPr>
        <w:t>于3天内提供例会报告给</w:t>
      </w:r>
      <w:r>
        <w:rPr>
          <w:rFonts w:hint="eastAsia" w:ascii="宋体" w:hAnsi="宋体" w:eastAsia="宋体" w:cs="宋体"/>
          <w:color w:val="auto"/>
          <w:highlight w:val="none"/>
          <w:lang w:val="en-US" w:eastAsia="zh-CN"/>
        </w:rPr>
        <w:t>甲方</w:t>
      </w:r>
      <w:r>
        <w:rPr>
          <w:rFonts w:hint="eastAsia" w:ascii="宋体" w:hAnsi="宋体" w:eastAsia="宋体" w:cs="宋体"/>
          <w:color w:val="auto"/>
          <w:highlight w:val="none"/>
        </w:rPr>
        <w:t>，如有违反，甲方可要求乙方支付500元/次作为违约金。</w:t>
      </w:r>
    </w:p>
    <w:p>
      <w:pPr>
        <w:pStyle w:val="50"/>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5.12 施工过程中，乙方应负责配备现场的应急物资。具体应急物资配备详见附件应急救援物资清单。</w:t>
      </w:r>
    </w:p>
    <w:p>
      <w:pPr>
        <w:pStyle w:val="50"/>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5.1</w:t>
      </w:r>
      <w:r>
        <w:rPr>
          <w:rFonts w:hint="eastAsia" w:ascii="宋体" w:hAnsi="宋体" w:eastAsia="宋体" w:cs="宋体"/>
          <w:color w:val="auto"/>
          <w:highlight w:val="none"/>
          <w:lang w:val="en-US" w:eastAsia="zh-CN"/>
        </w:rPr>
        <w:t xml:space="preserve">3 </w:t>
      </w:r>
      <w:r>
        <w:rPr>
          <w:rFonts w:hint="eastAsia" w:ascii="宋体" w:hAnsi="宋体" w:eastAsia="宋体" w:cs="宋体"/>
          <w:color w:val="auto"/>
          <w:highlight w:val="none"/>
        </w:rPr>
        <w:t>在合同有效期内，乙方自愿接受甲方按《广州净水公司工程项目承包单位质量安全考评细则（试行）》处理，具体处理标准详见附件7。</w:t>
      </w:r>
    </w:p>
    <w:p>
      <w:pPr>
        <w:pStyle w:val="50"/>
        <w:rPr>
          <w:rFonts w:hint="eastAsia" w:ascii="宋体" w:hAnsi="宋体" w:eastAsia="宋体" w:cs="宋体"/>
          <w:color w:val="auto"/>
          <w:highlight w:val="none"/>
        </w:rPr>
      </w:pPr>
    </w:p>
    <w:p>
      <w:pPr>
        <w:tabs>
          <w:tab w:val="left" w:pos="851"/>
        </w:tabs>
        <w:adjustRightInd w:val="0"/>
        <w:snapToGrid w:val="0"/>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第六条</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实施条件及管理要求</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6.2施工用水用电采用以下</w:t>
      </w:r>
      <w:r>
        <w:rPr>
          <w:rFonts w:hint="eastAsia" w:ascii="宋体" w:hAnsi="宋体" w:eastAsia="宋体" w:cs="宋体"/>
          <w:color w:val="auto"/>
          <w:sz w:val="24"/>
          <w:highlight w:val="none"/>
          <w:u w:val="single"/>
        </w:rPr>
        <w:t xml:space="preserve"> （1）  </w:t>
      </w:r>
      <w:r>
        <w:rPr>
          <w:rFonts w:hint="eastAsia" w:ascii="宋体" w:hAnsi="宋体" w:eastAsia="宋体" w:cs="宋体"/>
          <w:color w:val="auto"/>
          <w:sz w:val="24"/>
          <w:highlight w:val="none"/>
        </w:rPr>
        <w:t>方式执行。</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（1）由甲方提供施工用水用电接口，</w:t>
      </w:r>
      <w:r>
        <w:rPr>
          <w:rFonts w:hint="eastAsia" w:ascii="宋体" w:hAnsi="宋体" w:eastAsia="宋体" w:cs="宋体"/>
          <w:color w:val="auto"/>
          <w:sz w:val="24"/>
          <w:highlight w:val="none"/>
          <w:lang w:val="en-US" w:eastAsia="zh-CN"/>
        </w:rPr>
        <w:t>水电费按合同综合单价水电含量计算，从甲方支付的工程款中直接扣回</w:t>
      </w:r>
      <w:r>
        <w:rPr>
          <w:rFonts w:hint="eastAsia" w:ascii="宋体" w:hAnsi="宋体" w:eastAsia="宋体" w:cs="宋体"/>
          <w:color w:val="auto"/>
          <w:sz w:val="24"/>
          <w:highlight w:val="none"/>
        </w:rPr>
        <w:t>。</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（2）由甲方提供施工用水用电接口，费用按（月/项目）结算，由乙方向甲方或甲方下辖分公司/子公司支付。水电费用按所属供电局、自来水公司收费标准按实计算。</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（3）由乙方自行负责。</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6.3施工时间安排：上午7：00-12：00，下午14：00-18：00，施工时间如需变动，以甲方的书面或口头通知为准。</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6.4进场施工人员必须严格遵守</w:t>
      </w:r>
      <w:r>
        <w:rPr>
          <w:rFonts w:hint="eastAsia" w:ascii="宋体" w:hAnsi="宋体" w:eastAsia="宋体" w:cs="宋体"/>
          <w:color w:val="auto"/>
          <w:kern w:val="10"/>
          <w:sz w:val="24"/>
          <w:highlight w:val="none"/>
        </w:rPr>
        <w:t>污水处理厂</w:t>
      </w:r>
      <w:r>
        <w:rPr>
          <w:rFonts w:hint="eastAsia" w:ascii="宋体" w:hAnsi="宋体" w:eastAsia="宋体" w:cs="宋体"/>
          <w:color w:val="auto"/>
          <w:sz w:val="24"/>
          <w:highlight w:val="none"/>
        </w:rPr>
        <w:t>一切规章制度。进入施工现场人员必须佩戴出入证，并自觉接受门岗检查。</w:t>
      </w:r>
    </w:p>
    <w:p>
      <w:pPr>
        <w:snapToGri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6.5环境保护要求：</w:t>
      </w:r>
    </w:p>
    <w:p>
      <w:pPr>
        <w:snapToGri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（1）做好施工噪声、废气、废水等控制；</w:t>
      </w:r>
    </w:p>
    <w:p>
      <w:pPr>
        <w:snapToGri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（2）按照国家及广州市相关规定做好建筑垃圾的处理。</w:t>
      </w:r>
    </w:p>
    <w:p>
      <w:pPr>
        <w:snapToGri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6.6按相关法律法规及甲方相关作业施工管理要求执行。</w:t>
      </w:r>
    </w:p>
    <w:p>
      <w:pPr>
        <w:pStyle w:val="22"/>
        <w:spacing w:line="384"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第七条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材料及设备供应</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本项目承包范围内所需的设备材料、成品、未成品、运输、保管、质量等责任均由乙方承担。甲方不提供材料。</w:t>
      </w:r>
    </w:p>
    <w:p>
      <w:pPr>
        <w:spacing w:line="384" w:lineRule="auto"/>
        <w:ind w:left="-2" w:leftChars="-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7.1采购供应的材料、其名称、品种、型号、规格、质量等，均应符合国家、地方及行业有关规范及要求。</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7.2所有材料必须具备合格证明，并保证产品的有效性。</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7.3由于乙方提供的伪劣、假冒等所有不合格材料而导致的损失、事故及一切后果，均由乙方负责并赔偿甲方所有损失，并负责更换所有已施工的不合格材料。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7.4乙方必须根据投标文件（如有）上主要材料的明细（包括厂家、规格、品质等级等）提供材料。工程实施时，如发现材料不一致，甲方有权拒用，造成损失由乙方承担。</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7.5 甲方有权对施工材料进行抽样送检（检测机构为甲方委托的第三方检测机构），送检不合格的，对乙方处以对应子项目</w:t>
      </w:r>
      <w:r>
        <w:rPr>
          <w:rFonts w:hint="eastAsia" w:ascii="宋体" w:hAnsi="宋体" w:eastAsia="宋体" w:cs="宋体"/>
          <w:color w:val="auto"/>
          <w:sz w:val="24"/>
          <w:highlight w:val="none"/>
          <w:u w:val="single"/>
        </w:rPr>
        <w:t>合同暂定总价10%</w:t>
      </w:r>
      <w:r>
        <w:rPr>
          <w:rFonts w:hint="eastAsia" w:ascii="宋体" w:hAnsi="宋体" w:eastAsia="宋体" w:cs="宋体"/>
          <w:color w:val="auto"/>
          <w:sz w:val="24"/>
          <w:highlight w:val="none"/>
        </w:rPr>
        <w:t>的处罚。检测费用先由乙方支付，如果检验结果为不合格，则该费用由乙方承担，如果检验结果为合格，则该费用由甲方承担。</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7.6 承包范围之内工程所用之设备，由乙方提供。</w:t>
      </w:r>
    </w:p>
    <w:p>
      <w:pPr>
        <w:spacing w:line="384"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第八条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付</w:t>
      </w:r>
      <w:r>
        <w:rPr>
          <w:rFonts w:hint="eastAsia" w:ascii="宋体" w:hAnsi="宋体" w:eastAsia="宋体" w:cs="宋体"/>
          <w:b/>
          <w:color w:val="auto"/>
          <w:sz w:val="24"/>
          <w:highlight w:val="none"/>
        </w:rPr>
        <w:t>款及履约担保</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8.1</w:t>
      </w:r>
      <w:r>
        <w:rPr>
          <w:rFonts w:hint="eastAsia" w:ascii="宋体" w:hAnsi="宋体" w:eastAsia="宋体" w:cs="宋体"/>
          <w:bCs/>
          <w:color w:val="auto"/>
          <w:sz w:val="24"/>
          <w:highlight w:val="none"/>
        </w:rPr>
        <w:t>预付款的支付：</w:t>
      </w:r>
      <w:r>
        <w:rPr>
          <w:rFonts w:hint="eastAsia" w:ascii="宋体" w:hAnsi="宋体" w:eastAsia="宋体" w:cs="宋体"/>
          <w:bCs/>
          <w:color w:val="auto"/>
          <w:sz w:val="24"/>
          <w:highlight w:val="none"/>
        </w:rPr>
        <w:sym w:font="Wingdings" w:char="F0A8"/>
      </w:r>
      <w:r>
        <w:rPr>
          <w:rFonts w:hint="eastAsia" w:ascii="宋体" w:hAnsi="宋体" w:eastAsia="宋体" w:cs="宋体"/>
          <w:bCs/>
          <w:color w:val="auto"/>
          <w:sz w:val="24"/>
          <w:highlight w:val="none"/>
        </w:rPr>
        <w:t>无；█有,合同签订后，乙方开具等额的增值税专用发票、提交履约担保及对应预付款金额的预付款担保后</w:t>
      </w:r>
      <w:r>
        <w:rPr>
          <w:rFonts w:hint="eastAsia" w:ascii="宋体" w:hAnsi="宋体" w:eastAsia="宋体" w:cs="宋体"/>
          <w:bCs/>
          <w:color w:val="auto"/>
          <w:sz w:val="24"/>
          <w:highlight w:val="none"/>
          <w:u w:val="single"/>
        </w:rPr>
        <w:t>28</w:t>
      </w:r>
      <w:r>
        <w:rPr>
          <w:rFonts w:hint="eastAsia" w:ascii="宋体" w:hAnsi="宋体" w:eastAsia="宋体" w:cs="宋体"/>
          <w:bCs/>
          <w:color w:val="auto"/>
          <w:sz w:val="24"/>
          <w:highlight w:val="none"/>
        </w:rPr>
        <w:t>个工作日内，甲方支付合同</w:t>
      </w:r>
      <w:r>
        <w:rPr>
          <w:rFonts w:hint="eastAsia" w:ascii="宋体" w:hAnsi="宋体" w:eastAsia="宋体" w:cs="宋体"/>
          <w:color w:val="auto"/>
          <w:sz w:val="24"/>
          <w:highlight w:val="none"/>
        </w:rPr>
        <w:t>暂定总价</w:t>
      </w:r>
      <w:r>
        <w:rPr>
          <w:rFonts w:hint="eastAsia" w:ascii="宋体" w:hAnsi="宋体" w:eastAsia="宋体" w:cs="宋体"/>
          <w:bCs/>
          <w:color w:val="auto"/>
          <w:sz w:val="24"/>
          <w:highlight w:val="none"/>
        </w:rPr>
        <w:t>的</w:t>
      </w:r>
      <w:r>
        <w:rPr>
          <w:rFonts w:hint="eastAsia" w:ascii="宋体" w:hAnsi="宋体" w:eastAsia="宋体" w:cs="宋体"/>
          <w:bCs/>
          <w:color w:val="auto"/>
          <w:sz w:val="24"/>
          <w:highlight w:val="none"/>
          <w:u w:val="single"/>
        </w:rPr>
        <w:t>30%</w:t>
      </w:r>
      <w:r>
        <w:rPr>
          <w:rFonts w:hint="eastAsia" w:ascii="宋体" w:hAnsi="宋体" w:eastAsia="宋体" w:cs="宋体"/>
          <w:color w:val="auto"/>
          <w:sz w:val="24"/>
          <w:highlight w:val="none"/>
        </w:rPr>
        <w:t>即…</w:t>
      </w:r>
      <w:r>
        <w:rPr>
          <w:rFonts w:hint="eastAsia" w:ascii="宋体" w:hAnsi="宋体" w:eastAsia="宋体" w:cs="宋体"/>
          <w:color w:val="auto"/>
          <w:sz w:val="24"/>
          <w:highlight w:val="none"/>
          <w:u w:val="single"/>
        </w:rPr>
        <w:t>元，（大写：…）</w:t>
      </w:r>
      <w:r>
        <w:rPr>
          <w:rFonts w:hint="eastAsia" w:ascii="宋体" w:hAnsi="宋体" w:eastAsia="宋体" w:cs="宋体"/>
          <w:bCs/>
          <w:color w:val="auto"/>
          <w:sz w:val="24"/>
          <w:highlight w:val="none"/>
        </w:rPr>
        <w:t>作为预付款。</w:t>
      </w:r>
      <w:r>
        <w:rPr>
          <w:rFonts w:hint="eastAsia" w:ascii="宋体" w:hAnsi="宋体" w:eastAsia="宋体" w:cs="宋体"/>
          <w:color w:val="auto"/>
          <w:sz w:val="24"/>
          <w:highlight w:val="none"/>
        </w:rPr>
        <w:t>若合同解除或终止，乙方在</w:t>
      </w:r>
      <w:r>
        <w:rPr>
          <w:rFonts w:hint="eastAsia" w:ascii="宋体" w:hAnsi="宋体" w:eastAsia="宋体" w:cs="宋体"/>
          <w:color w:val="auto"/>
          <w:sz w:val="24"/>
          <w:highlight w:val="none"/>
          <w:u w:val="single"/>
        </w:rPr>
        <w:t xml:space="preserve"> 5 </w:t>
      </w:r>
      <w:r>
        <w:rPr>
          <w:rFonts w:hint="eastAsia" w:ascii="宋体" w:hAnsi="宋体" w:eastAsia="宋体" w:cs="宋体"/>
          <w:color w:val="auto"/>
          <w:sz w:val="24"/>
          <w:highlight w:val="none"/>
        </w:rPr>
        <w:t>个工作日内返还预付款（无息）。</w:t>
      </w:r>
      <w:r>
        <w:rPr>
          <w:rFonts w:hint="eastAsia" w:ascii="宋体" w:hAnsi="宋体" w:eastAsia="宋体" w:cs="宋体"/>
          <w:bCs/>
          <w:color w:val="auto"/>
          <w:kern w:val="0"/>
          <w:sz w:val="24"/>
          <w:highlight w:val="none"/>
        </w:rPr>
        <w:t>逾期未返还，每逾期一天，乙方应按合同暂定总价的</w:t>
      </w:r>
      <w:r>
        <w:rPr>
          <w:rFonts w:hint="eastAsia" w:ascii="宋体" w:hAnsi="宋体" w:eastAsia="宋体" w:cs="宋体"/>
          <w:bCs/>
          <w:color w:val="auto"/>
          <w:kern w:val="0"/>
          <w:sz w:val="24"/>
          <w:highlight w:val="none"/>
          <w:u w:val="single"/>
        </w:rPr>
        <w:t>万分之五/天</w:t>
      </w:r>
      <w:r>
        <w:rPr>
          <w:rFonts w:hint="eastAsia" w:ascii="宋体" w:hAnsi="宋体" w:eastAsia="宋体" w:cs="宋体"/>
          <w:bCs/>
          <w:color w:val="auto"/>
          <w:kern w:val="0"/>
          <w:sz w:val="24"/>
          <w:highlight w:val="none"/>
        </w:rPr>
        <w:t>支付违约金</w:t>
      </w:r>
      <w:r>
        <w:rPr>
          <w:rFonts w:hint="eastAsia" w:ascii="宋体" w:hAnsi="宋体" w:eastAsia="宋体" w:cs="宋体"/>
          <w:color w:val="auto"/>
          <w:sz w:val="24"/>
          <w:highlight w:val="none"/>
        </w:rPr>
        <w:t>。</w:t>
      </w:r>
    </w:p>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8.1.1预付款担保</w:t>
      </w:r>
    </w:p>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（1）预付款担保的担保金额应与预付款金额相同。预付款从应支付给乙方的进度款中扣回。</w:t>
      </w:r>
    </w:p>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（2）预付款担保应在预付款扣清后14个工作日内退还给乙方。甲方不承担乙方与预付款担保有关的任何利息或其他类似的费用或收益。 </w:t>
      </w:r>
    </w:p>
    <w:p>
      <w:pPr>
        <w:pStyle w:val="22"/>
        <w:spacing w:line="384" w:lineRule="auto"/>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8.2各子项目完成开工报告及安全备案审批表的审批且</w:t>
      </w:r>
      <w:r>
        <w:rPr>
          <w:rFonts w:hint="eastAsia" w:ascii="宋体" w:hAnsi="宋体" w:eastAsia="宋体" w:cs="宋体"/>
          <w:color w:val="auto"/>
          <w:sz w:val="24"/>
          <w:szCs w:val="24"/>
          <w:highlight w:val="none"/>
          <w:lang w:val="en-US" w:eastAsia="zh-CN"/>
        </w:rPr>
        <w:t>全部主要设备材料（子项一：检测仪表类、电柜含PLC变频器、视频监控类设备；子项二：检测仪表类、PLC变频器）</w:t>
      </w:r>
      <w:r>
        <w:rPr>
          <w:rFonts w:hint="eastAsia" w:ascii="宋体" w:hAnsi="宋体" w:eastAsia="宋体" w:cs="宋体"/>
          <w:color w:val="auto"/>
          <w:sz w:val="24"/>
          <w:szCs w:val="24"/>
          <w:highlight w:val="none"/>
        </w:rPr>
        <w:t>进场后，由乙方提交申请支付资料</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个工作日内，甲方项目对应分公司支付至对应子项目合同暂定总价的50％（含预付款）给乙方，对应子项目的50%（含预付款）暂定价如下：</w:t>
      </w:r>
    </w:p>
    <w:tbl>
      <w:tblPr>
        <w:tblStyle w:val="39"/>
        <w:tblW w:w="4998" w:type="pct"/>
        <w:tblInd w:w="0" w:type="dxa"/>
        <w:tblLayout w:type="autofit"/>
        <w:tblCellMar>
          <w:top w:w="0" w:type="dxa"/>
          <w:left w:w="108" w:type="dxa"/>
          <w:bottom w:w="0" w:type="dxa"/>
          <w:right w:w="108" w:type="dxa"/>
        </w:tblCellMar>
      </w:tblPr>
      <w:tblGrid>
        <w:gridCol w:w="1254"/>
        <w:gridCol w:w="2079"/>
        <w:gridCol w:w="5384"/>
      </w:tblGrid>
      <w:tr>
        <w:tblPrEx>
          <w:tblCellMar>
            <w:top w:w="0" w:type="dxa"/>
            <w:left w:w="108" w:type="dxa"/>
            <w:bottom w:w="0" w:type="dxa"/>
            <w:right w:w="108" w:type="dxa"/>
          </w:tblCellMar>
        </w:tblPrEx>
        <w:tc>
          <w:tcPr>
            <w:tcW w:w="719"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项目一：</w:t>
            </w:r>
          </w:p>
        </w:tc>
        <w:tc>
          <w:tcPr>
            <w:tcW w:w="1192"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人民币</w:t>
            </w:r>
            <w:r>
              <w:rPr>
                <w:rFonts w:hint="eastAsia" w:ascii="宋体" w:hAnsi="宋体" w:eastAsia="宋体" w:cs="宋体"/>
                <w:color w:val="auto"/>
                <w:highlight w:val="none"/>
                <w:u w:val="single"/>
              </w:rPr>
              <w:t>…</w:t>
            </w:r>
            <w:r>
              <w:rPr>
                <w:rFonts w:hint="eastAsia" w:ascii="宋体" w:hAnsi="宋体" w:eastAsia="宋体" w:cs="宋体"/>
                <w:color w:val="auto"/>
                <w:highlight w:val="none"/>
              </w:rPr>
              <w:t>元</w:t>
            </w:r>
          </w:p>
        </w:tc>
        <w:tc>
          <w:tcPr>
            <w:tcW w:w="3087"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r>
        <w:tblPrEx>
          <w:tblCellMar>
            <w:top w:w="0" w:type="dxa"/>
            <w:left w:w="108" w:type="dxa"/>
            <w:bottom w:w="0" w:type="dxa"/>
            <w:right w:w="108" w:type="dxa"/>
          </w:tblCellMar>
        </w:tblPrEx>
        <w:tc>
          <w:tcPr>
            <w:tcW w:w="719"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项目二：</w:t>
            </w:r>
          </w:p>
        </w:tc>
        <w:tc>
          <w:tcPr>
            <w:tcW w:w="1192"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人民币</w:t>
            </w:r>
            <w:r>
              <w:rPr>
                <w:rFonts w:hint="eastAsia" w:ascii="宋体" w:hAnsi="宋体" w:eastAsia="宋体" w:cs="宋体"/>
                <w:color w:val="auto"/>
                <w:highlight w:val="none"/>
                <w:u w:val="single"/>
              </w:rPr>
              <w:t>…</w:t>
            </w:r>
            <w:r>
              <w:rPr>
                <w:rFonts w:hint="eastAsia" w:ascii="宋体" w:hAnsi="宋体" w:eastAsia="宋体" w:cs="宋体"/>
                <w:color w:val="auto"/>
                <w:highlight w:val="none"/>
              </w:rPr>
              <w:t>元</w:t>
            </w:r>
          </w:p>
        </w:tc>
        <w:tc>
          <w:tcPr>
            <w:tcW w:w="3087"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bl>
    <w:p>
      <w:pPr>
        <w:pStyle w:val="22"/>
        <w:spacing w:line="384" w:lineRule="auto"/>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8.3项目分项验收合格后，由乙方提交申请支付资料，</w:t>
      </w:r>
      <w:r>
        <w:rPr>
          <w:rFonts w:hint="eastAsia" w:ascii="宋体" w:hAnsi="宋体" w:eastAsia="宋体" w:cs="宋体"/>
          <w:color w:val="auto"/>
          <w:sz w:val="24"/>
          <w:szCs w:val="24"/>
          <w:highlight w:val="none"/>
          <w:lang w:val="en-US" w:eastAsia="zh-CN"/>
        </w:rPr>
        <w:t>经监理单位（如有）和</w:t>
      </w:r>
      <w:r>
        <w:rPr>
          <w:rFonts w:hint="eastAsia" w:ascii="宋体" w:hAnsi="宋体" w:eastAsia="宋体" w:cs="宋体"/>
          <w:color w:val="auto"/>
          <w:sz w:val="24"/>
          <w:szCs w:val="24"/>
          <w:highlight w:val="none"/>
        </w:rPr>
        <w:t>甲方项目对应分公司</w:t>
      </w:r>
      <w:r>
        <w:rPr>
          <w:rFonts w:hint="eastAsia" w:ascii="宋体" w:hAnsi="宋体" w:eastAsia="宋体" w:cs="宋体"/>
          <w:color w:val="auto"/>
          <w:sz w:val="24"/>
          <w:szCs w:val="24"/>
          <w:highlight w:val="none"/>
          <w:lang w:val="en-US" w:eastAsia="zh-CN"/>
        </w:rPr>
        <w:t>审核后，30个工作日内，甲方对应分公司</w:t>
      </w:r>
      <w:r>
        <w:rPr>
          <w:rFonts w:hint="eastAsia" w:ascii="宋体" w:hAnsi="宋体" w:eastAsia="宋体" w:cs="宋体"/>
          <w:color w:val="auto"/>
          <w:sz w:val="24"/>
          <w:szCs w:val="24"/>
          <w:highlight w:val="none"/>
        </w:rPr>
        <w:t>支付至对应子项目</w:t>
      </w:r>
      <w:r>
        <w:rPr>
          <w:rFonts w:hint="eastAsia" w:ascii="宋体" w:hAnsi="宋体" w:eastAsia="宋体" w:cs="宋体"/>
          <w:color w:val="auto"/>
          <w:sz w:val="24"/>
          <w:szCs w:val="24"/>
          <w:highlight w:val="none"/>
          <w:lang w:val="en-US" w:eastAsia="zh-CN"/>
        </w:rPr>
        <w:t>审核后工作量</w:t>
      </w:r>
      <w:r>
        <w:rPr>
          <w:rFonts w:hint="eastAsia" w:ascii="宋体" w:hAnsi="宋体" w:eastAsia="宋体" w:cs="宋体"/>
          <w:color w:val="auto"/>
          <w:sz w:val="24"/>
          <w:szCs w:val="24"/>
          <w:highlight w:val="none"/>
        </w:rPr>
        <w:t>的80％给乙方，</w:t>
      </w:r>
      <w:r>
        <w:rPr>
          <w:rFonts w:hint="eastAsia" w:ascii="宋体" w:hAnsi="宋体" w:eastAsia="宋体" w:cs="宋体"/>
          <w:color w:val="auto"/>
          <w:sz w:val="24"/>
          <w:szCs w:val="24"/>
          <w:highlight w:val="none"/>
          <w:lang w:val="en-US" w:eastAsia="zh-CN"/>
        </w:rPr>
        <w:t>但累计支付金额不能超过合同暂定总价的80%（含预付款）。</w:t>
      </w:r>
      <w:r>
        <w:rPr>
          <w:rFonts w:hint="eastAsia" w:ascii="宋体" w:hAnsi="宋体" w:eastAsia="宋体" w:cs="宋体"/>
          <w:color w:val="auto"/>
          <w:sz w:val="24"/>
          <w:szCs w:val="24"/>
          <w:highlight w:val="none"/>
        </w:rPr>
        <w:t>对应子项目的80%（含预付款）暂定价如下：</w:t>
      </w:r>
    </w:p>
    <w:tbl>
      <w:tblPr>
        <w:tblStyle w:val="39"/>
        <w:tblW w:w="4998" w:type="pct"/>
        <w:tblInd w:w="0" w:type="dxa"/>
        <w:tblLayout w:type="autofit"/>
        <w:tblCellMar>
          <w:top w:w="0" w:type="dxa"/>
          <w:left w:w="108" w:type="dxa"/>
          <w:bottom w:w="0" w:type="dxa"/>
          <w:right w:w="108" w:type="dxa"/>
        </w:tblCellMar>
      </w:tblPr>
      <w:tblGrid>
        <w:gridCol w:w="1257"/>
        <w:gridCol w:w="2079"/>
        <w:gridCol w:w="5381"/>
      </w:tblGrid>
      <w:tr>
        <w:tblPrEx>
          <w:tblCellMar>
            <w:top w:w="0" w:type="dxa"/>
            <w:left w:w="108" w:type="dxa"/>
            <w:bottom w:w="0" w:type="dxa"/>
            <w:right w:w="108" w:type="dxa"/>
          </w:tblCellMar>
        </w:tblPrEx>
        <w:tc>
          <w:tcPr>
            <w:tcW w:w="721"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项目一：</w:t>
            </w:r>
          </w:p>
        </w:tc>
        <w:tc>
          <w:tcPr>
            <w:tcW w:w="1192"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人民币</w:t>
            </w:r>
            <w:r>
              <w:rPr>
                <w:rFonts w:hint="eastAsia" w:ascii="宋体" w:hAnsi="宋体" w:eastAsia="宋体" w:cs="宋体"/>
                <w:color w:val="auto"/>
                <w:highlight w:val="none"/>
                <w:u w:val="single"/>
              </w:rPr>
              <w:t>…</w:t>
            </w:r>
            <w:r>
              <w:rPr>
                <w:rFonts w:hint="eastAsia" w:ascii="宋体" w:hAnsi="宋体" w:eastAsia="宋体" w:cs="宋体"/>
                <w:color w:val="auto"/>
                <w:highlight w:val="none"/>
              </w:rPr>
              <w:t>元</w:t>
            </w:r>
          </w:p>
        </w:tc>
        <w:tc>
          <w:tcPr>
            <w:tcW w:w="3086"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r>
        <w:tblPrEx>
          <w:tblCellMar>
            <w:top w:w="0" w:type="dxa"/>
            <w:left w:w="108" w:type="dxa"/>
            <w:bottom w:w="0" w:type="dxa"/>
            <w:right w:w="108" w:type="dxa"/>
          </w:tblCellMar>
        </w:tblPrEx>
        <w:tc>
          <w:tcPr>
            <w:tcW w:w="721"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项目二：</w:t>
            </w:r>
          </w:p>
        </w:tc>
        <w:tc>
          <w:tcPr>
            <w:tcW w:w="1192"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人民币</w:t>
            </w:r>
            <w:r>
              <w:rPr>
                <w:rFonts w:hint="eastAsia" w:ascii="宋体" w:hAnsi="宋体" w:eastAsia="宋体" w:cs="宋体"/>
                <w:color w:val="auto"/>
                <w:highlight w:val="none"/>
                <w:u w:val="single"/>
              </w:rPr>
              <w:t>…</w:t>
            </w:r>
            <w:r>
              <w:rPr>
                <w:rFonts w:hint="eastAsia" w:ascii="宋体" w:hAnsi="宋体" w:eastAsia="宋体" w:cs="宋体"/>
                <w:color w:val="auto"/>
                <w:highlight w:val="none"/>
              </w:rPr>
              <w:t>元</w:t>
            </w:r>
          </w:p>
        </w:tc>
        <w:tc>
          <w:tcPr>
            <w:tcW w:w="3086" w:type="pct"/>
          </w:tcPr>
          <w:p>
            <w:pPr>
              <w:pStyle w:val="50"/>
              <w:numPr>
                <w:ilvl w:val="255"/>
                <w:numId w:val="0"/>
              </w:numPr>
              <w:rPr>
                <w:rFonts w:hint="eastAsia" w:ascii="宋体" w:hAnsi="宋体" w:eastAsia="宋体" w:cs="宋体"/>
                <w:color w:val="auto"/>
                <w:highlight w:val="none"/>
              </w:rPr>
            </w:pPr>
            <w:r>
              <w:rPr>
                <w:rFonts w:hint="eastAsia" w:ascii="宋体" w:hAnsi="宋体" w:eastAsia="宋体" w:cs="宋体"/>
                <w:color w:val="auto"/>
                <w:highlight w:val="none"/>
              </w:rPr>
              <w:t>（大写：）；</w:t>
            </w:r>
          </w:p>
        </w:tc>
      </w:tr>
    </w:tbl>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8.3.1项目分项验收合格后，且经甲方或甲方委托有资质第三方机构审核后，由乙方提交申请支付资料</w:t>
      </w:r>
      <w:r>
        <w:rPr>
          <w:rFonts w:hint="eastAsia" w:ascii="宋体" w:hAnsi="宋体" w:eastAsia="宋体" w:cs="宋体"/>
          <w:color w:val="auto"/>
          <w:sz w:val="24"/>
          <w:highlight w:val="none"/>
          <w:u w:val="single"/>
        </w:rPr>
        <w:t>30</w:t>
      </w:r>
      <w:r>
        <w:rPr>
          <w:rFonts w:hint="eastAsia" w:ascii="宋体" w:hAnsi="宋体" w:eastAsia="宋体" w:cs="宋体"/>
          <w:color w:val="auto"/>
          <w:sz w:val="24"/>
          <w:highlight w:val="none"/>
        </w:rPr>
        <w:t>个工作日内，甲方项目对应分公司支付至对应子项目合同结算价的95%。</w:t>
      </w:r>
    </w:p>
    <w:p>
      <w:pPr>
        <w:spacing w:line="384" w:lineRule="auto"/>
        <w:ind w:firstLine="480" w:firstLineChars="20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8.3.2质保期按合同第十条规定执行，质保期满后且乙方不存在违约情形，由乙方提交申请质保金退还资料</w:t>
      </w:r>
      <w:r>
        <w:rPr>
          <w:rFonts w:hint="eastAsia" w:ascii="宋体" w:hAnsi="宋体" w:eastAsia="宋体" w:cs="宋体"/>
          <w:color w:val="auto"/>
          <w:sz w:val="24"/>
          <w:highlight w:val="none"/>
          <w:u w:val="single"/>
        </w:rPr>
        <w:t xml:space="preserve"> 15 </w:t>
      </w:r>
      <w:r>
        <w:rPr>
          <w:rFonts w:hint="eastAsia" w:ascii="宋体" w:hAnsi="宋体" w:eastAsia="宋体" w:cs="宋体"/>
          <w:color w:val="auto"/>
          <w:sz w:val="24"/>
          <w:highlight w:val="none"/>
        </w:rPr>
        <w:t>个工作日内，甲方</w:t>
      </w:r>
      <w:r>
        <w:rPr>
          <w:rFonts w:hint="eastAsia" w:ascii="宋体" w:hAnsi="宋体" w:eastAsia="宋体" w:cs="宋体"/>
          <w:color w:val="auto"/>
          <w:sz w:val="24"/>
          <w:highlight w:val="none"/>
          <w:u w:val="single"/>
        </w:rPr>
        <w:t>项目对应分公司</w:t>
      </w:r>
      <w:r>
        <w:rPr>
          <w:rFonts w:hint="eastAsia" w:ascii="宋体" w:hAnsi="宋体" w:eastAsia="宋体" w:cs="宋体"/>
          <w:color w:val="auto"/>
          <w:sz w:val="24"/>
          <w:highlight w:val="none"/>
        </w:rPr>
        <w:t>支付对应子项目合同结算价的5％（质保金）给乙方（无息）。</w:t>
      </w:r>
    </w:p>
    <w:p>
      <w:pPr>
        <w:pStyle w:val="22"/>
        <w:spacing w:line="384" w:lineRule="auto"/>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8.3.3本项目工程款的支付单位为：</w:t>
      </w:r>
      <w:r>
        <w:rPr>
          <w:rFonts w:hint="eastAsia" w:ascii="宋体" w:hAnsi="宋体" w:eastAsia="宋体" w:cs="宋体"/>
          <w:color w:val="auto"/>
          <w:sz w:val="24"/>
          <w:szCs w:val="24"/>
          <w:highlight w:val="none"/>
          <w:u w:val="single"/>
        </w:rPr>
        <w:t xml:space="preserve"> 甲方项目对应分公司 </w:t>
      </w:r>
    </w:p>
    <w:p>
      <w:pPr>
        <w:spacing w:line="384"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8.4乙方收款账户：</w:t>
      </w:r>
      <w:r>
        <w:rPr>
          <w:rFonts w:hint="eastAsia" w:ascii="宋体" w:hAnsi="宋体" w:eastAsia="宋体" w:cs="宋体"/>
          <w:color w:val="auto"/>
          <w:sz w:val="24"/>
          <w:highlight w:val="none"/>
          <w:u w:val="single"/>
        </w:rPr>
        <w:t>…；</w:t>
      </w:r>
    </w:p>
    <w:p>
      <w:pPr>
        <w:spacing w:line="384"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收款账号：</w:t>
      </w:r>
      <w:r>
        <w:rPr>
          <w:rFonts w:hint="eastAsia" w:ascii="宋体" w:hAnsi="宋体" w:eastAsia="宋体" w:cs="宋体"/>
          <w:color w:val="auto"/>
          <w:sz w:val="24"/>
          <w:highlight w:val="none"/>
          <w:u w:val="single"/>
        </w:rPr>
        <w:t>…；</w:t>
      </w:r>
    </w:p>
    <w:p>
      <w:pPr>
        <w:spacing w:line="384"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开户行：</w:t>
      </w:r>
      <w:r>
        <w:rPr>
          <w:rFonts w:hint="eastAsia" w:ascii="宋体" w:hAnsi="宋体" w:eastAsia="宋体" w:cs="宋体"/>
          <w:color w:val="auto"/>
          <w:sz w:val="24"/>
          <w:highlight w:val="none"/>
          <w:u w:val="single"/>
        </w:rPr>
        <w:t>…；</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8.5乙方在收款前需提交等额增值税专用发票给甲方。增值税专用发票信息：</w:t>
      </w:r>
    </w:p>
    <w:p>
      <w:pPr>
        <w:spacing w:line="384" w:lineRule="auto"/>
        <w:ind w:firstLine="480" w:firstLineChars="200"/>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名称：广州市净水有限公司</w:t>
      </w:r>
    </w:p>
    <w:p>
      <w:pPr>
        <w:spacing w:line="384" w:lineRule="auto"/>
        <w:ind w:firstLine="480" w:firstLineChars="200"/>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税号：91440101755584729Q</w:t>
      </w:r>
    </w:p>
    <w:p>
      <w:pPr>
        <w:spacing w:line="384" w:lineRule="auto"/>
        <w:ind w:firstLine="480" w:firstLineChars="200"/>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地址：广州市天河区临江大道 501号</w:t>
      </w:r>
    </w:p>
    <w:p>
      <w:pPr>
        <w:spacing w:line="384" w:lineRule="auto"/>
        <w:ind w:firstLine="480" w:firstLineChars="200"/>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账号名：广州市净水有限公司</w:t>
      </w:r>
    </w:p>
    <w:p>
      <w:pPr>
        <w:spacing w:line="384" w:lineRule="auto"/>
        <w:ind w:firstLine="480" w:firstLineChars="200"/>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开户行：民生银行广州分行</w:t>
      </w:r>
    </w:p>
    <w:p>
      <w:pPr>
        <w:spacing w:line="384" w:lineRule="auto"/>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en-US" w:eastAsia="zh-CN"/>
        </w:rPr>
        <w:t>银行账号：0301014140006932</w:t>
      </w:r>
      <w:r>
        <w:rPr>
          <w:rFonts w:hint="eastAsia" w:ascii="宋体" w:hAnsi="宋体" w:eastAsia="宋体" w:cs="宋体"/>
          <w:color w:val="auto"/>
          <w:sz w:val="24"/>
          <w:highlight w:val="none"/>
          <w:u w:val="single"/>
        </w:rPr>
        <w:t xml:space="preserve"> </w:t>
      </w:r>
    </w:p>
    <w:p>
      <w:pPr>
        <w:spacing w:line="384" w:lineRule="auto"/>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8.6履约担保：</w:t>
      </w:r>
      <w:r>
        <w:rPr>
          <w:rFonts w:hint="eastAsia" w:ascii="宋体" w:hAnsi="宋体" w:eastAsia="宋体" w:cs="宋体"/>
          <w:color w:val="auto"/>
          <w:szCs w:val="21"/>
          <w:highlight w:val="none"/>
          <w:lang w:eastAsia="zh-CN"/>
        </w:rPr>
        <w:t>□</w:t>
      </w:r>
      <w:r>
        <w:rPr>
          <w:rFonts w:hint="eastAsia" w:ascii="宋体" w:hAnsi="宋体" w:eastAsia="宋体" w:cs="宋体"/>
          <w:bCs/>
          <w:color w:val="auto"/>
          <w:sz w:val="24"/>
          <w:highlight w:val="none"/>
        </w:rPr>
        <w:t>无；█有,</w:t>
      </w:r>
      <w:r>
        <w:rPr>
          <w:rFonts w:hint="eastAsia" w:ascii="宋体" w:hAnsi="宋体" w:eastAsia="宋体" w:cs="宋体"/>
          <w:color w:val="auto"/>
          <w:sz w:val="24"/>
          <w:highlight w:val="none"/>
        </w:rPr>
        <w:t>本合同签订后10日内</w:t>
      </w:r>
      <w:r>
        <w:rPr>
          <w:rFonts w:hint="eastAsia" w:ascii="宋体" w:hAnsi="宋体" w:eastAsia="宋体" w:cs="宋体"/>
          <w:color w:val="auto"/>
          <w:sz w:val="24"/>
          <w:highlight w:val="none"/>
          <w:u w:val="single"/>
        </w:rPr>
        <w:t>以合同暂定总价的10%作为履约保证金，</w:t>
      </w:r>
      <w:r>
        <w:rPr>
          <w:rFonts w:hint="eastAsia" w:ascii="宋体" w:hAnsi="宋体" w:eastAsia="宋体" w:cs="宋体"/>
          <w:color w:val="auto"/>
          <w:sz w:val="24"/>
          <w:highlight w:val="none"/>
        </w:rPr>
        <w:t>金额为：…</w:t>
      </w:r>
      <w:r>
        <w:rPr>
          <w:rFonts w:hint="eastAsia" w:ascii="宋体" w:hAnsi="宋体" w:eastAsia="宋体" w:cs="宋体"/>
          <w:color w:val="auto"/>
          <w:sz w:val="24"/>
          <w:highlight w:val="none"/>
          <w:u w:val="single"/>
        </w:rPr>
        <w:t>（大写人民币：…），</w:t>
      </w:r>
      <w:r>
        <w:rPr>
          <w:rFonts w:hint="eastAsia" w:ascii="宋体" w:hAnsi="宋体" w:eastAsia="宋体" w:cs="宋体"/>
          <w:color w:val="auto"/>
          <w:sz w:val="24"/>
          <w:highlight w:val="none"/>
        </w:rPr>
        <w:t>未按时提供的，甲方有权解除合同并要求乙方支付</w:t>
      </w:r>
      <w:r>
        <w:rPr>
          <w:rFonts w:hint="eastAsia" w:ascii="宋体" w:hAnsi="宋体" w:eastAsia="宋体" w:cs="宋体"/>
          <w:color w:val="auto"/>
          <w:sz w:val="24"/>
          <w:highlight w:val="none"/>
          <w:u w:val="single"/>
        </w:rPr>
        <w:t>合同暂定总价20%</w:t>
      </w:r>
      <w:r>
        <w:rPr>
          <w:rFonts w:hint="eastAsia" w:ascii="宋体" w:hAnsi="宋体" w:eastAsia="宋体" w:cs="宋体"/>
          <w:color w:val="auto"/>
          <w:sz w:val="24"/>
          <w:highlight w:val="none"/>
        </w:rPr>
        <w:t>作为违约金。</w:t>
      </w:r>
    </w:p>
    <w:p>
      <w:pPr>
        <w:pStyle w:val="34"/>
        <w:spacing w:before="0" w:beforeAutospacing="0" w:after="0" w:afterAutospacing="0" w:line="384"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8.6.1履约担保按以下任一种形式提供：</w:t>
      </w:r>
    </w:p>
    <w:p>
      <w:pPr>
        <w:pStyle w:val="34"/>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（1）符合甲方要求（详见附件保函格式）的银行独立保函，</w:t>
      </w:r>
    </w:p>
    <w:p>
      <w:pPr>
        <w:pStyle w:val="34"/>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（2）现金转账至甲方以下指定账户：</w:t>
      </w:r>
    </w:p>
    <w:p>
      <w:pPr>
        <w:tabs>
          <w:tab w:val="left" w:pos="1995"/>
        </w:tabs>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户名：广州市净水有限公司</w:t>
      </w:r>
    </w:p>
    <w:p>
      <w:pPr>
        <w:tabs>
          <w:tab w:val="left" w:pos="1995"/>
        </w:tabs>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账号：82010154900000342</w:t>
      </w:r>
    </w:p>
    <w:p>
      <w:pPr>
        <w:tabs>
          <w:tab w:val="left" w:pos="1995"/>
        </w:tabs>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开户行：浦发银行广州分行</w:t>
      </w:r>
    </w:p>
    <w:p>
      <w:pPr>
        <w:spacing w:line="384" w:lineRule="auto"/>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8.6.2履约担保的担保期限和返还</w:t>
      </w:r>
    </w:p>
    <w:p>
      <w:pPr>
        <w:spacing w:line="384" w:lineRule="auto"/>
        <w:ind w:firstLine="48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（1）履约银行保函（或现金履约保证金）的担保期限：从提供履约担保（或转账成功）之日起至合同履行完成。</w:t>
      </w:r>
    </w:p>
    <w:p>
      <w:pPr>
        <w:spacing w:line="384" w:lineRule="auto"/>
        <w:ind w:firstLine="48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（2）履约银行保函在合同履行完成后，由乙方提出申请，甲方在28日内返还，不支付利息：</w:t>
      </w:r>
    </w:p>
    <w:p>
      <w:pPr>
        <w:spacing w:line="384" w:lineRule="auto"/>
        <w:ind w:firstLine="48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（3）延长担保期限。乙方以履约银行保函形式提交履约保证金的，在银行保函到期前，乙方应提前 7 日向甲方提交新的保函以替换即将到期的保函。如乙方未及时提交的，甲方有权直接要求担保银行支付其担保的全部金额并解除合同。</w:t>
      </w:r>
    </w:p>
    <w:p>
      <w:pPr>
        <w:ind w:firstLine="480"/>
        <w:outlineLvl w:val="0"/>
        <w:rPr>
          <w:rFonts w:hint="eastAsia" w:ascii="宋体" w:hAnsi="宋体" w:eastAsia="宋体" w:cs="宋体"/>
          <w:color w:val="auto"/>
          <w:sz w:val="24"/>
          <w:highlight w:val="none"/>
        </w:rPr>
      </w:pPr>
      <w:r>
        <w:rPr>
          <w:rFonts w:hint="eastAsia" w:ascii="宋体" w:hAnsi="宋体" w:eastAsia="宋体" w:cs="宋体"/>
          <w:color w:val="auto"/>
          <w:highlight w:val="none"/>
        </w:rPr>
        <w:t>（4）</w:t>
      </w:r>
      <w:r>
        <w:rPr>
          <w:rFonts w:hint="eastAsia" w:ascii="宋体" w:hAnsi="宋体" w:eastAsia="宋体" w:cs="宋体"/>
          <w:color w:val="auto"/>
          <w:sz w:val="24"/>
          <w:highlight w:val="none"/>
        </w:rPr>
        <w:t>现金履约保证金的退还：合同履行完成后，由乙方提出申请，甲方在28日内将剩余保证金（无息）返还。</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8.6.3甲方按本合同规定提取履约担保金额后，乙方应在收到甲方通知后</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7  </w:t>
      </w:r>
      <w:r>
        <w:rPr>
          <w:rFonts w:hint="eastAsia" w:ascii="宋体" w:hAnsi="宋体" w:eastAsia="宋体" w:cs="宋体"/>
          <w:color w:val="auto"/>
          <w:sz w:val="24"/>
          <w:highlight w:val="none"/>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hint="eastAsia" w:ascii="宋体" w:hAnsi="宋体" w:eastAsia="宋体" w:cs="宋体"/>
          <w:bCs/>
          <w:color w:val="auto"/>
          <w:sz w:val="24"/>
          <w:highlight w:val="none"/>
          <w:bdr w:val="single" w:color="auto" w:sz="4" w:space="0"/>
        </w:rPr>
      </w:pPr>
      <w:r>
        <w:rPr>
          <w:rFonts w:hint="eastAsia" w:ascii="宋体" w:hAnsi="宋体" w:eastAsia="宋体" w:cs="宋体"/>
          <w:color w:val="auto"/>
          <w:sz w:val="24"/>
          <w:highlight w:val="none"/>
        </w:rPr>
        <w:t xml:space="preserve">8.7付款方式： █网银支付；  </w:t>
      </w:r>
      <w:r>
        <w:rPr>
          <w:rFonts w:hint="eastAsia" w:ascii="宋体" w:hAnsi="宋体" w:eastAsia="宋体" w:cs="宋体"/>
          <w:color w:val="auto"/>
          <w:sz w:val="24"/>
          <w:highlight w:val="none"/>
        </w:rPr>
        <w:sym w:font="Wingdings" w:char="00A8"/>
      </w:r>
      <w:r>
        <w:rPr>
          <w:rFonts w:hint="eastAsia" w:ascii="宋体" w:hAnsi="宋体" w:eastAsia="宋体" w:cs="宋体"/>
          <w:color w:val="auto"/>
          <w:sz w:val="24"/>
          <w:highlight w:val="none"/>
        </w:rPr>
        <w:t xml:space="preserve">支票；   </w:t>
      </w:r>
      <w:r>
        <w:rPr>
          <w:rFonts w:hint="eastAsia" w:ascii="宋体" w:hAnsi="宋体" w:eastAsia="宋体" w:cs="宋体"/>
          <w:color w:val="auto"/>
          <w:sz w:val="24"/>
          <w:highlight w:val="none"/>
        </w:rPr>
        <w:sym w:font="Wingdings" w:char="00A8"/>
      </w:r>
      <w:r>
        <w:rPr>
          <w:rFonts w:hint="eastAsia" w:ascii="宋体" w:hAnsi="宋体" w:eastAsia="宋体" w:cs="宋体"/>
          <w:color w:val="auto"/>
          <w:sz w:val="24"/>
          <w:highlight w:val="none"/>
        </w:rPr>
        <w:t>其他：</w:t>
      </w:r>
    </w:p>
    <w:p>
      <w:pPr>
        <w:spacing w:line="384"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第九条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竣工验收</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9.1乙方应在工程完工后30天内将经甲方审核的完整竣工资料（含竣工图）和竣工验收报告各</w:t>
      </w:r>
      <w:r>
        <w:rPr>
          <w:rFonts w:hint="eastAsia" w:ascii="宋体" w:hAnsi="宋体" w:eastAsia="宋体" w:cs="宋体"/>
          <w:color w:val="auto"/>
          <w:sz w:val="24"/>
          <w:highlight w:val="none"/>
          <w:u w:val="single"/>
        </w:rPr>
        <w:t>一式四份</w:t>
      </w:r>
      <w:r>
        <w:rPr>
          <w:rFonts w:hint="eastAsia" w:ascii="宋体" w:hAnsi="宋体" w:eastAsia="宋体" w:cs="宋体"/>
          <w:color w:val="auto"/>
          <w:sz w:val="24"/>
          <w:highlight w:val="none"/>
        </w:rPr>
        <w:t>交甲方，不按时报送工程竣工资料的，每逾期一天，甲方要求乙方支付对应子项目</w:t>
      </w:r>
      <w:r>
        <w:rPr>
          <w:rFonts w:hint="eastAsia" w:ascii="宋体" w:hAnsi="宋体" w:eastAsia="宋体" w:cs="宋体"/>
          <w:color w:val="auto"/>
          <w:sz w:val="24"/>
          <w:highlight w:val="none"/>
          <w:u w:val="single"/>
        </w:rPr>
        <w:t>合同暂定总价</w:t>
      </w:r>
      <w:r>
        <w:rPr>
          <w:rFonts w:hint="eastAsia" w:ascii="宋体" w:hAnsi="宋体" w:eastAsia="宋体" w:cs="宋体"/>
          <w:bCs/>
          <w:color w:val="auto"/>
          <w:sz w:val="24"/>
          <w:highlight w:val="none"/>
          <w:u w:val="single"/>
        </w:rPr>
        <w:t>万分之五/天</w:t>
      </w:r>
      <w:r>
        <w:rPr>
          <w:rFonts w:hint="eastAsia" w:ascii="宋体" w:hAnsi="宋体" w:eastAsia="宋体" w:cs="宋体"/>
          <w:color w:val="auto"/>
          <w:sz w:val="24"/>
          <w:highlight w:val="none"/>
        </w:rPr>
        <w:t>，并在支付合同款时抵扣。</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9.3工程竣工验收通过，乙方送交完整的竣工验收资料和竣工验收报告的日期为实际竣工日期。工程按甲方要求修改后通过竣工验收的，实际竣工日期为乙方修改后提请甲方验收的日期。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9.4工程竣工验收通过后7日内，乙方应按以下要求对施工场地进行清理，直至甲方检验合格为止。竣工清场费用由乙方承担。</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（1）清除施工场地内残留的垃圾（包括但不限于：施工的淤泥渣土、废弃的施工设备和材料等)。</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（2）如涉及临时工程，乙方负责拆除并对场地进行清理、平整或复原。</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（3）对乙方设备和剩余的材料进行撤场。</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如乙方逾期未能对施工场地进行清理，甲方有权委托第三方清理，清理费用由乙方承担，并在应付款项中抵扣。</w:t>
      </w:r>
    </w:p>
    <w:p>
      <w:pPr>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9.5竣工档案的整理和移交</w:t>
      </w:r>
    </w:p>
    <w:p>
      <w:pPr>
        <w:spacing w:line="384"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（a）竣工文件资料、竣工图档案（原件）各一式四份；</w:t>
      </w:r>
    </w:p>
    <w:p>
      <w:pPr>
        <w:spacing w:line="384"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（b）与本款（a）项内容相同的电子版档案一式二份；</w:t>
      </w:r>
    </w:p>
    <w:p>
      <w:pPr>
        <w:spacing w:line="384"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2）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对应子项目</w:t>
      </w:r>
      <w:r>
        <w:rPr>
          <w:rFonts w:hint="eastAsia" w:ascii="宋体" w:hAnsi="宋体" w:eastAsia="宋体" w:cs="宋体"/>
          <w:color w:val="auto"/>
          <w:sz w:val="24"/>
          <w:highlight w:val="none"/>
          <w:u w:val="single"/>
        </w:rPr>
        <w:t>合同暂定总价</w:t>
      </w:r>
      <w:r>
        <w:rPr>
          <w:rFonts w:hint="eastAsia" w:ascii="宋体" w:hAnsi="宋体" w:eastAsia="宋体" w:cs="宋体"/>
          <w:bCs/>
          <w:color w:val="auto"/>
          <w:sz w:val="24"/>
          <w:highlight w:val="none"/>
          <w:u w:val="single"/>
        </w:rPr>
        <w:t>万分之五/天</w:t>
      </w:r>
      <w:r>
        <w:rPr>
          <w:rFonts w:hint="eastAsia" w:ascii="宋体" w:hAnsi="宋体" w:eastAsia="宋体" w:cs="宋体"/>
          <w:color w:val="auto"/>
          <w:sz w:val="24"/>
          <w:highlight w:val="none"/>
        </w:rPr>
        <w:t>违约金。</w:t>
      </w:r>
    </w:p>
    <w:p>
      <w:pPr>
        <w:spacing w:line="384"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（3）电子版竣工图的编制，以甲方提供的电子版施工图为基础。乙方在移交竣工档案时，应一并移交甲方提供的电子版施工图。</w:t>
      </w:r>
    </w:p>
    <w:p>
      <w:pPr>
        <w:spacing w:line="384"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50"/>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9.6本合同竣工验收结算单位为</w:t>
      </w:r>
      <w:r>
        <w:rPr>
          <w:rFonts w:hint="eastAsia" w:ascii="宋体" w:hAnsi="宋体" w:eastAsia="宋体" w:cs="宋体"/>
          <w:color w:val="auto"/>
          <w:highlight w:val="none"/>
          <w:u w:val="single"/>
        </w:rPr>
        <w:t>：</w:t>
      </w:r>
      <w:r>
        <w:rPr>
          <w:rFonts w:hint="eastAsia" w:ascii="宋体" w:hAnsi="宋体" w:eastAsia="宋体" w:cs="宋体"/>
          <w:color w:val="auto"/>
          <w:sz w:val="24"/>
          <w:highlight w:val="none"/>
          <w:u w:val="none"/>
        </w:rPr>
        <w:t>广州净水公司各子项目所在分公司</w:t>
      </w:r>
      <w:r>
        <w:rPr>
          <w:rFonts w:hint="eastAsia" w:ascii="宋体" w:hAnsi="宋体" w:eastAsia="宋体" w:cs="宋体"/>
          <w:color w:val="auto"/>
          <w:highlight w:val="none"/>
          <w:u w:val="single"/>
        </w:rPr>
        <w:t xml:space="preserve">  </w:t>
      </w:r>
    </w:p>
    <w:p>
      <w:pPr>
        <w:numPr>
          <w:ilvl w:val="0"/>
          <w:numId w:val="4"/>
        </w:numPr>
        <w:spacing w:before="120" w:afterLines="50" w:line="384" w:lineRule="auto"/>
        <w:ind w:firstLine="482" w:firstLineChars="200"/>
        <w:jc w:val="left"/>
        <w:rPr>
          <w:rFonts w:hint="eastAsia" w:ascii="宋体" w:hAnsi="宋体" w:eastAsia="宋体" w:cs="宋体"/>
          <w:b/>
          <w:bCs/>
          <w:color w:val="auto"/>
          <w:sz w:val="24"/>
          <w:highlight w:val="none"/>
        </w:rPr>
      </w:pPr>
      <w:bookmarkStart w:id="446" w:name="_Toc520190034"/>
      <w:bookmarkStart w:id="447" w:name="_Toc474245220"/>
      <w:bookmarkStart w:id="448" w:name="_Toc518992994"/>
      <w:r>
        <w:rPr>
          <w:rFonts w:hint="eastAsia" w:ascii="宋体" w:hAnsi="宋体" w:eastAsia="宋体" w:cs="宋体"/>
          <w:b/>
          <w:bCs/>
          <w:color w:val="auto"/>
          <w:sz w:val="24"/>
          <w:highlight w:val="none"/>
        </w:rPr>
        <w:t>质量保证</w:t>
      </w:r>
      <w:bookmarkEnd w:id="446"/>
      <w:bookmarkEnd w:id="447"/>
      <w:bookmarkEnd w:id="448"/>
    </w:p>
    <w:p>
      <w:pPr>
        <w:pStyle w:val="5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乙方保证所承包的项目质量符合国家相关标准和规范。对产品质量依据原厂商标准及国家标准从严执行。</w:t>
      </w:r>
    </w:p>
    <w:p>
      <w:pPr>
        <w:pStyle w:val="50"/>
        <w:spacing w:line="500" w:lineRule="exact"/>
        <w:ind w:firstLine="480" w:firstLineChars="200"/>
        <w:rPr>
          <w:rFonts w:hint="eastAsia" w:ascii="宋体" w:hAnsi="宋体" w:eastAsia="宋体" w:cs="宋体"/>
          <w:color w:val="auto"/>
          <w:kern w:val="0"/>
          <w:szCs w:val="24"/>
          <w:highlight w:val="none"/>
          <w:lang w:val="zh-CN"/>
        </w:rPr>
      </w:pPr>
      <w:r>
        <w:rPr>
          <w:rFonts w:hint="eastAsia" w:ascii="宋体" w:hAnsi="宋体" w:eastAsia="宋体" w:cs="宋体"/>
          <w:bCs w:val="0"/>
          <w:color w:val="auto"/>
          <w:szCs w:val="24"/>
          <w:highlight w:val="none"/>
        </w:rPr>
        <w:t>10.2 本项目质量保修期为</w:t>
      </w:r>
      <w:r>
        <w:rPr>
          <w:rFonts w:hint="eastAsia" w:ascii="宋体" w:hAnsi="宋体" w:eastAsia="宋体" w:cs="宋体"/>
          <w:color w:val="auto"/>
          <w:kern w:val="0"/>
          <w:szCs w:val="24"/>
          <w:highlight w:val="none"/>
          <w:lang w:val="zh-CN"/>
        </w:rPr>
        <w:t>自验收合格之日起</w:t>
      </w:r>
      <w:r>
        <w:rPr>
          <w:rFonts w:hint="eastAsia" w:ascii="宋体" w:hAnsi="宋体" w:eastAsia="宋体" w:cs="宋体"/>
          <w:color w:val="auto"/>
          <w:kern w:val="0"/>
          <w:szCs w:val="24"/>
          <w:highlight w:val="none"/>
          <w:u w:val="none"/>
        </w:rPr>
        <w:t>壹</w:t>
      </w:r>
      <w:r>
        <w:rPr>
          <w:rFonts w:hint="eastAsia" w:ascii="宋体" w:hAnsi="宋体" w:eastAsia="宋体" w:cs="宋体"/>
          <w:color w:val="auto"/>
          <w:kern w:val="0"/>
          <w:szCs w:val="24"/>
          <w:highlight w:val="none"/>
          <w:lang w:val="zh-CN"/>
        </w:rPr>
        <w:t>年，</w:t>
      </w:r>
      <w:r>
        <w:rPr>
          <w:rFonts w:hint="eastAsia" w:ascii="宋体" w:hAnsi="宋体" w:eastAsia="宋体" w:cs="宋体"/>
          <w:color w:val="auto"/>
          <w:sz w:val="24"/>
          <w:szCs w:val="24"/>
          <w:highlight w:val="none"/>
        </w:rPr>
        <w:t>具体工程项目质量保修期不得低于最新《建设工程质量管理条例》的法定期限</w:t>
      </w:r>
      <w:r>
        <w:rPr>
          <w:rFonts w:hint="eastAsia" w:ascii="宋体" w:hAnsi="宋体" w:eastAsia="宋体" w:cs="宋体"/>
          <w:color w:val="auto"/>
          <w:kern w:val="0"/>
          <w:sz w:val="24"/>
          <w:highlight w:val="none"/>
          <w:lang w:val="en-US"/>
        </w:rPr>
        <w:t>。</w:t>
      </w:r>
    </w:p>
    <w:p>
      <w:pPr>
        <w:pStyle w:val="50"/>
        <w:spacing w:line="500" w:lineRule="exact"/>
        <w:ind w:firstLine="480" w:firstLineChars="200"/>
        <w:jc w:val="both"/>
        <w:rPr>
          <w:rFonts w:hint="eastAsia" w:ascii="宋体" w:hAnsi="宋体" w:eastAsia="宋体" w:cs="宋体"/>
          <w:color w:val="auto"/>
          <w:highlight w:val="none"/>
        </w:rPr>
      </w:pPr>
      <w:r>
        <w:rPr>
          <w:rFonts w:hint="eastAsia" w:ascii="宋体" w:hAnsi="宋体" w:eastAsia="宋体" w:cs="宋体"/>
          <w:bCs w:val="0"/>
          <w:color w:val="auto"/>
          <w:sz w:val="24"/>
          <w:highlight w:val="none"/>
        </w:rPr>
        <w:t>10.3</w:t>
      </w:r>
      <w:r>
        <w:rPr>
          <w:rFonts w:hint="eastAsia" w:ascii="宋体" w:hAnsi="宋体" w:eastAsia="宋体" w:cs="宋体"/>
          <w:bCs w:val="0"/>
          <w:color w:val="auto"/>
          <w:sz w:val="24"/>
          <w:highlight w:val="none"/>
          <w:lang w:val="en-US" w:eastAsia="zh-CN"/>
        </w:rPr>
        <w:t xml:space="preserve"> </w:t>
      </w:r>
      <w:r>
        <w:rPr>
          <w:rFonts w:hint="eastAsia" w:ascii="宋体" w:hAnsi="宋体" w:eastAsia="宋体" w:cs="宋体"/>
          <w:bCs w:val="0"/>
          <w:color w:val="auto"/>
          <w:sz w:val="24"/>
          <w:highlight w:val="none"/>
        </w:rPr>
        <w:t>质量保修期期间，本项目的质量问题由乙方免费提供保修服务。</w:t>
      </w:r>
      <w:r>
        <w:rPr>
          <w:rFonts w:hint="eastAsia" w:ascii="宋体" w:hAnsi="宋体" w:eastAsia="宋体" w:cs="宋体"/>
          <w:color w:val="auto"/>
          <w:highlight w:val="none"/>
        </w:rPr>
        <w:t>在质保期间，一旦出现故障，</w:t>
      </w:r>
      <w:r>
        <w:rPr>
          <w:rFonts w:hint="eastAsia" w:ascii="宋体" w:hAnsi="宋体" w:eastAsia="宋体" w:cs="宋体"/>
          <w:color w:val="auto"/>
          <w:highlight w:val="none"/>
          <w:lang w:val="en-US" w:eastAsia="zh-CN"/>
        </w:rPr>
        <w:t>乙方</w:t>
      </w:r>
      <w:r>
        <w:rPr>
          <w:rFonts w:hint="eastAsia" w:ascii="宋体" w:hAnsi="宋体" w:eastAsia="宋体" w:cs="宋体"/>
          <w:color w:val="auto"/>
          <w:highlight w:val="none"/>
        </w:rPr>
        <w:t>须在8小时内消除故障。</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应在接到</w:t>
      </w:r>
      <w:r>
        <w:rPr>
          <w:rFonts w:hint="eastAsia" w:ascii="宋体" w:hAnsi="宋体" w:eastAsia="宋体" w:cs="宋体"/>
          <w:color w:val="auto"/>
          <w:highlight w:val="none"/>
          <w:lang w:val="en-US" w:eastAsia="zh-CN"/>
        </w:rPr>
        <w:t>甲方</w:t>
      </w:r>
      <w:r>
        <w:rPr>
          <w:rFonts w:hint="eastAsia" w:ascii="宋体" w:hAnsi="宋体" w:eastAsia="宋体" w:cs="宋体"/>
          <w:color w:val="auto"/>
          <w:highlight w:val="none"/>
        </w:rPr>
        <w:t>电话通知后提供响应服务，远程服务响应时间不超过30分钟，故障现场服务响应时间不超过4小时；</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还应考虑备机、备件等以确保故障及时消除。</w:t>
      </w:r>
      <w:r>
        <w:rPr>
          <w:rFonts w:hint="eastAsia" w:ascii="宋体" w:hAnsi="宋体" w:eastAsia="宋体" w:cs="宋体"/>
          <w:bCs w:val="0"/>
          <w:color w:val="auto"/>
          <w:sz w:val="24"/>
          <w:highlight w:val="none"/>
        </w:rPr>
        <w:t>如果乙方不按时到场维修或到场后不能修复的，</w:t>
      </w:r>
      <w:r>
        <w:rPr>
          <w:rFonts w:hint="eastAsia" w:ascii="宋体" w:hAnsi="宋体" w:eastAsia="宋体" w:cs="宋体"/>
          <w:color w:val="auto"/>
          <w:highlight w:val="none"/>
          <w:lang w:val="en-US" w:eastAsia="zh-CN"/>
        </w:rPr>
        <w:t>甲方有权</w:t>
      </w:r>
      <w:r>
        <w:rPr>
          <w:rFonts w:hint="eastAsia" w:ascii="宋体" w:hAnsi="宋体" w:eastAsia="宋体" w:cs="宋体"/>
          <w:color w:val="auto"/>
          <w:highlight w:val="none"/>
        </w:rPr>
        <w:t>另行委托</w:t>
      </w:r>
      <w:r>
        <w:rPr>
          <w:rFonts w:hint="eastAsia" w:ascii="宋体" w:hAnsi="宋体" w:eastAsia="宋体" w:cs="宋体"/>
          <w:bCs w:val="0"/>
          <w:color w:val="auto"/>
          <w:sz w:val="24"/>
          <w:highlight w:val="none"/>
        </w:rPr>
        <w:t>他人予以维修</w:t>
      </w:r>
      <w:r>
        <w:rPr>
          <w:rFonts w:hint="eastAsia" w:ascii="宋体" w:hAnsi="宋体" w:eastAsia="宋体" w:cs="宋体"/>
          <w:color w:val="auto"/>
          <w:highlight w:val="none"/>
        </w:rPr>
        <w:t>，</w:t>
      </w:r>
      <w:r>
        <w:rPr>
          <w:rFonts w:hint="eastAsia" w:ascii="宋体" w:hAnsi="宋体" w:eastAsia="宋体" w:cs="宋体"/>
          <w:bCs w:val="0"/>
          <w:color w:val="auto"/>
          <w:sz w:val="24"/>
          <w:highlight w:val="none"/>
        </w:rPr>
        <w:t>乙方承担由此发生的费用并支付</w:t>
      </w:r>
      <w:r>
        <w:rPr>
          <w:rFonts w:hint="eastAsia" w:ascii="宋体" w:hAnsi="宋体" w:eastAsia="宋体" w:cs="宋体"/>
          <w:bCs w:val="0"/>
          <w:color w:val="auto"/>
          <w:sz w:val="24"/>
          <w:highlight w:val="none"/>
          <w:u w:val="single"/>
        </w:rPr>
        <w:t>合同暂定总价的10%/次</w:t>
      </w:r>
      <w:r>
        <w:rPr>
          <w:rFonts w:hint="eastAsia" w:ascii="宋体" w:hAnsi="宋体" w:eastAsia="宋体" w:cs="宋体"/>
          <w:bCs w:val="0"/>
          <w:color w:val="auto"/>
          <w:sz w:val="24"/>
          <w:highlight w:val="none"/>
        </w:rPr>
        <w:t>作为违约金。</w:t>
      </w:r>
    </w:p>
    <w:p>
      <w:pPr>
        <w:spacing w:beforeLines="50" w:afterLines="50" w:line="384" w:lineRule="auto"/>
        <w:ind w:firstLine="422" w:firstLineChars="175"/>
        <w:jc w:val="left"/>
        <w:rPr>
          <w:rFonts w:hint="eastAsia" w:ascii="宋体" w:hAnsi="宋体" w:eastAsia="宋体" w:cs="宋体"/>
          <w:color w:val="auto"/>
          <w:sz w:val="24"/>
          <w:highlight w:val="none"/>
        </w:rPr>
      </w:pPr>
      <w:bookmarkStart w:id="449" w:name="_Toc474245226"/>
      <w:bookmarkStart w:id="450" w:name="_Toc183666531"/>
      <w:bookmarkStart w:id="451" w:name="_Toc518993000"/>
      <w:bookmarkStart w:id="452" w:name="_Toc520190040"/>
      <w:bookmarkStart w:id="453" w:name="_Toc107446862"/>
      <w:bookmarkStart w:id="454" w:name="_Toc19692"/>
      <w:bookmarkStart w:id="455" w:name="_Toc107447255"/>
      <w:bookmarkStart w:id="456" w:name="_Toc306350467"/>
      <w:r>
        <w:rPr>
          <w:rFonts w:hint="eastAsia" w:ascii="宋体" w:hAnsi="宋体" w:eastAsia="宋体" w:cs="宋体"/>
          <w:b/>
          <w:bCs/>
          <w:color w:val="auto"/>
          <w:sz w:val="24"/>
          <w:highlight w:val="none"/>
        </w:rPr>
        <w:t>第十一条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不可抗力</w:t>
      </w:r>
      <w:bookmarkEnd w:id="449"/>
      <w:bookmarkEnd w:id="450"/>
      <w:bookmarkEnd w:id="451"/>
      <w:bookmarkEnd w:id="452"/>
      <w:bookmarkEnd w:id="453"/>
      <w:bookmarkEnd w:id="454"/>
      <w:bookmarkEnd w:id="455"/>
      <w:bookmarkEnd w:id="456"/>
    </w:p>
    <w:p>
      <w:pPr>
        <w:widowControl/>
        <w:autoSpaceDE w:val="0"/>
        <w:autoSpaceDN w:val="0"/>
        <w:adjustRightInd w:val="0"/>
        <w:spacing w:line="384" w:lineRule="auto"/>
        <w:ind w:firstLine="480" w:firstLineChars="200"/>
        <w:rPr>
          <w:rFonts w:hint="eastAsia" w:ascii="宋体" w:hAnsi="宋体" w:eastAsia="宋体" w:cs="宋体"/>
          <w:bCs/>
          <w:color w:val="auto"/>
          <w:sz w:val="24"/>
          <w:highlight w:val="none"/>
        </w:rPr>
      </w:pPr>
      <w:bookmarkStart w:id="457" w:name="_Toc306350468"/>
      <w:bookmarkStart w:id="458" w:name="_Toc12010"/>
      <w:bookmarkStart w:id="459" w:name="_Toc183666532"/>
      <w:r>
        <w:rPr>
          <w:rFonts w:hint="eastAsia" w:ascii="宋体" w:hAnsi="宋体" w:eastAsia="宋体" w:cs="宋体"/>
          <w:bCs/>
          <w:color w:val="auto"/>
          <w:sz w:val="24"/>
          <w:highlight w:val="none"/>
        </w:rPr>
        <w:t>11.1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⑴地震、火山爆发、滑坡、暴雨（橙色预警及以上）、台风（黄色预警及以上）、海啸、龙卷风、大面积流行病(如：非典型性肺炎等)或瘟疫；</w:t>
      </w:r>
    </w:p>
    <w:p>
      <w:pPr>
        <w:widowControl/>
        <w:autoSpaceDE w:val="0"/>
        <w:autoSpaceDN w:val="0"/>
        <w:adjustRightInd w:val="0"/>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⑵战争行为、入侵、武装冲突或外敌行为、封锁、暴乱、恐怖行为或军事演习；</w:t>
      </w:r>
    </w:p>
    <w:p>
      <w:pPr>
        <w:widowControl/>
        <w:autoSpaceDE w:val="0"/>
        <w:autoSpaceDN w:val="0"/>
        <w:adjustRightInd w:val="0"/>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11.3 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460" w:name="_Toc118172294"/>
      <w:bookmarkStart w:id="461" w:name="_Toc518993001"/>
      <w:bookmarkStart w:id="462" w:name="_Toc520190041"/>
      <w:bookmarkStart w:id="463" w:name="_Toc474245227"/>
      <w:bookmarkStart w:id="464" w:name="_Toc107447257"/>
      <w:bookmarkStart w:id="465" w:name="_Toc107446864"/>
    </w:p>
    <w:p>
      <w:pPr>
        <w:spacing w:beforeLines="50" w:afterLines="50" w:line="384" w:lineRule="auto"/>
        <w:ind w:firstLine="482"/>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十二条</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争议解决</w:t>
      </w:r>
      <w:bookmarkEnd w:id="457"/>
      <w:bookmarkEnd w:id="458"/>
      <w:bookmarkEnd w:id="459"/>
      <w:bookmarkEnd w:id="460"/>
      <w:bookmarkEnd w:id="461"/>
      <w:bookmarkEnd w:id="462"/>
      <w:bookmarkEnd w:id="463"/>
      <w:bookmarkEnd w:id="464"/>
      <w:bookmarkEnd w:id="465"/>
    </w:p>
    <w:p>
      <w:pPr>
        <w:spacing w:line="384" w:lineRule="auto"/>
        <w:ind w:firstLine="482"/>
        <w:rPr>
          <w:rFonts w:hint="eastAsia" w:ascii="宋体" w:hAnsi="宋体" w:eastAsia="宋体" w:cs="宋体"/>
          <w:bCs/>
          <w:color w:val="auto"/>
          <w:sz w:val="24"/>
          <w:highlight w:val="none"/>
        </w:rPr>
      </w:pPr>
      <w:bookmarkStart w:id="466" w:name="_Toc306350469"/>
      <w:bookmarkStart w:id="467" w:name="_Toc183666533"/>
      <w:r>
        <w:rPr>
          <w:rFonts w:hint="eastAsia" w:ascii="宋体" w:hAnsi="宋体" w:eastAsia="宋体" w:cs="宋体"/>
          <w:bCs/>
          <w:color w:val="auto"/>
          <w:sz w:val="24"/>
          <w:highlight w:val="none"/>
        </w:rPr>
        <w:t>12.1 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hint="eastAsia" w:ascii="宋体" w:hAnsi="宋体" w:eastAsia="宋体" w:cs="宋体"/>
          <w:color w:val="auto"/>
          <w:sz w:val="24"/>
          <w:highlight w:val="none"/>
        </w:rPr>
      </w:pPr>
      <w:r>
        <w:rPr>
          <w:rFonts w:hint="eastAsia" w:ascii="宋体" w:hAnsi="宋体" w:eastAsia="宋体" w:cs="宋体"/>
          <w:bCs/>
          <w:color w:val="auto"/>
          <w:sz w:val="24"/>
          <w:highlight w:val="none"/>
        </w:rPr>
        <w:t xml:space="preserve">12.2 </w:t>
      </w:r>
      <w:r>
        <w:rPr>
          <w:rFonts w:hint="eastAsia" w:ascii="宋体" w:hAnsi="宋体" w:eastAsia="宋体" w:cs="宋体"/>
          <w:color w:val="auto"/>
          <w:sz w:val="24"/>
          <w:highlight w:val="none"/>
        </w:rPr>
        <w:t>在甲方同意的情况下，除有争端之外的合同其它部分在争端解决前应继续执行。</w:t>
      </w:r>
      <w:bookmarkEnd w:id="466"/>
      <w:bookmarkEnd w:id="467"/>
      <w:bookmarkStart w:id="468" w:name="_Toc474245229"/>
      <w:bookmarkStart w:id="469" w:name="_Toc520190043"/>
      <w:bookmarkStart w:id="470" w:name="_Toc518993003"/>
    </w:p>
    <w:p>
      <w:pPr>
        <w:spacing w:line="384" w:lineRule="auto"/>
        <w:ind w:firstLine="482"/>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第十三条</w:t>
      </w:r>
      <w:bookmarkStart w:id="471" w:name="_Toc107447264"/>
      <w:bookmarkStart w:id="472" w:name="_Toc107446871"/>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合同生效及其他</w:t>
      </w:r>
      <w:bookmarkEnd w:id="468"/>
      <w:bookmarkEnd w:id="469"/>
      <w:bookmarkEnd w:id="470"/>
      <w:bookmarkEnd w:id="471"/>
      <w:bookmarkEnd w:id="472"/>
    </w:p>
    <w:p>
      <w:pPr>
        <w:spacing w:line="384"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13.1本合同经双方法定代表人或授权代表签字并加盖双方公章后生效。</w:t>
      </w:r>
    </w:p>
    <w:p>
      <w:pPr>
        <w:spacing w:line="384"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13.2本合同正文一式份，其中：甲方份，乙方份。</w:t>
      </w:r>
    </w:p>
    <w:p>
      <w:pPr>
        <w:spacing w:line="384"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13.3补充条款</w:t>
      </w:r>
      <w:r>
        <w:rPr>
          <w:rFonts w:hint="eastAsia" w:ascii="宋体" w:hAnsi="宋体" w:eastAsia="宋体" w:cs="宋体"/>
          <w:color w:val="auto"/>
          <w:sz w:val="24"/>
          <w:highlight w:val="none"/>
          <w:u w:val="single"/>
        </w:rPr>
        <w:t>：/</w:t>
      </w:r>
    </w:p>
    <w:p>
      <w:pPr>
        <w:spacing w:line="384" w:lineRule="auto"/>
        <w:ind w:firstLine="480"/>
        <w:rPr>
          <w:rFonts w:hint="eastAsia" w:ascii="宋体" w:hAnsi="宋体" w:eastAsia="宋体" w:cs="宋体"/>
          <w:color w:val="auto"/>
          <w:sz w:val="24"/>
          <w:highlight w:val="none"/>
        </w:rPr>
      </w:pP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附件：1.中标通知书</w:t>
      </w:r>
    </w:p>
    <w:p>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2.廉洁协议</w:t>
      </w:r>
    </w:p>
    <w:p>
      <w:pPr>
        <w:spacing w:line="384"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3.营运场所施工安全协议书（具体以安全办通知为准）</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4.工程量清单/报价</w:t>
      </w:r>
    </w:p>
    <w:p>
      <w:pPr>
        <w:spacing w:line="384"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5.项目投入人员架构表</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6.应急救援物资清单</w:t>
      </w:r>
    </w:p>
    <w:p>
      <w:pPr>
        <w:pStyle w:val="2"/>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7.营运项目承包单位日常履约考评参照表（安全）、营运项目承包单位综合履约考评表（安全）</w:t>
      </w:r>
    </w:p>
    <w:p>
      <w:pPr>
        <w:pStyle w:val="2"/>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8.履约保函（模板）</w:t>
      </w:r>
    </w:p>
    <w:p>
      <w:pPr>
        <w:pStyle w:val="2"/>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9.预付款保函（模板）</w:t>
      </w:r>
    </w:p>
    <w:p>
      <w:pPr>
        <w:pStyle w:val="2"/>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10.开工通知书（模板）</w:t>
      </w:r>
    </w:p>
    <w:p>
      <w:pPr>
        <w:adjustRightInd w:val="0"/>
        <w:snapToGrid w:val="0"/>
        <w:ind w:firstLine="720" w:firstLineChars="300"/>
        <w:rPr>
          <w:rFonts w:hint="eastAsia" w:ascii="宋体" w:hAnsi="宋体" w:eastAsia="宋体" w:cs="宋体"/>
          <w:color w:val="auto"/>
          <w:sz w:val="24"/>
          <w:highlight w:val="none"/>
        </w:rPr>
      </w:pP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甲方：广州市净水有限公司（盖章）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乙方：（盖章）</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或</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法定代表人或</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授权代理人：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授权代理人：</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地址：</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经办人：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经办人：</w:t>
      </w:r>
    </w:p>
    <w:p>
      <w:pPr>
        <w:spacing w:line="384"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联系电话：</w:t>
      </w:r>
    </w:p>
    <w:p>
      <w:pPr>
        <w:spacing w:line="384" w:lineRule="auto"/>
        <w:ind w:left="6360" w:hanging="6360" w:hangingChars="2650"/>
        <w:rPr>
          <w:rFonts w:hint="eastAsia" w:ascii="宋体" w:hAnsi="宋体" w:eastAsia="宋体" w:cs="宋体"/>
          <w:color w:val="auto"/>
          <w:sz w:val="24"/>
          <w:highlight w:val="none"/>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传真：</w:t>
      </w:r>
    </w:p>
    <w:p>
      <w:pPr>
        <w:spacing w:line="384" w:lineRule="auto"/>
        <w:ind w:left="6360" w:hanging="6360" w:hangingChars="2650"/>
        <w:rPr>
          <w:rFonts w:hint="eastAsia" w:ascii="宋体" w:hAnsi="宋体" w:eastAsia="宋体" w:cs="宋体"/>
          <w:color w:val="auto"/>
          <w:sz w:val="24"/>
          <w:highlight w:val="none"/>
        </w:rPr>
      </w:pPr>
      <w:r>
        <w:rPr>
          <w:rFonts w:hint="eastAsia" w:ascii="宋体" w:hAnsi="宋体" w:eastAsia="宋体" w:cs="宋体"/>
          <w:color w:val="auto"/>
          <w:sz w:val="24"/>
          <w:highlight w:val="none"/>
        </w:rPr>
        <w:t>签署日期：年月日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签署日期：年月日</w:t>
      </w:r>
    </w:p>
    <w:p>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以下空白</w:t>
      </w:r>
    </w:p>
    <w:p>
      <w:pPr>
        <w:spacing w:line="360" w:lineRule="auto"/>
        <w:rPr>
          <w:rFonts w:hint="eastAsia" w:ascii="宋体" w:hAnsi="宋体" w:eastAsia="宋体" w:cs="宋体"/>
          <w:b/>
          <w:bCs/>
          <w:color w:val="auto"/>
          <w:szCs w:val="21"/>
          <w:highlight w:val="none"/>
        </w:rPr>
        <w:sectPr>
          <w:pgSz w:w="11906" w:h="16838"/>
          <w:pgMar w:top="1417" w:right="1701" w:bottom="1417" w:left="1701" w:header="851" w:footer="992" w:gutter="0"/>
          <w:pgNumType w:fmt="decimal"/>
          <w:cols w:space="0" w:num="1"/>
          <w:docGrid w:type="lines" w:linePitch="312" w:charSpace="0"/>
        </w:sectPr>
      </w:pPr>
    </w:p>
    <w:p>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附件1  中标通知书</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bookmarkStart w:id="473" w:name="_Toc389815339"/>
      <w:bookmarkStart w:id="474" w:name="_Toc389815031"/>
      <w:bookmarkStart w:id="475" w:name="_Toc387080836"/>
      <w:r>
        <w:rPr>
          <w:rFonts w:hint="eastAsia" w:ascii="宋体" w:hAnsi="宋体" w:eastAsia="宋体" w:cs="宋体"/>
          <w:b/>
          <w:bCs/>
          <w:color w:val="auto"/>
          <w:szCs w:val="21"/>
          <w:highlight w:val="none"/>
        </w:rPr>
        <w:t>附件2：廉洁协议</w:t>
      </w:r>
    </w:p>
    <w:p>
      <w:pPr>
        <w:spacing w:line="520" w:lineRule="exact"/>
        <w:ind w:firstLine="3120" w:firstLineChars="13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廉洁协议</w:t>
      </w:r>
    </w:p>
    <w:p>
      <w:pPr>
        <w:spacing w:line="520" w:lineRule="exact"/>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为促进双方诚信经营、廉洁从业，防范商业贿赂，保护国家、集体和当事人的合法权益，根据国家有关法律法规和广东省、广州市廉政建设的规定，</w:t>
      </w:r>
      <w:r>
        <w:rPr>
          <w:rFonts w:hint="eastAsia" w:ascii="宋体" w:hAnsi="宋体" w:eastAsia="宋体" w:cs="宋体"/>
          <w:bCs/>
          <w:color w:val="auto"/>
          <w:sz w:val="24"/>
          <w:szCs w:val="24"/>
          <w:highlight w:val="none"/>
          <w:u w:val="single"/>
        </w:rPr>
        <w:t>广州市净水有限公司</w:t>
      </w:r>
      <w:r>
        <w:rPr>
          <w:rFonts w:hint="eastAsia" w:ascii="宋体" w:hAnsi="宋体" w:eastAsia="宋体" w:cs="宋体"/>
          <w:bCs/>
          <w:color w:val="auto"/>
          <w:sz w:val="24"/>
          <w:szCs w:val="24"/>
          <w:highlight w:val="none"/>
        </w:rPr>
        <w:t>(以下称甲方)与</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(以下称乙方)，特此订立本协议共同遵照执行。</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第一条 甲乙双方的权利和义务</w:t>
      </w:r>
    </w:p>
    <w:p>
      <w:pPr>
        <w:spacing w:line="520" w:lineRule="exact"/>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（一）甲乙双方严格遵守国家关于市场准入、项目招标投标、市场经营活动等有关法律、法规相关政策及廉政建设的各项规定。</w:t>
      </w:r>
    </w:p>
    <w:p>
      <w:pPr>
        <w:spacing w:line="520" w:lineRule="exact"/>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（二）严格执行</w:t>
      </w:r>
      <w:r>
        <w:rPr>
          <w:rFonts w:hint="eastAsia" w:ascii="宋体" w:hAnsi="宋体" w:eastAsia="宋体" w:cs="宋体"/>
          <w:bCs/>
          <w:color w:val="auto"/>
          <w:sz w:val="24"/>
          <w:szCs w:val="24"/>
          <w:highlight w:val="none"/>
          <w:u w:val="single"/>
        </w:rPr>
        <w:t xml:space="preserve">（合同名称）+（合同编号） </w:t>
      </w:r>
      <w:r>
        <w:rPr>
          <w:rFonts w:hint="eastAsia" w:ascii="宋体" w:hAnsi="宋体" w:eastAsia="宋体" w:cs="宋体"/>
          <w:bCs/>
          <w:color w:val="auto"/>
          <w:sz w:val="24"/>
          <w:szCs w:val="24"/>
          <w:highlight w:val="none"/>
        </w:rPr>
        <w:t>合同（以下简称：主合同），自觉履行合同约定的相关义务。</w:t>
      </w:r>
    </w:p>
    <w:p>
      <w:pPr>
        <w:spacing w:line="520" w:lineRule="exact"/>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（三）在业务活动中坚持公开、公正、诚信、透明的原则，不得损害国家、集体利益。</w:t>
      </w:r>
    </w:p>
    <w:p>
      <w:pPr>
        <w:spacing w:line="520" w:lineRule="exact"/>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（四）建立健全廉洁从业制度，开展廉洁教育，公布举报电话，监督并认真查处不廉洁及违法违纪行为。</w:t>
      </w:r>
    </w:p>
    <w:p>
      <w:pPr>
        <w:spacing w:line="520" w:lineRule="exact"/>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（五）发现对方在业务活动中有不廉洁行为，应及时提醒对方纠正。情节严重的，应向其有关监督部门检举。</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第二条甲方的义务</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（一）甲方及其工作人员不得索要或接受乙方的礼金、有价证券和贵重物品，不得在乙方报销任何应由甲方或个人支付的费用等。</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（三）甲方及其工作人员不得要求或者接受乙方为其住房装修、婚丧嫁娶活动、配偶子女工作安排以及出国出境、旅游等提供方便等。</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（四）甲方工作人员不得在乙方或与乙方有股权关联的企业兼职，不得向乙方介绍家属或者亲友从事与甲方业务有关的经济活动。</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（六）甲方工作人员不得利用职务之便收受乙方以回扣、手续费、加班费、咨询费、劳务费、协调费、辛苦费等各种名义给予或赠送的钱物。</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（七）甲方工作人员不得接受乙方给予或赠送的干股或红利。</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(八）不得存在其他违反廉洁规定的行为。</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第三条乙方的义务</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（一）乙方不得以任何理由向甲方及其工作人员行贿或馈赠礼金、有价证券、贵重礼品。</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（二)乙方不得以任何名义为甲方及其工作人员报销应由甲方单位或个人支付的任何费用。</w:t>
      </w:r>
    </w:p>
    <w:p>
      <w:pPr>
        <w:spacing w:line="520" w:lineRule="exact"/>
        <w:ind w:left="25" w:leftChars="12"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（三）乙方不得以任何理由安排甲方工作人员参加可能影响相关业务公开、公正、公平性的宴请及娱乐活动。</w:t>
      </w:r>
    </w:p>
    <w:p>
      <w:pPr>
        <w:pStyle w:val="26"/>
        <w:spacing w:after="0" w:line="52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（四）乙方不得为甲方单位和个人购置或提供通讯工具和高档办公用品等物品，也不得为甲方提供与工作无关的房屋、汽车等。</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（五）乙方不得擅自与甲方工作人员就主合同中的质量、数量、价格、工程量、验收等条款进行私下商谈或者达成默契。</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（六）乙方不得以回扣、手续费、加班费、咨询费、劳务费、协调费、辛苦费等各种名义向甲方工作人员给予或赠送钱物。</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（七）乙方不得向甲方工作人员提供干股或红利。</w:t>
      </w:r>
    </w:p>
    <w:p>
      <w:pPr>
        <w:spacing w:line="520" w:lineRule="exact"/>
        <w:ind w:left="15" w:leftChars="7"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(八）不得存在其他违反廉洁规定的行为。</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第四条违约责任</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甲方举报投诉联系部门：广州市净水有限公司</w:t>
      </w:r>
      <w:r>
        <w:rPr>
          <w:rFonts w:hint="eastAsia" w:ascii="宋体" w:hAnsi="宋体" w:eastAsia="宋体" w:cs="宋体"/>
          <w:bCs/>
          <w:color w:val="auto"/>
          <w:sz w:val="24"/>
          <w:szCs w:val="24"/>
          <w:highlight w:val="none"/>
          <w:u w:val="single"/>
        </w:rPr>
        <w:t>纪检室</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020-38890265 </w:t>
      </w:r>
      <w:r>
        <w:rPr>
          <w:rFonts w:hint="eastAsia" w:ascii="宋体" w:hAnsi="宋体" w:eastAsia="宋体" w:cs="宋体"/>
          <w:bCs/>
          <w:color w:val="auto"/>
          <w:sz w:val="24"/>
          <w:szCs w:val="24"/>
          <w:highlight w:val="none"/>
        </w:rPr>
        <w:t>。</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1、扣除主合同的全部履约保证金；</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2、解除主合同；</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3、追究乙方其他违约责任；</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4、根据甲方的有关规章制度，在一定时间内暂停乙方参与甲方及下属单位所有项目的交易资格；</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5、根据甲方的有关规章制度，将乙方清退出甲方相关企业库；</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6、根据甲方上级单位、行政主管部门的意见、决定执行；</w:t>
      </w:r>
    </w:p>
    <w:p>
      <w:pPr>
        <w:pStyle w:val="34"/>
        <w:spacing w:before="0" w:beforeAutospacing="0" w:after="0" w:afterAutospacing="0" w:line="52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7、按规定向有关行政监督部门、乙方业务管理部门进行投诉、报告。</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乙方无条件接受甲方的处理决定并承担给甲方造成的损失，全额返还通过不正当手段获取的非法所得，并承担相应的法律责任。</w:t>
      </w:r>
    </w:p>
    <w:p>
      <w:pPr>
        <w:spacing w:line="520" w:lineRule="exact"/>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 xml:space="preserve">第五条 </w:t>
      </w:r>
      <w:r>
        <w:rPr>
          <w:rFonts w:hint="eastAsia" w:ascii="宋体" w:hAnsi="宋体" w:eastAsia="宋体" w:cs="宋体"/>
          <w:bCs/>
          <w:color w:val="auto"/>
          <w:kern w:val="0"/>
          <w:sz w:val="24"/>
          <w:szCs w:val="24"/>
          <w:highlight w:val="none"/>
        </w:rPr>
        <w:t xml:space="preserve">本协议执行情况，接受有管辖权的纪检、监察部门的监督，双方应予以配合检查调查。 </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第六条本协议作为</w:t>
      </w:r>
      <w:r>
        <w:rPr>
          <w:rFonts w:hint="eastAsia" w:ascii="宋体" w:hAnsi="宋体" w:eastAsia="宋体" w:cs="宋体"/>
          <w:bCs/>
          <w:color w:val="auto"/>
          <w:sz w:val="24"/>
          <w:szCs w:val="24"/>
          <w:highlight w:val="none"/>
          <w:u w:val="single"/>
        </w:rPr>
        <w:t>（合同名称）+（合同编号）</w:t>
      </w:r>
      <w:r>
        <w:rPr>
          <w:rFonts w:hint="eastAsia" w:ascii="宋体" w:hAnsi="宋体" w:eastAsia="宋体" w:cs="宋体"/>
          <w:bCs/>
          <w:color w:val="auto"/>
          <w:sz w:val="24"/>
          <w:szCs w:val="24"/>
          <w:highlight w:val="none"/>
        </w:rPr>
        <w:t>合同的附件，并具有同等的法律效力，本协议自双方签字盖章之日起生效，与主合同同时终止。</w:t>
      </w:r>
    </w:p>
    <w:p>
      <w:pPr>
        <w:spacing w:line="5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第七条本协议一式</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份，甲方</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份，乙方</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份。</w:t>
      </w:r>
    </w:p>
    <w:p>
      <w:pPr>
        <w:spacing w:line="520" w:lineRule="exact"/>
        <w:ind w:firstLine="480" w:firstLineChars="200"/>
        <w:rPr>
          <w:rFonts w:hint="eastAsia" w:ascii="宋体" w:hAnsi="宋体" w:eastAsia="宋体" w:cs="宋体"/>
          <w:bCs/>
          <w:color w:val="auto"/>
          <w:sz w:val="24"/>
          <w:szCs w:val="24"/>
          <w:highlight w:val="none"/>
        </w:rPr>
      </w:pPr>
    </w:p>
    <w:p>
      <w:pPr>
        <w:spacing w:line="52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甲方（盖章）：                     乙方（盖章）：</w:t>
      </w:r>
    </w:p>
    <w:p>
      <w:pPr>
        <w:pStyle w:val="96"/>
        <w:tabs>
          <w:tab w:val="left" w:pos="5100"/>
        </w:tabs>
        <w:spacing w:line="520" w:lineRule="exact"/>
        <w:ind w:left="7200" w:firstLine="0" w:firstLineChars="0"/>
        <w:jc w:val="both"/>
        <w:rPr>
          <w:rFonts w:hint="eastAsia" w:ascii="宋体" w:hAnsi="宋体" w:eastAsia="宋体" w:cs="宋体"/>
          <w:bCs/>
          <w:color w:val="auto"/>
          <w:sz w:val="24"/>
          <w:szCs w:val="24"/>
          <w:highlight w:val="none"/>
        </w:rPr>
      </w:pPr>
    </w:p>
    <w:p>
      <w:pPr>
        <w:tabs>
          <w:tab w:val="left" w:pos="5100"/>
        </w:tabs>
        <w:spacing w:line="520" w:lineRule="exact"/>
        <w:ind w:left="8400" w:hanging="7200" w:hangingChars="30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签约代表：                         签约代表：</w:t>
      </w:r>
    </w:p>
    <w:p>
      <w:pPr>
        <w:tabs>
          <w:tab w:val="left" w:pos="4170"/>
        </w:tabs>
        <w:spacing w:line="52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日期:    年  月  日</w:t>
      </w:r>
      <w:r>
        <w:rPr>
          <w:rFonts w:hint="eastAsia" w:ascii="宋体" w:hAnsi="宋体" w:eastAsia="宋体" w:cs="宋体"/>
          <w:bCs/>
          <w:color w:val="auto"/>
          <w:sz w:val="24"/>
          <w:szCs w:val="24"/>
          <w:highlight w:val="none"/>
        </w:rPr>
        <w:tab/>
      </w:r>
      <w:r>
        <w:rPr>
          <w:rFonts w:hint="eastAsia" w:ascii="宋体" w:hAnsi="宋体" w:eastAsia="宋体" w:cs="宋体"/>
          <w:bCs/>
          <w:color w:val="auto"/>
          <w:sz w:val="24"/>
          <w:szCs w:val="24"/>
          <w:highlight w:val="none"/>
        </w:rPr>
        <w:t>日期：  年  月  日</w:t>
      </w:r>
    </w:p>
    <w:p>
      <w:pPr>
        <w:pStyle w:val="2"/>
        <w:ind w:firstLine="0" w:firstLineChars="0"/>
        <w:rPr>
          <w:rFonts w:hint="eastAsia" w:ascii="宋体" w:hAnsi="宋体" w:eastAsia="宋体" w:cs="宋体"/>
          <w:bCs/>
          <w:color w:val="auto"/>
          <w:sz w:val="28"/>
          <w:szCs w:val="28"/>
          <w:highlight w:val="none"/>
        </w:rPr>
      </w:pPr>
    </w:p>
    <w:bookmarkEnd w:id="473"/>
    <w:bookmarkEnd w:id="474"/>
    <w:bookmarkEnd w:id="475"/>
    <w:p>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附件3：营运场所施工安全协议书</w:t>
      </w:r>
    </w:p>
    <w:p>
      <w:pPr>
        <w:spacing w:line="360" w:lineRule="auto"/>
        <w:jc w:val="center"/>
        <w:rPr>
          <w:rFonts w:hint="eastAsia" w:ascii="宋体" w:hAnsi="宋体" w:eastAsia="宋体" w:cs="宋体"/>
          <w:b/>
          <w:bCs/>
          <w:color w:val="auto"/>
          <w:sz w:val="24"/>
          <w:highlight w:val="none"/>
        </w:rPr>
      </w:pPr>
    </w:p>
    <w:p>
      <w:pPr>
        <w:spacing w:line="560" w:lineRule="exact"/>
        <w:jc w:val="center"/>
        <w:rPr>
          <w:rFonts w:hint="eastAsia" w:ascii="宋体" w:hAnsi="宋体" w:eastAsia="宋体" w:cs="宋体"/>
          <w:bCs/>
          <w:color w:val="auto"/>
          <w:kern w:val="0"/>
          <w:sz w:val="44"/>
          <w:szCs w:val="44"/>
          <w:highlight w:val="none"/>
        </w:rPr>
      </w:pPr>
      <w:r>
        <w:rPr>
          <w:rFonts w:hint="eastAsia" w:ascii="宋体" w:hAnsi="宋体" w:eastAsia="宋体" w:cs="宋体"/>
          <w:bCs/>
          <w:color w:val="auto"/>
          <w:kern w:val="0"/>
          <w:sz w:val="44"/>
          <w:szCs w:val="44"/>
          <w:highlight w:val="none"/>
        </w:rPr>
        <w:t>营运场所施工安全协议书</w:t>
      </w:r>
    </w:p>
    <w:p>
      <w:pPr>
        <w:spacing w:line="560" w:lineRule="exact"/>
        <w:rPr>
          <w:rFonts w:hint="eastAsia" w:ascii="宋体" w:hAnsi="宋体" w:eastAsia="宋体" w:cs="宋体"/>
          <w:color w:val="auto"/>
          <w:sz w:val="24"/>
          <w:highlight w:val="none"/>
        </w:rPr>
      </w:pPr>
    </w:p>
    <w:p>
      <w:pPr>
        <w:spacing w:line="520" w:lineRule="exact"/>
        <w:rPr>
          <w:rFonts w:hint="eastAsia" w:ascii="宋体" w:hAnsi="宋体" w:eastAsia="宋体" w:cs="宋体"/>
          <w:color w:val="auto"/>
          <w:kern w:val="0"/>
          <w:sz w:val="24"/>
          <w:highlight w:val="none"/>
        </w:rPr>
      </w:pPr>
      <w:bookmarkStart w:id="476" w:name="_Toc21391"/>
      <w:r>
        <w:rPr>
          <w:rFonts w:hint="eastAsia" w:ascii="宋体" w:hAnsi="宋体" w:eastAsia="宋体" w:cs="宋体"/>
          <w:color w:val="auto"/>
          <w:kern w:val="0"/>
          <w:sz w:val="24"/>
          <w:highlight w:val="none"/>
        </w:rPr>
        <w:t>甲方：</w:t>
      </w:r>
      <w:r>
        <w:rPr>
          <w:rFonts w:hint="eastAsia" w:ascii="宋体" w:hAnsi="宋体" w:eastAsia="宋体" w:cs="宋体"/>
          <w:color w:val="auto"/>
          <w:sz w:val="24"/>
          <w:highlight w:val="none"/>
        </w:rPr>
        <w:t>广州市净水有限公司</w:t>
      </w:r>
    </w:p>
    <w:p>
      <w:pPr>
        <w:spacing w:line="5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乙方： </w:t>
      </w:r>
    </w:p>
    <w:p>
      <w:pPr>
        <w:adjustRightInd w:val="0"/>
        <w:snapToGrid w:val="0"/>
        <w:spacing w:line="520" w:lineRule="exact"/>
        <w:jc w:val="left"/>
        <w:rPr>
          <w:rStyle w:val="44"/>
          <w:rFonts w:hint="eastAsia" w:ascii="宋体" w:hAnsi="宋体" w:eastAsia="宋体" w:cs="宋体"/>
          <w:b w:val="0"/>
          <w:color w:val="auto"/>
          <w:highlight w:val="none"/>
          <w:u w:val="single"/>
        </w:rPr>
      </w:pPr>
    </w:p>
    <w:bookmarkEnd w:id="476"/>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一、本协议与主合同的关系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本协议作为</w:t>
      </w:r>
      <w:r>
        <w:rPr>
          <w:rFonts w:hint="eastAsia" w:ascii="宋体" w:hAnsi="宋体" w:eastAsia="宋体" w:cs="宋体"/>
          <w:color w:val="auto"/>
          <w:sz w:val="24"/>
          <w:highlight w:val="none"/>
          <w:u w:val="single"/>
        </w:rPr>
        <w:t>（合同名称）+（合同编号）</w:t>
      </w:r>
      <w:r>
        <w:rPr>
          <w:rFonts w:hint="eastAsia" w:ascii="宋体" w:hAnsi="宋体" w:eastAsia="宋体" w:cs="宋体"/>
          <w:color w:val="auto"/>
          <w:sz w:val="24"/>
          <w:highlight w:val="none"/>
        </w:rPr>
        <w:t>的组成部分，与主合同具有同等法律效力。</w:t>
      </w:r>
    </w:p>
    <w:p>
      <w:pPr>
        <w:adjustRightInd w:val="0"/>
        <w:snapToGrid w:val="0"/>
        <w:spacing w:line="5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二、甲方权责</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（二）落实生产营运等相关配合措施，提供必要的施工条件。</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（三）要求乙方遵守的甲方安全管理要求。</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（四）有权对乙方安全措施投入、现场安全施工情况等进行安全监督检查，并提出整改。</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（五）按照《广州市净水有限公司工程项目安全管理规范》等办法对乙方进行施工安全管理评价。</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（六）对于乙方不服从甲方管理，违反安全生产管理规定等违约行为的，甲方有权对乙方采取以下一种或以上的方式处理：</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1.按主合同相关条款进行经济扣罚；</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广州市水务局关于印发广州市水务工程施工和监理企业诚信评价管理办法的通知》（穗水建设〔2014〕10号）、《市净水公司关于印发施工和监理企业诚信评价工作实施办法的通知》（穗净水〔2015〕240号），进行诚信扣分（合同期内有新的文件印发的，按照最新的文件执行）；</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3.限制投保，或经其他单位承包后以分别方参与项目实施；</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4.向上级进行反映，包括但不限于广东省市政行业协会、广州市市政公路协会等。</w:t>
      </w:r>
    </w:p>
    <w:p>
      <w:pPr>
        <w:spacing w:line="5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三、乙方权责</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（二）严格执行国家、地方和行业主管部门关于施工的强制性标准、地方行政法规、管理要求。</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依法为施工现场作业的人员办理意外伤害保险、购买安全生产责任保险。</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（三）乙方应在合同签订后日内制定安全生产文明施工措施费投入使用计划，并提交甲方备案，保证施工安全措施投入。</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（四）严格按照甲方制定的《广州市净水有限公司工程项目安全管理规范》要求，落实各项安全管理工作。</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配合甲方的安全监督检查，并立即对提出的问题隐患进行整改。</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施工过程中，项目管理人员、作业人员（包括分包人员）需进行调整的，必须书面向甲方请示，并获得甲方批准后方可执行变更。</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（七）发生突发事件时，应立即报甲方，并同时积极主动地开展应急救援，采取有效措施将事故影响控制在最小范围内。</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（八）严格履行本协议，遵守甲方各项管理规定，服从管理。</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（九）对甲方的违章指挥，拒绝执行，但需书面明确指出甲方所违反的具体法律法规、标准规范等。</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（十）乙方委托的第三方运输单位或个人，违反本协议的，全部责任均由乙方承担。</w:t>
      </w:r>
    </w:p>
    <w:p>
      <w:pPr>
        <w:adjustRightInd w:val="0"/>
        <w:snapToGrid w:val="0"/>
        <w:spacing w:line="5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四、事故责任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（一）在乙方承包范围内，由于乙方责任发生生产安全事故时，造成的甲方、乙方或者第三方人身伤害事故，乙方负全部责任。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（五）乙方各类人员在甲方生产区域内发生人身伤害事故和其他事故，乙方应开展调查、处理、统计、上报并向甲方报告，配合甲方及有关部门开展事故调查。</w:t>
      </w:r>
    </w:p>
    <w:p>
      <w:pPr>
        <w:spacing w:line="5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105"/>
        <w:spacing w:line="52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五、补充条款：</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p>
    <w:p>
      <w:pPr>
        <w:adjustRightInd w:val="0"/>
        <w:snapToGrid w:val="0"/>
        <w:spacing w:line="5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六、附则</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（一）本协议未尽事宜，依据有关法律、法规、规章处理。法律、法规、规章没有明确规定的，经双方协商处理解决。</w:t>
      </w:r>
    </w:p>
    <w:p>
      <w:pPr>
        <w:adjustRightInd w:val="0"/>
        <w:snapToGrid w:val="0"/>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20" w:lineRule="exact"/>
        <w:rPr>
          <w:rFonts w:hint="eastAsia" w:ascii="宋体" w:hAnsi="宋体" w:eastAsia="宋体" w:cs="宋体"/>
          <w:color w:val="auto"/>
          <w:sz w:val="24"/>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甲方：</w:t>
            </w:r>
          </w:p>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签约代表：</w:t>
            </w:r>
          </w:p>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pPr>
              <w:adjustRightInd w:val="0"/>
              <w:snapToGrid w:val="0"/>
              <w:spacing w:line="520" w:lineRule="exact"/>
              <w:ind w:firstLine="240" w:firstLineChars="1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tc>
        <w:tc>
          <w:tcPr>
            <w:tcW w:w="4474" w:type="dxa"/>
          </w:tcPr>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乙方：</w:t>
            </w:r>
          </w:p>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签约代表：</w:t>
            </w:r>
          </w:p>
          <w:p>
            <w:pPr>
              <w:adjustRightInd w:val="0"/>
              <w:snapToGrid w:val="0"/>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pPr>
              <w:adjustRightInd w:val="0"/>
              <w:snapToGrid w:val="0"/>
              <w:spacing w:line="52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tc>
      </w:tr>
    </w:tbl>
    <w:p>
      <w:pPr>
        <w:spacing w:line="360" w:lineRule="auto"/>
        <w:rPr>
          <w:rFonts w:hint="eastAsia" w:ascii="宋体" w:hAnsi="宋体" w:eastAsia="宋体" w:cs="宋体"/>
          <w:b/>
          <w:bCs/>
          <w:color w:val="auto"/>
          <w:szCs w:val="21"/>
          <w:highlight w:val="none"/>
        </w:rPr>
        <w:sectPr>
          <w:pgSz w:w="11906" w:h="16838"/>
          <w:pgMar w:top="1417" w:right="1701" w:bottom="1417" w:left="1701" w:header="851" w:footer="992" w:gutter="0"/>
          <w:pgNumType w:fmt="decimal"/>
          <w:cols w:space="0" w:num="1"/>
          <w:docGrid w:type="lines" w:linePitch="312" w:charSpace="0"/>
        </w:sectPr>
      </w:pPr>
    </w:p>
    <w:p>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附件4：工程量清单/报价</w:t>
      </w:r>
    </w:p>
    <w:p>
      <w:pPr>
        <w:spacing w:line="360" w:lineRule="auto"/>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工程量报价</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pStyle w:val="2"/>
        <w:ind w:firstLine="640"/>
        <w:rPr>
          <w:rFonts w:hint="eastAsia" w:ascii="宋体" w:hAnsi="宋体" w:eastAsia="宋体" w:cs="宋体"/>
          <w:b/>
          <w:bCs/>
          <w:color w:val="auto"/>
          <w:szCs w:val="21"/>
          <w:highlight w:val="none"/>
        </w:rPr>
      </w:pPr>
    </w:p>
    <w:p>
      <w:pPr>
        <w:pStyle w:val="2"/>
        <w:ind w:firstLine="640"/>
        <w:rPr>
          <w:rFonts w:hint="eastAsia" w:ascii="宋体" w:hAnsi="宋体" w:eastAsia="宋体" w:cs="宋体"/>
          <w:b/>
          <w:bCs/>
          <w:color w:val="auto"/>
          <w:szCs w:val="21"/>
          <w:highlight w:val="none"/>
        </w:rPr>
      </w:pPr>
    </w:p>
    <w:p>
      <w:pPr>
        <w:pStyle w:val="2"/>
        <w:ind w:firstLine="640"/>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p>
    <w:p>
      <w:pPr>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pStyle w:val="2"/>
        <w:ind w:firstLine="0" w:firstLine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附件5 ：项目投入人员架构表</w:t>
      </w:r>
    </w:p>
    <w:p>
      <w:pPr>
        <w:pStyle w:val="2"/>
        <w:jc w:val="center"/>
        <w:rPr>
          <w:rFonts w:hint="eastAsia" w:ascii="宋体" w:hAnsi="宋体" w:eastAsia="宋体" w:cs="宋体"/>
          <w:color w:val="auto"/>
          <w:sz w:val="28"/>
          <w:szCs w:val="28"/>
          <w:highlight w:val="none"/>
          <w:lang w:val="en-US" w:eastAsia="zh-CN"/>
        </w:rPr>
      </w:pPr>
      <w:r>
        <w:rPr>
          <w:rFonts w:hint="eastAsia" w:ascii="宋体" w:hAnsi="宋体" w:eastAsia="宋体" w:cs="宋体"/>
          <w:b/>
          <w:bCs/>
          <w:color w:val="auto"/>
          <w:sz w:val="24"/>
          <w:szCs w:val="24"/>
          <w:highlight w:val="none"/>
          <w:lang w:val="en-US" w:eastAsia="zh-CN"/>
        </w:rPr>
        <w:t>项目投入人员架构表</w:t>
      </w:r>
    </w:p>
    <w:tbl>
      <w:tblPr>
        <w:tblStyle w:val="39"/>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050"/>
        <w:gridCol w:w="725"/>
        <w:gridCol w:w="2563"/>
        <w:gridCol w:w="1987"/>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19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执业或职业资格证明</w:t>
            </w: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资格证书有效期</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shd w:val="clear" w:color="auto" w:fill="FFFFFF"/>
              </w:rPr>
              <w:t>项目负责人</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pStyle w:val="34"/>
              <w:spacing w:before="0" w:beforeAutospacing="0" w:after="0" w:afterAutospacing="0"/>
              <w:ind w:firstLine="29" w:firstLineChars="14"/>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FFFFFF"/>
              </w:rPr>
              <w:t>技术负责人</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pStyle w:val="34"/>
              <w:spacing w:before="0" w:beforeAutospacing="0" w:after="0" w:afterAutospacing="0"/>
              <w:ind w:firstLine="29" w:firstLineChars="14"/>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FFFFFF"/>
              </w:rPr>
              <w:t>电气负责人</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项目现场负责人</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项目现场负责人</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shd w:val="clear" w:color="auto" w:fill="FFFFFF"/>
              </w:rPr>
              <w:t>安全员</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安全员</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电工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电工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焊工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普工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普工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普工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普工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Cs w:val="21"/>
                <w:highlight w:val="none"/>
                <w:shd w:val="clear" w:color="auto" w:fill="FFFFFF"/>
                <w:lang w:eastAsia="zh-CN"/>
              </w:rPr>
            </w:pPr>
            <w:r>
              <w:rPr>
                <w:rFonts w:hint="eastAsia" w:ascii="宋体" w:hAnsi="宋体" w:eastAsia="宋体" w:cs="宋体"/>
                <w:color w:val="auto"/>
                <w:szCs w:val="21"/>
                <w:highlight w:val="none"/>
                <w:shd w:val="clear" w:color="auto" w:fill="FFFFFF"/>
                <w:lang w:eastAsia="zh-CN"/>
              </w:rPr>
              <w:t>……</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25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c>
          <w:tcPr>
            <w:tcW w:w="1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p>
        </w:tc>
      </w:tr>
    </w:tbl>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附件6：应急救援物资清单</w:t>
      </w:r>
    </w:p>
    <w:p>
      <w:pPr>
        <w:pStyle w:val="50"/>
        <w:rPr>
          <w:rFonts w:hint="eastAsia" w:ascii="宋体" w:hAnsi="宋体" w:eastAsia="宋体" w:cs="宋体"/>
          <w:b/>
          <w:bCs/>
          <w:color w:val="auto"/>
          <w:szCs w:val="21"/>
          <w:highlight w:val="none"/>
        </w:rPr>
      </w:pPr>
    </w:p>
    <w:p>
      <w:pPr>
        <w:pStyle w:val="50"/>
        <w:rPr>
          <w:rFonts w:hint="eastAsia" w:ascii="宋体" w:hAnsi="宋体" w:eastAsia="宋体" w:cs="宋体"/>
          <w:b/>
          <w:bCs/>
          <w:color w:val="auto"/>
          <w:szCs w:val="21"/>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pStyle w:val="5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附件7：营运项目承包单位日常履约考评参照表（安全）、营运项目承包单位综合履约考评表（安全）</w:t>
      </w:r>
    </w:p>
    <w:tbl>
      <w:tblPr>
        <w:tblStyle w:val="39"/>
        <w:tblpPr w:leftFromText="180" w:rightFromText="180" w:vertAnchor="text" w:horzAnchor="page" w:tblpXSpec="center" w:tblpY="1291"/>
        <w:tblOverlap w:val="never"/>
        <w:tblW w:w="0" w:type="auto"/>
        <w:tblInd w:w="0" w:type="dxa"/>
        <w:tblLayout w:type="autofit"/>
        <w:tblCellMar>
          <w:top w:w="0" w:type="dxa"/>
          <w:left w:w="0" w:type="dxa"/>
          <w:bottom w:w="0" w:type="dxa"/>
          <w:right w:w="0" w:type="dxa"/>
        </w:tblCellMar>
      </w:tblPr>
      <w:tblGrid>
        <w:gridCol w:w="344"/>
        <w:gridCol w:w="851"/>
        <w:gridCol w:w="701"/>
        <w:gridCol w:w="2126"/>
        <w:gridCol w:w="1066"/>
        <w:gridCol w:w="1076"/>
        <w:gridCol w:w="1076"/>
        <w:gridCol w:w="1096"/>
      </w:tblGrid>
      <w:tr>
        <w:tblPrEx>
          <w:tblCellMar>
            <w:top w:w="0" w:type="dxa"/>
            <w:left w:w="0" w:type="dxa"/>
            <w:bottom w:w="0" w:type="dxa"/>
            <w:right w:w="0" w:type="dxa"/>
          </w:tblCellMar>
        </w:tblPrEx>
        <w:trPr>
          <w:trHeight w:val="300" w:hRule="atLeast"/>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hint="eastAsia" w:ascii="宋体" w:hAnsi="宋体" w:eastAsia="宋体" w:cs="宋体"/>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320" w:hRule="atLeast"/>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hint="eastAsia" w:ascii="宋体" w:hAnsi="宋体" w:eastAsia="宋体" w:cs="宋体"/>
                <w:b/>
                <w:color w:val="auto"/>
                <w:sz w:val="16"/>
                <w:szCs w:val="16"/>
                <w:highlight w:val="none"/>
              </w:rPr>
            </w:pPr>
            <w:r>
              <w:rPr>
                <w:rFonts w:hint="eastAsia" w:ascii="宋体" w:hAnsi="宋体" w:eastAsia="宋体" w:cs="宋体"/>
                <w:b/>
                <w:color w:val="auto"/>
                <w:kern w:val="0"/>
                <w:sz w:val="16"/>
                <w:szCs w:val="16"/>
                <w:highlight w:val="none"/>
              </w:rPr>
              <w:t>营运项目承包单位日常履约考评参照表（安全）</w:t>
            </w:r>
          </w:p>
        </w:tc>
      </w:tr>
      <w:tr>
        <w:tblPrEx>
          <w:tblCellMar>
            <w:top w:w="0" w:type="dxa"/>
            <w:left w:w="0" w:type="dxa"/>
            <w:bottom w:w="0" w:type="dxa"/>
            <w:right w:w="0" w:type="dxa"/>
          </w:tblCellMar>
        </w:tblPrEx>
        <w:trPr>
          <w:trHeight w:val="100"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合同金额≥100万</w:t>
            </w: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按“四不放过”调查后处理</w:t>
            </w:r>
          </w:p>
        </w:tc>
      </w:tr>
      <w:tr>
        <w:tblPrEx>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扣合同金额的30%～50%；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扣合同金额的20%～30%；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扣合同金额的10%～20%；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扣合同金额的5%～10%;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或8万～12万</w:t>
            </w:r>
          </w:p>
        </w:tc>
      </w:tr>
      <w:tr>
        <w:tblPrEx>
          <w:tblCellMar>
            <w:top w:w="0" w:type="dxa"/>
            <w:left w:w="0" w:type="dxa"/>
            <w:bottom w:w="0" w:type="dxa"/>
            <w:right w:w="0"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扣合同金额的20%～30%;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扣合同金额的10%～20%；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扣合同金额的5%～10%；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扣合同金额的3%～5%；</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或4万～8万</w:t>
            </w:r>
          </w:p>
        </w:tc>
      </w:tr>
      <w:tr>
        <w:tblPrEx>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4</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扣合同金额的10%～20%；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扣合同金额的5%～10%；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扣合同金额的3%～5%；</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扣合同金额的1%～2%；</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或2万～4万</w:t>
            </w:r>
          </w:p>
        </w:tc>
      </w:tr>
      <w:tr>
        <w:tblPrEx>
          <w:tblCellMar>
            <w:top w:w="0" w:type="dxa"/>
            <w:left w:w="0" w:type="dxa"/>
            <w:bottom w:w="0" w:type="dxa"/>
            <w:right w:w="0" w:type="dxa"/>
          </w:tblCellMar>
        </w:tblPrEx>
        <w:trPr>
          <w:trHeight w:val="142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1.发生事故或事件隐瞒不报的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2.未在1小时内向业主单位上报事故的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3.拒绝、不配合事故事件调查的或事故事件调查提供虚假信息</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4.未按规定和程序组织事故调查和事故处理的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5.未及时处理导致事故扩大的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扣合同金额的30%～50%；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扣合同金额的20%～30%；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扣合同金额的10%～20%；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扣合同金额的5%～10%;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或8万～12万</w:t>
            </w:r>
          </w:p>
        </w:tc>
      </w:tr>
      <w:tr>
        <w:tblPrEx>
          <w:tblCellMar>
            <w:top w:w="0" w:type="dxa"/>
            <w:left w:w="0" w:type="dxa"/>
            <w:bottom w:w="0" w:type="dxa"/>
            <w:right w:w="0" w:type="dxa"/>
          </w:tblCellMar>
        </w:tblPrEx>
        <w:trPr>
          <w:trHeight w:val="138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1.施工人员签名的安全交底表（交底内容由分公司编写），被交底人员应与人员花名册一致</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2.施工单位对施工人员的三级安全教育材料</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缺资料扣合同金额的5%或500；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缺资料扣合同金额的2%或2000；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缺资料扣合同金额的1%或4500；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缺资料扣合同金额的0.4%或8000；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资料有问题扣合同金额的0.2%或4000</w:t>
            </w:r>
          </w:p>
        </w:tc>
      </w:tr>
      <w:tr>
        <w:tblPrEx>
          <w:tblCellMar>
            <w:top w:w="0" w:type="dxa"/>
            <w:left w:w="0" w:type="dxa"/>
            <w:bottom w:w="0" w:type="dxa"/>
            <w:right w:w="0"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4.施工方案，应满足合同要求，内容至少包括：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施工点介绍</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施工内容（含作业流程、风险分析、施工工艺等）</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施工设备和材料（必要时含构件测试手段等）</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安全措施（根据工程特点、分公司的风险评估和施工单位的施工工艺制定）</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缺施工方案扣合同金额的6%或700；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缺施工方案扣合同金额的3%或3500；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缺施工方案扣合同金额的1.5%或5000；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缺施工方案扣合同金额的0.5%或1万；</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资料有问题扣合同金额的0.3%或5000</w:t>
            </w:r>
          </w:p>
        </w:tc>
      </w:tr>
      <w:tr>
        <w:tblPrEx>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5.应急预案，内容至少包括：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现场情况介绍</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风险评估</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应急架构（包括应急主管人员和安全员，以及各应急小组，落实到人和联系方式）</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应急流程</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各种风险情况下的应急措施（根据现场情况、分公司的风险评估制定）</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应急物资清单</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缺应急预案扣合同金额的6%或700；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缺应急预案扣合同金额的3%或3500；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缺应急预案扣合同金额的1.5%或5000；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缺应急预案扣合同金额的0.5%或1万；</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资料有问题扣合同金额的0.3%或5000</w:t>
            </w:r>
          </w:p>
        </w:tc>
      </w:tr>
      <w:tr>
        <w:tblPrEx>
          <w:tblCellMar>
            <w:top w:w="0" w:type="dxa"/>
            <w:left w:w="0" w:type="dxa"/>
            <w:bottom w:w="0" w:type="dxa"/>
            <w:right w:w="0" w:type="dxa"/>
          </w:tblCellMar>
        </w:tblPrEx>
        <w:trPr>
          <w:trHeight w:val="154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6.安全架构和相应安全责任制（落实到人和联系方式），可编写入施工方案内，架构人员主要包括：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安全责任人</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施工负责人（可与安全责任人为同一个人）</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安全员</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设备、物资管理人员</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缺安全架构扣合同金额的10%或2000；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缺安全架构扣合同金额的5%或5000；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缺安全架构扣合同金额的2%或1万；</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缺安全架构扣合同金额的1%或2万；</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缺少任何一类人员及其职责的扣合同金额的0.5%或1万</w:t>
            </w:r>
          </w:p>
        </w:tc>
      </w:tr>
      <w:tr>
        <w:tblPrEx>
          <w:tblCellMar>
            <w:top w:w="0" w:type="dxa"/>
            <w:left w:w="0" w:type="dxa"/>
            <w:bottom w:w="0" w:type="dxa"/>
            <w:right w:w="0" w:type="dxa"/>
          </w:tblCellMar>
        </w:tblPrEx>
        <w:trPr>
          <w:trHeight w:val="29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7.施工人员花名册，人员应包含：</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施工负责人（需要施工管理人员资格证书）</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安全员（涉及动火、临时用电、有限空间、高空、抽堵盲板、吊装、动土、断路、设备检修等9大危险作业的，安全员需要有安全员证）</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特种作业人员（附证件号，同时要复印特种作业证，特种作业人数应满足合同要求）</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一般施工人员</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可能需要进入厂区的其他人员（如监理人员、资料员等）</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缺花名册扣合同金额的5%或500；</w:t>
            </w:r>
          </w:p>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缺特种作业人员或特种作业人员不满足合同要求，扣合同金额的5%或500；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缺花名册扣合同金额的2%或2000；</w:t>
            </w:r>
          </w:p>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缺特种作业人员或特种作业人员不满足合同要求，扣合同金额的2%或2000；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缺花名册扣合同金额的1%或4500；</w:t>
            </w:r>
          </w:p>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缺特种作业人员或特种作业人员不满足合同要求，扣合同金额的1%或4500；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缺花名册扣合同金额的0.4%或8000；</w:t>
            </w:r>
          </w:p>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缺特种作业人员或特种作业人员不满足合同要求，扣合同金额的0.4%或8000；</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其他人员或资料有缺漏扣合同金额的0.2%或4000</w:t>
            </w:r>
          </w:p>
        </w:tc>
      </w:tr>
      <w:tr>
        <w:tblPrEx>
          <w:tblCellMar>
            <w:top w:w="0" w:type="dxa"/>
            <w:left w:w="0" w:type="dxa"/>
            <w:bottom w:w="0" w:type="dxa"/>
            <w:right w:w="0" w:type="dxa"/>
          </w:tblCellMar>
        </w:tblPrEx>
        <w:trPr>
          <w:trHeight w:val="124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1.施工现场未开展有效围蔽</w:t>
            </w:r>
          </w:p>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3.现场无危险源公示、告知及相应警示</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扣合同金额的0.5%或1万</w:t>
            </w:r>
          </w:p>
        </w:tc>
      </w:tr>
      <w:tr>
        <w:tblPrEx>
          <w:tblCellMar>
            <w:top w:w="0" w:type="dxa"/>
            <w:left w:w="0" w:type="dxa"/>
            <w:bottom w:w="0" w:type="dxa"/>
            <w:right w:w="0"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1.现场未按施工方案落实安全防范措施的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2.危险作业未经业主人员审批先行施工的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扣合同金额的1%或2万</w:t>
            </w:r>
          </w:p>
        </w:tc>
      </w:tr>
      <w:tr>
        <w:tblPrEx>
          <w:tblCellMar>
            <w:top w:w="0" w:type="dxa"/>
            <w:left w:w="0" w:type="dxa"/>
            <w:bottom w:w="0" w:type="dxa"/>
            <w:right w:w="0"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1.缺少书面交底、未留存书面资料或交底资料缺少交底人、被交底人及安全员签字的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扣合同金额的0.3%或5000</w:t>
            </w:r>
          </w:p>
        </w:tc>
      </w:tr>
      <w:tr>
        <w:tblPrEx>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1.违反9大危险作业相关作业规范的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2.现场存在违章作业、违章指挥等违反相关安全管理规定或制度的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扣合同金额的0.5%或1万</w:t>
            </w:r>
          </w:p>
        </w:tc>
      </w:tr>
      <w:tr>
        <w:tblPrEx>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扣合同金额的0.3%或5000</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1.未设置应急物资点，未统一存放应急物资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2.应急物资点无应急物资清单或无应急物资每日检查表</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扣合同金额的0.3%或5000</w:t>
            </w: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17</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扣合同金额的0.3%或5000</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扣合同金额的0.4%或8000</w:t>
            </w:r>
          </w:p>
        </w:tc>
      </w:tr>
      <w:tr>
        <w:tblPrEx>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扣合同金额的3%～5%；</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扣合同金额的1%～2%；</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扣合同金额的0.5%～1%；</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扣合同金额的0.3%～0.4%；</w:t>
            </w:r>
          </w:p>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或5000～8000</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280" w:hRule="atLeast"/>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注：1、与安全管理相关的考评内容具体考评标准内容参照广州市净水有限公司标准《工程项目安全管理规范》（Q/GZJSA 1-2021）执行。</w:t>
            </w:r>
          </w:p>
          <w:p>
            <w:pPr>
              <w:rPr>
                <w:rFonts w:hint="eastAsia" w:ascii="宋体" w:hAnsi="宋体" w:eastAsia="宋体" w:cs="宋体"/>
                <w:color w:val="auto"/>
                <w:highlight w:val="none"/>
              </w:rPr>
            </w:pPr>
            <w:r>
              <w:rPr>
                <w:rFonts w:hint="eastAsia" w:ascii="宋体" w:hAnsi="宋体" w:eastAsia="宋体" w:cs="宋体"/>
                <w:color w:val="auto"/>
                <w:sz w:val="13"/>
                <w:szCs w:val="13"/>
                <w:highlight w:val="none"/>
              </w:rPr>
              <w:t>2.本处理标准出自《广州净水公司工程项目承包单位质量安全考评细则（试行）》。</w:t>
            </w:r>
          </w:p>
        </w:tc>
      </w:tr>
    </w:tbl>
    <w:p>
      <w:pPr>
        <w:contextualSpacing/>
        <w:jc w:val="left"/>
        <w:rPr>
          <w:rFonts w:hint="eastAsia" w:ascii="宋体" w:hAnsi="宋体" w:eastAsia="宋体" w:cs="宋体"/>
          <w:color w:val="auto"/>
          <w:sz w:val="24"/>
          <w:highlight w:val="none"/>
        </w:rPr>
      </w:pPr>
    </w:p>
    <w:p>
      <w:pPr>
        <w:ind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Style w:val="2"/>
        <w:ind w:firstLine="0" w:firstLineChars="0"/>
        <w:rPr>
          <w:rFonts w:hint="eastAsia" w:ascii="宋体" w:hAnsi="宋体" w:eastAsia="宋体" w:cs="宋体"/>
          <w:b/>
          <w:bCs/>
          <w:color w:val="auto"/>
          <w:sz w:val="24"/>
          <w:szCs w:val="24"/>
          <w:highlight w:val="none"/>
        </w:rPr>
      </w:pPr>
    </w:p>
    <w:tbl>
      <w:tblPr>
        <w:tblStyle w:val="39"/>
        <w:tblW w:w="8234" w:type="dxa"/>
        <w:jc w:val="center"/>
        <w:tblLayout w:type="autofit"/>
        <w:tblCellMar>
          <w:top w:w="0" w:type="dxa"/>
          <w:left w:w="0" w:type="dxa"/>
          <w:bottom w:w="0" w:type="dxa"/>
          <w:right w:w="0" w:type="dxa"/>
        </w:tblCellMar>
      </w:tblPr>
      <w:tblGrid>
        <w:gridCol w:w="329"/>
        <w:gridCol w:w="263"/>
        <w:gridCol w:w="367"/>
        <w:gridCol w:w="2951"/>
        <w:gridCol w:w="806"/>
        <w:gridCol w:w="724"/>
        <w:gridCol w:w="724"/>
        <w:gridCol w:w="724"/>
        <w:gridCol w:w="724"/>
        <w:gridCol w:w="724"/>
      </w:tblGrid>
      <w:tr>
        <w:tblPrEx>
          <w:tblCellMar>
            <w:top w:w="0" w:type="dxa"/>
            <w:left w:w="0" w:type="dxa"/>
            <w:bottom w:w="0" w:type="dxa"/>
            <w:right w:w="0" w:type="dxa"/>
          </w:tblCellMar>
        </w:tblPrEx>
        <w:trPr>
          <w:trHeight w:val="561" w:hRule="atLeast"/>
          <w:jc w:val="center"/>
        </w:trPr>
        <w:tc>
          <w:tcPr>
            <w:tcW w:w="619"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附件2-2</w:t>
            </w:r>
          </w:p>
        </w:tc>
        <w:tc>
          <w:tcPr>
            <w:tcW w:w="384" w:type="dxa"/>
            <w:tcBorders>
              <w:top w:val="nil"/>
              <w:left w:val="nil"/>
              <w:bottom w:val="nil"/>
              <w:right w:val="nil"/>
            </w:tcBorders>
            <w:noWrap/>
            <w:tcMar>
              <w:top w:w="12" w:type="dxa"/>
              <w:left w:w="12" w:type="dxa"/>
              <w:right w:w="12" w:type="dxa"/>
            </w:tcMar>
            <w:vAlign w:val="center"/>
          </w:tcPr>
          <w:p>
            <w:pPr>
              <w:jc w:val="left"/>
              <w:rPr>
                <w:rFonts w:hint="eastAsia" w:ascii="宋体" w:hAnsi="宋体" w:eastAsia="宋体" w:cs="宋体"/>
                <w:color w:val="auto"/>
                <w:sz w:val="16"/>
                <w:szCs w:val="16"/>
                <w:highlight w:val="none"/>
              </w:rPr>
            </w:pPr>
          </w:p>
        </w:tc>
        <w:tc>
          <w:tcPr>
            <w:tcW w:w="3100"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846"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nil"/>
              <w:left w:val="nil"/>
              <w:bottom w:val="nil"/>
              <w:right w:val="nil"/>
            </w:tcBorders>
            <w:noWrap/>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574"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hint="eastAsia" w:ascii="宋体" w:hAnsi="宋体" w:eastAsia="宋体" w:cs="宋体"/>
                <w:b/>
                <w:color w:val="auto"/>
                <w:sz w:val="16"/>
                <w:szCs w:val="16"/>
                <w:highlight w:val="none"/>
              </w:rPr>
            </w:pPr>
            <w:r>
              <w:rPr>
                <w:rFonts w:hint="eastAsia" w:ascii="宋体" w:hAnsi="宋体" w:eastAsia="宋体" w:cs="宋体"/>
                <w:b/>
                <w:color w:val="auto"/>
                <w:kern w:val="0"/>
                <w:sz w:val="16"/>
                <w:szCs w:val="16"/>
                <w:highlight w:val="none"/>
              </w:rPr>
              <w:t>营运项目承包单位综合履约考评表（安全）</w:t>
            </w:r>
          </w:p>
        </w:tc>
      </w:tr>
      <w:tr>
        <w:tblPrEx>
          <w:tblCellMar>
            <w:top w:w="0" w:type="dxa"/>
            <w:left w:w="0" w:type="dxa"/>
            <w:bottom w:w="0" w:type="dxa"/>
            <w:right w:w="0" w:type="dxa"/>
          </w:tblCellMar>
        </w:tblPrEx>
        <w:trPr>
          <w:trHeight w:val="676"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宋体" w:hAnsi="宋体" w:eastAsia="宋体" w:cs="宋体"/>
                <w:b/>
                <w:color w:val="auto"/>
                <w:sz w:val="16"/>
                <w:szCs w:val="16"/>
                <w:highlight w:val="none"/>
              </w:rPr>
            </w:pPr>
            <w:r>
              <w:rPr>
                <w:rFonts w:hint="eastAsia" w:ascii="宋体" w:hAnsi="宋体" w:eastAsia="宋体" w:cs="宋体"/>
                <w:b/>
                <w:color w:val="auto"/>
                <w:kern w:val="0"/>
                <w:sz w:val="16"/>
                <w:szCs w:val="16"/>
                <w:highlight w:val="none"/>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hint="eastAsia" w:ascii="宋体" w:hAnsi="宋体" w:eastAsia="宋体" w:cs="宋体"/>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宋体" w:hAnsi="宋体" w:eastAsia="宋体" w:cs="宋体"/>
                <w:b/>
                <w:color w:val="auto"/>
                <w:sz w:val="16"/>
                <w:szCs w:val="16"/>
                <w:highlight w:val="none"/>
              </w:rPr>
            </w:pPr>
            <w:r>
              <w:rPr>
                <w:rFonts w:hint="eastAsia" w:ascii="宋体" w:hAnsi="宋体" w:eastAsia="宋体" w:cs="宋体"/>
                <w:b/>
                <w:color w:val="auto"/>
                <w:kern w:val="0"/>
                <w:sz w:val="16"/>
                <w:szCs w:val="16"/>
                <w:highlight w:val="none"/>
              </w:rPr>
              <w:t>综合考评日期：           年        月        日</w:t>
            </w:r>
          </w:p>
        </w:tc>
      </w:tr>
      <w:tr>
        <w:tblPrEx>
          <w:tblCellMar>
            <w:top w:w="0" w:type="dxa"/>
            <w:left w:w="0" w:type="dxa"/>
            <w:bottom w:w="0" w:type="dxa"/>
            <w:right w:w="0" w:type="dxa"/>
          </w:tblCellMar>
        </w:tblPrEx>
        <w:trPr>
          <w:trHeight w:val="70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序号</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考评项目</w:t>
            </w:r>
          </w:p>
        </w:tc>
        <w:tc>
          <w:tcPr>
            <w:tcW w:w="38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考评内容</w:t>
            </w:r>
          </w:p>
        </w:tc>
        <w:tc>
          <w:tcPr>
            <w:tcW w:w="84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考评标准</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监理单位考评</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分公司考评</w:t>
            </w:r>
          </w:p>
        </w:tc>
        <w:tc>
          <w:tcPr>
            <w:tcW w:w="1314"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公司考评</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综合考评</w:t>
            </w:r>
          </w:p>
        </w:tc>
      </w:tr>
      <w:tr>
        <w:tblPrEx>
          <w:tblCellMar>
            <w:top w:w="0" w:type="dxa"/>
            <w:left w:w="0" w:type="dxa"/>
            <w:bottom w:w="0" w:type="dxa"/>
            <w:right w:w="0" w:type="dxa"/>
          </w:tblCellMar>
        </w:tblPrEx>
        <w:trPr>
          <w:trHeight w:val="111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业务主管部门</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安全管理部门</w:t>
            </w: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588"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一、加分部分</w:t>
            </w: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w:t>
            </w:r>
          </w:p>
        </w:tc>
        <w:tc>
          <w:tcPr>
            <w:tcW w:w="7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综合管理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受到业主单位或上级管理部门通报表扬的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加5～10分/项，可叠加</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w:t>
            </w:r>
          </w:p>
        </w:tc>
        <w:tc>
          <w:tcPr>
            <w:tcW w:w="7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现场管理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积极配合业主单位做好安全工作及相关宣传教育，积极主动排查隐患的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加5分/项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588"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二、扣分部分</w:t>
            </w:r>
          </w:p>
        </w:tc>
      </w:tr>
      <w:tr>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安全事故</w:t>
            </w:r>
          </w:p>
        </w:tc>
        <w:tc>
          <w:tcPr>
            <w:tcW w:w="38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事故类型</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发生重伤1人及以上安全事故，或直接经济损失达200万元以上的安全生产事故</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扣100分/项，同时3年内禁止来我公司投标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6</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发生停产、影响环境、破坏公共设施、造成不良影响等事故的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扣40分/项，可叠加，到达100分，3年内禁止来我公司投标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7</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事故处理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1.发生事故或事件隐瞒不报的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2.未在1小时内向业主单位上报事故的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3.拒绝、不配合事故事件调查的或事故事件调查提供虚假信息</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4.未按规定和程序组织事故调查和事故处理的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5.未及时处理导致事故扩大的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6.未落实“四不放过”的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扣100分/项，同时3年内禁止来我公司投标</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2704"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8</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首次备案施工单位须提供的资料</w:t>
            </w: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一般资料</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1.施工人员签名的安全交底表（交底内容由分公司编写），被交底人员应与人员花名册一致</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2.施工单位对施工人员的三级安全教育材料</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3.特殊时期需要增加的资料（如新冠疫情期间，需要增加的人员健康码和行程码资料）</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缺资料扣3～5分/项；</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9</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施工方案</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4.施工方案，应满足合同要求，内容至少包括：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施工点介绍</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施工内容（含作业流程、风险分析、施工工艺等）</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施工设备和材料（必要时含构件测试手段等）</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安全措施（根据工程特点、分公司的风险评估和施工单位的施工工艺制定）</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正常施工安全物资（主要是安全防护设备、劳保用品）</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缺施工方案扣4～8分/项；</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5348"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10</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应急预案</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5.应急预案，内容至少包括：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现场情况介绍</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风险评估</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应急架构（包括应急主管人员和安全员，以及各应急小组，落实到人和联系方式）</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应急流程</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各种风险情况下的应急措施（根据现场情况、分公司的风险评估制定）</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应急物资清单</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外单位救援力量及联系方式等</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缺应急预案扣4～8分/项；</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资料有问题扣1～3分/项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11</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安全架构</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6.安全架构和相应安全责任制（落实到人和联系方式），可编写入施工方案内，架构人员主要包括：</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安全责任人</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施工负责人（可与安全责任人为同一个人）</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安全员</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设备、物资管理人员</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 xml:space="preserve">  关键岗位人员、特种作业人员</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缺安全架构扣5～10分/项；</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缺任何一类人员及其职责有问题扣2～4分/项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587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12</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人员资质</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7.施工人员花名册，人员应包含：</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施工负责人（需要施工管理人员资格证书）</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安全员（涉及动火、临时用电、有限空间、高空、抽堵盲板、吊装、动土、断路、设备检修等9大危险作业的，安全员需要有安全员证）</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特种作业人员（附证件号，同时要复印特种作业证，特种作业人数应满足合同要求）</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一般施工人员</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xml:space="preserve">  可能需要进入厂区的其他人员（如监理人员、资料员等）</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注：如作业涉及危险作业，作业人员须有作业人员岗前职业病体检和筛选</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缺花名册扣3～5分/项；</w:t>
            </w:r>
          </w:p>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缺特种作业人员或特种作业人员不满足合同要求扣3～5分/项；</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其他人员或资料有缺漏扣1～3分/项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376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13</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施工现场管理</w:t>
            </w: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现场面貌</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1.施工现场未开展有效围蔽</w:t>
            </w:r>
          </w:p>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3.现场无危险源公示、告知及相应警示</w:t>
            </w:r>
          </w:p>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4.材料堆放存在重大隐患</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64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14</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施工管理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1.现场未按施工方案落实安全防范措施的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2.危险作业未经业主人员审批先行施工的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3.未按施工方案施工的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15</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每日安全交底</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1.缺少书面交底、未留存书面资料或交底资料缺少交底人、被交底人及安全员签字的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2.内容未结合当天的现场状况、特点、工序，对危险因素、施工内容、安全作业和应急措施进行交底的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2175"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16</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作业行为管理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1.违反9大危险作业相关作业规范的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2.现场存在违章作业、违章指挥等违反相关安全管理规定或制度的</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3.人员错误使用劳保用品3次以上的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17</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安全记录</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未按施工要求开展现场记录或记录内容有缺失</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681"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18</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应急管理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1.未设置应急物资点，未统一存放应急物资</w:t>
            </w:r>
          </w:p>
          <w:p>
            <w:pPr>
              <w:widowControl/>
              <w:textAlignment w:val="center"/>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2.应急物资点无应急物资清单或无应急物资每日检查表</w:t>
            </w:r>
          </w:p>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3.无开展日常应急培训、训练、演练或无资料留档的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扣2～4分/项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19</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人员变更无完善的手续及资料的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扣3～5分/项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20</w:t>
            </w:r>
          </w:p>
        </w:tc>
        <w:tc>
          <w:tcPr>
            <w:tcW w:w="32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隐患管理</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未及时对发现的隐患开展整改的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扣4～8分/项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111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21</w:t>
            </w:r>
          </w:p>
        </w:tc>
        <w:tc>
          <w:tcPr>
            <w:tcW w:w="32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8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其他</w:t>
            </w: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违反业主或上级主管部门提出的其他管理要求、文件、规定或拒不执行的</w:t>
            </w: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扣2～5分/项</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宋体" w:hAnsi="宋体" w:eastAsia="宋体" w:cs="宋体"/>
                <w:color w:val="auto"/>
                <w:sz w:val="16"/>
                <w:szCs w:val="16"/>
                <w:highlight w:val="none"/>
              </w:rPr>
            </w:pPr>
            <w:r>
              <w:rPr>
                <w:rFonts w:hint="eastAsia" w:ascii="宋体" w:hAnsi="宋体" w:eastAsia="宋体" w:cs="宋体"/>
                <w:color w:val="auto"/>
                <w:kern w:val="0"/>
                <w:sz w:val="16"/>
                <w:szCs w:val="16"/>
                <w:highlight w:val="none"/>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宋体" w:hAnsi="宋体" w:eastAsia="宋体" w:cs="宋体"/>
                <w:color w:val="auto"/>
                <w:sz w:val="16"/>
                <w:szCs w:val="16"/>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8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hint="eastAsia" w:ascii="宋体" w:hAnsi="宋体" w:eastAsia="宋体" w:cs="宋体"/>
                <w:color w:val="auto"/>
                <w:sz w:val="16"/>
                <w:szCs w:val="16"/>
                <w:highlight w:val="none"/>
              </w:rPr>
            </w:pPr>
          </w:p>
        </w:tc>
      </w:tr>
      <w:tr>
        <w:tblPrEx>
          <w:tblCellMar>
            <w:top w:w="0" w:type="dxa"/>
            <w:left w:w="0" w:type="dxa"/>
            <w:bottom w:w="0" w:type="dxa"/>
            <w:right w:w="0" w:type="dxa"/>
          </w:tblCellMar>
        </w:tblPrEx>
        <w:trPr>
          <w:trHeight w:val="4416" w:hRule="atLeast"/>
          <w:jc w:val="center"/>
        </w:trPr>
        <w:tc>
          <w:tcPr>
            <w:tcW w:w="8234" w:type="dxa"/>
            <w:gridSpan w:val="10"/>
            <w:tcBorders>
              <w:top w:val="nil"/>
              <w:left w:val="nil"/>
              <w:bottom w:val="nil"/>
              <w:right w:val="nil"/>
            </w:tcBorders>
            <w:tcMar>
              <w:top w:w="12" w:type="dxa"/>
              <w:left w:w="12" w:type="dxa"/>
              <w:right w:w="12" w:type="dxa"/>
            </w:tcMar>
            <w:vAlign w:val="center"/>
          </w:tcPr>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注：1、综合考评满分100分，各考评项目扣分不设上限；</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2、监理单位考评只作为参考及履职依据，不计入考评，无监理单位不需填写；</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3、“公司考评”业务主管部门和安全办针对本部门检查发现的内容进行扣（奖）分，项目部已经进行扣（奖）分的不重复执行；</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4、各分公司考评填写相应的得（扣）分数值，如奖2分则填写“2”，扣2分则填写“-2”；</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5、单项“综合考评”=项目部考评+公司考评；综合考评总分=各单项“综合考评”+100</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6、最后得分=综合考评总分X类别系数；</w:t>
            </w:r>
          </w:p>
          <w:p>
            <w:pPr>
              <w:widowControl/>
              <w:ind w:firstLine="260" w:firstLineChars="200"/>
              <w:contextualSpacing/>
              <w:jc w:val="left"/>
              <w:rPr>
                <w:rFonts w:hint="eastAsia" w:ascii="宋体" w:hAnsi="宋体" w:eastAsia="宋体" w:cs="宋体"/>
                <w:color w:val="auto"/>
                <w:sz w:val="13"/>
                <w:szCs w:val="13"/>
                <w:highlight w:val="none"/>
              </w:rPr>
            </w:pPr>
            <w:r>
              <w:rPr>
                <w:rFonts w:hint="eastAsia" w:ascii="宋体" w:hAnsi="宋体" w:eastAsia="宋体" w:cs="宋体"/>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hint="eastAsia" w:ascii="宋体" w:hAnsi="宋体" w:eastAsia="宋体" w:cs="宋体"/>
                <w:color w:val="auto"/>
                <w:highlight w:val="none"/>
              </w:rPr>
            </w:pPr>
            <w:r>
              <w:rPr>
                <w:rFonts w:hint="eastAsia" w:ascii="宋体" w:hAnsi="宋体" w:eastAsia="宋体" w:cs="宋体"/>
                <w:color w:val="auto"/>
                <w:sz w:val="13"/>
                <w:szCs w:val="13"/>
                <w:highlight w:val="none"/>
              </w:rPr>
              <w:t>8、本处理标准出自《广州净水公司工程项目承包单位质量安全考评细则（试行）》。</w:t>
            </w:r>
          </w:p>
        </w:tc>
      </w:tr>
    </w:tbl>
    <w:p>
      <w:pPr>
        <w:spacing w:line="360" w:lineRule="auto"/>
        <w:rPr>
          <w:rFonts w:hint="eastAsia" w:ascii="宋体" w:hAnsi="宋体" w:eastAsia="宋体" w:cs="宋体"/>
          <w:b/>
          <w:bCs/>
          <w:color w:val="auto"/>
          <w:szCs w:val="21"/>
          <w:highlight w:val="none"/>
        </w:rPr>
      </w:pPr>
    </w:p>
    <w:p>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附件8：履约保函（模板）</w:t>
      </w: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履约保函模板</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（受益人）</w:t>
      </w:r>
    </w:p>
    <w:p>
      <w:pPr>
        <w:pStyle w:val="50"/>
        <w:rPr>
          <w:rFonts w:hint="eastAsia" w:ascii="宋体" w:hAnsi="宋体" w:eastAsia="宋体" w:cs="宋体"/>
          <w:color w:val="auto"/>
          <w:highlight w:val="none"/>
        </w:rPr>
      </w:pP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鉴于（以下简称“委托人”）与贵方于</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签订了</w:t>
      </w:r>
      <w:r>
        <w:rPr>
          <w:rFonts w:hint="eastAsia" w:ascii="宋体" w:hAnsi="宋体" w:eastAsia="宋体" w:cs="宋体"/>
          <w:color w:val="auto"/>
          <w:sz w:val="24"/>
          <w:highlight w:val="none"/>
          <w:u w:val="single"/>
        </w:rPr>
        <w:t xml:space="preserve">  合同名称+合同编号   </w:t>
      </w:r>
      <w:r>
        <w:rPr>
          <w:rFonts w:hint="eastAsia" w:ascii="宋体" w:hAnsi="宋体" w:eastAsia="宋体" w:cs="宋体"/>
          <w:color w:val="auto"/>
          <w:sz w:val="24"/>
          <w:highlight w:val="none"/>
        </w:rPr>
        <w:t>合同（以下简称“合同”），我行同意为委托人出具履约保函，作为委托人履行合同义务的担保，以使你方得到履约保函的保障。本保函为不可撤销，见索即付的独立保函。</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二、贵单位的索赔申请应符合下述条件：</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（一）贵单位法定代表人或其授权代表签字并加盖单位公章；</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（二）在保函有效期内送达我行；</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（三）明确的索赔金额（不得超过本保函第一条所列之限额）。</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三、本保函自签发之日起生效，有效期至</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。本保函于下述任一事项发生之时立即失效，我行在本保函项下的保证义务即刻解除：</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（一）本保函有效期限届满；</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（二）我行保证的义务履行完毕。</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五、我行向你方支付索赔金额后，本保函担保金额即按贵方通知的索赔金额予以递减。</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六、保函失效后请将保函退回我行注销，无论正本最终退回与否，不影响本保函依上述约定自动失效。</w:t>
      </w: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落款</w:t>
      </w:r>
    </w:p>
    <w:p>
      <w:pPr>
        <w:ind w:firstLine="420"/>
        <w:rPr>
          <w:rFonts w:hint="eastAsia" w:ascii="宋体" w:hAnsi="宋体" w:eastAsia="宋体" w:cs="宋体"/>
          <w:color w:val="auto"/>
          <w:sz w:val="24"/>
          <w:highlight w:val="none"/>
        </w:rPr>
      </w:pP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保函说明：</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保函不得有下列或类似含义的表述：</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1.银行承担的为连带责任保证、一般保证。</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2.未经银行书面同意，受益人与申请人修改合同或其项下附件时，银行的保证义务解除。</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3.合同撤销或无效的，保函失效。</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4.申请人对受益人的抗辩，银行有权向受益人主张。</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5.受益人请求付款的请款单据包含法院裁判文书、仲裁裁决、第三方单位出具的鉴定书等申请人违约的证明材料。</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Cs w:val="21"/>
          <w:highlight w:val="none"/>
        </w:rPr>
      </w:pPr>
    </w:p>
    <w:p>
      <w:pPr>
        <w:spacing w:line="24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pPr>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附件9：预付款保函（模板）</w:t>
      </w:r>
    </w:p>
    <w:p>
      <w:pPr>
        <w:jc w:val="left"/>
        <w:rPr>
          <w:rFonts w:hint="eastAsia" w:ascii="宋体" w:hAnsi="宋体" w:eastAsia="宋体" w:cs="宋体"/>
          <w:color w:val="auto"/>
          <w:sz w:val="36"/>
          <w:szCs w:val="36"/>
          <w:highlight w:val="none"/>
        </w:rPr>
      </w:pPr>
    </w:p>
    <w:p>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预付款保函模板</w:t>
      </w:r>
    </w:p>
    <w:p>
      <w:pPr>
        <w:rPr>
          <w:rFonts w:hint="eastAsia" w:ascii="宋体" w:hAnsi="宋体" w:eastAsia="宋体" w:cs="宋体"/>
          <w:color w:val="auto"/>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 （受益人）</w:t>
      </w:r>
    </w:p>
    <w:p>
      <w:pPr>
        <w:spacing w:line="360" w:lineRule="auto"/>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鉴于（以下简称“委托人”）与你方于</w:t>
      </w:r>
      <w:r>
        <w:rPr>
          <w:rFonts w:hint="eastAsia" w:ascii="宋体" w:hAnsi="宋体" w:eastAsia="宋体" w:cs="宋体"/>
          <w:color w:val="auto"/>
          <w:sz w:val="24"/>
          <w:szCs w:val="24"/>
          <w:highlight w:val="none"/>
          <w:u w:val="single"/>
        </w:rPr>
        <w:t xml:space="preserve">   年  月  日</w:t>
      </w:r>
      <w:r>
        <w:rPr>
          <w:rFonts w:hint="eastAsia" w:ascii="宋体" w:hAnsi="宋体" w:eastAsia="宋体" w:cs="宋体"/>
          <w:color w:val="auto"/>
          <w:sz w:val="24"/>
          <w:szCs w:val="24"/>
          <w:highlight w:val="none"/>
        </w:rPr>
        <w:t>签订了</w:t>
      </w:r>
      <w:r>
        <w:rPr>
          <w:rFonts w:hint="eastAsia" w:ascii="宋体" w:hAnsi="宋体" w:eastAsia="宋体" w:cs="宋体"/>
          <w:color w:val="auto"/>
          <w:sz w:val="24"/>
          <w:szCs w:val="24"/>
          <w:highlight w:val="none"/>
          <w:u w:val="single"/>
        </w:rPr>
        <w:t>合同名称+合同编号</w:t>
      </w:r>
      <w:r>
        <w:rPr>
          <w:rFonts w:hint="eastAsia" w:ascii="宋体" w:hAnsi="宋体" w:eastAsia="宋体" w:cs="宋体"/>
          <w:color w:val="auto"/>
          <w:sz w:val="24"/>
          <w:szCs w:val="24"/>
          <w:highlight w:val="none"/>
        </w:rPr>
        <w:t>（以下简称“合同”），你方将按上述基础交易合同约定向委托人支付预付款人民币元（大写：）。我行接受委托人的申请，特此开立以你方为受益人的最高金额为人民币（大写：）（以下称“保函金额”）的保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一、本保函为不可撤销、见索即付的独立保函。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二、在本保函的有效期内，如委托人违反上述基础交易合同约定的义务而未向你方退还预付款，我行将在收到你方提交的符合下述要求的索赔通知书后日内，以上述保函金额为限向你方支付相应款项。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（一）索赔通知书须写明请求付款的金额，并声明该款项并未由委托人或其代理人直接或间接地支付给你方；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（二）索赔通知书应由你方法定代表人签字并加盖公章；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（三）索赔通知书必须于本保函有效期截止日前送达我行。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三、合同的任何修改、变更、解释或不可执行都不能削弱或免除我行按本保函应承担的义务。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本保函金额将随我行已向你方支付的金额而自动作相应递减。</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四、本保函未经我行书面同意不得转让。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五、本保函自签发之日起生效，有效期至          止。在上述期限内若累计赔偿额达到前述保函金额，本保函提前失效。本保函到期后，无论保函原件是否退回我行，皆告失效。</w:t>
      </w:r>
    </w:p>
    <w:p>
      <w:pPr>
        <w:rPr>
          <w:rFonts w:hint="eastAsia" w:ascii="宋体" w:hAnsi="宋体" w:eastAsia="宋体" w:cs="宋体"/>
          <w:color w:val="auto"/>
          <w:sz w:val="24"/>
          <w:highlight w:val="none"/>
        </w:rPr>
      </w:pPr>
    </w:p>
    <w:p>
      <w:pPr>
        <w:pStyle w:val="50"/>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spacing w:line="24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pPr>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附件10：开工通知书（模板）</w:t>
      </w:r>
    </w:p>
    <w:p>
      <w:pPr>
        <w:pStyle w:val="50"/>
        <w:rPr>
          <w:rFonts w:hint="eastAsia" w:ascii="宋体" w:hAnsi="宋体" w:eastAsia="宋体" w:cs="宋体"/>
          <w:color w:val="auto"/>
          <w:highlight w:val="none"/>
        </w:rPr>
      </w:pPr>
    </w:p>
    <w:p>
      <w:pPr>
        <w:snapToGrid w:val="0"/>
        <w:spacing w:line="360" w:lineRule="auto"/>
        <w:ind w:right="-58"/>
        <w:jc w:val="center"/>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开工通知书</w:t>
      </w:r>
    </w:p>
    <w:p>
      <w:pPr>
        <w:snapToGrid w:val="0"/>
        <w:spacing w:line="360" w:lineRule="auto"/>
        <w:ind w:right="-58"/>
        <w:rPr>
          <w:rFonts w:hint="eastAsia" w:ascii="宋体" w:hAnsi="宋体" w:eastAsia="宋体" w:cs="宋体"/>
          <w:color w:val="auto"/>
          <w:sz w:val="24"/>
          <w:highlight w:val="none"/>
        </w:rPr>
      </w:pPr>
    </w:p>
    <w:p>
      <w:pPr>
        <w:snapToGrid w:val="0"/>
        <w:spacing w:line="360" w:lineRule="auto"/>
        <w:ind w:right="-58"/>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（中标人名称）                    ：</w:t>
      </w:r>
    </w:p>
    <w:p>
      <w:pPr>
        <w:pStyle w:val="23"/>
        <w:spacing w:line="360" w:lineRule="auto"/>
        <w:ind w:firstLine="480" w:firstLineChars="200"/>
        <w:rPr>
          <w:rFonts w:hint="eastAsia" w:ascii="宋体" w:hAnsi="宋体" w:eastAsia="宋体" w:cs="宋体"/>
          <w:color w:val="auto"/>
          <w:kern w:val="2"/>
          <w:highlight w:val="none"/>
        </w:rPr>
      </w:pPr>
      <w:r>
        <w:rPr>
          <w:rFonts w:hint="eastAsia" w:ascii="宋体" w:hAnsi="宋体" w:eastAsia="宋体" w:cs="宋体"/>
          <w:color w:val="auto"/>
          <w:kern w:val="2"/>
          <w:highlight w:val="none"/>
        </w:rPr>
        <w:t>我方      ***分公司现通知你方于  *年  *月  *日前进场开展 广州净水公司2023年净水厂通风、除臭系统自动化监控改造项目（  ****            子项）的施工  ，请你方按照招标文件、合同的规定，自本通知书签收之日次日开始起算，在75日内完成该子项全部施工内容。</w:t>
      </w:r>
    </w:p>
    <w:p>
      <w:pPr>
        <w:snapToGrid w:val="0"/>
        <w:spacing w:line="360" w:lineRule="auto"/>
        <w:ind w:right="-58"/>
        <w:rPr>
          <w:rFonts w:hint="eastAsia" w:ascii="宋体" w:hAnsi="宋体" w:eastAsia="宋体" w:cs="宋体"/>
          <w:color w:val="auto"/>
          <w:sz w:val="24"/>
          <w:highlight w:val="none"/>
        </w:rPr>
      </w:pPr>
    </w:p>
    <w:p>
      <w:pPr>
        <w:snapToGrid w:val="0"/>
        <w:spacing w:line="360" w:lineRule="auto"/>
        <w:ind w:right="-58"/>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本通知书一式二份，甲方、乙方各执一份。</w:t>
      </w:r>
    </w:p>
    <w:p>
      <w:pPr>
        <w:pStyle w:val="34"/>
        <w:widowControl w:val="0"/>
        <w:autoSpaceDE w:val="0"/>
        <w:autoSpaceDN w:val="0"/>
        <w:adjustRightInd w:val="0"/>
        <w:spacing w:before="0" w:beforeAutospacing="0" w:after="0" w:afterAutospacing="0" w:line="360" w:lineRule="auto"/>
        <w:rPr>
          <w:rFonts w:hint="eastAsia" w:ascii="宋体" w:hAnsi="宋体" w:eastAsia="宋体" w:cs="宋体"/>
          <w:color w:val="auto"/>
          <w:highlight w:val="none"/>
        </w:rPr>
      </w:pPr>
    </w:p>
    <w:p>
      <w:pPr>
        <w:pStyle w:val="34"/>
        <w:widowControl w:val="0"/>
        <w:autoSpaceDE w:val="0"/>
        <w:autoSpaceDN w:val="0"/>
        <w:adjustRightInd w:val="0"/>
        <w:spacing w:before="0" w:beforeAutospacing="0" w:after="0" w:afterAutospacing="0" w:line="360" w:lineRule="auto"/>
        <w:rPr>
          <w:rFonts w:hint="eastAsia" w:ascii="宋体" w:hAnsi="宋体" w:eastAsia="宋体" w:cs="宋体"/>
          <w:color w:val="auto"/>
          <w:highlight w:val="none"/>
        </w:rPr>
      </w:pPr>
    </w:p>
    <w:p>
      <w:pPr>
        <w:pStyle w:val="34"/>
        <w:widowControl w:val="0"/>
        <w:autoSpaceDE w:val="0"/>
        <w:autoSpaceDN w:val="0"/>
        <w:adjustRightInd w:val="0"/>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t>甲方（分公司）：                       乙方：</w:t>
      </w:r>
    </w:p>
    <w:p>
      <w:pPr>
        <w:snapToGrid w:val="0"/>
        <w:spacing w:line="360" w:lineRule="auto"/>
        <w:ind w:right="-58"/>
        <w:rPr>
          <w:rFonts w:hint="eastAsia" w:ascii="宋体" w:hAnsi="宋体" w:eastAsia="宋体" w:cs="宋体"/>
          <w:color w:val="auto"/>
          <w:sz w:val="24"/>
          <w:highlight w:val="none"/>
        </w:rPr>
      </w:pPr>
      <w:r>
        <w:rPr>
          <w:rFonts w:hint="eastAsia" w:ascii="宋体" w:hAnsi="宋体" w:eastAsia="宋体" w:cs="宋体"/>
          <w:color w:val="auto"/>
          <w:sz w:val="24"/>
          <w:highlight w:val="none"/>
        </w:rPr>
        <w:t>通知书发出日期：  年  月  日。         通知书签收日期：  年   月   日</w:t>
      </w:r>
    </w:p>
    <w:p>
      <w:pPr>
        <w:tabs>
          <w:tab w:val="left" w:pos="8364"/>
        </w:tabs>
        <w:snapToGrid w:val="0"/>
        <w:spacing w:line="360" w:lineRule="exact"/>
        <w:ind w:right="-58"/>
        <w:rPr>
          <w:rFonts w:hint="eastAsia" w:ascii="宋体" w:hAnsi="宋体" w:eastAsia="宋体" w:cs="宋体"/>
          <w:color w:val="auto"/>
          <w:highlight w:val="none"/>
        </w:rPr>
      </w:pPr>
    </w:p>
    <w:p>
      <w:pPr>
        <w:pStyle w:val="50"/>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400" w:lineRule="atLeast"/>
        <w:rPr>
          <w:rFonts w:hint="eastAsia" w:ascii="宋体" w:hAnsi="宋体" w:eastAsia="宋体" w:cs="宋体"/>
          <w:color w:val="000000" w:themeColor="text1"/>
          <w:sz w:val="52"/>
          <w:szCs w:val="52"/>
          <w:highlight w:val="none"/>
          <w14:textFill>
            <w14:solidFill>
              <w14:schemeClr w14:val="tx1"/>
            </w14:solidFill>
          </w14:textFill>
        </w:rPr>
      </w:pPr>
    </w:p>
    <w:p>
      <w:pPr>
        <w:pStyle w:val="50"/>
        <w:rPr>
          <w:rFonts w:hint="eastAsia" w:ascii="宋体" w:hAnsi="宋体" w:eastAsia="宋体" w:cs="宋体"/>
          <w:color w:val="000000" w:themeColor="text1"/>
          <w:highlight w:val="none"/>
          <w14:textFill>
            <w14:solidFill>
              <w14:schemeClr w14:val="tx1"/>
            </w14:solidFill>
          </w14:textFill>
        </w:rPr>
      </w:pPr>
    </w:p>
    <w:p>
      <w:pPr>
        <w:pStyle w:val="50"/>
        <w:rPr>
          <w:rFonts w:hint="eastAsia" w:ascii="宋体" w:hAnsi="宋体" w:eastAsia="宋体" w:cs="宋体"/>
          <w:color w:val="000000" w:themeColor="text1"/>
          <w:highlight w:val="none"/>
          <w14:textFill>
            <w14:solidFill>
              <w14:schemeClr w14:val="tx1"/>
            </w14:solidFill>
          </w14:textFill>
        </w:rPr>
      </w:pPr>
    </w:p>
    <w:p>
      <w:pPr>
        <w:spacing w:before="120" w:line="620" w:lineRule="exact"/>
        <w:ind w:left="27" w:leftChars="13"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spacing w:before="120" w:line="620" w:lineRule="exact"/>
        <w:ind w:left="27" w:leftChars="13"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p>
    <w:p>
      <w:pPr>
        <w:spacing w:before="120" w:line="620" w:lineRule="exact"/>
        <w:ind w:left="27" w:leftChars="13"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bookmarkStart w:id="477" w:name="_Toc13110"/>
      <w:bookmarkStart w:id="478" w:name="_Toc5203"/>
      <w:bookmarkStart w:id="479" w:name="_Toc14814"/>
      <w:bookmarkStart w:id="480" w:name="_Toc221952224"/>
      <w:bookmarkStart w:id="481" w:name="_Toc259524404"/>
      <w:bookmarkStart w:id="482" w:name="_Toc222031078"/>
      <w:bookmarkStart w:id="483" w:name="_Toc229305436"/>
      <w:bookmarkStart w:id="484" w:name="_Toc222029576"/>
      <w:bookmarkStart w:id="485" w:name="_Toc221948392"/>
      <w:bookmarkStart w:id="486" w:name="_Toc222032745"/>
      <w:bookmarkStart w:id="487" w:name="_Toc222033927"/>
      <w:r>
        <w:rPr>
          <w:rFonts w:hint="eastAsia" w:ascii="宋体" w:hAnsi="宋体" w:eastAsia="宋体" w:cs="宋体"/>
          <w:color w:val="000000" w:themeColor="text1"/>
          <w:sz w:val="32"/>
          <w:szCs w:val="27"/>
          <w:highlight w:val="none"/>
          <w14:textFill>
            <w14:solidFill>
              <w14:schemeClr w14:val="tx1"/>
            </w14:solidFill>
          </w14:textFill>
        </w:rPr>
        <w:t>第五章 工程量清单（综合单价包干）</w:t>
      </w:r>
      <w:bookmarkEnd w:id="477"/>
      <w:bookmarkEnd w:id="478"/>
      <w:bookmarkEnd w:id="479"/>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8"/>
          <w:szCs w:val="27"/>
          <w:highlight w:val="none"/>
          <w14:textFill>
            <w14:solidFill>
              <w14:schemeClr w14:val="tx1"/>
            </w14:solidFill>
          </w14:textFill>
        </w:rPr>
        <w:t>另册</w:t>
      </w:r>
    </w:p>
    <w:bookmarkEnd w:id="480"/>
    <w:bookmarkEnd w:id="481"/>
    <w:bookmarkEnd w:id="482"/>
    <w:bookmarkEnd w:id="483"/>
    <w:bookmarkEnd w:id="484"/>
    <w:bookmarkEnd w:id="485"/>
    <w:bookmarkEnd w:id="486"/>
    <w:bookmarkEnd w:id="487"/>
    <w:p>
      <w:pPr>
        <w:widowControl/>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br w:type="page"/>
      </w:r>
    </w:p>
    <w:p>
      <w:pPr>
        <w:numPr>
          <w:ilvl w:val="0"/>
          <w:numId w:val="5"/>
        </w:num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488" w:name="_Toc14964"/>
      <w:bookmarkStart w:id="489" w:name="_Toc259524409"/>
      <w:bookmarkStart w:id="490" w:name="_Toc17454948"/>
      <w:bookmarkStart w:id="491" w:name="_Toc17451127"/>
      <w:bookmarkStart w:id="492" w:name="_Toc15763"/>
      <w:bookmarkStart w:id="493" w:name="_Toc17556957"/>
      <w:bookmarkStart w:id="494" w:name="_Toc17452690"/>
      <w:bookmarkStart w:id="495" w:name="_Toc8398"/>
      <w:bookmarkStart w:id="496" w:name="_Toc4224"/>
      <w:bookmarkStart w:id="497" w:name="_Toc17451649"/>
      <w:bookmarkStart w:id="498" w:name="_Toc17451604"/>
      <w:bookmarkStart w:id="499" w:name="_Toc31888"/>
      <w:bookmarkStart w:id="500" w:name="_Toc17556902"/>
      <w:bookmarkStart w:id="501" w:name="_Toc16456"/>
      <w:bookmarkStart w:id="502" w:name="_Toc17454897"/>
      <w:r>
        <w:rPr>
          <w:rFonts w:hint="eastAsia" w:ascii="宋体" w:hAnsi="宋体" w:eastAsia="宋体" w:cs="宋体"/>
          <w:color w:val="000000" w:themeColor="text1"/>
          <w:sz w:val="32"/>
          <w:szCs w:val="27"/>
          <w:highlight w:val="none"/>
          <w14:textFill>
            <w14:solidFill>
              <w14:schemeClr w14:val="tx1"/>
            </w14:solidFill>
          </w14:textFill>
        </w:rPr>
        <w:t>图纸</w:t>
      </w:r>
      <w:bookmarkEnd w:id="488"/>
    </w:p>
    <w:p>
      <w:p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503" w:name="_Toc23210"/>
      <w:r>
        <w:rPr>
          <w:rFonts w:hint="eastAsia" w:ascii="宋体" w:hAnsi="宋体" w:eastAsia="宋体" w:cs="宋体"/>
          <w:color w:val="000000" w:themeColor="text1"/>
          <w:sz w:val="32"/>
          <w:szCs w:val="27"/>
          <w:highlight w:val="none"/>
          <w14:textFill>
            <w14:solidFill>
              <w14:schemeClr w14:val="tx1"/>
            </w14:solidFill>
          </w14:textFill>
        </w:rPr>
        <w:t>另册</w:t>
      </w:r>
      <w:bookmarkEnd w:id="503"/>
    </w:p>
    <w:p>
      <w:pPr>
        <w:pStyle w:val="2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numPr>
          <w:ilvl w:val="0"/>
          <w:numId w:val="5"/>
        </w:num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504" w:name="_Toc9574"/>
      <w:r>
        <w:rPr>
          <w:rFonts w:hint="eastAsia" w:ascii="宋体" w:hAnsi="宋体" w:eastAsia="宋体" w:cs="宋体"/>
          <w:color w:val="000000" w:themeColor="text1"/>
          <w:sz w:val="32"/>
          <w:szCs w:val="27"/>
          <w:highlight w:val="none"/>
          <w14:textFill>
            <w14:solidFill>
              <w14:schemeClr w14:val="tx1"/>
            </w14:solidFill>
          </w14:textFill>
        </w:rPr>
        <w:t>技术标准和要求</w:t>
      </w:r>
      <w:bookmarkEnd w:id="489"/>
      <w:r>
        <w:rPr>
          <w:rFonts w:hint="eastAsia" w:ascii="宋体" w:hAnsi="宋体" w:eastAsia="宋体" w:cs="宋体"/>
          <w:color w:val="000000" w:themeColor="text1"/>
          <w:sz w:val="32"/>
          <w:szCs w:val="27"/>
          <w:highlight w:val="none"/>
          <w14:textFill>
            <w14:solidFill>
              <w14:schemeClr w14:val="tx1"/>
            </w14:solidFill>
          </w14:textFill>
        </w:rPr>
        <w:t>（合同技术条款）</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4"/>
    </w:p>
    <w:p>
      <w:pPr>
        <w:ind w:firstLine="0" w:firstLineChars="0"/>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广州净水公司2023年净水厂通风</w:t>
      </w:r>
      <w:r>
        <w:rPr>
          <w:rFonts w:hint="eastAsia" w:ascii="宋体" w:hAnsi="宋体" w:eastAsia="宋体" w:cs="宋体"/>
          <w:b/>
          <w:bCs/>
          <w:color w:val="auto"/>
          <w:sz w:val="44"/>
          <w:szCs w:val="44"/>
          <w:highlight w:val="none"/>
          <w:lang w:eastAsia="zh-CN"/>
        </w:rPr>
        <w:t>、</w:t>
      </w:r>
      <w:r>
        <w:rPr>
          <w:rFonts w:hint="eastAsia" w:ascii="宋体" w:hAnsi="宋体" w:eastAsia="宋体" w:cs="宋体"/>
          <w:b/>
          <w:bCs/>
          <w:color w:val="auto"/>
          <w:sz w:val="44"/>
          <w:szCs w:val="44"/>
          <w:highlight w:val="none"/>
        </w:rPr>
        <w:t>除臭系统自动化监控改造项目需求书</w:t>
      </w:r>
    </w:p>
    <w:p>
      <w:pPr>
        <w:spacing w:line="240" w:lineRule="auto"/>
        <w:ind w:left="599" w:leftChars="228" w:hanging="120" w:hangingChars="50"/>
        <w:jc w:val="left"/>
        <w:rPr>
          <w:rFonts w:hint="eastAsia" w:ascii="宋体" w:hAnsi="宋体" w:eastAsia="宋体" w:cs="宋体"/>
          <w:color w:val="auto"/>
          <w:sz w:val="28"/>
          <w:szCs w:val="28"/>
          <w:highlight w:val="none"/>
          <w:u w:val="single"/>
        </w:rPr>
      </w:pPr>
      <w:r>
        <w:rPr>
          <w:rFonts w:hint="eastAsia" w:ascii="宋体" w:hAnsi="宋体" w:eastAsia="宋体" w:cs="宋体"/>
          <w:color w:val="auto"/>
          <w:sz w:val="24"/>
          <w:highlight w:val="none"/>
        </w:rPr>
        <w:br w:type="textWrapping"/>
      </w:r>
      <w:r>
        <w:rPr>
          <w:rFonts w:hint="eastAsia" w:ascii="宋体" w:hAnsi="宋体" w:eastAsia="宋体" w:cs="宋体"/>
          <w:color w:val="auto"/>
          <w:sz w:val="28"/>
          <w:szCs w:val="28"/>
          <w:highlight w:val="none"/>
        </w:rPr>
        <w:t>子项一：</w:t>
      </w:r>
      <w:r>
        <w:rPr>
          <w:rFonts w:hint="eastAsia" w:ascii="宋体" w:hAnsi="宋体" w:eastAsia="宋体" w:cs="宋体"/>
          <w:color w:val="auto"/>
          <w:sz w:val="28"/>
          <w:szCs w:val="28"/>
          <w:highlight w:val="none"/>
          <w:u w:val="single"/>
        </w:rPr>
        <w:t>猎德分公司除臭系统自动化监控改造</w:t>
      </w:r>
      <w:r>
        <w:rPr>
          <w:rFonts w:hint="eastAsia" w:ascii="宋体" w:hAnsi="宋体" w:eastAsia="宋体" w:cs="宋体"/>
          <w:color w:val="auto"/>
          <w:sz w:val="28"/>
          <w:szCs w:val="28"/>
          <w:highlight w:val="none"/>
          <w:u w:val="single"/>
          <w:lang w:val="en-US" w:eastAsia="zh-CN"/>
        </w:rPr>
        <w:t>项目</w:t>
      </w:r>
      <w:r>
        <w:rPr>
          <w:rFonts w:hint="eastAsia" w:ascii="宋体" w:hAnsi="宋体" w:eastAsia="宋体" w:cs="宋体"/>
          <w:color w:val="auto"/>
          <w:sz w:val="28"/>
          <w:szCs w:val="28"/>
          <w:highlight w:val="none"/>
          <w:u w:val="single"/>
        </w:rPr>
        <w:t>；</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子项二：</w:t>
      </w:r>
      <w:r>
        <w:rPr>
          <w:rFonts w:hint="eastAsia" w:ascii="宋体" w:hAnsi="宋体" w:eastAsia="宋体" w:cs="宋体"/>
          <w:color w:val="auto"/>
          <w:sz w:val="28"/>
          <w:szCs w:val="28"/>
          <w:highlight w:val="none"/>
          <w:u w:val="single"/>
        </w:rPr>
        <w:t>石井净分公司除臭、通风系统自动化监控改造</w:t>
      </w:r>
      <w:r>
        <w:rPr>
          <w:rFonts w:hint="eastAsia" w:ascii="宋体" w:hAnsi="宋体" w:eastAsia="宋体" w:cs="宋体"/>
          <w:color w:val="auto"/>
          <w:sz w:val="28"/>
          <w:szCs w:val="28"/>
          <w:highlight w:val="none"/>
          <w:u w:val="single"/>
          <w:lang w:val="en-US" w:eastAsia="zh-CN"/>
        </w:rPr>
        <w:t>项目</w:t>
      </w:r>
      <w:r>
        <w:rPr>
          <w:rFonts w:hint="eastAsia" w:ascii="宋体" w:hAnsi="宋体" w:eastAsia="宋体" w:cs="宋体"/>
          <w:color w:val="auto"/>
          <w:sz w:val="28"/>
          <w:szCs w:val="28"/>
          <w:highlight w:val="none"/>
          <w:u w:val="single"/>
        </w:rPr>
        <w:t>；</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（以下分别简称“子项一、子项二”）</w:t>
      </w:r>
    </w:p>
    <w:p>
      <w:pPr>
        <w:tabs>
          <w:tab w:val="left" w:pos="0"/>
        </w:tabs>
        <w:spacing w:line="240" w:lineRule="auto"/>
        <w:ind w:firstLine="562"/>
        <w:outlineLvl w:val="1"/>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rPr>
        <w:t>一.</w:t>
      </w:r>
      <w:r>
        <w:rPr>
          <w:rFonts w:hint="eastAsia" w:ascii="宋体" w:hAnsi="宋体" w:eastAsia="宋体" w:cs="宋体"/>
          <w:b/>
          <w:bCs/>
          <w:color w:val="auto"/>
          <w:sz w:val="28"/>
          <w:szCs w:val="28"/>
          <w:highlight w:val="none"/>
          <w:lang w:val="zh-CN"/>
        </w:rPr>
        <w:t>项目商务要求</w:t>
      </w:r>
    </w:p>
    <w:p>
      <w:pPr>
        <w:widowControl/>
        <w:spacing w:line="240" w:lineRule="auto"/>
        <w:ind w:firstLine="560" w:firstLineChars="200"/>
        <w:jc w:val="left"/>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t>1. 整体工期要求：</w:t>
      </w:r>
    </w:p>
    <w:p>
      <w:pPr>
        <w:pStyle w:val="96"/>
        <w:widowControl/>
        <w:numPr>
          <w:ilvl w:val="0"/>
          <w:numId w:val="6"/>
        </w:numPr>
        <w:spacing w:line="240" w:lineRule="auto"/>
        <w:ind w:firstLine="560" w:firstLineChars="200"/>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深化设计期：合同签订后30天内，承包人应在施工前完成对应子项目的二次深化设计（含主要设备仪表的样本、选型说明以及工程预算等内容）、施工倒排工期计划、进场前所有准备工作（含工程备案资料），二次深化设计工作应为限额设计，不得超出子项目实施范围，并提交上述资料的盖章纸质版报甲方审核。各子项目二次深化设计方案和实施备案资料须通过甲方审核后方可实施。</w:t>
      </w:r>
    </w:p>
    <w:p>
      <w:pPr>
        <w:pStyle w:val="96"/>
        <w:widowControl/>
        <w:numPr>
          <w:ilvl w:val="0"/>
          <w:numId w:val="6"/>
        </w:num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en-US" w:eastAsia="zh-CN"/>
        </w:rPr>
        <w:t>子项项目工期：各子项工期为120天，工期包括施工、调试和试运行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工期计算由乙方收到开工</w:t>
      </w:r>
      <w:r>
        <w:rPr>
          <w:rFonts w:hint="eastAsia" w:ascii="宋体" w:hAnsi="宋体" w:eastAsia="宋体" w:cs="宋体"/>
          <w:color w:val="auto"/>
          <w:sz w:val="28"/>
          <w:szCs w:val="28"/>
          <w:highlight w:val="none"/>
        </w:rPr>
        <w:t>通知</w:t>
      </w:r>
      <w:r>
        <w:rPr>
          <w:rFonts w:hint="eastAsia" w:ascii="宋体" w:hAnsi="宋体" w:eastAsia="宋体" w:cs="宋体"/>
          <w:color w:val="auto"/>
          <w:sz w:val="28"/>
          <w:szCs w:val="28"/>
          <w:highlight w:val="none"/>
          <w:lang w:val="en-US" w:eastAsia="zh-CN"/>
        </w:rPr>
        <w:t>次</w:t>
      </w:r>
      <w:r>
        <w:rPr>
          <w:rFonts w:hint="eastAsia" w:ascii="宋体" w:hAnsi="宋体" w:eastAsia="宋体" w:cs="宋体"/>
          <w:color w:val="auto"/>
          <w:sz w:val="28"/>
          <w:szCs w:val="28"/>
          <w:highlight w:val="none"/>
        </w:rPr>
        <w:t>日起开始起算</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至通过试运行工为止，</w:t>
      </w:r>
      <w:r>
        <w:rPr>
          <w:rFonts w:hint="eastAsia" w:ascii="宋体" w:hAnsi="宋体" w:eastAsia="宋体" w:cs="宋体"/>
          <w:color w:val="auto"/>
          <w:sz w:val="28"/>
          <w:szCs w:val="28"/>
          <w:highlight w:val="none"/>
        </w:rPr>
        <w:t>工期调整根据实际计划时间而定。</w:t>
      </w:r>
    </w:p>
    <w:p>
      <w:pPr>
        <w:pStyle w:val="96"/>
        <w:widowControl/>
        <w:numPr>
          <w:ilvl w:val="0"/>
          <w:numId w:val="6"/>
        </w:num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子项目调试、试运行期间，乙方应安排人员</w:t>
      </w:r>
      <w:r>
        <w:rPr>
          <w:rFonts w:hint="eastAsia" w:ascii="宋体" w:hAnsi="宋体" w:eastAsia="宋体" w:cs="宋体"/>
          <w:color w:val="auto"/>
          <w:kern w:val="0"/>
          <w:sz w:val="28"/>
          <w:szCs w:val="28"/>
          <w:highlight w:val="none"/>
        </w:rPr>
        <w:t>驻点陪产</w:t>
      </w:r>
      <w:r>
        <w:rPr>
          <w:rFonts w:hint="eastAsia" w:ascii="宋体" w:hAnsi="宋体" w:eastAsia="宋体" w:cs="宋体"/>
          <w:color w:val="auto"/>
          <w:kern w:val="0"/>
          <w:sz w:val="28"/>
          <w:szCs w:val="28"/>
          <w:highlight w:val="none"/>
          <w:lang w:eastAsia="zh-CN"/>
        </w:rPr>
        <w:t>。</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86"/>
        <w:gridCol w:w="2822"/>
        <w:gridCol w:w="917"/>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60" w:type="pct"/>
            <w:noWrap/>
            <w:vAlign w:val="center"/>
          </w:tcPr>
          <w:p>
            <w:pPr>
              <w:widowControl/>
              <w:spacing w:line="240" w:lineRule="auto"/>
              <w:ind w:firstLine="2" w:firstLineChars="1"/>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78" w:type="pct"/>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分公司</w:t>
            </w:r>
          </w:p>
        </w:tc>
        <w:tc>
          <w:tcPr>
            <w:tcW w:w="1654" w:type="pct"/>
            <w:noWrap/>
            <w:vAlign w:val="center"/>
          </w:tcPr>
          <w:p>
            <w:pPr>
              <w:widowControl/>
              <w:spacing w:line="240" w:lineRule="auto"/>
              <w:ind w:firstLine="6" w:firstLineChars="3"/>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537" w:type="pct"/>
            <w:noWrap/>
            <w:vAlign w:val="center"/>
          </w:tcPr>
          <w:p>
            <w:pPr>
              <w:widowControl/>
              <w:spacing w:line="240" w:lineRule="auto"/>
              <w:ind w:firstLine="4" w:firstLineChars="2"/>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工期（天）</w:t>
            </w:r>
          </w:p>
        </w:tc>
        <w:tc>
          <w:tcPr>
            <w:tcW w:w="1968" w:type="pct"/>
            <w:noWrap/>
            <w:vAlign w:val="center"/>
          </w:tcPr>
          <w:p>
            <w:pPr>
              <w:widowControl/>
              <w:spacing w:line="240" w:lineRule="auto"/>
              <w:ind w:firstLine="4" w:firstLineChars="2"/>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60" w:type="pct"/>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78" w:type="pct"/>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猎德分公司</w:t>
            </w:r>
          </w:p>
        </w:tc>
        <w:tc>
          <w:tcPr>
            <w:tcW w:w="1654" w:type="pct"/>
            <w:noWrap/>
            <w:vAlign w:val="center"/>
          </w:tcPr>
          <w:p>
            <w:pPr>
              <w:widowControl/>
              <w:spacing w:line="240" w:lineRule="auto"/>
              <w:ind w:firstLine="6" w:firstLineChars="3"/>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猎德分公司除臭系统自动化监控改造</w:t>
            </w:r>
            <w:r>
              <w:rPr>
                <w:rFonts w:hint="eastAsia" w:ascii="宋体" w:hAnsi="宋体" w:eastAsia="宋体" w:cs="宋体"/>
                <w:color w:val="auto"/>
                <w:sz w:val="21"/>
                <w:szCs w:val="21"/>
                <w:highlight w:val="none"/>
                <w:lang w:val="en-US" w:eastAsia="zh-CN"/>
              </w:rPr>
              <w:t>项目</w:t>
            </w:r>
          </w:p>
        </w:tc>
        <w:tc>
          <w:tcPr>
            <w:tcW w:w="537" w:type="pct"/>
            <w:noWrap/>
            <w:vAlign w:val="center"/>
          </w:tcPr>
          <w:p>
            <w:pPr>
              <w:widowControl/>
              <w:spacing w:line="240" w:lineRule="auto"/>
              <w:ind w:firstLine="4" w:firstLineChars="2"/>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120</w:t>
            </w:r>
            <w:r>
              <w:rPr>
                <w:rFonts w:hint="eastAsia" w:ascii="宋体" w:hAnsi="宋体" w:eastAsia="宋体" w:cs="宋体"/>
                <w:color w:val="auto"/>
                <w:sz w:val="21"/>
                <w:szCs w:val="21"/>
                <w:highlight w:val="none"/>
              </w:rPr>
              <w:t>天</w:t>
            </w:r>
          </w:p>
        </w:tc>
        <w:tc>
          <w:tcPr>
            <w:tcW w:w="1968" w:type="pct"/>
            <w:vMerge w:val="restart"/>
            <w:noWrap/>
            <w:vAlign w:val="center"/>
          </w:tcPr>
          <w:p>
            <w:pPr>
              <w:widowControl/>
              <w:spacing w:line="240" w:lineRule="auto"/>
              <w:ind w:firstLine="4" w:firstLineChars="2"/>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val="0"/>
                <w:color w:val="auto"/>
                <w:sz w:val="21"/>
                <w:szCs w:val="21"/>
                <w:highlight w:val="none"/>
                <w:lang w:val="en-US" w:eastAsia="zh-CN"/>
              </w:rPr>
              <w:t>工期包括施工、调试和试运行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60" w:type="pct"/>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78" w:type="pct"/>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石井净分公司</w:t>
            </w:r>
          </w:p>
        </w:tc>
        <w:tc>
          <w:tcPr>
            <w:tcW w:w="1654" w:type="pct"/>
            <w:noWrap/>
            <w:vAlign w:val="center"/>
          </w:tcPr>
          <w:p>
            <w:pPr>
              <w:widowControl/>
              <w:spacing w:line="240" w:lineRule="auto"/>
              <w:ind w:firstLine="6" w:firstLineChars="3"/>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石井净分公司除臭、通风系统自动化监控改造</w:t>
            </w:r>
            <w:r>
              <w:rPr>
                <w:rFonts w:hint="eastAsia" w:ascii="宋体" w:hAnsi="宋体" w:eastAsia="宋体" w:cs="宋体"/>
                <w:color w:val="auto"/>
                <w:sz w:val="21"/>
                <w:szCs w:val="21"/>
                <w:highlight w:val="none"/>
                <w:lang w:val="en-US" w:eastAsia="zh-CN"/>
              </w:rPr>
              <w:t>项目</w:t>
            </w:r>
          </w:p>
        </w:tc>
        <w:tc>
          <w:tcPr>
            <w:tcW w:w="537" w:type="pct"/>
            <w:noWrap/>
            <w:vAlign w:val="center"/>
          </w:tcPr>
          <w:p>
            <w:pPr>
              <w:widowControl/>
              <w:spacing w:line="240" w:lineRule="auto"/>
              <w:ind w:firstLine="4" w:firstLineChars="2"/>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120</w:t>
            </w:r>
            <w:r>
              <w:rPr>
                <w:rFonts w:hint="eastAsia" w:ascii="宋体" w:hAnsi="宋体" w:eastAsia="宋体" w:cs="宋体"/>
                <w:color w:val="auto"/>
                <w:sz w:val="21"/>
                <w:szCs w:val="21"/>
                <w:highlight w:val="none"/>
              </w:rPr>
              <w:t>天</w:t>
            </w:r>
          </w:p>
        </w:tc>
        <w:tc>
          <w:tcPr>
            <w:tcW w:w="1968" w:type="pct"/>
            <w:vMerge w:val="continue"/>
            <w:noWrap/>
            <w:vAlign w:val="center"/>
          </w:tcPr>
          <w:p>
            <w:pPr>
              <w:widowControl/>
              <w:spacing w:line="240" w:lineRule="auto"/>
              <w:ind w:firstLine="480"/>
              <w:jc w:val="center"/>
              <w:textAlignment w:val="center"/>
              <w:rPr>
                <w:rFonts w:hint="eastAsia" w:ascii="宋体" w:hAnsi="宋体" w:eastAsia="宋体" w:cs="宋体"/>
                <w:color w:val="auto"/>
                <w:sz w:val="24"/>
                <w:highlight w:val="none"/>
              </w:rPr>
            </w:pPr>
          </w:p>
        </w:tc>
      </w:tr>
    </w:tbl>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 w:val="0"/>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（4）试运行期：各子项目完成调试后由乙方提交验收工作方案。子项项目验收工作方案经甲方审核同意后，子项项目开展</w:t>
      </w:r>
      <w:r>
        <w:rPr>
          <w:rFonts w:hint="eastAsia" w:ascii="宋体" w:hAnsi="宋体" w:eastAsia="宋体" w:cs="宋体"/>
          <w:bCs/>
          <w:color w:val="auto"/>
          <w:sz w:val="28"/>
          <w:szCs w:val="28"/>
          <w:highlight w:val="none"/>
        </w:rPr>
        <w:t>7天稳定</w:t>
      </w:r>
      <w:r>
        <w:rPr>
          <w:rFonts w:hint="eastAsia" w:ascii="宋体" w:hAnsi="宋体" w:eastAsia="宋体" w:cs="宋体"/>
          <w:bCs/>
          <w:color w:val="auto"/>
          <w:sz w:val="28"/>
          <w:szCs w:val="28"/>
          <w:highlight w:val="none"/>
          <w:lang w:val="en-US" w:eastAsia="zh-CN"/>
        </w:rPr>
        <w:t>试运行进行效果验收。</w:t>
      </w:r>
      <w:r>
        <w:rPr>
          <w:rFonts w:hint="eastAsia" w:ascii="宋体" w:hAnsi="宋体" w:eastAsia="宋体" w:cs="宋体"/>
          <w:b w:val="0"/>
          <w:bCs/>
          <w:color w:val="auto"/>
          <w:sz w:val="28"/>
          <w:szCs w:val="28"/>
          <w:highlight w:val="none"/>
          <w:lang w:val="en-US" w:eastAsia="zh-CN"/>
        </w:rPr>
        <w:t>试运行期间，如发现未能达到项目验收要求的问题，即判定试运行期考核结果失败并立即结束考核。当出现不及格的情况后，在设备完成整改和调试后，投标人应向业主递交再次开始7天试运行试验的申请，业主同意后方可再次开始试运行。</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如经过3次试运行实验不及格，则判定工程验收失败，业主有权解除合同，并要求</w:t>
      </w:r>
      <w:r>
        <w:rPr>
          <w:rFonts w:hint="eastAsia" w:ascii="宋体" w:hAnsi="宋体" w:eastAsia="宋体" w:cs="宋体"/>
          <w:b w:val="0"/>
          <w:bCs/>
          <w:color w:val="auto"/>
          <w:kern w:val="2"/>
          <w:sz w:val="28"/>
          <w:szCs w:val="28"/>
          <w:highlight w:val="none"/>
          <w:lang w:val="en-US" w:eastAsia="zh-CN" w:bidi="ar"/>
        </w:rPr>
        <w:t>中标人支付对应子项目合同暂定总价的20%作为违约</w:t>
      </w:r>
      <w:r>
        <w:rPr>
          <w:rFonts w:hint="eastAsia" w:ascii="宋体" w:hAnsi="宋体" w:eastAsia="宋体" w:cs="宋体"/>
          <w:bCs/>
          <w:color w:val="auto"/>
          <w:sz w:val="28"/>
          <w:szCs w:val="28"/>
          <w:highlight w:val="none"/>
          <w:lang w:val="en-US" w:eastAsia="zh-CN"/>
        </w:rPr>
        <w:t>金，且中标人须承担所有损失。</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5）项目实施期间：承包人应需每日填写施工日志并发送给甲方；项目负责人、各专业技术负责人、安全员、项目现场负责人等相关人员必须参加业主或监理组织的工作例会，每次例会后由项目现场负责人于3天内提供例会报告给业主。</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2.人员要求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项目必须配置的人员最低要求如下：</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623"/>
        <w:gridCol w:w="583"/>
        <w:gridCol w:w="2890"/>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序号</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岗位</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人数</w:t>
            </w:r>
          </w:p>
        </w:tc>
        <w:tc>
          <w:tcPr>
            <w:tcW w:w="2890" w:type="dxa"/>
            <w:vAlign w:val="center"/>
          </w:tcPr>
          <w:p>
            <w:pPr>
              <w:pStyle w:val="34"/>
              <w:spacing w:before="0" w:beforeAutospacing="0" w:after="0" w:afterAutospacing="0" w:line="240" w:lineRule="auto"/>
              <w:ind w:firstLine="27" w:firstLineChars="13"/>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要求</w:t>
            </w:r>
          </w:p>
        </w:tc>
        <w:tc>
          <w:tcPr>
            <w:tcW w:w="2890" w:type="dxa"/>
            <w:vAlign w:val="center"/>
          </w:tcPr>
          <w:p>
            <w:pPr>
              <w:pStyle w:val="34"/>
              <w:spacing w:before="0" w:beforeAutospacing="0" w:after="0" w:afterAutospacing="0" w:line="240" w:lineRule="auto"/>
              <w:ind w:firstLine="27" w:firstLineChars="13"/>
              <w:jc w:val="center"/>
              <w:rPr>
                <w:rFonts w:hint="eastAsia" w:ascii="宋体" w:hAnsi="宋体" w:eastAsia="宋体" w:cs="宋体"/>
                <w:color w:val="auto"/>
                <w:sz w:val="21"/>
                <w:szCs w:val="21"/>
                <w:highlight w:val="none"/>
                <w:shd w:val="clear" w:color="auto" w:fill="FFFFFF"/>
                <w:lang w:val="en-US" w:eastAsia="zh-CN"/>
              </w:rPr>
            </w:pPr>
            <w:r>
              <w:rPr>
                <w:rFonts w:hint="eastAsia" w:ascii="宋体" w:hAnsi="宋体" w:eastAsia="宋体" w:cs="宋体"/>
                <w:color w:val="auto"/>
                <w:sz w:val="21"/>
                <w:szCs w:val="21"/>
                <w:highlight w:val="none"/>
                <w:shd w:val="clear" w:color="auto" w:fill="FFFFFF"/>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项目负责人</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根据资格审查标准</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技术负责人</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机电中级或以上职称</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不得由项目负责人或专职安全员兼职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电气负责人</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机电工程专业二级或以上建造师担任</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w:t>
            </w:r>
          </w:p>
        </w:tc>
        <w:tc>
          <w:tcPr>
            <w:tcW w:w="1623"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val="en-US" w:eastAsia="zh-CN"/>
              </w:rPr>
              <w:t>项目现场负责人</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p>
        </w:tc>
        <w:tc>
          <w:tcPr>
            <w:tcW w:w="2890" w:type="dxa"/>
            <w:vAlign w:val="center"/>
          </w:tcPr>
          <w:p>
            <w:pPr>
              <w:pStyle w:val="34"/>
              <w:spacing w:before="0" w:beforeAutospacing="0" w:after="0" w:afterAutospacing="0" w:line="240" w:lineRule="auto"/>
              <w:ind w:firstLine="0" w:firstLineChars="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施工员证</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安全员</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根据资格审查标准</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6</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电工</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持特种作业操作证或以上等级</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7</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焊工</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持特种作业操作证</w:t>
            </w:r>
          </w:p>
        </w:tc>
        <w:tc>
          <w:tcPr>
            <w:tcW w:w="2890" w:type="dxa"/>
            <w:vAlign w:val="center"/>
          </w:tcPr>
          <w:p>
            <w:pPr>
              <w:pStyle w:val="34"/>
              <w:spacing w:before="0" w:beforeAutospacing="0" w:after="0" w:afterAutospacing="0" w:line="240" w:lineRule="auto"/>
              <w:ind w:firstLine="27" w:firstLineChars="13"/>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40" w:type="dxa"/>
            <w:vAlign w:val="center"/>
          </w:tcPr>
          <w:p>
            <w:pPr>
              <w:pStyle w:val="34"/>
              <w:spacing w:before="0" w:beforeAutospacing="0" w:after="0" w:afterAutospacing="0" w:line="240" w:lineRule="auto"/>
              <w:ind w:firstLine="0" w:firstLineChars="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8</w:t>
            </w:r>
          </w:p>
        </w:tc>
        <w:tc>
          <w:tcPr>
            <w:tcW w:w="1623" w:type="dxa"/>
            <w:vAlign w:val="center"/>
          </w:tcPr>
          <w:p>
            <w:pPr>
              <w:pStyle w:val="34"/>
              <w:spacing w:before="0" w:beforeAutospacing="0" w:after="0" w:afterAutospacing="0" w:line="240" w:lineRule="auto"/>
              <w:ind w:firstLine="29" w:firstLineChars="14"/>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普工</w:t>
            </w:r>
          </w:p>
        </w:tc>
        <w:tc>
          <w:tcPr>
            <w:tcW w:w="583" w:type="dxa"/>
            <w:vAlign w:val="center"/>
          </w:tcPr>
          <w:p>
            <w:pPr>
              <w:pStyle w:val="34"/>
              <w:spacing w:before="0" w:beforeAutospacing="0" w:after="0" w:afterAutospacing="0" w:line="240" w:lineRule="auto"/>
              <w:ind w:left="-13" w:leftChars="-51" w:hanging="94" w:hangingChars="45"/>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w:t>
            </w:r>
          </w:p>
        </w:tc>
        <w:tc>
          <w:tcPr>
            <w:tcW w:w="2890" w:type="dxa"/>
            <w:vAlign w:val="center"/>
          </w:tcPr>
          <w:p>
            <w:pPr>
              <w:pStyle w:val="34"/>
              <w:spacing w:before="0" w:beforeAutospacing="0" w:after="0" w:afterAutospacing="0" w:line="240" w:lineRule="auto"/>
              <w:ind w:firstLine="27" w:firstLineChars="13"/>
              <w:jc w:val="center"/>
              <w:rPr>
                <w:rFonts w:hint="eastAsia" w:ascii="宋体" w:hAnsi="宋体" w:eastAsia="宋体" w:cs="宋体"/>
                <w:color w:val="auto"/>
                <w:sz w:val="21"/>
                <w:szCs w:val="21"/>
                <w:highlight w:val="none"/>
              </w:rPr>
            </w:pPr>
          </w:p>
        </w:tc>
        <w:tc>
          <w:tcPr>
            <w:tcW w:w="2890" w:type="dxa"/>
            <w:vAlign w:val="center"/>
          </w:tcPr>
          <w:p>
            <w:pPr>
              <w:pStyle w:val="34"/>
              <w:spacing w:before="0" w:beforeAutospacing="0" w:after="0" w:afterAutospacing="0" w:line="240" w:lineRule="auto"/>
              <w:ind w:firstLine="27" w:firstLineChars="13"/>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gridSpan w:val="5"/>
            <w:vAlign w:val="center"/>
          </w:tcPr>
          <w:p>
            <w:pPr>
              <w:pStyle w:val="34"/>
              <w:spacing w:before="0" w:beforeAutospacing="0" w:after="0" w:afterAutospacing="0" w:line="240" w:lineRule="auto"/>
              <w:ind w:firstLine="0" w:firstLineChars="0"/>
              <w:rPr>
                <w:rFonts w:hint="eastAsia" w:ascii="宋体" w:hAnsi="宋体" w:eastAsia="宋体" w:cs="宋体"/>
                <w:bCs/>
                <w:color w:val="auto"/>
                <w:sz w:val="21"/>
                <w:szCs w:val="21"/>
                <w:highlight w:val="none"/>
                <w:shd w:val="clear" w:color="auto" w:fill="FFFFFF"/>
              </w:rPr>
            </w:pPr>
            <w:r>
              <w:rPr>
                <w:rFonts w:hint="eastAsia" w:ascii="宋体" w:hAnsi="宋体" w:eastAsia="宋体" w:cs="宋体"/>
                <w:bCs/>
                <w:color w:val="auto"/>
                <w:sz w:val="21"/>
                <w:szCs w:val="21"/>
                <w:highlight w:val="none"/>
                <w:shd w:val="clear" w:color="auto" w:fill="FFFFFF"/>
              </w:rPr>
              <w:t>备注：其中每个子项目施工现场必须的人员最低配置要求为</w:t>
            </w:r>
            <w:r>
              <w:rPr>
                <w:rFonts w:hint="eastAsia" w:ascii="宋体" w:hAnsi="宋体" w:eastAsia="宋体" w:cs="宋体"/>
                <w:color w:val="auto"/>
                <w:sz w:val="21"/>
                <w:szCs w:val="21"/>
                <w:highlight w:val="none"/>
                <w:shd w:val="clear" w:color="auto" w:fill="FFFFFF"/>
                <w:lang w:val="en-US" w:eastAsia="zh-CN"/>
              </w:rPr>
              <w:t>项目现场负责人</w:t>
            </w:r>
            <w:r>
              <w:rPr>
                <w:rFonts w:hint="eastAsia" w:ascii="宋体" w:hAnsi="宋体" w:eastAsia="宋体" w:cs="宋体"/>
                <w:bCs/>
                <w:color w:val="auto"/>
                <w:sz w:val="21"/>
                <w:szCs w:val="21"/>
                <w:highlight w:val="none"/>
                <w:shd w:val="clear" w:color="auto" w:fill="FFFFFF"/>
              </w:rPr>
              <w:t>、安全员、电工各1人以及普工2人</w:t>
            </w:r>
          </w:p>
        </w:tc>
      </w:tr>
    </w:tbl>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投标人投标时应提交拟投入项目人员配备响应表，除普工外，所有岗位人员应提供最近一个月（2023年8月）社保缴纳证明和在有效期内的执业或职业资格证明复印件：</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拟投入项目人员配备响应表</w:t>
      </w:r>
    </w:p>
    <w:tbl>
      <w:tblPr>
        <w:tblStyle w:val="39"/>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656"/>
        <w:gridCol w:w="798"/>
        <w:gridCol w:w="2152"/>
        <w:gridCol w:w="309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6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215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w:t>
            </w:r>
          </w:p>
        </w:tc>
        <w:tc>
          <w:tcPr>
            <w:tcW w:w="309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102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215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309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215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309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215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309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215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309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eastAsia="宋体" w:cs="宋体"/>
                <w:color w:val="auto"/>
                <w:szCs w:val="21"/>
                <w:highlight w:val="none"/>
              </w:rPr>
            </w:pPr>
          </w:p>
        </w:tc>
      </w:tr>
    </w:tbl>
    <w:p>
      <w:pPr>
        <w:spacing w:line="24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r>
        <w:rPr>
          <w:rFonts w:hint="eastAsia" w:ascii="宋体" w:hAnsi="宋体" w:eastAsia="宋体" w:cs="宋体"/>
          <w:b/>
          <w:bCs/>
          <w:color w:val="auto"/>
          <w:szCs w:val="21"/>
          <w:highlight w:val="none"/>
          <w:lang w:val="en-US" w:eastAsia="zh-CN"/>
        </w:rPr>
        <w:t>1.中标后，</w:t>
      </w:r>
      <w:r>
        <w:rPr>
          <w:rFonts w:hint="eastAsia" w:ascii="宋体" w:hAnsi="宋体" w:eastAsia="宋体" w:cs="宋体"/>
          <w:b/>
          <w:bCs/>
          <w:color w:val="auto"/>
          <w:szCs w:val="21"/>
          <w:highlight w:val="none"/>
        </w:rPr>
        <w:t>本表作为合同附件，其内容必须是真实有效。</w:t>
      </w:r>
    </w:p>
    <w:p>
      <w:pPr>
        <w:pStyle w:val="2"/>
        <w:spacing w:line="24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2.投标人可以根据拟投入人员扩展表格。</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中标人进场时，</w:t>
      </w:r>
      <w:r>
        <w:rPr>
          <w:rFonts w:hint="eastAsia" w:ascii="宋体" w:hAnsi="宋体" w:eastAsia="宋体" w:cs="宋体"/>
          <w:color w:val="auto"/>
          <w:sz w:val="28"/>
          <w:szCs w:val="28"/>
          <w:highlight w:val="none"/>
        </w:rPr>
        <w:t>所有</w:t>
      </w:r>
      <w:r>
        <w:rPr>
          <w:rFonts w:hint="eastAsia" w:ascii="宋体" w:hAnsi="宋体" w:eastAsia="宋体" w:cs="宋体"/>
          <w:color w:val="auto"/>
          <w:sz w:val="28"/>
          <w:szCs w:val="28"/>
          <w:highlight w:val="none"/>
          <w:lang w:val="en-US" w:eastAsia="zh-CN"/>
        </w:rPr>
        <w:t>人员</w:t>
      </w:r>
      <w:r>
        <w:rPr>
          <w:rFonts w:hint="eastAsia" w:ascii="宋体" w:hAnsi="宋体" w:eastAsia="宋体" w:cs="宋体"/>
          <w:color w:val="auto"/>
          <w:sz w:val="28"/>
          <w:szCs w:val="28"/>
          <w:highlight w:val="none"/>
        </w:rPr>
        <w:t>的资质需要经过业主</w:t>
      </w:r>
      <w:r>
        <w:rPr>
          <w:rFonts w:hint="eastAsia" w:ascii="宋体" w:hAnsi="宋体" w:eastAsia="宋体" w:cs="宋体"/>
          <w:color w:val="auto"/>
          <w:sz w:val="28"/>
          <w:szCs w:val="28"/>
          <w:highlight w:val="none"/>
          <w:lang w:val="en-US" w:eastAsia="zh-CN"/>
        </w:rPr>
        <w:t>核对</w:t>
      </w:r>
      <w:r>
        <w:rPr>
          <w:rFonts w:hint="eastAsia" w:ascii="宋体" w:hAnsi="宋体" w:eastAsia="宋体" w:cs="宋体"/>
          <w:color w:val="auto"/>
          <w:sz w:val="28"/>
          <w:szCs w:val="28"/>
          <w:highlight w:val="none"/>
        </w:rPr>
        <w:t>确认</w:t>
      </w:r>
      <w:r>
        <w:rPr>
          <w:rFonts w:hint="eastAsia" w:ascii="宋体" w:hAnsi="宋体" w:eastAsia="宋体" w:cs="宋体"/>
          <w:color w:val="auto"/>
          <w:sz w:val="28"/>
          <w:szCs w:val="28"/>
          <w:highlight w:val="none"/>
          <w:lang w:val="en-US" w:eastAsia="zh-CN"/>
        </w:rPr>
        <w:t>后</w:t>
      </w:r>
      <w:r>
        <w:rPr>
          <w:rFonts w:hint="eastAsia" w:ascii="宋体" w:hAnsi="宋体" w:eastAsia="宋体" w:cs="宋体"/>
          <w:color w:val="auto"/>
          <w:sz w:val="28"/>
          <w:szCs w:val="28"/>
          <w:highlight w:val="none"/>
        </w:rPr>
        <w:t>方可入场，并按照业主方的要求认真完成相应技术工作。</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3.质量要求</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（1）使用的各种材料必须符合设计和规范要求。</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（2）各种构件在运输过程中必须有可靠的保护措施。构件外观表面无明显的凹面和损伤。焊疤、飞溅物、毛刺应清理干净。</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（3）必须用合格焊工。焊接、防锈、安装精度必须合格。</w:t>
      </w:r>
    </w:p>
    <w:p>
      <w:pPr>
        <w:spacing w:line="240" w:lineRule="auto"/>
        <w:ind w:firstLine="560"/>
        <w:jc w:val="left"/>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zh-CN"/>
        </w:rPr>
        <w:t>周边环境恢复。</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.安全措施要求</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（1）在工程进行中，中标单位须遵守国家及地方、业主方的安全生产施工要求等，要注意保护场内的各种管线和设施。若有任何损坏，须立即通知有关部门和招标人，并由损坏单位承担损失和修复费用。</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发生重大伤亡及其他安全事故，承包单位应按有关规定立即上报有关部门并通知招标人，同时按政府有关部门要求处理，由事故责任方承担发生的费用。招标人、承包单位对事故责任有争议时，应按政府有关部门的认定处理。</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 中标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中标单位负责。</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 特种作业人员须持有对应工作的特种作业操作证。</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.总包及分包规定</w:t>
      </w:r>
    </w:p>
    <w:p>
      <w:p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承包单位不许转包，不许擅自分包, 否则，招标人有权单方面终止合同，并令其立即退场，由此而造成的经济损失由承包单位负责赔偿。</w:t>
      </w:r>
    </w:p>
    <w:p>
      <w:pPr>
        <w:numPr>
          <w:ilvl w:val="-1"/>
          <w:numId w:val="0"/>
        </w:num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保修期（保养期）：质保期为项目完成经验收合格之日起1年。</w:t>
      </w:r>
    </w:p>
    <w:p>
      <w:pPr>
        <w:pStyle w:val="109"/>
        <w:spacing w:line="240" w:lineRule="auto"/>
        <w:ind w:firstLine="560"/>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.招标人将自承包人履行完合同义务之日起，按验收要求组织竣工验收，验收要求、验收标准及方法如下：</w:t>
      </w:r>
    </w:p>
    <w:p>
      <w:pPr>
        <w:numPr>
          <w:ilvl w:val="-1"/>
          <w:numId w:val="0"/>
        </w:num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（1）验收依据：招标文件、投标文件、厂家货物技术标准说明及国家有关的质量标准规定，均为验收依据。</w:t>
      </w:r>
    </w:p>
    <w:p>
      <w:pPr>
        <w:numPr>
          <w:ilvl w:val="-1"/>
          <w:numId w:val="0"/>
        </w:num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（2）承包单位根据要求进行设备的安装、调试、测试后，由招标人或政府相关部门进行使用性能方面的验收。</w:t>
      </w:r>
    </w:p>
    <w:p>
      <w:pPr>
        <w:numPr>
          <w:ilvl w:val="-1"/>
          <w:numId w:val="0"/>
        </w:num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（3）验收合格条件</w:t>
      </w:r>
    </w:p>
    <w:p>
      <w:pPr>
        <w:numPr>
          <w:ilvl w:val="-1"/>
          <w:numId w:val="0"/>
        </w:numPr>
        <w:spacing w:line="240" w:lineRule="auto"/>
        <w:ind w:firstLine="56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1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①</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承包人按合同约定完成全部项目任务，调试完毕后</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试运行连续稳定</w:t>
      </w:r>
      <w:r>
        <w:rPr>
          <w:rFonts w:hint="eastAsia" w:ascii="宋体" w:hAnsi="宋体" w:eastAsia="宋体" w:cs="宋体"/>
          <w:color w:val="auto"/>
          <w:sz w:val="28"/>
          <w:szCs w:val="28"/>
          <w:highlight w:val="none"/>
          <w:lang w:eastAsia="zh-CN"/>
        </w:rPr>
        <w:t>7</w:t>
      </w:r>
      <w:r>
        <w:rPr>
          <w:rFonts w:hint="eastAsia" w:ascii="宋体" w:hAnsi="宋体" w:eastAsia="宋体" w:cs="宋体"/>
          <w:color w:val="auto"/>
          <w:sz w:val="28"/>
          <w:szCs w:val="28"/>
          <w:highlight w:val="none"/>
          <w:lang w:val="en-US" w:eastAsia="zh-CN"/>
        </w:rPr>
        <w:t>天</w:t>
      </w:r>
      <w:r>
        <w:rPr>
          <w:rFonts w:hint="eastAsia" w:ascii="宋体" w:hAnsi="宋体" w:eastAsia="宋体" w:cs="宋体"/>
          <w:color w:val="auto"/>
          <w:sz w:val="28"/>
          <w:szCs w:val="28"/>
          <w:highlight w:val="none"/>
        </w:rPr>
        <w:t>，无异常，并确保能够达到要求的标准。</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达到验收条件后，可向招标人提交竣工验收申请，同时承包人还应提交所有符合合同约定和招标人要求的竣工验收资料包括但不限于项目相关文档、文件等资料；承包人应按招标人要求交付相应份数的印刷版纸质文档和电子版文档。</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2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②</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承包人提出竣工验收书面申请时，应同时提出书面验收方案，验收方案经招标人审核同意后，方可进行验收。</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3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③</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招标人应在收到承包人提交的竣工验收申请后，根据系统测试结果和整体试运行情况对项目进行检验和后评估，以确认其是否符合招标文件、本合同以及相关标准规范规定的功能和技术要求等。</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4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④</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若项目竣工验收通过，则自通过之日起10日内，招标人与承包人应共同签署验收合格证书。</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5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⑤</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若项目未通过竣工验收，则承包人应按招标人要求在限期内排除故障，完成整改，并承担相关费用，同时自排除故障之日起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重新开始7天试运行，</w:t>
      </w:r>
      <w:r>
        <w:rPr>
          <w:rFonts w:hint="eastAsia" w:ascii="宋体" w:hAnsi="宋体" w:eastAsia="宋体" w:cs="宋体"/>
          <w:color w:val="auto"/>
          <w:sz w:val="28"/>
          <w:szCs w:val="28"/>
          <w:highlight w:val="none"/>
        </w:rPr>
        <w:t>直至</w:t>
      </w:r>
      <w:r>
        <w:rPr>
          <w:rFonts w:hint="eastAsia" w:ascii="宋体" w:hAnsi="宋体" w:eastAsia="宋体" w:cs="宋体"/>
          <w:color w:val="auto"/>
          <w:sz w:val="28"/>
          <w:szCs w:val="28"/>
          <w:highlight w:val="none"/>
          <w:lang w:val="en-US" w:eastAsia="zh-CN"/>
        </w:rPr>
        <w:t>子项目</w:t>
      </w:r>
      <w:r>
        <w:rPr>
          <w:rFonts w:hint="eastAsia" w:ascii="宋体" w:hAnsi="宋体" w:eastAsia="宋体" w:cs="宋体"/>
          <w:color w:val="auto"/>
          <w:sz w:val="28"/>
          <w:szCs w:val="28"/>
          <w:highlight w:val="none"/>
        </w:rPr>
        <w:t>完全符合验收标准或由招标人依法或依约终止本合同为止。</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6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⑥</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任何情况下招标人对项目系统的签收、验收及上述验收的实施和通过并不代表招标人放弃对于潜在缺陷、质量问题所引起的相关损失的索赔权利，也并不减轻和/或免除承包人应履行的合同义务和应承担的责任。</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（4）招标人有权委托我国相关具有检验资质的部门、单位、机构针对维修后设备的精度、性能进行检验。其检验结果将作为验收标准的组成部分之一。</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（5）验收时承包单位必须派代表参加。</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（6）验收过程所发生的一切费用由承包单位承担。</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（7）验收标准</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除臭、通风系统自动化监控改造建设，将严格依据招标文件中的技术要求以及行业相关规范标准进行验收。要求系统调试完成后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能够实现以下内容：</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1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①</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自动运行：能够实现无人员干预的条件下全自动运行；</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2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②</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功能实现：上位机及下位机的功能模块以现场书面确认的定制化需求规格说明书为基准，提供系统全部功能模块的现场实际应用的性能测试数据报表、曲线图及分析报告，且数据表及曲线图所应用的运行数据需双方工程师确认签字；</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3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③</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稳定控制：在控制系统正常的前提下，系统</w:t>
      </w:r>
      <w:r>
        <w:rPr>
          <w:rFonts w:hint="eastAsia" w:ascii="宋体" w:hAnsi="宋体" w:eastAsia="宋体" w:cs="宋体"/>
          <w:color w:val="auto"/>
          <w:sz w:val="28"/>
          <w:szCs w:val="28"/>
          <w:highlight w:val="none"/>
          <w:lang w:val="en-US" w:eastAsia="zh-CN"/>
        </w:rPr>
        <w:t>能7天自动</w:t>
      </w:r>
      <w:r>
        <w:rPr>
          <w:rFonts w:hint="eastAsia" w:ascii="宋体" w:hAnsi="宋体" w:eastAsia="宋体" w:cs="宋体"/>
          <w:color w:val="auto"/>
          <w:sz w:val="28"/>
          <w:szCs w:val="28"/>
          <w:highlight w:val="none"/>
        </w:rPr>
        <w:t>稳定运行。</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.付款方式：网银转账。</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.承包方式：</w:t>
      </w:r>
      <w:r>
        <w:rPr>
          <w:rFonts w:hint="eastAsia" w:ascii="宋体" w:hAnsi="宋体" w:eastAsia="宋体" w:cs="宋体"/>
          <w:color w:val="auto"/>
          <w:sz w:val="28"/>
          <w:szCs w:val="28"/>
          <w:highlight w:val="none"/>
          <w:lang w:val="zh-CN"/>
        </w:rPr>
        <w:t>包工、包料、包工期、包质量、包安全、包文明施工。单价包干。</w:t>
      </w:r>
    </w:p>
    <w:p>
      <w:pPr>
        <w:spacing w:line="240" w:lineRule="auto"/>
        <w:ind w:firstLine="0" w:firstLineChars="0"/>
        <w:outlineLvl w:val="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二．系统调试运行及培训</w:t>
      </w:r>
    </w:p>
    <w:p>
      <w:pPr>
        <w:pStyle w:val="96"/>
        <w:spacing w:line="240" w:lineRule="auto"/>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1．系统应在完成软硬件的安装部署工作后，投入人员驻点陪产，开展调试及试运行工作；</w:t>
      </w:r>
    </w:p>
    <w:p>
      <w:pPr>
        <w:pStyle w:val="96"/>
        <w:spacing w:line="240" w:lineRule="auto"/>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2．系统</w:t>
      </w:r>
      <w:r>
        <w:rPr>
          <w:rFonts w:hint="eastAsia" w:ascii="宋体" w:hAnsi="宋体" w:eastAsia="宋体" w:cs="宋体"/>
          <w:color w:val="auto"/>
          <w:sz w:val="28"/>
          <w:szCs w:val="28"/>
          <w:highlight w:val="none"/>
          <w:lang w:val="en-US" w:eastAsia="zh-CN"/>
        </w:rPr>
        <w:t>完成调试后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投标人</w:t>
      </w:r>
      <w:r>
        <w:rPr>
          <w:rFonts w:hint="eastAsia" w:ascii="宋体" w:hAnsi="宋体" w:eastAsia="宋体" w:cs="宋体"/>
          <w:color w:val="auto"/>
          <w:sz w:val="28"/>
          <w:szCs w:val="28"/>
          <w:highlight w:val="none"/>
        </w:rPr>
        <w:t>应至少组织</w:t>
      </w:r>
      <w:r>
        <w:rPr>
          <w:rFonts w:hint="eastAsia" w:ascii="宋体" w:hAnsi="宋体" w:eastAsia="宋体" w:cs="宋体"/>
          <w:color w:val="auto"/>
          <w:sz w:val="28"/>
          <w:szCs w:val="28"/>
          <w:highlight w:val="none"/>
          <w:lang w:val="en-US" w:eastAsia="zh-CN"/>
        </w:rPr>
        <w:t>两</w:t>
      </w:r>
      <w:r>
        <w:rPr>
          <w:rFonts w:hint="eastAsia" w:ascii="宋体" w:hAnsi="宋体" w:eastAsia="宋体" w:cs="宋体"/>
          <w:color w:val="auto"/>
          <w:sz w:val="28"/>
          <w:szCs w:val="28"/>
          <w:highlight w:val="none"/>
        </w:rPr>
        <w:t>次使用培训，包括</w:t>
      </w:r>
      <w:r>
        <w:rPr>
          <w:rFonts w:hint="eastAsia" w:ascii="宋体" w:hAnsi="宋体" w:eastAsia="宋体" w:cs="宋体"/>
          <w:color w:val="auto"/>
          <w:kern w:val="0"/>
          <w:sz w:val="28"/>
          <w:szCs w:val="28"/>
          <w:highlight w:val="none"/>
        </w:rPr>
        <w:t>报表、系统运行、设备校准，</w:t>
      </w:r>
      <w:r>
        <w:rPr>
          <w:rFonts w:hint="eastAsia" w:ascii="宋体" w:hAnsi="宋体" w:eastAsia="宋体" w:cs="宋体"/>
          <w:color w:val="auto"/>
          <w:sz w:val="28"/>
          <w:szCs w:val="28"/>
          <w:highlight w:val="none"/>
        </w:rPr>
        <w:t>确保厂区使用人员正确操作及维护；</w:t>
      </w:r>
    </w:p>
    <w:p>
      <w:pPr>
        <w:pStyle w:val="96"/>
        <w:spacing w:line="240" w:lineRule="auto"/>
        <w:ind w:firstLine="562" w:firstLineChars="201"/>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．系统在验收前应提交系统操作维护说明书，涵盖系统各项功能使用、维护保养、备品备件清单、常见使用问题及解决方案等内容。</w:t>
      </w:r>
      <w:bookmarkStart w:id="505" w:name="_Toc6919"/>
      <w:bookmarkStart w:id="506" w:name="_Toc12115"/>
      <w:bookmarkStart w:id="507" w:name="_Toc29803"/>
      <w:bookmarkStart w:id="508" w:name="_Toc14153"/>
      <w:bookmarkStart w:id="509" w:name="_Toc3203"/>
      <w:bookmarkStart w:id="510" w:name="_Toc27171"/>
      <w:bookmarkStart w:id="511" w:name="_Toc29550"/>
      <w:bookmarkStart w:id="512" w:name="_Toc25706_WPSOffice_Level1"/>
      <w:bookmarkStart w:id="513" w:name="_Toc888"/>
      <w:bookmarkStart w:id="514" w:name="_Toc21319"/>
      <w:bookmarkStart w:id="515" w:name="_Toc13923"/>
      <w:bookmarkStart w:id="516" w:name="_Toc28116"/>
      <w:bookmarkStart w:id="517" w:name="_Toc25760"/>
      <w:bookmarkStart w:id="518" w:name="_Toc11805"/>
      <w:bookmarkStart w:id="519" w:name="_Toc27389"/>
      <w:bookmarkStart w:id="520" w:name="_Toc228"/>
      <w:bookmarkStart w:id="521" w:name="_Toc2554"/>
      <w:bookmarkStart w:id="522" w:name="_Toc8205"/>
      <w:r>
        <w:rPr>
          <w:rFonts w:hint="eastAsia" w:ascii="宋体" w:hAnsi="宋体" w:eastAsia="宋体" w:cs="宋体"/>
          <w:b/>
          <w:color w:val="auto"/>
          <w:sz w:val="28"/>
          <w:szCs w:val="28"/>
          <w:highlight w:val="none"/>
        </w:rPr>
        <w:t>三、项目实施要求</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Start w:id="523" w:name="_Toc28284"/>
      <w:bookmarkStart w:id="524" w:name="_Toc26626"/>
      <w:bookmarkStart w:id="525" w:name="_Toc20014"/>
      <w:bookmarkStart w:id="526" w:name="_Toc10839"/>
      <w:bookmarkStart w:id="527" w:name="_Toc3656"/>
      <w:bookmarkStart w:id="528" w:name="_Toc322"/>
      <w:bookmarkStart w:id="529" w:name="_Toc20164_WPSOffice_Level2"/>
      <w:bookmarkStart w:id="530" w:name="_Toc14307"/>
      <w:bookmarkStart w:id="531" w:name="_Toc30394"/>
      <w:bookmarkStart w:id="532" w:name="_Toc1484"/>
      <w:bookmarkStart w:id="533" w:name="_Toc27920"/>
      <w:bookmarkStart w:id="534" w:name="_Toc11914"/>
      <w:bookmarkStart w:id="535" w:name="_Toc9520"/>
      <w:bookmarkStart w:id="536" w:name="_Toc29849"/>
      <w:bookmarkStart w:id="537" w:name="_Toc156"/>
      <w:bookmarkStart w:id="538" w:name="_Toc1251"/>
      <w:bookmarkStart w:id="539" w:name="_Toc21855"/>
      <w:bookmarkStart w:id="540" w:name="_Toc22887"/>
    </w:p>
    <w:p>
      <w:pPr>
        <w:pStyle w:val="96"/>
        <w:spacing w:line="240" w:lineRule="auto"/>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bCs/>
          <w:color w:val="auto"/>
          <w:kern w:val="0"/>
          <w:sz w:val="28"/>
          <w:szCs w:val="28"/>
          <w:highlight w:val="none"/>
        </w:rPr>
        <w:t>项目实施方式</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投标方需根据本招标方案要求制定详细施工进度表，并对项目实施过程中可能存在的问题制定可行的解决方案。</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若中标方的投标文件少于或未能达到投标方的招标技术要求，招标方有权要求其补充在合同工作量内。</w:t>
      </w:r>
      <w:bookmarkStart w:id="541" w:name="_Toc26541"/>
      <w:bookmarkStart w:id="542" w:name="_Toc2408_WPSOffice_Level2"/>
      <w:bookmarkStart w:id="543" w:name="_Toc31150"/>
      <w:bookmarkStart w:id="544" w:name="_Toc29005"/>
      <w:bookmarkStart w:id="545" w:name="_Toc4796"/>
      <w:bookmarkStart w:id="546" w:name="_Toc34"/>
      <w:bookmarkStart w:id="547" w:name="_Toc23991"/>
      <w:bookmarkStart w:id="548" w:name="_Toc21200"/>
      <w:bookmarkStart w:id="549" w:name="_Toc6785"/>
      <w:bookmarkStart w:id="550" w:name="_Toc10954"/>
      <w:bookmarkStart w:id="551" w:name="_Toc9638"/>
      <w:bookmarkStart w:id="552" w:name="_Toc21816"/>
      <w:bookmarkStart w:id="553" w:name="_Toc236"/>
      <w:bookmarkStart w:id="554" w:name="_Toc14043"/>
      <w:bookmarkStart w:id="555" w:name="_Toc3126"/>
      <w:bookmarkStart w:id="556" w:name="_Toc497"/>
      <w:bookmarkStart w:id="557" w:name="_Toc6979"/>
      <w:bookmarkStart w:id="558" w:name="_Toc11489"/>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bCs/>
          <w:color w:val="auto"/>
          <w:kern w:val="0"/>
          <w:sz w:val="28"/>
          <w:szCs w:val="28"/>
          <w:highlight w:val="none"/>
        </w:rPr>
        <w:t>4．项目成果要求</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标人交货时要同时提供货物清单和系统设备的安装调试、使用和维护的资料文件、操作手册、各种图纸、PLC控制程序、人机界面HMI及工程包、运算公式、工作软件说明书、技术文档、完整的软硬件技术资料、维修保养手册等技术文件及产品合格证、质量保证书等全套资料。其中进口材料应提供原产地证书（如有）。</w:t>
      </w:r>
    </w:p>
    <w:p>
      <w:pPr>
        <w:pStyle w:val="109"/>
        <w:spacing w:line="240" w:lineRule="auto"/>
        <w:ind w:firstLine="560"/>
        <w:rPr>
          <w:rFonts w:hint="eastAsia" w:ascii="宋体" w:hAnsi="宋体" w:eastAsia="宋体" w:cs="宋体"/>
          <w:bCs/>
          <w:color w:val="auto"/>
          <w:kern w:val="0"/>
          <w:sz w:val="28"/>
          <w:szCs w:val="28"/>
          <w:highlight w:val="none"/>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质量保修期的</w:t>
      </w:r>
      <w:r>
        <w:rPr>
          <w:rFonts w:hint="eastAsia" w:ascii="宋体" w:hAnsi="宋体" w:eastAsia="宋体" w:cs="宋体"/>
          <w:bCs/>
          <w:color w:val="auto"/>
          <w:kern w:val="0"/>
          <w:sz w:val="28"/>
          <w:szCs w:val="28"/>
          <w:highlight w:val="none"/>
        </w:rPr>
        <w:t>服务及培训要求</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（1）运维</w:t>
      </w:r>
      <w:r>
        <w:rPr>
          <w:rFonts w:hint="eastAsia" w:ascii="宋体" w:hAnsi="宋体" w:eastAsia="宋体" w:cs="宋体"/>
          <w:color w:val="auto"/>
          <w:sz w:val="28"/>
          <w:szCs w:val="28"/>
          <w:highlight w:val="none"/>
          <w:lang w:val="en-US" w:eastAsia="zh-CN"/>
        </w:rPr>
        <w:t>服务</w:t>
      </w:r>
      <w:r>
        <w:rPr>
          <w:rFonts w:hint="eastAsia" w:ascii="宋体" w:hAnsi="宋体" w:eastAsia="宋体" w:cs="宋体"/>
          <w:color w:val="auto"/>
          <w:sz w:val="28"/>
          <w:szCs w:val="28"/>
          <w:highlight w:val="none"/>
        </w:rPr>
        <w:t>要求</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1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①</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质保期：从项目竣工验收合格之日起，1年为质量</w:t>
      </w:r>
      <w:r>
        <w:rPr>
          <w:rFonts w:hint="eastAsia" w:ascii="宋体" w:hAnsi="宋体" w:eastAsia="宋体" w:cs="宋体"/>
          <w:color w:val="auto"/>
          <w:sz w:val="28"/>
          <w:szCs w:val="28"/>
          <w:highlight w:val="none"/>
          <w:lang w:val="en-US" w:eastAsia="zh-CN"/>
        </w:rPr>
        <w:t>保修</w:t>
      </w:r>
      <w:r>
        <w:rPr>
          <w:rFonts w:hint="eastAsia" w:ascii="宋体" w:hAnsi="宋体" w:eastAsia="宋体" w:cs="宋体"/>
          <w:color w:val="auto"/>
          <w:sz w:val="28"/>
          <w:szCs w:val="28"/>
          <w:highlight w:val="none"/>
        </w:rPr>
        <w:t>期</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2"/>
          <w:sz w:val="28"/>
          <w:szCs w:val="28"/>
          <w:highlight w:val="none"/>
          <w:lang w:val="en-US" w:eastAsia="zh-CN"/>
        </w:rPr>
        <w:t>且不低于法定保修年限</w:t>
      </w:r>
      <w:r>
        <w:rPr>
          <w:rFonts w:hint="eastAsia" w:ascii="宋体" w:hAnsi="宋体" w:eastAsia="宋体" w:cs="宋体"/>
          <w:color w:val="auto"/>
          <w:sz w:val="28"/>
          <w:szCs w:val="28"/>
          <w:highlight w:val="none"/>
        </w:rPr>
        <w:t>。</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2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②</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在质保期间，投标方</w:t>
      </w:r>
      <w:r>
        <w:rPr>
          <w:rFonts w:hint="eastAsia" w:ascii="宋体" w:hAnsi="宋体" w:eastAsia="宋体" w:cs="宋体"/>
          <w:color w:val="auto"/>
          <w:sz w:val="28"/>
          <w:szCs w:val="28"/>
          <w:highlight w:val="none"/>
          <w:lang w:val="en-US" w:eastAsia="zh-CN"/>
        </w:rPr>
        <w:t>需根据业主需求，提供</w:t>
      </w:r>
      <w:r>
        <w:rPr>
          <w:rFonts w:hint="eastAsia" w:ascii="宋体" w:hAnsi="宋体" w:eastAsia="宋体" w:cs="宋体"/>
          <w:color w:val="auto"/>
          <w:sz w:val="28"/>
          <w:szCs w:val="28"/>
          <w:highlight w:val="none"/>
        </w:rPr>
        <w:t>设备免费保养，</w:t>
      </w:r>
      <w:r>
        <w:rPr>
          <w:rFonts w:hint="eastAsia" w:ascii="宋体" w:hAnsi="宋体" w:eastAsia="宋体" w:cs="宋体"/>
          <w:color w:val="auto"/>
          <w:sz w:val="28"/>
          <w:szCs w:val="28"/>
          <w:highlight w:val="none"/>
          <w:lang w:val="en-US" w:eastAsia="zh-CN"/>
        </w:rPr>
        <w:t>期间提供至少1次</w:t>
      </w:r>
      <w:r>
        <w:rPr>
          <w:rFonts w:hint="eastAsia" w:ascii="宋体" w:hAnsi="宋体" w:eastAsia="宋体" w:cs="宋体"/>
          <w:color w:val="auto"/>
          <w:sz w:val="28"/>
          <w:szCs w:val="28"/>
          <w:highlight w:val="none"/>
        </w:rPr>
        <w:t>整体检查，免费为</w:t>
      </w:r>
      <w:r>
        <w:rPr>
          <w:rFonts w:hint="eastAsia" w:ascii="宋体" w:hAnsi="宋体" w:eastAsia="宋体" w:cs="宋体"/>
          <w:color w:val="auto"/>
          <w:sz w:val="28"/>
          <w:szCs w:val="28"/>
          <w:highlight w:val="none"/>
          <w:lang w:val="en-US" w:eastAsia="zh-CN"/>
        </w:rPr>
        <w:t>业主</w:t>
      </w:r>
      <w:r>
        <w:rPr>
          <w:rFonts w:hint="eastAsia" w:ascii="宋体" w:hAnsi="宋体" w:eastAsia="宋体" w:cs="宋体"/>
          <w:color w:val="auto"/>
          <w:sz w:val="28"/>
          <w:szCs w:val="28"/>
          <w:highlight w:val="none"/>
        </w:rPr>
        <w:t>功能维护、设备维护，使用培训等上门服务。</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3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③</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在质保期间，一旦出现故障，</w:t>
      </w:r>
      <w:r>
        <w:rPr>
          <w:rFonts w:hint="eastAsia" w:ascii="宋体" w:hAnsi="宋体" w:eastAsia="宋体" w:cs="宋体"/>
          <w:color w:val="auto"/>
          <w:sz w:val="28"/>
          <w:szCs w:val="28"/>
          <w:highlight w:val="none"/>
        </w:rPr>
        <w:t>投标人</w:t>
      </w:r>
      <w:r>
        <w:rPr>
          <w:rFonts w:hint="eastAsia" w:ascii="宋体" w:hAnsi="宋体" w:eastAsia="宋体" w:cs="宋体"/>
          <w:color w:val="auto"/>
          <w:sz w:val="28"/>
          <w:szCs w:val="28"/>
          <w:highlight w:val="none"/>
          <w:lang w:val="en-US" w:eastAsia="zh-CN"/>
        </w:rPr>
        <w:t>须在8小时内消除故障。投标人应在接到业主电话</w:t>
      </w:r>
      <w:r>
        <w:rPr>
          <w:rFonts w:hint="eastAsia" w:ascii="宋体" w:hAnsi="宋体" w:eastAsia="宋体" w:cs="宋体"/>
          <w:color w:val="auto"/>
          <w:sz w:val="28"/>
          <w:szCs w:val="28"/>
          <w:highlight w:val="none"/>
        </w:rPr>
        <w:t>通知</w:t>
      </w:r>
      <w:r>
        <w:rPr>
          <w:rFonts w:hint="eastAsia" w:ascii="宋体" w:hAnsi="宋体" w:eastAsia="宋体" w:cs="宋体"/>
          <w:color w:val="auto"/>
          <w:sz w:val="28"/>
          <w:szCs w:val="28"/>
          <w:highlight w:val="none"/>
          <w:lang w:val="en-US" w:eastAsia="zh-CN"/>
        </w:rPr>
        <w:t>后提供响应服务，</w:t>
      </w:r>
      <w:r>
        <w:rPr>
          <w:rFonts w:hint="eastAsia" w:ascii="宋体" w:hAnsi="宋体" w:eastAsia="宋体" w:cs="宋体"/>
          <w:color w:val="auto"/>
          <w:sz w:val="28"/>
          <w:szCs w:val="28"/>
          <w:highlight w:val="none"/>
        </w:rPr>
        <w:t>远程服务响应时间不超过30分钟</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故障现场服务响应时间不超过4小时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投标人还应考虑备机、备件等以确保故障及时消除。投标人</w:t>
      </w:r>
      <w:r>
        <w:rPr>
          <w:rFonts w:hint="eastAsia" w:ascii="宋体" w:hAnsi="宋体" w:eastAsia="宋体" w:cs="宋体"/>
          <w:color w:val="auto"/>
          <w:sz w:val="28"/>
          <w:szCs w:val="28"/>
          <w:highlight w:val="none"/>
        </w:rPr>
        <w:t>未在规定时间内响应</w:t>
      </w:r>
      <w:r>
        <w:rPr>
          <w:rFonts w:hint="eastAsia" w:ascii="宋体" w:hAnsi="宋体" w:eastAsia="宋体" w:cs="宋体"/>
          <w:color w:val="auto"/>
          <w:sz w:val="28"/>
          <w:szCs w:val="28"/>
          <w:highlight w:val="none"/>
          <w:lang w:eastAsia="zh-CN"/>
        </w:rPr>
        <w:t>的</w:t>
      </w:r>
      <w:r>
        <w:rPr>
          <w:rFonts w:hint="eastAsia" w:ascii="宋体" w:hAnsi="宋体" w:eastAsia="宋体" w:cs="宋体"/>
          <w:color w:val="auto"/>
          <w:sz w:val="28"/>
          <w:szCs w:val="28"/>
          <w:highlight w:val="none"/>
          <w:lang w:val="en-US" w:eastAsia="zh-CN"/>
        </w:rPr>
        <w:t>或未能在规定时间内消除故障的</w:t>
      </w:r>
      <w:r>
        <w:rPr>
          <w:rFonts w:hint="eastAsia" w:ascii="宋体" w:hAnsi="宋体" w:eastAsia="宋体" w:cs="宋体"/>
          <w:color w:val="auto"/>
          <w:sz w:val="28"/>
          <w:szCs w:val="28"/>
          <w:highlight w:val="none"/>
        </w:rPr>
        <w:t>，业主可另行委托第三方提供服务，服务费用通知投标人，投标人在24小时内不回复意见，视同默认，业主可在</w:t>
      </w:r>
      <w:r>
        <w:rPr>
          <w:rFonts w:hint="eastAsia" w:ascii="宋体" w:hAnsi="宋体" w:eastAsia="宋体" w:cs="宋体"/>
          <w:color w:val="auto"/>
          <w:sz w:val="28"/>
          <w:szCs w:val="28"/>
          <w:highlight w:val="none"/>
          <w:lang w:val="en-US" w:eastAsia="zh-CN"/>
        </w:rPr>
        <w:t>质保金费</w:t>
      </w:r>
      <w:r>
        <w:rPr>
          <w:rFonts w:hint="eastAsia" w:ascii="宋体" w:hAnsi="宋体" w:eastAsia="宋体" w:cs="宋体"/>
          <w:color w:val="auto"/>
          <w:sz w:val="28"/>
          <w:szCs w:val="28"/>
          <w:highlight w:val="none"/>
        </w:rPr>
        <w:t>用中直接扣除相应服务费用。</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（2）系统培训要求</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投标人须提供培训内容和培训计划，培训内容至少包括系统的基本原理、结构、功能模块、基本操作、维护知识及应用等内容。</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1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①</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投标人必须提供针对不同阶段、不同用户的培训方案；</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2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②</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培训人数：所有相关使用人员和相关技术人员；</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 3 \* GB3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③</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培训内容：系统上线前后必须为系统维护人员、普通用户、系统管理员提供包括系统的使用、配置、维护等相关内容培训，确保用户能够对系统足够的了解和熟悉，能够独立进行系统的日常维护、使用和管理。</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培训涵盖的主要内容应包括：系统的使用、例行检查和软硬件维护保养、故障的查找判断、简单故障处理、系统的模型的调校等。</w:t>
      </w:r>
      <w:bookmarkStart w:id="559" w:name="_Toc22342"/>
      <w:bookmarkStart w:id="560" w:name="_Toc9896"/>
      <w:bookmarkStart w:id="561" w:name="_Toc987"/>
      <w:bookmarkStart w:id="562" w:name="_Toc22701"/>
      <w:bookmarkStart w:id="563" w:name="_Toc361"/>
      <w:bookmarkStart w:id="564" w:name="_Toc6140"/>
      <w:bookmarkStart w:id="565" w:name="_Toc5870"/>
      <w:bookmarkStart w:id="566" w:name="_Toc12438"/>
      <w:bookmarkStart w:id="567" w:name="_Toc4277"/>
      <w:bookmarkStart w:id="568" w:name="_Toc7923"/>
      <w:bookmarkStart w:id="569" w:name="_Toc19130"/>
      <w:bookmarkStart w:id="570" w:name="_Toc10700"/>
      <w:bookmarkStart w:id="571" w:name="_Toc31820"/>
      <w:bookmarkStart w:id="572" w:name="_Toc14057"/>
      <w:bookmarkStart w:id="573" w:name="_Toc2202"/>
      <w:bookmarkStart w:id="574" w:name="_Toc19766_WPSOffice_Level2"/>
      <w:bookmarkStart w:id="575" w:name="_Toc23843"/>
      <w:bookmarkStart w:id="576" w:name="_Toc22937"/>
    </w:p>
    <w:p>
      <w:pPr>
        <w:pStyle w:val="109"/>
        <w:spacing w:line="240" w:lineRule="auto"/>
        <w:ind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四．投标技术要求</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技术要求提出了项目总体目标、各部分功能和主要设备的技术指标，对系统框架组成作出了原则性的要求。对于系统中硬件的具体配置、与电缆敷设，安装支架辅材等构成项目实施完整的工作，均应由承包商完成，承包商应对整个合同完全负责。此部分的内容应在报价部分予以体现，若无体现，则默认包含在报价内。</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方必须随投标书同时附上实施方案、详细的设备供货清单以及能够提供的所有必需的服务内容。必须以文字或工程设计图的方式提供各部分的技术说明。若出现投标文件少于或者未达到业主招标技术要求，业主有权要求其补充在合同工作量内。</w:t>
      </w:r>
      <w:bookmarkStart w:id="577" w:name="_Toc6581"/>
      <w:bookmarkStart w:id="578" w:name="_Toc15478"/>
      <w:bookmarkStart w:id="579" w:name="_Toc30995"/>
      <w:bookmarkStart w:id="580" w:name="_Toc30073"/>
      <w:bookmarkStart w:id="581" w:name="_Toc31462_WPSOffice_Level2"/>
      <w:bookmarkStart w:id="582" w:name="_Toc27475"/>
      <w:bookmarkStart w:id="583" w:name="_Toc29369"/>
      <w:bookmarkStart w:id="584" w:name="_Toc11390"/>
      <w:bookmarkStart w:id="585" w:name="_Toc6606"/>
      <w:bookmarkStart w:id="586" w:name="_Toc30996"/>
      <w:bookmarkStart w:id="587" w:name="_Toc21297"/>
      <w:bookmarkStart w:id="588" w:name="_Toc9707"/>
      <w:bookmarkStart w:id="589" w:name="_Toc21456"/>
      <w:bookmarkStart w:id="590" w:name="_Toc19380"/>
      <w:bookmarkStart w:id="591" w:name="_Toc8888"/>
      <w:bookmarkStart w:id="592" w:name="_Toc31002"/>
      <w:bookmarkStart w:id="593" w:name="_Toc2701"/>
      <w:bookmarkStart w:id="594" w:name="_Toc3794"/>
    </w:p>
    <w:p>
      <w:pPr>
        <w:pStyle w:val="109"/>
        <w:spacing w:line="240" w:lineRule="auto"/>
        <w:ind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bCs/>
          <w:color w:val="auto"/>
          <w:kern w:val="0"/>
          <w:sz w:val="28"/>
          <w:szCs w:val="28"/>
          <w:highlight w:val="none"/>
        </w:rPr>
        <w:t>包装、运输和质量担保</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1.所有设备必须是原厂原装包装。若发现原包装破损或保修条款不满足要求，采购人有权不予接收，并要求中标人无条件免费重新更换。</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2.所有设备需由中标人负责将货物按签订合同的具体数量、具体地点运输到最终目的地。</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中标人提供的货物必须是通过合法渠道获得，具有在中国境内的合法使用权和用户保护权且为全新原装品牌货物或设备。中标人所提供的设备、材料应符合相应的中华人民共和国国家标准、行业标准、制造厂商的产品验收标准（三种标准取一种）及设备出厂标准和招标文件的规定。</w:t>
      </w:r>
    </w:p>
    <w:p>
      <w:pPr>
        <w:pStyle w:val="109"/>
        <w:spacing w:line="240" w:lineRule="auto"/>
        <w:ind w:firstLine="560"/>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4.设备的质量担保期为项目验收合格之日起12个月，担保期期间</w:t>
      </w:r>
      <w:r>
        <w:rPr>
          <w:rFonts w:hint="eastAsia" w:ascii="宋体" w:hAnsi="宋体" w:eastAsia="宋体" w:cs="宋体"/>
          <w:bCs/>
          <w:color w:val="auto"/>
          <w:sz w:val="28"/>
          <w:szCs w:val="28"/>
          <w:highlight w:val="none"/>
        </w:rPr>
        <w:t>由质量原因造成的维修直到更换均由中标人负责解决，并</w:t>
      </w:r>
      <w:r>
        <w:rPr>
          <w:rFonts w:hint="eastAsia" w:ascii="宋体" w:hAnsi="宋体" w:eastAsia="宋体" w:cs="宋体"/>
          <w:color w:val="auto"/>
          <w:sz w:val="28"/>
          <w:szCs w:val="28"/>
          <w:highlight w:val="none"/>
        </w:rPr>
        <w:t>承担由中标人原因造成的一切</w:t>
      </w:r>
      <w:r>
        <w:rPr>
          <w:rFonts w:hint="eastAsia" w:ascii="宋体" w:hAnsi="宋体" w:eastAsia="宋体" w:cs="宋体"/>
          <w:bCs/>
          <w:color w:val="auto"/>
          <w:sz w:val="28"/>
          <w:szCs w:val="28"/>
          <w:highlight w:val="none"/>
        </w:rPr>
        <w:t>费用。</w:t>
      </w:r>
      <w:bookmarkStart w:id="595" w:name="_Toc18804"/>
      <w:bookmarkStart w:id="596" w:name="_Toc3310"/>
      <w:bookmarkStart w:id="597" w:name="_Toc11194"/>
      <w:bookmarkStart w:id="598" w:name="_Toc31657"/>
      <w:bookmarkStart w:id="599" w:name="_Toc24871"/>
      <w:bookmarkStart w:id="600" w:name="_Toc4948"/>
      <w:bookmarkStart w:id="601" w:name="_Toc5944"/>
      <w:bookmarkStart w:id="602" w:name="_Toc8239"/>
      <w:bookmarkStart w:id="603" w:name="_Toc12712"/>
      <w:bookmarkStart w:id="604" w:name="_Toc7749"/>
      <w:bookmarkStart w:id="605" w:name="_Toc4807"/>
      <w:bookmarkStart w:id="606" w:name="_Toc10085"/>
      <w:bookmarkStart w:id="607" w:name="_Toc10968"/>
      <w:bookmarkStart w:id="608" w:name="_Toc3715"/>
      <w:bookmarkStart w:id="609" w:name="_Toc14568"/>
      <w:bookmarkStart w:id="610" w:name="_Toc6657_WPSOffice_Level1"/>
      <w:bookmarkStart w:id="611" w:name="_Toc8162"/>
      <w:bookmarkStart w:id="612" w:name="_Toc2451"/>
    </w:p>
    <w:p>
      <w:pPr>
        <w:pStyle w:val="109"/>
        <w:spacing w:line="240" w:lineRule="auto"/>
        <w:ind w:firstLine="0" w:firstLineChars="0"/>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rPr>
        <w:t>六．</w:t>
      </w:r>
      <w:r>
        <w:rPr>
          <w:rFonts w:hint="eastAsia" w:ascii="宋体" w:hAnsi="宋体" w:eastAsia="宋体" w:cs="宋体"/>
          <w:b/>
          <w:bCs/>
          <w:color w:val="auto"/>
          <w:kern w:val="0"/>
          <w:sz w:val="28"/>
          <w:szCs w:val="28"/>
          <w:highlight w:val="none"/>
        </w:rPr>
        <w:t>其他事项要求</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1.投标人收到中标通知书30日内签订合同。</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2.项目实施过程中需保证原有设施的安全，如造成设施的损坏，由中标方负责恢复原状，一切责任由中标方承担。</w:t>
      </w:r>
    </w:p>
    <w:p>
      <w:pPr>
        <w:pStyle w:val="109"/>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3.项目实施或运维过程中，招标人需进行原有除臭系统升级改造时，需中标方负责保障厂区除臭系统的稳定安全运行，并听从招标人的现场管理，有序开展新系统的安装部署和调试运行工作。</w:t>
      </w:r>
    </w:p>
    <w:p>
      <w:pPr>
        <w:autoSpaceDE w:val="0"/>
        <w:autoSpaceDN w:val="0"/>
        <w:adjustRightInd w:val="0"/>
        <w:spacing w:line="240" w:lineRule="auto"/>
        <w:ind w:firstLine="602"/>
        <w:jc w:val="center"/>
        <w:rPr>
          <w:rFonts w:hint="eastAsia" w:ascii="宋体" w:hAnsi="宋体" w:eastAsia="宋体" w:cs="宋体"/>
          <w:b/>
          <w:bCs/>
          <w:color w:val="auto"/>
          <w:sz w:val="30"/>
          <w:szCs w:val="30"/>
          <w:highlight w:val="none"/>
        </w:rPr>
      </w:pPr>
    </w:p>
    <w:p>
      <w:pPr>
        <w:autoSpaceDE w:val="0"/>
        <w:autoSpaceDN w:val="0"/>
        <w:adjustRightInd w:val="0"/>
        <w:spacing w:line="240" w:lineRule="auto"/>
        <w:ind w:firstLine="602"/>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子项一</w:t>
      </w:r>
    </w:p>
    <w:p>
      <w:pPr>
        <w:autoSpaceDE w:val="0"/>
        <w:autoSpaceDN w:val="0"/>
        <w:adjustRightInd w:val="0"/>
        <w:spacing w:line="240" w:lineRule="auto"/>
        <w:ind w:firstLine="602"/>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猎德分公司除臭系统自动化监控改造项目</w:t>
      </w:r>
    </w:p>
    <w:p>
      <w:pPr>
        <w:autoSpaceDE w:val="0"/>
        <w:autoSpaceDN w:val="0"/>
        <w:adjustRightInd w:val="0"/>
        <w:spacing w:line="240" w:lineRule="auto"/>
        <w:ind w:firstLine="562"/>
        <w:jc w:val="center"/>
        <w:rPr>
          <w:rFonts w:hint="eastAsia" w:ascii="宋体" w:hAnsi="宋体" w:eastAsia="宋体" w:cs="宋体"/>
          <w:b/>
          <w:bCs/>
          <w:color w:val="auto"/>
          <w:sz w:val="28"/>
          <w:szCs w:val="28"/>
          <w:highlight w:val="none"/>
        </w:rPr>
      </w:pPr>
    </w:p>
    <w:p>
      <w:pPr>
        <w:numPr>
          <w:ilvl w:val="0"/>
          <w:numId w:val="7"/>
        </w:numPr>
        <w:spacing w:line="240" w:lineRule="auto"/>
        <w:ind w:firstLine="56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项目情况</w:t>
      </w:r>
    </w:p>
    <w:p>
      <w:pPr>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广州市净水有限公司猎德分公司为实现污水处理厂运行管理的数字化、自动化、智慧化，实现除臭设备智能运营、高效管理、节能降耗，提高企业生产经营管理水平，提高企业核心竞争力和经济效益，计划对除臭设备控制系统进行自动化控制改造。</w:t>
      </w:r>
    </w:p>
    <w:p>
      <w:pPr>
        <w:spacing w:line="240" w:lineRule="auto"/>
        <w:ind w:firstLine="560"/>
        <w:rPr>
          <w:rFonts w:hint="eastAsia" w:ascii="宋体" w:hAnsi="宋体" w:eastAsia="宋体" w:cs="宋体"/>
          <w:color w:val="auto"/>
          <w:spacing w:val="-6"/>
          <w:sz w:val="28"/>
          <w:szCs w:val="28"/>
          <w:highlight w:val="none"/>
        </w:rPr>
      </w:pPr>
      <w:r>
        <w:rPr>
          <w:rFonts w:hint="eastAsia" w:ascii="宋体" w:hAnsi="宋体" w:eastAsia="宋体" w:cs="宋体"/>
          <w:color w:val="auto"/>
          <w:kern w:val="0"/>
          <w:sz w:val="28"/>
          <w:szCs w:val="28"/>
          <w:highlight w:val="none"/>
        </w:rPr>
        <w:t>广州市净水有限公司猎德分公司一、二、三、四期共有29套除臭设备。其中包括28套生物除臭设备，1套有机分子筛除臭设备，具体情况详见表1，设备分布详见图1</w:t>
      </w:r>
      <w:r>
        <w:rPr>
          <w:rFonts w:hint="eastAsia" w:ascii="宋体" w:hAnsi="宋体" w:eastAsia="宋体" w:cs="宋体"/>
          <w:color w:val="auto"/>
          <w:spacing w:val="-6"/>
          <w:sz w:val="28"/>
          <w:szCs w:val="28"/>
          <w:highlight w:val="none"/>
        </w:rPr>
        <w:t>。</w:t>
      </w:r>
    </w:p>
    <w:p>
      <w:pPr>
        <w:spacing w:line="240" w:lineRule="auto"/>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表1除臭设备概况</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2611"/>
        <w:gridCol w:w="1485"/>
        <w:gridCol w:w="16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8" w:type="pct"/>
            <w:noWrap/>
            <w:vAlign w:val="center"/>
          </w:tcPr>
          <w:p>
            <w:pPr>
              <w:spacing w:line="240" w:lineRule="auto"/>
              <w:ind w:firstLine="0" w:firstLineChars="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除臭系统</w:t>
            </w:r>
          </w:p>
        </w:tc>
        <w:tc>
          <w:tcPr>
            <w:tcW w:w="1530" w:type="pct"/>
            <w:noWrap/>
            <w:vAlign w:val="center"/>
          </w:tcPr>
          <w:p>
            <w:pPr>
              <w:spacing w:line="240" w:lineRule="auto"/>
              <w:ind w:firstLine="0" w:firstLineChars="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除臭区域</w:t>
            </w:r>
          </w:p>
        </w:tc>
        <w:tc>
          <w:tcPr>
            <w:tcW w:w="870" w:type="pct"/>
            <w:noWrap/>
            <w:vAlign w:val="center"/>
          </w:tcPr>
          <w:p>
            <w:pPr>
              <w:spacing w:line="240" w:lineRule="auto"/>
              <w:ind w:firstLine="0" w:firstLineChars="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除臭工艺</w:t>
            </w:r>
          </w:p>
        </w:tc>
        <w:tc>
          <w:tcPr>
            <w:tcW w:w="955" w:type="pct"/>
            <w:noWrap/>
            <w:vAlign w:val="center"/>
          </w:tcPr>
          <w:p>
            <w:pPr>
              <w:spacing w:line="240" w:lineRule="auto"/>
              <w:ind w:firstLine="0" w:firstLineChars="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除臭气量（m3/h）</w:t>
            </w:r>
          </w:p>
        </w:tc>
        <w:tc>
          <w:tcPr>
            <w:tcW w:w="1014" w:type="pct"/>
            <w:noWrap/>
            <w:vAlign w:val="center"/>
          </w:tcPr>
          <w:p>
            <w:pPr>
              <w:spacing w:line="240" w:lineRule="auto"/>
              <w:ind w:firstLine="0" w:firstLineChars="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是否有PLC系统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粗细格栅间</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4000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一期沉砂池</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12000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提升泵房</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30910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三期沉砂池</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有机分子筛</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6#-10#</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一期生化池（A段+B段）</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8000×5（套）</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11#-14#</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二期生化池</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30000×4（套）</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15#-18#</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三期生化池</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12500×4（套）</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四期粗格栅间</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40000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20#-25#</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四期生化池</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24000×6（套）</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26#-27#</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干化车间(1楼干化机内部空间+车间料仓)</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35000×2（套）</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28#</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污泥脱水车间、料仓</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25000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29#</w:t>
            </w:r>
          </w:p>
        </w:tc>
        <w:tc>
          <w:tcPr>
            <w:tcW w:w="153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一期沉砂池南侧</w:t>
            </w:r>
          </w:p>
        </w:tc>
        <w:tc>
          <w:tcPr>
            <w:tcW w:w="870"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生物除臭</w:t>
            </w:r>
          </w:p>
        </w:tc>
        <w:tc>
          <w:tcPr>
            <w:tcW w:w="955"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60000</w:t>
            </w:r>
          </w:p>
        </w:tc>
        <w:tc>
          <w:tcPr>
            <w:tcW w:w="1014" w:type="pct"/>
            <w:noWrap/>
            <w:vAlign w:val="center"/>
          </w:tcPr>
          <w:p>
            <w:pPr>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w:t>
            </w:r>
          </w:p>
        </w:tc>
      </w:tr>
    </w:tbl>
    <w:p>
      <w:pPr>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drawing>
          <wp:anchor distT="0" distB="0" distL="114935" distR="114935" simplePos="0" relativeHeight="251659264" behindDoc="0" locked="0" layoutInCell="1" allowOverlap="1">
            <wp:simplePos x="0" y="0"/>
            <wp:positionH relativeFrom="column">
              <wp:posOffset>34925</wp:posOffset>
            </wp:positionH>
            <wp:positionV relativeFrom="paragraph">
              <wp:posOffset>107315</wp:posOffset>
            </wp:positionV>
            <wp:extent cx="5268595" cy="2657475"/>
            <wp:effectExtent l="19050" t="0" r="8255" b="0"/>
            <wp:wrapSquare wrapText="bothSides"/>
            <wp:docPr id="4" name="图片 4" descr="装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装置分布图"/>
                    <pic:cNvPicPr>
                      <a:picLocks noChangeAspect="1"/>
                    </pic:cNvPicPr>
                  </pic:nvPicPr>
                  <pic:blipFill>
                    <a:blip r:embed="rId9"/>
                    <a:stretch>
                      <a:fillRect/>
                    </a:stretch>
                  </pic:blipFill>
                  <pic:spPr>
                    <a:xfrm>
                      <a:off x="0" y="0"/>
                      <a:ext cx="5268595" cy="2657475"/>
                    </a:xfrm>
                    <a:prstGeom prst="rect">
                      <a:avLst/>
                    </a:prstGeom>
                  </pic:spPr>
                </pic:pic>
              </a:graphicData>
            </a:graphic>
          </wp:anchor>
        </w:drawing>
      </w:r>
      <w:r>
        <w:rPr>
          <w:rFonts w:hint="eastAsia" w:ascii="宋体" w:hAnsi="宋体" w:eastAsia="宋体" w:cs="宋体"/>
          <w:color w:val="auto"/>
          <w:sz w:val="28"/>
          <w:szCs w:val="28"/>
          <w:highlight w:val="none"/>
        </w:rPr>
        <w:t>图1</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除臭设备分布情况</w:t>
      </w:r>
    </w:p>
    <w:p>
      <w:pPr>
        <w:pStyle w:val="50"/>
        <w:numPr>
          <w:ilvl w:val="0"/>
          <w:numId w:val="7"/>
        </w:numPr>
        <w:spacing w:line="240" w:lineRule="auto"/>
        <w:ind w:firstLine="56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实施方案</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1.对没有利旧条件的11套控制柜拆除，更换新的控制柜。</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2.对有利旧条件的18套控制柜进行改造，其中1</w:t>
      </w:r>
      <w:r>
        <w:rPr>
          <w:rFonts w:hint="eastAsia" w:ascii="宋体" w:hAnsi="宋体" w:eastAsia="宋体" w:cs="宋体"/>
          <w:bCs/>
          <w:color w:val="auto"/>
          <w:sz w:val="28"/>
          <w:szCs w:val="28"/>
          <w:highlight w:val="none"/>
          <w:lang w:val="en-US" w:eastAsia="zh-CN"/>
        </w:rPr>
        <w:t>4</w:t>
      </w:r>
      <w:r>
        <w:rPr>
          <w:rFonts w:hint="eastAsia" w:ascii="宋体" w:hAnsi="宋体" w:eastAsia="宋体" w:cs="宋体"/>
          <w:bCs/>
          <w:color w:val="auto"/>
          <w:sz w:val="28"/>
          <w:szCs w:val="28"/>
          <w:highlight w:val="none"/>
        </w:rPr>
        <w:t>套新增变频器柜，</w:t>
      </w:r>
      <w:r>
        <w:rPr>
          <w:rFonts w:hint="eastAsia" w:ascii="宋体" w:hAnsi="宋体" w:eastAsia="宋体" w:cs="宋体"/>
          <w:bCs/>
          <w:color w:val="auto"/>
          <w:sz w:val="28"/>
          <w:szCs w:val="28"/>
          <w:highlight w:val="none"/>
          <w:lang w:val="en-US" w:eastAsia="zh-CN"/>
        </w:rPr>
        <w:t>3套新增通讯柜，1</w:t>
      </w:r>
      <w:r>
        <w:rPr>
          <w:rFonts w:hint="eastAsia" w:ascii="宋体" w:hAnsi="宋体" w:eastAsia="宋体" w:cs="宋体"/>
          <w:bCs/>
          <w:color w:val="auto"/>
          <w:sz w:val="28"/>
          <w:szCs w:val="28"/>
          <w:highlight w:val="none"/>
        </w:rPr>
        <w:t>套新增</w:t>
      </w:r>
      <w:r>
        <w:rPr>
          <w:rFonts w:hint="eastAsia" w:ascii="宋体" w:hAnsi="宋体" w:eastAsia="宋体" w:cs="宋体"/>
          <w:bCs/>
          <w:color w:val="auto"/>
          <w:sz w:val="28"/>
          <w:szCs w:val="28"/>
          <w:highlight w:val="none"/>
          <w:lang w:val="en-US" w:eastAsia="zh-CN"/>
        </w:rPr>
        <w:t>监控汇聚柜</w:t>
      </w:r>
      <w:r>
        <w:rPr>
          <w:rFonts w:hint="eastAsia" w:ascii="宋体" w:hAnsi="宋体" w:eastAsia="宋体" w:cs="宋体"/>
          <w:bCs/>
          <w:color w:val="auto"/>
          <w:sz w:val="28"/>
          <w:szCs w:val="28"/>
          <w:highlight w:val="none"/>
        </w:rPr>
        <w:t>。</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3.对</w:t>
      </w:r>
      <w:r>
        <w:rPr>
          <w:rFonts w:hint="eastAsia" w:ascii="宋体" w:hAnsi="宋体" w:eastAsia="宋体" w:cs="宋体"/>
          <w:bCs/>
          <w:color w:val="auto"/>
          <w:sz w:val="28"/>
          <w:szCs w:val="28"/>
          <w:highlight w:val="none"/>
          <w:lang w:val="en-US" w:eastAsia="zh-CN"/>
        </w:rPr>
        <w:t>新增</w:t>
      </w:r>
      <w:r>
        <w:rPr>
          <w:rFonts w:hint="eastAsia" w:ascii="宋体" w:hAnsi="宋体" w:eastAsia="宋体" w:cs="宋体"/>
          <w:bCs/>
          <w:color w:val="auto"/>
          <w:sz w:val="28"/>
          <w:szCs w:val="28"/>
          <w:highlight w:val="none"/>
        </w:rPr>
        <w:t>的变频器需</w:t>
      </w:r>
      <w:r>
        <w:rPr>
          <w:rFonts w:hint="eastAsia" w:ascii="宋体" w:hAnsi="宋体" w:eastAsia="宋体" w:cs="宋体"/>
          <w:bCs/>
          <w:color w:val="auto"/>
          <w:sz w:val="28"/>
          <w:szCs w:val="28"/>
          <w:highlight w:val="none"/>
          <w:lang w:val="en-US" w:eastAsia="zh-CN"/>
        </w:rPr>
        <w:t>采用</w:t>
      </w:r>
      <w:r>
        <w:rPr>
          <w:rFonts w:hint="eastAsia" w:ascii="宋体" w:hAnsi="宋体" w:eastAsia="宋体" w:cs="宋体"/>
          <w:bCs/>
          <w:color w:val="auto"/>
          <w:sz w:val="28"/>
          <w:szCs w:val="28"/>
          <w:highlight w:val="none"/>
        </w:rPr>
        <w:t>同一品牌、同一系列，该变频器必须能满足现场户外使用的环境要求</w:t>
      </w:r>
      <w:r>
        <w:rPr>
          <w:rFonts w:hint="eastAsia" w:ascii="宋体" w:hAnsi="宋体" w:eastAsia="宋体" w:cs="宋体"/>
          <w:bCs/>
          <w:color w:val="auto"/>
          <w:sz w:val="28"/>
          <w:szCs w:val="28"/>
          <w:highlight w:val="none"/>
          <w:lang w:eastAsia="zh-CN"/>
        </w:rPr>
        <w:t>，</w:t>
      </w:r>
      <w:r>
        <w:rPr>
          <w:rFonts w:hint="eastAsia" w:ascii="宋体" w:hAnsi="宋体" w:eastAsia="宋体" w:cs="宋体"/>
          <w:color w:val="auto"/>
          <w:sz w:val="28"/>
          <w:szCs w:val="28"/>
          <w:highlight w:val="none"/>
          <w:lang w:val="en-US" w:eastAsia="zh-CN"/>
        </w:rPr>
        <w:t>变频器推荐法国施耐德、德国西门子、瑞士ABB品牌或相当于同档次品牌的产品</w:t>
      </w:r>
      <w:r>
        <w:rPr>
          <w:rFonts w:hint="eastAsia" w:ascii="宋体" w:hAnsi="宋体" w:eastAsia="宋体" w:cs="宋体"/>
          <w:bCs/>
          <w:color w:val="auto"/>
          <w:sz w:val="28"/>
          <w:szCs w:val="28"/>
          <w:highlight w:val="none"/>
        </w:rPr>
        <w:t>。</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4.对每套除臭设备增加进出风口过程监控仪表。在29套除臭设备的进风口和出风口分别增加一套硫化氢（H</w:t>
      </w:r>
      <w:r>
        <w:rPr>
          <w:rFonts w:hint="eastAsia" w:ascii="宋体" w:hAnsi="宋体" w:eastAsia="宋体" w:cs="宋体"/>
          <w:bCs/>
          <w:color w:val="auto"/>
          <w:sz w:val="28"/>
          <w:szCs w:val="28"/>
          <w:highlight w:val="none"/>
          <w:vertAlign w:val="subscript"/>
        </w:rPr>
        <w:t>2</w:t>
      </w:r>
      <w:r>
        <w:rPr>
          <w:rFonts w:hint="eastAsia" w:ascii="宋体" w:hAnsi="宋体" w:eastAsia="宋体" w:cs="宋体"/>
          <w:bCs/>
          <w:color w:val="auto"/>
          <w:sz w:val="28"/>
          <w:szCs w:val="28"/>
          <w:highlight w:val="none"/>
        </w:rPr>
        <w:t>S）在线检测仪、一套氨气（NH</w:t>
      </w:r>
      <w:r>
        <w:rPr>
          <w:rFonts w:hint="eastAsia" w:ascii="宋体" w:hAnsi="宋体" w:eastAsia="宋体" w:cs="宋体"/>
          <w:bCs/>
          <w:color w:val="auto"/>
          <w:sz w:val="28"/>
          <w:szCs w:val="28"/>
          <w:highlight w:val="none"/>
          <w:vertAlign w:val="subscript"/>
        </w:rPr>
        <w:t>3</w:t>
      </w:r>
      <w:r>
        <w:rPr>
          <w:rFonts w:hint="eastAsia" w:ascii="宋体" w:hAnsi="宋体" w:eastAsia="宋体" w:cs="宋体"/>
          <w:bCs/>
          <w:color w:val="auto"/>
          <w:sz w:val="28"/>
          <w:szCs w:val="28"/>
          <w:highlight w:val="none"/>
        </w:rPr>
        <w:t>）在线检测仪。</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5.对每套除臭箱体增加温湿度检测仪和电子压差计，对每套除臭设备的水箱增加给排水电动阀，能满足除臭系统自动控制给排水、自动换水的基本功能。</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6.对每套除臭设备的进风口增加气体流量计。</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7.对每套除臭设备增加电子监控系统（含摄像头、立柱、固定支架等配套组件），能监控除臭系统的运行状态以及周围环境实现无人值守设备运行状态的监控，提供高清监控画面，减少人工巡检成本视频监控。</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8.使成套除臭系统的所有设备的控制和运行信号都可以采集进现场PLC，经过PLC计算后就近接入厂区的原有网络，上传到厂区中心控制室。</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9.在中控室的上位机组态软件（软件为：Intouch）上增加29套独立的监控界面以及29套模拟运行界面。</w:t>
      </w:r>
      <w:r>
        <w:rPr>
          <w:rFonts w:hint="eastAsia" w:ascii="宋体" w:hAnsi="宋体" w:eastAsia="宋体" w:cs="宋体"/>
          <w:color w:val="auto"/>
          <w:sz w:val="28"/>
          <w:szCs w:val="28"/>
          <w:highlight w:val="none"/>
        </w:rPr>
        <w:t>要求界面与现有系统的3D控制画面统一风格</w:t>
      </w:r>
      <w:r>
        <w:rPr>
          <w:rFonts w:hint="eastAsia" w:ascii="宋体" w:hAnsi="宋体" w:eastAsia="宋体" w:cs="宋体"/>
          <w:bCs/>
          <w:color w:val="auto"/>
          <w:sz w:val="28"/>
          <w:szCs w:val="28"/>
          <w:highlight w:val="none"/>
        </w:rPr>
        <w:t>。</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10.增加29套工业网络光端机和连接光缆，升级整个除臭系统和厂区中控室的网络通讯功能。</w:t>
      </w:r>
    </w:p>
    <w:p>
      <w:pPr>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11.完成改造后，各个除臭系统的现场PLC可以采集到各个设备的鼓风机，循环水泵，阀门等运行数据并通过以太网从中心控制室控制所有设备。改造后系统能对除臭设备运行状态及运行效果进行现场调研分析，优化风机运行参数，利用变频器调节实现节能降耗，降低运行成本。同时对接入平台/中控的各项数据进行分析，汇总生成报表，对厂区提供各种参数依据，支持各种监测信息、控制信息、报警信息、操作信息的储存和查询，通过大数据分析结果提前预判设备的运行状态及保养/维修需求。</w:t>
      </w:r>
    </w:p>
    <w:p>
      <w:pPr>
        <w:pStyle w:val="16"/>
        <w:spacing w:before="0" w:line="240" w:lineRule="auto"/>
        <w:ind w:firstLine="480"/>
        <w:rPr>
          <w:rFonts w:hint="eastAsia" w:ascii="宋体" w:hAnsi="宋体" w:eastAsia="宋体" w:cs="宋体"/>
          <w:color w:val="auto"/>
          <w:highlight w:val="none"/>
        </w:rPr>
      </w:pPr>
    </w:p>
    <w:p>
      <w:pPr>
        <w:spacing w:line="240" w:lineRule="auto"/>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三．具体技术要求</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本招标范围包括除臭系统控制柜升级改造、现场仪表供货安装、管线安装改造、监控系统安装、除臭中控系统组网及系统调试等全部工作，并且包括系统验收完成后，一年设备运行、维护及保障等全部费用。</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现场设备安装及改造、上位机及下位机功能</w:t>
      </w:r>
      <w:r>
        <w:rPr>
          <w:rFonts w:hint="eastAsia" w:ascii="宋体" w:hAnsi="宋体" w:eastAsia="宋体" w:cs="宋体"/>
          <w:color w:val="auto"/>
          <w:sz w:val="28"/>
          <w:szCs w:val="28"/>
          <w:highlight w:val="none"/>
          <w:lang w:val="en-US" w:eastAsia="zh-CN"/>
        </w:rPr>
        <w:t>实现</w:t>
      </w:r>
      <w:r>
        <w:rPr>
          <w:rFonts w:hint="eastAsia" w:ascii="宋体" w:hAnsi="宋体" w:eastAsia="宋体" w:cs="宋体"/>
          <w:color w:val="auto"/>
          <w:sz w:val="28"/>
          <w:szCs w:val="28"/>
          <w:highlight w:val="none"/>
        </w:rPr>
        <w:t>、系统调试运行及培训等部分组成，涉及改造装置数量共29套，针对各装置环境、工艺、设备现状的不同，系统建设技术要求分为通用技术要求和其他技术要求两种。</w:t>
      </w:r>
    </w:p>
    <w:p>
      <w:pPr>
        <w:spacing w:line="240" w:lineRule="auto"/>
        <w:ind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w:t>
      </w:r>
      <w:r>
        <w:rPr>
          <w:rFonts w:hint="eastAsia" w:ascii="宋体" w:hAnsi="宋体" w:eastAsia="宋体" w:cs="宋体"/>
          <w:b/>
          <w:bCs/>
          <w:color w:val="auto"/>
          <w:kern w:val="0"/>
          <w:sz w:val="28"/>
          <w:szCs w:val="28"/>
          <w:highlight w:val="none"/>
        </w:rPr>
        <w:t>通用技术要求</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目前，故障报警功能不够完善，系统无法自动检测故障并推送报警信息，不能精准判断故障的原因，维修人员只能通过巡检方式检查设备状态，增大了检修难度和时间的同时，增加了维修的人工成本；缺乏预警及维护提醒功能，故障报警信息主要依靠“事后发现、事后处理”。</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由此本项目要完善优化故障报警功能，增加预警及维护提醒、能源管理等功能，提高智能化水平，对设备的运行情况实现在线检测，实时推送。通过对除臭系统智能化健康管理，最终实现稳定、达标、节能运行的效果。</w:t>
      </w:r>
    </w:p>
    <w:p>
      <w:pPr>
        <w:spacing w:line="240" w:lineRule="auto"/>
        <w:ind w:firstLine="0" w:firstLineChars="0"/>
        <w:outlineLvl w:val="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第一部分 现场设备安装及改造</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2023年猎德分公司除臭系统自动化监控改造项目的改造及建设需充分考虑厂区原有设备控制系统的利旧，在开展控制柜升级改造、现场仪表供货安装、管线安装改造、监控系统安装、除臭中控系统组网等现场实施工作时，须经过净水厂专业技术人员的审核签字确认方可实施。具体硬件设备的选用需满足以下要求：</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1.控制柜升级改造</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充分利旧原有控制柜，实现柜内老旧元器件更换，新增智能电表、离心风机变频控制、补水电动阀及排水电动阀控制回路以及自动化在线检测仪表控制回路。若为新增PLC柜及控制柜，控制系统应与原有除臭系统无缝衔接，保证工艺流程及性能满足最新控制需求；</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（2）PLC柜及控制柜应分别满足工作量清单要求,保证更换、扩展及预留足够的I/O接口（应预留20%及以上的余量）,以达到最新控制及日后扩展需求，并预留Modbus 485接口；</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（3）PLC柜及控制柜内所有变频器应统一品牌系列，保证日后维护的便捷性；</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控制系统应满足监测和控制污水厂除臭处理流程的各个生产环节(如喷淋判断，气体输配管路健康判断，时间判断，温湿度检测，处理效果判断，以及设备保养判断等等)，自动化程度高，能根据在线检测仪表数据自动调节系统运行，提高产品的有效运行，达到设备健康管理及节能降耗目标；</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（5）控制系统应对所有联网的除臭设备进行信息管理，实现设备维保计划自动提醒和维护全记录；</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2.水箱喷淋管道阀门</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（1）现场常用的调节阀、联通阀选型应为电动阀，满足远程启停操作，常开阀门可选用手动阀；</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（2）阀门需符合现场管道的连接尺寸要求，不允许有泄漏，满足国标生产要求，具备耐腐蚀防水特性，适用于酸碱性介质；</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（3）阀门的选用与安装应考虑使用位置，若在分配料处，需能够满足手动和自动两种方式，防止自动系统出现问题，影响正常营运生产；</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（4）阀门须具有电气限位、机械限位、过热保护、过载保护等功能，并具有高灵敏度特征，作用时间不大于10秒（从0°～90°形成所需时间）。</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（5）水箱喷淋系统应根据现场情况更换老旧电磁阀、更换水箱液位计、增设电动阀门，满足自动换水功能，保证除臭设备生物菌种的活性。</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3.在线检测仪表</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本次改造涉及仪表：进气口空气流量计、进出气口硫化氢检测仪、进出气口氨气检测仪、压力变送器、压差变送器、温湿度传感器、高低浮球液位计；</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（1）空气流量计</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在满足安装要求的前提下应尽量靠近装置进气口。</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精确度：±2.5%</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流速范围：(0.1～100) Nm/s</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结构形式：插入式</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管径范围：DN65～DN1000</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作业环境：传感器:(-40～+300)℃；转换器: (-20～+45)℃</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工作压力：介质压力&lt;2.5MPa</w:t>
      </w:r>
    </w:p>
    <w:p>
      <w:pPr>
        <w:pStyle w:val="96"/>
        <w:numPr>
          <w:ilvl w:val="255"/>
          <w:numId w:val="0"/>
        </w:numPr>
        <w:spacing w:line="240" w:lineRule="auto"/>
        <w:ind w:firstLine="565" w:firstLineChars="202"/>
        <w:rPr>
          <w:rFonts w:hint="eastAsia" w:ascii="宋体" w:hAnsi="宋体" w:eastAsia="宋体" w:cs="宋体"/>
          <w:strike/>
          <w:color w:val="auto"/>
          <w:sz w:val="28"/>
          <w:szCs w:val="28"/>
          <w:highlight w:val="none"/>
        </w:rPr>
      </w:pPr>
      <w:r>
        <w:rPr>
          <w:rFonts w:hint="eastAsia" w:ascii="宋体" w:hAnsi="宋体" w:eastAsia="宋体" w:cs="宋体"/>
          <w:color w:val="auto"/>
          <w:sz w:val="28"/>
          <w:szCs w:val="28"/>
          <w:highlight w:val="none"/>
        </w:rPr>
        <w:t>供电电源：AC 220V/DC24V;</w:t>
      </w:r>
      <w:r>
        <w:rPr>
          <w:rFonts w:hint="eastAsia" w:ascii="宋体" w:hAnsi="宋体" w:eastAsia="宋体" w:cs="宋体"/>
          <w:color w:val="auto"/>
          <w:sz w:val="28"/>
          <w:szCs w:val="28"/>
          <w:highlight w:val="none"/>
        </w:rPr>
        <w:br w:type="textWrapping"/>
      </w:r>
      <w:r>
        <w:rPr>
          <w:rFonts w:hint="eastAsia" w:ascii="宋体" w:hAnsi="宋体" w:eastAsia="宋体" w:cs="宋体"/>
          <w:color w:val="auto"/>
          <w:sz w:val="28"/>
          <w:szCs w:val="28"/>
          <w:highlight w:val="none"/>
        </w:rPr>
        <w:t>输出信号：(4～20) mA，1-2 路常开触点报警点</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传感器材质：不锈钢</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防护等级：IP67</w:t>
      </w:r>
    </w:p>
    <w:p>
      <w:pPr>
        <w:pStyle w:val="96"/>
        <w:numPr>
          <w:ilvl w:val="-1"/>
          <w:numId w:val="0"/>
        </w:numPr>
        <w:spacing w:line="240" w:lineRule="auto"/>
        <w:ind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硫化氢、氨气测量仪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安装位置及数量：除臭装置进气口各1套，除臭装置出气口各1套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该仪表为分体式，可现场显示及声光报警，包括探测器、控制器、连接电缆、安装附件等组成，它应满足以下条件，它应满足以下条件：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测量介质：硫化氢、氨气</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测量方式：电化学法；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测量范围：H2S：0-100ppm,NH3:0-100ppm</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精度及可重复性：±2%；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响应时间 T90：&lt;10s；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工作温度：－40℃+50℃；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工作湿度：0～100%RH；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输出：4～20mA；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传感器防护等级：IP65；</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防爆等级：ExdⅡCT6；</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控制器显示：报警指示灯，背光液晶显示屏 LCD；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控制器输入：3 路 4～20mA 探测器测量回路；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控制器输出：总线RS485（RTU）、4～20mA，报警继电器、声光报警；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供电：DC24V±25%；；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工作温度：传感器：－40℃～+70℃；变送器：－40℃～70℃；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防护等级：IP65；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附件：带喇叭/报警灯声光报警装置。</w:t>
      </w:r>
    </w:p>
    <w:p>
      <w:pPr>
        <w:pStyle w:val="96"/>
        <w:numPr>
          <w:ilvl w:val="0"/>
          <w:numId w:val="0"/>
        </w:num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压力变送器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安装位置及数量：水泵出水口1套。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压力变送器包括压力传感器、智能模块、显示模块及安装附件。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应用场合：液体</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测量原理：压变电阻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测量范围：0～0.6MPa</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测量精度：0.3％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环境温度：0～80℃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防护等级：IP65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安装方式：外螺纹，螺牙常规R1/2"、带现场 LCD 显示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结构：变送器、测量元件一体安装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输出信号：4～20mA(1-5v、0-5v、0-10v可选)；</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电源：12～36VDC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外壳：铸铝</w:t>
      </w:r>
    </w:p>
    <w:p>
      <w:pPr>
        <w:pStyle w:val="96"/>
        <w:numPr>
          <w:ilvl w:val="0"/>
          <w:numId w:val="0"/>
        </w:numPr>
        <w:spacing w:line="24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压差变送器</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安装位置及数量：除臭池体1套。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压差变送器包括压力传感器、智能模块、显示模块及安装附件。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性能指标：参考条件：无迁移状态，硅油灌充液，316L隔离膜片</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测量范围：0-1.2～8KPa</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应用介质：气体</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测量精度：</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线性输出：±0.1%（对量程比为1:1)，包括线性、变差、重复性的综合误差。</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开方输出：在输出压力为4～100%时，为±（0.2%的标准定量程+0.05的上限）。</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环境温度：在最大量程零点误差：每56℃为量程的±0.5%。总的影响包括量</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程和零点误差：每56℃为量程±1.0%。</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湿 度：0～100%相对湿度。</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静压影响：零点误差：对于14MPa为最高量程的±0.25%；量程误差：每6MPa可校正到输入读数的±0.25%</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防护等级：IP65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接触介质的材料：隔离膜片：316L 不锈钢；排气 /排液阀：316不锈钢；工艺法兰和连接头：316 不锈钢</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安装方式：支架安装、带现场 LCD 显示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结构：变送器、测量元件一体安装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输出信号：4～20mA；</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电源：24VDC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外壳：喷漆</w:t>
      </w:r>
    </w:p>
    <w:p>
      <w:pPr>
        <w:pStyle w:val="96"/>
        <w:numPr>
          <w:ilvl w:val="-1"/>
          <w:numId w:val="0"/>
        </w:numPr>
        <w:spacing w:line="240" w:lineRule="auto"/>
        <w:ind w:left="63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温湿度传感器</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安装位置及数量：除臭装置池体1套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该仪表为分体式，包括探测器、控制器、连接电缆、安装附件等组成，它应满足以下条件，它应满足以下条件：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测量精确度：湿度：±3%RH (5%RH～95%RH,25℃)；温度：±0.5℃ (-20℃～60℃)</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工作温度：变送器：-20℃～60℃；探头：-40℃～120℃</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测量范围：湿度：0％RH～100％RH；温度：-40℃～120℃</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安装方式：壁挂式：固定墙面；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控制器输出：4～20mA；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供电：DC24V±25%；；  </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防护等级：IP65；</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长期稳定性：湿度：≤1%RH/y；温度：≤0.1℃/y</w:t>
      </w:r>
    </w:p>
    <w:p>
      <w:pPr>
        <w:pStyle w:val="96"/>
        <w:numPr>
          <w:ilvl w:val="255"/>
          <w:numId w:val="0"/>
        </w:num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响应时间：湿度：≤4s（1m/s风速）；温度：≤15s（1m/s风速）</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4、视频监控</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增加光纤、摄像头、立柱、固定支架及存储器等配套组件，实现无人值守设备运行状态的监控，提供高清监控画面，减少人工巡检成本。系统应满足全部视频图像信号连续3个月画面存储能力。</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工程增设29套摄像机，采用IP网络视频监控方案，在基于TCP/IP以太网传输平台下，借由IP网络视频前端设备实现，就近通过区域交换机，接入厂区单模光纤视频监控以太网，然后汇接入中控室视频以太网交换机，保证视频信号的高速和高清传输。</w:t>
      </w:r>
    </w:p>
    <w:p>
      <w:pPr>
        <w:spacing w:line="240" w:lineRule="auto"/>
        <w:ind w:firstLine="565" w:firstLineChars="202"/>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现场现有监控汇总箱及汇总如下：</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5、29#除臭装置（以下简称“除臭”）监控，设置一个监控汇聚箱，敷设光纤到中控室。6～10#除臭监控接入点为一期低压电房PLC室，11～14#除臭监控接入点为二期低压电房，15～18#除臭监控接入点7#生化池南边墙上监控机柜，19#除臭监控接入点四期提升泵房PLC室，20、21#除臭监控接入点四期1#生化池低压电房，22、23#除臭监控接入点四期2#生化池低压电房，24、25#除臭监控接入点四期3#生化池低压电房，26、27#除臭监控接入点中控室，28#除臭监控接入点三期脱水机房。</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5、控制设备</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（1）控制设备采用PLC控制柜，其表面光滑整洁，没有焊接、铆钉或外侧出现螺栓头，保持整个外面光滑整洁；</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（2）控制柜防护等级IP55带可视窗口，</w:t>
      </w:r>
      <w:r>
        <w:rPr>
          <w:rFonts w:hint="eastAsia" w:ascii="宋体" w:hAnsi="宋体" w:eastAsia="宋体" w:cs="宋体"/>
          <w:color w:val="auto"/>
          <w:kern w:val="0"/>
          <w:sz w:val="28"/>
          <w:szCs w:val="28"/>
          <w:highlight w:val="none"/>
        </w:rPr>
        <w:t>不锈钢 304 材质</w:t>
      </w:r>
      <w:r>
        <w:rPr>
          <w:rFonts w:hint="eastAsia" w:ascii="宋体" w:hAnsi="宋体" w:eastAsia="宋体" w:cs="宋体"/>
          <w:color w:val="auto"/>
          <w:sz w:val="28"/>
          <w:szCs w:val="28"/>
          <w:highlight w:val="none"/>
        </w:rPr>
        <w:t>；控制柜内需设有独立的PLC直流电源供电，内部使用CPU、PLC品牌建议与厂区自控系统一致，以确保无障碍通讯；</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（3）控制柜程序要保证准确可靠，具备通用的解释说明。</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、备品备件</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为保障系统安全连续可靠运行，投标人在质保期内应做好系统备品备件的储存工作，并为净水厂提供日常备件详细品牌参数</w:t>
      </w:r>
      <w:r>
        <w:rPr>
          <w:rFonts w:hint="eastAsia" w:ascii="宋体" w:hAnsi="宋体" w:eastAsia="宋体" w:cs="宋体"/>
          <w:color w:val="auto"/>
          <w:sz w:val="28"/>
          <w:szCs w:val="28"/>
          <w:highlight w:val="none"/>
          <w:lang w:val="en-US" w:eastAsia="zh-CN"/>
        </w:rPr>
        <w:t>和数量</w:t>
      </w:r>
      <w:r>
        <w:rPr>
          <w:rFonts w:hint="eastAsia" w:ascii="宋体" w:hAnsi="宋体" w:eastAsia="宋体" w:cs="宋体"/>
          <w:color w:val="auto"/>
          <w:sz w:val="28"/>
          <w:szCs w:val="28"/>
          <w:highlight w:val="none"/>
        </w:rPr>
        <w:t>清单，应至少包含如下内容：</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（1）自动控制单元备件：PLC-CPU、数字量扩展模块、模拟量扩展模块、变频器、电动阀。</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（2）在线仪表监测单元备件：流量计、气体检测仪、压力（压差）变送器、温湿度变送器等。</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（3）水质监测单元备件：电磁阀等易损零部件。</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（4）其他系统常用或易损坏的相关的部件。</w:t>
      </w:r>
    </w:p>
    <w:p>
      <w:pPr>
        <w:pStyle w:val="96"/>
        <w:spacing w:line="240" w:lineRule="auto"/>
        <w:ind w:firstLine="565" w:firstLineChars="202"/>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、网络通讯与安全</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（1）网络结构：系统服务于净水厂厂区，参与污水处理的实际生产运行，系统建设需结合厂区其他系统数据，为保证设备通讯的连续性、便捷性和安全性，应部署在工控网络中，不可与其他网段产生数据交互。</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（2）网络安全：系统应采用本地化现场部署方式，操作对象为净水厂值班工、技术员等，为保证除臭系统的安全稳定运行，除按照要求部署在工控网络中外，还应设置登录账户权限，避免人员随意操作。</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（3）通讯协议：系统设备通讯方式应采用标准、通用的协议，如以太网、RS232、RS485、CAN总线等，根据通讯方式的特性，推荐使用以太网接口方式用于数据连接，直插端子方式用于RS232、RS485以及CAN总线连接。</w:t>
      </w:r>
    </w:p>
    <w:p>
      <w:pPr>
        <w:pStyle w:val="96"/>
        <w:spacing w:line="240" w:lineRule="auto"/>
        <w:ind w:firstLine="565" w:firstLineChars="20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8、主要设备品牌档次要求</w:t>
      </w:r>
    </w:p>
    <w:p>
      <w:pPr>
        <w:pStyle w:val="96"/>
        <w:spacing w:line="240" w:lineRule="auto"/>
        <w:ind w:firstLine="565" w:firstLineChars="20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6寸200万网络一体化高速球摄像机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输入设备、网络数字硬盘录像机采用海康威视、萤石、大华等同等品牌档次设备；</w:t>
      </w:r>
    </w:p>
    <w:p>
      <w:pPr>
        <w:pStyle w:val="96"/>
        <w:spacing w:line="240" w:lineRule="auto"/>
        <w:ind w:firstLine="565" w:firstLineChars="20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（2）空气流量计采用开封仪表、联测、重庆川仪等同等品牌档次设备。</w:t>
      </w:r>
    </w:p>
    <w:p>
      <w:pPr>
        <w:pStyle w:val="96"/>
        <w:numPr>
          <w:ilvl w:val="-1"/>
          <w:numId w:val="0"/>
        </w:numPr>
        <w:spacing w:line="240" w:lineRule="auto"/>
        <w:ind w:left="424" w:leftChars="202" w:firstLine="568" w:firstLineChars="202"/>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第二部分 下位机及上位机功能</w:t>
      </w:r>
      <w:r>
        <w:rPr>
          <w:rFonts w:hint="eastAsia" w:ascii="宋体" w:hAnsi="宋体" w:eastAsia="宋体" w:cs="宋体"/>
          <w:b/>
          <w:bCs/>
          <w:color w:val="auto"/>
          <w:sz w:val="28"/>
          <w:szCs w:val="28"/>
          <w:highlight w:val="none"/>
          <w:lang w:val="en-US" w:eastAsia="zh-CN"/>
        </w:rPr>
        <w:t>实现</w:t>
      </w:r>
    </w:p>
    <w:p>
      <w:pPr>
        <w:pStyle w:val="96"/>
        <w:spacing w:line="240" w:lineRule="auto"/>
        <w:ind w:firstLine="565" w:firstLineChars="202"/>
        <w:rPr>
          <w:rFonts w:hint="eastAsia" w:ascii="宋体" w:hAnsi="宋体" w:eastAsia="宋体" w:cs="宋体"/>
          <w:color w:val="auto"/>
          <w:sz w:val="28"/>
          <w:szCs w:val="28"/>
          <w:highlight w:val="none"/>
          <w:lang w:eastAsia="zh-TW"/>
        </w:rPr>
      </w:pPr>
      <w:r>
        <w:rPr>
          <w:rFonts w:hint="eastAsia" w:ascii="宋体" w:hAnsi="宋体" w:eastAsia="宋体" w:cs="宋体"/>
          <w:color w:val="auto"/>
          <w:sz w:val="28"/>
          <w:szCs w:val="28"/>
          <w:highlight w:val="none"/>
        </w:rPr>
        <w:t>系统应以保障进出气处理效果稳定为基础，全自动运行，提高产品的有效运行，达到</w:t>
      </w:r>
      <w:r>
        <w:rPr>
          <w:rFonts w:hint="eastAsia" w:ascii="宋体" w:hAnsi="宋体" w:eastAsia="宋体" w:cs="宋体"/>
          <w:color w:val="auto"/>
          <w:sz w:val="28"/>
          <w:szCs w:val="28"/>
          <w:highlight w:val="none"/>
          <w:lang w:eastAsia="zh-TW"/>
        </w:rPr>
        <w:t>健康管理及节能</w:t>
      </w:r>
      <w:r>
        <w:rPr>
          <w:rFonts w:hint="eastAsia" w:ascii="宋体" w:hAnsi="宋体" w:eastAsia="宋体" w:cs="宋体"/>
          <w:color w:val="auto"/>
          <w:sz w:val="28"/>
          <w:szCs w:val="28"/>
          <w:highlight w:val="none"/>
        </w:rPr>
        <w:t>降耗目标，</w:t>
      </w:r>
      <w:r>
        <w:rPr>
          <w:rFonts w:hint="eastAsia" w:ascii="宋体" w:hAnsi="宋体" w:eastAsia="宋体" w:cs="宋体"/>
          <w:color w:val="auto"/>
          <w:sz w:val="28"/>
          <w:szCs w:val="28"/>
          <w:highlight w:val="none"/>
          <w:lang w:val="en-US" w:eastAsia="zh-CN"/>
        </w:rPr>
        <w:t>实现</w:t>
      </w:r>
      <w:r>
        <w:rPr>
          <w:rFonts w:hint="eastAsia" w:ascii="宋体" w:hAnsi="宋体" w:eastAsia="宋体" w:cs="宋体"/>
          <w:color w:val="auto"/>
          <w:sz w:val="28"/>
          <w:szCs w:val="28"/>
          <w:highlight w:val="none"/>
        </w:rPr>
        <w:t>涵盖一键运行、远程调控、手自切换、设备健康状态的分析判断、异常判断功能、故障报警功能、保养提醒功能、</w:t>
      </w:r>
      <w:r>
        <w:rPr>
          <w:rFonts w:hint="eastAsia" w:ascii="宋体" w:hAnsi="宋体" w:eastAsia="宋体" w:cs="宋体"/>
          <w:color w:val="auto"/>
          <w:sz w:val="28"/>
          <w:szCs w:val="28"/>
          <w:highlight w:val="none"/>
          <w:lang w:eastAsia="zh-TW"/>
        </w:rPr>
        <w:t>节能管理系统功能</w:t>
      </w:r>
      <w:r>
        <w:rPr>
          <w:rFonts w:hint="eastAsia" w:ascii="宋体" w:hAnsi="宋体" w:eastAsia="宋体" w:cs="宋体"/>
          <w:color w:val="auto"/>
          <w:sz w:val="28"/>
          <w:szCs w:val="28"/>
          <w:highlight w:val="none"/>
        </w:rPr>
        <w:t>、在线实时监控、</w:t>
      </w:r>
      <w:r>
        <w:rPr>
          <w:rFonts w:hint="eastAsia" w:ascii="宋体" w:hAnsi="宋体" w:eastAsia="宋体" w:cs="宋体"/>
          <w:color w:val="auto"/>
          <w:sz w:val="28"/>
          <w:szCs w:val="28"/>
          <w:highlight w:val="none"/>
          <w:lang w:eastAsia="zh-TW"/>
        </w:rPr>
        <w:t>报表及曲线分析等功能。</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具体要求如下：</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1.一键运行：能够通过中控系统或现场控制柜，完成除臭系统一键启动、自动运行，自动调节阀门开度、风机启停频率调节等。</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2.远程调控：除臭系统的现场控制功能应能够在中控系统全部实现，具备远程调控，上位机具备与中央控制系统数据交互。</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3.手自切换：能够在现场控制柜上实现手动控制、远程控制模式的切换。手动控制模式应具有现场手动调控和现场自动调控两种运行方式，远程控制模式应具有远程手动调控和远程自动调控两种运行方式。</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4.设备健康状态的分析判断：通过主要用电设备（离心风机、水泵）的运行情况配合各种仪表的数据对除臭系统进行设备健康状态的分析判断。</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5.异常判断功能：根据除臭装置PID流程中各个分板块系统判断，以及设备保养判断等等，需要实现异常判断功能。</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6.故障报警功能：新增设备故障报警点，增强故障预警、报警功能。将警报设为多种级别，通过报警级别判断故障的严重性。</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7.保养提醒功能：根据设备的使用时间，提前通知用户更换设备部件并进行保养，让设备得到更精准的保养和维护，从而减少故障率。</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lang w:eastAsia="zh-TW"/>
        </w:rPr>
        <w:t>节能管理系统功能</w:t>
      </w:r>
      <w:r>
        <w:rPr>
          <w:rFonts w:hint="eastAsia" w:ascii="宋体" w:hAnsi="宋体" w:eastAsia="宋体" w:cs="宋体"/>
          <w:color w:val="auto"/>
          <w:sz w:val="28"/>
          <w:szCs w:val="28"/>
          <w:highlight w:val="none"/>
        </w:rPr>
        <w:t>：通过智能电能的数据及系统的用水量，实现节能管理系统功能。</w:t>
      </w:r>
    </w:p>
    <w:p>
      <w:pPr>
        <w:pStyle w:val="96"/>
        <w:spacing w:line="240" w:lineRule="auto"/>
        <w:ind w:firstLine="565" w:firstLineChars="202"/>
        <w:rPr>
          <w:rFonts w:hint="eastAsia" w:ascii="宋体" w:hAnsi="宋体" w:eastAsia="宋体" w:cs="宋体"/>
          <w:color w:val="auto"/>
          <w:sz w:val="28"/>
          <w:szCs w:val="28"/>
          <w:highlight w:val="none"/>
          <w:shd w:val="clear" w:color="auto" w:fill="EEECE1" w:themeFill="background2"/>
        </w:rPr>
      </w:pPr>
      <w:r>
        <w:rPr>
          <w:rFonts w:hint="eastAsia" w:ascii="宋体" w:hAnsi="宋体" w:eastAsia="宋体" w:cs="宋体"/>
          <w:color w:val="auto"/>
          <w:sz w:val="28"/>
          <w:szCs w:val="28"/>
          <w:highlight w:val="none"/>
        </w:rPr>
        <w:t>9.在线实时监控：增设光纤通信设备，将本站设备信号接入现中控系统 AVEA InTouch HMI并</w:t>
      </w:r>
      <w:r>
        <w:rPr>
          <w:rFonts w:hint="eastAsia" w:ascii="宋体" w:hAnsi="宋体" w:eastAsia="宋体" w:cs="宋体"/>
          <w:color w:val="auto"/>
          <w:sz w:val="28"/>
          <w:szCs w:val="28"/>
          <w:highlight w:val="none"/>
          <w:lang w:val="en-US" w:eastAsia="zh-CN"/>
        </w:rPr>
        <w:t>增加监控</w:t>
      </w:r>
      <w:r>
        <w:rPr>
          <w:rFonts w:hint="eastAsia" w:ascii="宋体" w:hAnsi="宋体" w:eastAsia="宋体" w:cs="宋体"/>
          <w:color w:val="auto"/>
          <w:sz w:val="28"/>
          <w:szCs w:val="28"/>
          <w:highlight w:val="none"/>
        </w:rPr>
        <w:t>界面，实现在线实时监控。控制界面要求：要求界面与现有系统的3D控制画面统一风格，创建一个除臭装置总控制系统，能导航访问每个除臭装置，每个除臭装置一个页面。（同时创建一个模拟操作界面系统，此系统包含所有除臭装置页面及内容。）</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10.报表及曲线分析：系统应能够自动统计涵盖电能、水量、风量、处理效果等数据的报表，并可自定义生成相关分析曲线，具体表格样式及曲线应按照净水厂需求设计。</w:t>
      </w:r>
    </w:p>
    <w:p>
      <w:pPr>
        <w:pStyle w:val="96"/>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rPr>
        <w:t>11.自定义参数调整：能够在现场触摸屏和中控系统上自主设定参数调整，满足人工调</w:t>
      </w:r>
      <w:r>
        <w:rPr>
          <w:rFonts w:hint="eastAsia" w:ascii="宋体" w:hAnsi="宋体" w:eastAsia="宋体" w:cs="宋体"/>
          <w:color w:val="auto"/>
          <w:sz w:val="28"/>
          <w:szCs w:val="28"/>
          <w:highlight w:val="none"/>
        </w:rPr>
        <w:t>控需求。</w:t>
      </w:r>
    </w:p>
    <w:p>
      <w:pPr>
        <w:pStyle w:val="96"/>
        <w:spacing w:line="240" w:lineRule="auto"/>
        <w:ind w:firstLine="565" w:firstLineChars="202"/>
        <w:rPr>
          <w:rFonts w:hint="eastAsia" w:ascii="宋体" w:hAnsi="宋体" w:eastAsia="宋体" w:cs="宋体"/>
          <w:bCs/>
          <w:color w:val="auto"/>
          <w:sz w:val="28"/>
          <w:szCs w:val="28"/>
          <w:highlight w:val="none"/>
        </w:rPr>
      </w:pPr>
      <w:r>
        <w:rPr>
          <w:rFonts w:hint="eastAsia" w:ascii="宋体" w:hAnsi="宋体" w:eastAsia="宋体" w:cs="宋体"/>
          <w:bCs/>
          <w:color w:val="auto"/>
          <w:kern w:val="0"/>
          <w:sz w:val="28"/>
          <w:szCs w:val="28"/>
          <w:highlight w:val="none"/>
        </w:rPr>
        <w:t>12.</w:t>
      </w:r>
      <w:r>
        <w:rPr>
          <w:rFonts w:hint="eastAsia" w:ascii="宋体" w:hAnsi="宋体" w:eastAsia="宋体" w:cs="宋体"/>
          <w:bCs/>
          <w:color w:val="auto"/>
          <w:sz w:val="28"/>
          <w:szCs w:val="28"/>
          <w:highlight w:val="none"/>
        </w:rPr>
        <w:t>智慧除臭系统人机界面与调试：（1）增加人机触摸屏HMI；（2）</w:t>
      </w:r>
      <w:r>
        <w:rPr>
          <w:rFonts w:hint="eastAsia" w:ascii="宋体" w:hAnsi="宋体" w:eastAsia="宋体" w:cs="宋体"/>
          <w:bCs/>
          <w:color w:val="auto"/>
          <w:sz w:val="28"/>
          <w:szCs w:val="28"/>
          <w:highlight w:val="none"/>
          <w:lang w:val="en-US" w:eastAsia="zh-CN"/>
        </w:rPr>
        <w:t>触摸屏程序编写</w:t>
      </w:r>
      <w:r>
        <w:rPr>
          <w:rFonts w:hint="eastAsia" w:ascii="宋体" w:hAnsi="宋体" w:eastAsia="宋体" w:cs="宋体"/>
          <w:bCs/>
          <w:color w:val="auto"/>
          <w:sz w:val="28"/>
          <w:szCs w:val="28"/>
          <w:highlight w:val="none"/>
        </w:rPr>
        <w:t>，关键数据实时监控；（3）人机界面调试。</w:t>
      </w:r>
    </w:p>
    <w:p>
      <w:pPr>
        <w:numPr>
          <w:ilvl w:val="-1"/>
          <w:numId w:val="0"/>
        </w:numPr>
        <w:spacing w:line="240" w:lineRule="auto"/>
        <w:ind w:firstLine="0" w:firstLineChars="0"/>
        <w:jc w:val="center"/>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软件</w:t>
      </w:r>
      <w:r>
        <w:rPr>
          <w:rFonts w:hint="eastAsia" w:ascii="宋体" w:hAnsi="宋体" w:eastAsia="宋体" w:cs="宋体"/>
          <w:color w:val="auto"/>
          <w:sz w:val="28"/>
          <w:szCs w:val="28"/>
          <w:highlight w:val="none"/>
          <w:lang w:val="en-US" w:eastAsia="zh-CN"/>
        </w:rPr>
        <w:t>工作要求</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044"/>
        <w:gridCol w:w="6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64" w:type="pct"/>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序号</w:t>
            </w:r>
          </w:p>
        </w:tc>
        <w:tc>
          <w:tcPr>
            <w:tcW w:w="612" w:type="pct"/>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实施项</w:t>
            </w:r>
          </w:p>
        </w:tc>
        <w:tc>
          <w:tcPr>
            <w:tcW w:w="3923" w:type="pct"/>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val="en-US" w:eastAsia="zh-CN"/>
              </w:rPr>
              <w:t>需满足的具体要求内容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464" w:type="pct"/>
            <w:tcBorders>
              <w:bottom w:val="single" w:color="auto" w:sz="4" w:space="0"/>
            </w:tcBorders>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w:t>
            </w:r>
          </w:p>
        </w:tc>
        <w:tc>
          <w:tcPr>
            <w:tcW w:w="612" w:type="pct"/>
            <w:tcBorders>
              <w:bottom w:val="single" w:color="auto" w:sz="4" w:space="0"/>
            </w:tcBorders>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除臭系统控制程序</w:t>
            </w:r>
          </w:p>
        </w:tc>
        <w:tc>
          <w:tcPr>
            <w:tcW w:w="3923" w:type="pct"/>
            <w:tcBorders>
              <w:bottom w:val="single" w:color="auto" w:sz="4" w:space="0"/>
            </w:tcBorders>
            <w:vAlign w:val="center"/>
          </w:tcPr>
          <w:p>
            <w:pPr>
              <w:spacing w:line="240" w:lineRule="auto"/>
              <w:rPr>
                <w:rFonts w:hint="eastAsia" w:ascii="宋体" w:hAnsi="宋体" w:eastAsia="宋体" w:cs="宋体"/>
                <w:color w:val="auto"/>
                <w:highlight w:val="none"/>
              </w:rPr>
            </w:pPr>
            <w:r>
              <w:rPr>
                <w:rFonts w:hint="eastAsia" w:ascii="宋体" w:hAnsi="宋体" w:eastAsia="宋体" w:cs="宋体"/>
                <w:color w:val="auto"/>
                <w:szCs w:val="21"/>
                <w:highlight w:val="none"/>
              </w:rPr>
              <w:t>1、</w:t>
            </w:r>
          </w:p>
          <w:p>
            <w:pPr>
              <w:widowControl/>
              <w:kinsoku w:val="0"/>
              <w:spacing w:line="240" w:lineRule="auto"/>
              <w:ind w:left="0" w:leftChars="0" w:firstLine="0" w:firstLineChars="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在线检测仪表数值采集和记录功能；</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、编写及调试PLC控制程序，使控制程序符合生产要求，IO控制输出正常，功能选择控制正常。</w:t>
            </w:r>
          </w:p>
          <w:p>
            <w:pPr>
              <w:pStyle w:val="19"/>
              <w:kinsoku w:val="0"/>
              <w:spacing w:line="24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、除臭系统人机界面：（1）增加人机触摸屏HMI；（2）</w:t>
            </w:r>
            <w:r>
              <w:rPr>
                <w:rFonts w:hint="eastAsia" w:ascii="宋体" w:hAnsi="宋体" w:eastAsia="宋体" w:cs="宋体"/>
                <w:color w:val="auto"/>
                <w:szCs w:val="21"/>
                <w:highlight w:val="none"/>
                <w:lang w:val="en-US" w:eastAsia="zh-CN"/>
              </w:rPr>
              <w:t>触摸屏程序编写</w:t>
            </w:r>
            <w:r>
              <w:rPr>
                <w:rFonts w:hint="eastAsia" w:ascii="宋体" w:hAnsi="宋体" w:eastAsia="宋体" w:cs="宋体"/>
                <w:color w:val="auto"/>
                <w:szCs w:val="21"/>
                <w:highlight w:val="none"/>
              </w:rPr>
              <w:t>，关键数据实时监控；（3）人机界面调试。</w:t>
            </w:r>
          </w:p>
          <w:p>
            <w:pPr>
              <w:pStyle w:val="20"/>
              <w:kinsoku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、按业主需求提供所有源程序及密码。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2</w:t>
            </w:r>
          </w:p>
        </w:tc>
        <w:tc>
          <w:tcPr>
            <w:tcW w:w="612" w:type="pct"/>
            <w:tcBorders>
              <w:top w:val="single" w:color="auto" w:sz="4" w:space="0"/>
              <w:left w:val="single" w:color="auto" w:sz="4" w:space="0"/>
              <w:bottom w:val="single" w:color="auto" w:sz="4" w:space="0"/>
              <w:right w:val="single" w:color="auto" w:sz="4" w:space="0"/>
            </w:tcBorders>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上位机及下位机功能</w:t>
            </w:r>
          </w:p>
        </w:tc>
        <w:tc>
          <w:tcPr>
            <w:tcW w:w="3923" w:type="pct"/>
            <w:tcBorders>
              <w:top w:val="single" w:color="auto" w:sz="4" w:space="0"/>
              <w:left w:val="single" w:color="auto" w:sz="4" w:space="0"/>
              <w:bottom w:val="single" w:color="auto" w:sz="4" w:space="0"/>
              <w:right w:val="single" w:color="auto" w:sz="4" w:space="0"/>
            </w:tcBorders>
            <w:vAlign w:val="center"/>
          </w:tcPr>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除臭系统上位机及下位机</w:t>
            </w:r>
            <w:r>
              <w:rPr>
                <w:rFonts w:hint="eastAsia" w:ascii="宋体" w:hAnsi="宋体" w:eastAsia="宋体" w:cs="宋体"/>
                <w:color w:val="auto"/>
                <w:szCs w:val="21"/>
                <w:highlight w:val="none"/>
                <w:lang w:val="en-US" w:eastAsia="zh-CN"/>
              </w:rPr>
              <w:t>需</w:t>
            </w:r>
            <w:r>
              <w:rPr>
                <w:rFonts w:hint="eastAsia" w:ascii="宋体" w:hAnsi="宋体" w:eastAsia="宋体" w:cs="宋体"/>
                <w:color w:val="auto"/>
                <w:szCs w:val="21"/>
                <w:highlight w:val="none"/>
              </w:rPr>
              <w:t>实现以下功能模块：</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1、一键运行：能够通过中控系统或现场控制柜，完成除臭系统一键启动、自动运行，自动调节阀门开度、风机启停频率调节等。</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2、远程调控：除臭系统的现场控制功能应能够在中控系统全部实现，具备远程调控，上位机具备与中央控制系统数据交互。</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3、手自切换：能够在现场控制柜上实现手动控制、远程控制模式的切换。手动控制模式应具有现场手动调控和现场自动调控两种运行方式，远程控制模式应具有远程手动调控和远程自动调控两种运行方式。</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4、设备健康状态的分析判断：通过主要用电设备（离心风机、水泵）的运行情况配合各种仪表的数据对除臭系统进行设备健康状态的分析判断。</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5、异常诊断功能：根据除臭装置PID流程中各个分板块系统以及设备保养情况，实现对系统异常的诊断。</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6、故障报警功能：新增设备故障报警点，增强故障预警、报警功能。将警报设为多种级别，通过报警级别判断故障的严重性。</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7、保养提醒功能：根据设备的使用时间，提前通知用户更换设备部件并进行保养，让设备得到更精准的保养和维护，从而减少故障率。</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8、节能管理系统功能：通过智能电能的数据及系统的用水量，实现节能管理系统功能。</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9、在线实时监控：增设光纤通信设备，将本站设备信号接入现中控系统 AVEA InTouch HMI并</w:t>
            </w:r>
            <w:r>
              <w:rPr>
                <w:rFonts w:hint="eastAsia" w:ascii="宋体" w:hAnsi="宋体" w:eastAsia="宋体" w:cs="宋体"/>
                <w:color w:val="auto"/>
                <w:szCs w:val="21"/>
                <w:highlight w:val="none"/>
                <w:lang w:val="en-US" w:eastAsia="zh-CN"/>
              </w:rPr>
              <w:t>增加控制</w:t>
            </w:r>
            <w:r>
              <w:rPr>
                <w:rFonts w:hint="eastAsia" w:ascii="宋体" w:hAnsi="宋体" w:eastAsia="宋体" w:cs="宋体"/>
                <w:color w:val="auto"/>
                <w:szCs w:val="21"/>
                <w:highlight w:val="none"/>
              </w:rPr>
              <w:t>界面，实现在线实时监控。</w:t>
            </w:r>
          </w:p>
          <w:p>
            <w:pPr>
              <w:widowControl/>
              <w:kinsoku w:val="0"/>
              <w:spacing w:line="240" w:lineRule="auto"/>
              <w:ind w:firstLine="42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10、报表及曲线分析：系统应能够自动统计涵盖电能、水量、风量、处理效果等数据的报表，并可自定义生成相关分析曲线，具体表格样式及曲线应按照净水厂需求设计。</w:t>
            </w:r>
          </w:p>
          <w:p>
            <w:pPr>
              <w:spacing w:line="240" w:lineRule="auto"/>
              <w:rPr>
                <w:rFonts w:hint="eastAsia" w:ascii="宋体" w:hAnsi="宋体" w:eastAsia="宋体" w:cs="宋体"/>
                <w:color w:val="auto"/>
                <w:highlight w:val="none"/>
              </w:rPr>
            </w:pPr>
            <w:r>
              <w:rPr>
                <w:rFonts w:hint="eastAsia" w:ascii="宋体" w:hAnsi="宋体" w:eastAsia="宋体" w:cs="宋体"/>
                <w:color w:val="auto"/>
                <w:szCs w:val="21"/>
                <w:highlight w:val="none"/>
              </w:rPr>
              <w:t>11、自定义参数调整：能够在现场触摸屏和中控系统上自主设定参数调整，满足人工调控需求。</w:t>
            </w:r>
          </w:p>
          <w:p>
            <w:pPr>
              <w:widowControl/>
              <w:kinsoku w:val="0"/>
              <w:spacing w:line="240" w:lineRule="auto"/>
              <w:ind w:firstLine="420"/>
              <w:jc w:val="left"/>
              <w:textAlignment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64" w:type="pct"/>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w:t>
            </w:r>
          </w:p>
        </w:tc>
        <w:tc>
          <w:tcPr>
            <w:tcW w:w="612" w:type="pct"/>
            <w:vAlign w:val="center"/>
          </w:tcPr>
          <w:p>
            <w:pPr>
              <w:widowControl/>
              <w:kinsoku w:val="0"/>
              <w:spacing w:line="240" w:lineRule="auto"/>
              <w:ind w:firstLine="0" w:firstLineChars="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系统集成及联调联试</w:t>
            </w:r>
          </w:p>
        </w:tc>
        <w:tc>
          <w:tcPr>
            <w:tcW w:w="3923" w:type="pct"/>
            <w:vAlign w:val="center"/>
          </w:tcPr>
          <w:p>
            <w:pPr>
              <w:widowControl/>
              <w:kinsoku w:val="0"/>
              <w:spacing w:line="240" w:lineRule="auto"/>
              <w:ind w:firstLine="0" w:firstLineChars="0"/>
              <w:jc w:val="left"/>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1、系统功能说明，报表、系统运行、设备校准培训等；</w:t>
            </w:r>
          </w:p>
          <w:p>
            <w:pPr>
              <w:widowControl/>
              <w:kinsoku w:val="0"/>
              <w:spacing w:line="240" w:lineRule="auto"/>
              <w:ind w:firstLine="0" w:firstLineChars="0"/>
              <w:jc w:val="left"/>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、现场投入试运行调试及驻点陪产。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464" w:type="pct"/>
            <w:vAlign w:val="center"/>
          </w:tcPr>
          <w:p>
            <w:pPr>
              <w:kinsoku w:val="0"/>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612" w:type="pct"/>
            <w:vAlign w:val="center"/>
          </w:tcPr>
          <w:p>
            <w:pPr>
              <w:kinsoku w:val="0"/>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监控系统</w:t>
            </w:r>
          </w:p>
        </w:tc>
        <w:tc>
          <w:tcPr>
            <w:tcW w:w="3923" w:type="pct"/>
            <w:vAlign w:val="center"/>
          </w:tcPr>
          <w:p>
            <w:pPr>
              <w:spacing w:line="240" w:lineRule="auto"/>
              <w:rPr>
                <w:rFonts w:hint="eastAsia" w:ascii="宋体" w:hAnsi="宋体" w:eastAsia="宋体" w:cs="宋体"/>
                <w:color w:val="auto"/>
                <w:highlight w:val="none"/>
              </w:rPr>
            </w:pPr>
            <w:r>
              <w:rPr>
                <w:rFonts w:hint="eastAsia" w:ascii="宋体" w:hAnsi="宋体" w:eastAsia="宋体" w:cs="宋体"/>
                <w:color w:val="auto"/>
                <w:kern w:val="0"/>
                <w:szCs w:val="21"/>
                <w:highlight w:val="none"/>
              </w:rPr>
              <w:t>增设除臭监控系统，实现无人值守设备运行状态的监控，提供高清监控画面，减少人工巡检成本。系统应满足全部视频图像信号连续3个月画面存储能力。</w:t>
            </w:r>
          </w:p>
          <w:p>
            <w:pPr>
              <w:widowControl/>
              <w:kinsoku w:val="0"/>
              <w:spacing w:line="240" w:lineRule="auto"/>
              <w:ind w:firstLine="420"/>
              <w:jc w:val="left"/>
              <w:textAlignment w:val="center"/>
              <w:rPr>
                <w:rFonts w:hint="eastAsia" w:ascii="宋体" w:hAnsi="宋体" w:eastAsia="宋体" w:cs="宋体"/>
                <w:color w:val="auto"/>
                <w:szCs w:val="21"/>
                <w:highlight w:val="none"/>
              </w:rPr>
            </w:pPr>
          </w:p>
        </w:tc>
      </w:tr>
    </w:tbl>
    <w:p>
      <w:pPr>
        <w:tabs>
          <w:tab w:val="left" w:pos="0"/>
        </w:tabs>
        <w:spacing w:line="240" w:lineRule="auto"/>
        <w:ind w:firstLine="602"/>
        <w:outlineLvl w:val="1"/>
        <w:rPr>
          <w:rFonts w:hint="eastAsia" w:ascii="宋体" w:hAnsi="宋体" w:eastAsia="宋体" w:cs="宋体"/>
          <w:b/>
          <w:bCs/>
          <w:color w:val="auto"/>
          <w:sz w:val="30"/>
          <w:szCs w:val="30"/>
          <w:highlight w:val="none"/>
        </w:rPr>
      </w:pPr>
    </w:p>
    <w:p>
      <w:pPr>
        <w:pStyle w:val="96"/>
        <w:spacing w:line="240" w:lineRule="auto"/>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w:t>
      </w:r>
      <w:r>
        <w:rPr>
          <w:rFonts w:hint="eastAsia" w:ascii="宋体" w:hAnsi="宋体" w:eastAsia="宋体" w:cs="宋体"/>
          <w:b/>
          <w:bCs/>
          <w:color w:val="auto"/>
          <w:kern w:val="0"/>
          <w:sz w:val="28"/>
          <w:szCs w:val="28"/>
          <w:highlight w:val="none"/>
        </w:rPr>
        <w:t>其他技术要求</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1.3#、26-27#除臭</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新增PLC柜，尺寸：H*W*D=800*600*250，304不锈钢材质，厚度不小于1.5mm，防护等级IP55，安装相应PLC模块及元器件，户外落地式支架安装，配套3C认证；</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2.1-2#、4#、15-25#、28#除臭</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新增控制柜，尺寸：H*W*D=2000*800*600，304不锈钢材质，厚度不小于1.5mm，防护等级IP55，增加变频器及相应元器件，户外落地式安装，配套3C认证；</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3.5#、11-14#除臭</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新增控制柜，尺寸：H*W*D=2000*800*800，304不锈钢材质，厚度不小于1.5mm，防护等级IP55，增加变频器及相应元器件，户外落地式安装，配套3C认证；</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4.6-10#除臭</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新增控制柜，尺寸：H*W*D=2000*800*500，304不锈钢材质，厚度不小于1.5mm，防护等级IP55，增加变频器及相应元器件，户外落地式安装，配套3C认证；</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5.3#、4#、6-10#、19-29#除臭</w:t>
      </w:r>
    </w:p>
    <w:p>
      <w:pPr>
        <w:spacing w:line="240" w:lineRule="auto"/>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旧柜改造，更换老旧元器件</w:t>
      </w:r>
    </w:p>
    <w:p>
      <w:pPr>
        <w:spacing w:line="240" w:lineRule="auto"/>
        <w:ind w:firstLine="565" w:firstLineChars="202"/>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lang w:val="en-US" w:eastAsia="zh-CN"/>
        </w:rPr>
        <w:t>6.所有新增控制柜、PLC柜均包含场内外运输和吊装。</w:t>
      </w:r>
    </w:p>
    <w:p>
      <w:pPr>
        <w:spacing w:line="240" w:lineRule="auto"/>
        <w:ind w:firstLine="0" w:firstLineChars="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四.</w:t>
      </w:r>
      <w:r>
        <w:rPr>
          <w:rFonts w:hint="eastAsia" w:ascii="宋体" w:hAnsi="宋体" w:eastAsia="宋体" w:cs="宋体"/>
          <w:b/>
          <w:bCs/>
          <w:color w:val="auto"/>
          <w:kern w:val="0"/>
          <w:sz w:val="28"/>
          <w:szCs w:val="28"/>
          <w:highlight w:val="none"/>
        </w:rPr>
        <w:t>工作</w:t>
      </w:r>
      <w:r>
        <w:rPr>
          <w:rFonts w:hint="eastAsia" w:ascii="宋体" w:hAnsi="宋体" w:eastAsia="宋体" w:cs="宋体"/>
          <w:b/>
          <w:bCs/>
          <w:color w:val="auto"/>
          <w:kern w:val="0"/>
          <w:sz w:val="28"/>
          <w:szCs w:val="28"/>
          <w:highlight w:val="none"/>
          <w:lang w:val="en-US" w:eastAsia="zh-CN"/>
        </w:rPr>
        <w:t>内容说明</w:t>
      </w:r>
    </w:p>
    <w:p>
      <w:pPr>
        <w:pStyle w:val="29"/>
        <w:adjustRightInd w:val="0"/>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t>本项目内除臭自动化监控改造系统现场设备安装及改造、上位机及下位机功能</w:t>
      </w:r>
      <w:r>
        <w:rPr>
          <w:rFonts w:hint="eastAsia" w:ascii="宋体" w:hAnsi="宋体" w:eastAsia="宋体" w:cs="宋体"/>
          <w:color w:val="auto"/>
          <w:kern w:val="0"/>
          <w:sz w:val="28"/>
          <w:szCs w:val="28"/>
          <w:highlight w:val="none"/>
          <w:lang w:val="en-US" w:eastAsia="zh-CN"/>
        </w:rPr>
        <w:t>实现</w:t>
      </w:r>
      <w:r>
        <w:rPr>
          <w:rFonts w:hint="eastAsia" w:ascii="宋体" w:hAnsi="宋体" w:eastAsia="宋体" w:cs="宋体"/>
          <w:color w:val="auto"/>
          <w:kern w:val="0"/>
          <w:sz w:val="28"/>
          <w:szCs w:val="28"/>
          <w:highlight w:val="none"/>
        </w:rPr>
        <w:t>、系统调试运行及培训等部分组成，涉及改造装置数量共29套，针对各装置环境、工艺、设备现状的不同，系统建设主要工作</w:t>
      </w:r>
      <w:r>
        <w:rPr>
          <w:rFonts w:hint="eastAsia" w:ascii="宋体" w:hAnsi="宋体" w:eastAsia="宋体" w:cs="宋体"/>
          <w:color w:val="auto"/>
          <w:kern w:val="0"/>
          <w:sz w:val="28"/>
          <w:szCs w:val="28"/>
          <w:highlight w:val="none"/>
          <w:lang w:val="en-US" w:eastAsia="zh-CN"/>
        </w:rPr>
        <w:t>内容</w:t>
      </w:r>
      <w:r>
        <w:rPr>
          <w:rFonts w:hint="eastAsia" w:ascii="宋体" w:hAnsi="宋体" w:eastAsia="宋体" w:cs="宋体"/>
          <w:color w:val="auto"/>
          <w:kern w:val="0"/>
          <w:sz w:val="28"/>
          <w:szCs w:val="28"/>
          <w:highlight w:val="none"/>
        </w:rPr>
        <w:t>分为软件和硬件安装两部分，其中软件为通用工作量，各装置内容一致，硬件安装需根据各装置实际情况进行配置。</w:t>
      </w:r>
    </w:p>
    <w:p>
      <w:pPr>
        <w:pStyle w:val="29"/>
        <w:adjustRightInd w:val="0"/>
        <w:spacing w:line="240" w:lineRule="auto"/>
        <w:ind w:firstLine="560"/>
        <w:rPr>
          <w:rFonts w:hint="eastAsia" w:ascii="宋体" w:hAnsi="宋体" w:eastAsia="宋体" w:cs="宋体"/>
          <w:b/>
          <w:bCs/>
          <w:color w:val="auto"/>
          <w:kern w:val="0"/>
          <w:sz w:val="28"/>
          <w:szCs w:val="28"/>
          <w:highlight w:val="none"/>
        </w:rPr>
      </w:pPr>
      <w:r>
        <w:rPr>
          <w:rFonts w:hint="eastAsia" w:ascii="宋体" w:hAnsi="宋体" w:eastAsia="宋体" w:cs="宋体"/>
          <w:color w:val="auto"/>
          <w:kern w:val="0"/>
          <w:sz w:val="28"/>
          <w:szCs w:val="28"/>
          <w:highlight w:val="none"/>
          <w:lang w:val="en-US" w:eastAsia="zh-CN"/>
        </w:rPr>
        <w:t>本项目工程量清单</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lang w:val="en-US" w:eastAsia="zh-CN"/>
        </w:rPr>
        <w:t>含</w:t>
      </w:r>
      <w:r>
        <w:rPr>
          <w:rFonts w:hint="eastAsia" w:ascii="宋体" w:hAnsi="宋体" w:eastAsia="宋体" w:cs="宋体"/>
          <w:color w:val="auto"/>
          <w:kern w:val="0"/>
          <w:sz w:val="28"/>
          <w:szCs w:val="28"/>
          <w:highlight w:val="none"/>
        </w:rPr>
        <w:t>软</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硬件</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rPr>
        <w:t>不得被认为是详尽无遗的，无论规定与否，承包人应提供所有业主未提及的必要的元器件、附件、配套设备和相应</w:t>
      </w:r>
      <w:r>
        <w:rPr>
          <w:rFonts w:hint="eastAsia" w:ascii="宋体" w:hAnsi="宋体" w:eastAsia="宋体" w:cs="宋体"/>
          <w:b w:val="0"/>
          <w:bCs w:val="0"/>
          <w:color w:val="auto"/>
          <w:kern w:val="0"/>
          <w:sz w:val="28"/>
          <w:szCs w:val="28"/>
          <w:highlight w:val="none"/>
        </w:rPr>
        <w:t>材料等，以达到项目的建设目标。</w:t>
      </w:r>
    </w:p>
    <w:p>
      <w:pPr>
        <w:tabs>
          <w:tab w:val="left" w:pos="0"/>
        </w:tabs>
        <w:spacing w:line="240" w:lineRule="auto"/>
        <w:ind w:firstLine="602"/>
        <w:outlineLvl w:val="1"/>
        <w:rPr>
          <w:rFonts w:hint="eastAsia" w:ascii="宋体" w:hAnsi="宋体" w:eastAsia="宋体" w:cs="宋体"/>
          <w:b/>
          <w:bCs/>
          <w:color w:val="auto"/>
          <w:sz w:val="30"/>
          <w:szCs w:val="30"/>
          <w:highlight w:val="none"/>
        </w:rPr>
      </w:pPr>
    </w:p>
    <w:p>
      <w:pPr>
        <w:tabs>
          <w:tab w:val="left" w:pos="0"/>
        </w:tabs>
        <w:spacing w:line="240" w:lineRule="auto"/>
        <w:ind w:firstLine="602"/>
        <w:outlineLvl w:val="1"/>
        <w:rPr>
          <w:rFonts w:hint="eastAsia" w:ascii="宋体" w:hAnsi="宋体" w:eastAsia="宋体" w:cs="宋体"/>
          <w:b/>
          <w:bCs/>
          <w:color w:val="auto"/>
          <w:sz w:val="30"/>
          <w:szCs w:val="30"/>
          <w:highlight w:val="none"/>
        </w:rPr>
      </w:pPr>
    </w:p>
    <w:p>
      <w:pPr>
        <w:tabs>
          <w:tab w:val="left" w:pos="0"/>
        </w:tabs>
        <w:spacing w:line="240" w:lineRule="auto"/>
        <w:ind w:firstLine="602"/>
        <w:outlineLvl w:val="1"/>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子项二</w:t>
      </w:r>
    </w:p>
    <w:p>
      <w:pPr>
        <w:autoSpaceDE w:val="0"/>
        <w:autoSpaceDN w:val="0"/>
        <w:adjustRightInd w:val="0"/>
        <w:spacing w:line="240" w:lineRule="auto"/>
        <w:ind w:firstLine="602"/>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石井净分公司除臭、通风系统自动化监控改造项目</w:t>
      </w:r>
    </w:p>
    <w:p>
      <w:pPr>
        <w:autoSpaceDE w:val="0"/>
        <w:autoSpaceDN w:val="0"/>
        <w:adjustRightInd w:val="0"/>
        <w:spacing w:line="240" w:lineRule="auto"/>
        <w:ind w:firstLine="643"/>
        <w:jc w:val="center"/>
        <w:rPr>
          <w:rFonts w:hint="eastAsia" w:ascii="宋体" w:hAnsi="宋体" w:eastAsia="宋体" w:cs="宋体"/>
          <w:b/>
          <w:bCs/>
          <w:color w:val="auto"/>
          <w:sz w:val="32"/>
          <w:szCs w:val="32"/>
          <w:highlight w:val="none"/>
        </w:rPr>
      </w:pPr>
    </w:p>
    <w:p>
      <w:pPr>
        <w:numPr>
          <w:ilvl w:val="0"/>
          <w:numId w:val="8"/>
        </w:numPr>
        <w:spacing w:line="240" w:lineRule="auto"/>
        <w:ind w:firstLine="0" w:firstLineChars="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项目情况</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石井净分公司为全地埋式净水厂，一期于2018年3月投产，除臭系统16套，通风系统送风机29套，排风机20套；二期于2020年6月月投产，除臭系统除臭系统6套，通风系统送风机19套，排风机19套。</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根据广东省2021年新标准《城镇地下污水处理设施通风与臭气处理技术标准》（ DBJ/T 15-202-2020）第4.12条要求，通风与臭气处理监控系统应分别结合污水处理设施的臭气处理工艺及地下环境通风的控制要求，实现对相应环境参数和设备状态参数的检测、自动调节和控制、工况自动转换、设备连锁、自动保护与报警、能耗计算以及集中监控和管理等。</w:t>
      </w:r>
    </w:p>
    <w:p>
      <w:pPr>
        <w:spacing w:line="240" w:lineRule="auto"/>
        <w:ind w:firstLine="618" w:firstLineChars="22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为此，需要实施石井净分公司除臭及通风系统自动化监控改造项目。</w:t>
      </w:r>
    </w:p>
    <w:p>
      <w:pPr>
        <w:pStyle w:val="50"/>
        <w:spacing w:line="240" w:lineRule="auto"/>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二、实施方案</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1.除臭系统</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增加仪表：在一二期除臭系统出风总管分别增加一套硫化氢浓度计和一套氨气浓度计；对22套除臭设备的风机、温湿度、水箱等增设仪器仪表监控设备运行状态；增设电动阀门控制水箱换水，实现实时设置及控制、预警报警等功能;增加22套除臭系统的智能电表监控用电量。</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厂区现有使用的PLC</w:t>
      </w:r>
      <w:r>
        <w:rPr>
          <w:rFonts w:hint="eastAsia" w:ascii="宋体" w:hAnsi="宋体" w:eastAsia="宋体" w:cs="宋体"/>
          <w:color w:val="auto"/>
          <w:sz w:val="28"/>
          <w:szCs w:val="28"/>
          <w:highlight w:val="none"/>
        </w:rPr>
        <w:t>在原有控制柜的增加PLC模块：采集现场所有设备的运行及控制的信号、参数。</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通过设备改造和系统升级后各个除臭系统的现场PLC可以采集到各个设备的风机，循环水泵，加药泵，阀门等运行数据及电量数据，并通过中心控制室控制所有设备；利用变频器调节风机运行参数，实现节能降耗，降低运行成本；全面提升臭气收集、处理能力，减少因除臭设备故障产生的臭气外溢及环保执法风险。</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2.通风系统</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对现有一期生化池、加药间、V型滤池等原有7个自控PLC基站扩容，增加输入、输出模块共14个，使一期未能监控的14台通风设备的运行数据接入到自控系统中，以实现中控室可以远程监视风机运行状态及远程启停。</w:t>
      </w:r>
    </w:p>
    <w:p>
      <w:pPr>
        <w:spacing w:line="240" w:lineRule="auto"/>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（2）根据不同的12种类型风机出风口， 选择12种类型中功率大的风机安装12套插入式气体流量计, 并将数据上传到中控室监控系统。</w:t>
      </w:r>
    </w:p>
    <w:p>
      <w:pPr>
        <w:pStyle w:val="22"/>
        <w:numPr>
          <w:ilvl w:val="0"/>
          <w:numId w:val="9"/>
        </w:numPr>
        <w:adjustRightInd w:val="0"/>
        <w:snapToGrid w:val="0"/>
        <w:spacing w:line="240" w:lineRule="auto"/>
        <w:ind w:firstLineChars="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项目技术要求</w:t>
      </w:r>
    </w:p>
    <w:p>
      <w:pPr>
        <w:pStyle w:val="110"/>
        <w:spacing w:line="240" w:lineRule="auto"/>
        <w:ind w:left="560"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1.设备选型要求</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（1）可编程控制系统（PLC）</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可编程控制器系统(含冗余CPU模块、冗余电源模块、冗余通讯模块)</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*DI,*DO,*AI,*AO,I/O隔离,带电源、信号浪涌保护器;   </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支持工业以太网/Profibus/ControlNet/MB+;</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带工业以太网、工业现场总线通讯接口(注:污水厂全厂PLC自控设备的工业现场总线通讯接口应统一)及RS485接口,带相关总线通讯适配器;</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10.4英寸工业用带背光TFT彩色LCD触摸屏(1024x768像素)；</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4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④</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在线式UPS 220VAC 2kVA 60min备电；</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5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⑤</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导轨式,24电口(不少于4个PoE口),4光口千兆工业以太网PoE交换机(支持光纤环,网管型),防潮型,IP65</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6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⑥</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工业以太网交换机:RJ45接口:10/100/1000Base-TX自适应口x16；光纤接口:1000LX单模SC/LC口x4；电源:24 VDC冗余双电源输入；规格:支持工业光纤环以太网(冗余环,全负载状态下自愈时间&lt;20ms);支持VLN功能,支持三层交换,支持流量控制,存储转发,带网管功能。</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(2)仪表</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有毒有害复合气体检测仪(毒气和可燃气体含氯化氢浓度检测仪，氨气浓度检测仪)，进出口总风管各一套：</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电源输入：AC220V±10%, 50Hz；电源输出:DC24V±10%；</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报警方式：声、光报警，数字及光柱显示；</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工作温度：-20°C～+55°C; 工作湿度：≤95%RH, 不凝露； </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背光TFT彩色触摸屏，全中文菜单操作；</w:t>
      </w:r>
    </w:p>
    <w:p>
      <w:pPr>
        <w:pStyle w:val="110"/>
        <w:spacing w:line="240" w:lineRule="auto"/>
        <w:ind w:firstLine="618" w:firstLineChars="22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内置防浪涌功能, 有效防止感应雷及浪涌对设备的伤害；</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功耗：正常及报警不大于4W/路；自带24V后备电源(5小时电量)；</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壁挂式，不锈钢外壳，防护等级IP66, 防爆等级: Exia IIC T4 Da；</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输出信号：Modbus协议 RS485工业现场总线；</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持8路气体检测，气体检测探头输入信号:带RS485工业现场总线长度≥100米；</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附气体检测探头(均独立,不锈钢IP67,防爆等级:Exia IIC T4 Da; 精度±1%FS)。</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一体式压力检测仪：</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电容式,0~0.1MPa(G),精度:0.2%测量值；</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变送器IP65,G1/2"外螺纹带根部阀；</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压力/故障状态,4~20mA信号；</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LCD现场显示。</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一体式温度检测仪：</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0-200°C,Pt100,精度±0.5°C；</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变送器IP65,不锈钢保护管,插入350mm,DN25 法兰连接；</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温度/故障状态,4~20mA信号；</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LCD现场显示。</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4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④</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热效应空气流量计</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精度：±1%读数±0.2%量程,分体式；</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最高工作压力：34.5bar,电源DC24V,功率不大于8w；</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变送器IP68,带立柱式IP65不锈钢保护箱,传感器电缆15m；</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瞬时流量/故障状态,工业现场总线通讯接口；</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LCD现场显示。</w:t>
      </w:r>
    </w:p>
    <w:p>
      <w:pPr>
        <w:pStyle w:val="96"/>
        <w:numPr>
          <w:ilvl w:val="0"/>
          <w:numId w:val="10"/>
        </w:numPr>
        <w:spacing w:line="240" w:lineRule="auto"/>
        <w:ind w:firstLine="403" w:firstLineChars="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其他要求</w:t>
      </w:r>
    </w:p>
    <w:p>
      <w:pPr>
        <w:keepNext w:val="0"/>
        <w:keepLines w:val="0"/>
        <w:widowControl/>
        <w:suppressLineNumbers w:val="0"/>
        <w:spacing w:line="240" w:lineRule="auto"/>
        <w:jc w:val="left"/>
        <w:rPr>
          <w:rFonts w:hint="eastAsia" w:ascii="宋体" w:hAnsi="宋体" w:eastAsia="宋体" w:cs="宋体"/>
          <w:b/>
          <w:bCs/>
          <w:color w:val="auto"/>
          <w:highlight w:val="none"/>
          <w:lang w:val="en-US"/>
        </w:rPr>
      </w:pPr>
      <w:r>
        <w:rPr>
          <w:rFonts w:hint="eastAsia" w:ascii="宋体" w:hAnsi="宋体" w:eastAsia="宋体" w:cs="宋体"/>
          <w:b/>
          <w:bCs/>
          <w:color w:val="auto"/>
          <w:sz w:val="28"/>
          <w:szCs w:val="28"/>
          <w:highlight w:val="none"/>
          <w:lang w:val="en-US" w:eastAsia="zh-CN"/>
        </w:rPr>
        <w:t>1）厂区现状除臭系统控制系统是采用西门子S7-200SMAT类SR40的CPU，</w:t>
      </w:r>
      <w:r>
        <w:rPr>
          <w:rFonts w:hint="eastAsia" w:ascii="宋体" w:hAnsi="宋体" w:eastAsia="宋体" w:cs="宋体"/>
          <w:b/>
          <w:bCs/>
          <w:color w:val="auto"/>
          <w:kern w:val="0"/>
          <w:sz w:val="28"/>
          <w:szCs w:val="28"/>
          <w:highlight w:val="none"/>
          <w:lang w:val="en-US" w:eastAsia="zh-CN" w:bidi="ar"/>
        </w:rPr>
        <w:t>中控室人机界面软件是采用西门子公司WINCC XX组态软件软件开发，本项目新增的PLC及有关程序、人机界面应与原系统衔接。</w:t>
      </w:r>
    </w:p>
    <w:p>
      <w:pPr>
        <w:pStyle w:val="96"/>
        <w:spacing w:line="240" w:lineRule="auto"/>
        <w:ind w:firstLine="568" w:firstLineChars="202"/>
        <w:rPr>
          <w:rFonts w:hint="eastAsia" w:ascii="宋体" w:hAnsi="宋体" w:eastAsia="宋体" w:cs="宋体"/>
          <w:b/>
          <w:bCs/>
          <w:color w:val="auto"/>
          <w:sz w:val="28"/>
          <w:szCs w:val="28"/>
          <w:highlight w:val="none"/>
          <w:lang w:val="en-US" w:eastAsia="zh-CN"/>
        </w:rPr>
      </w:pPr>
    </w:p>
    <w:p>
      <w:pPr>
        <w:pStyle w:val="96"/>
        <w:spacing w:line="240" w:lineRule="auto"/>
        <w:ind w:firstLine="568" w:firstLineChars="202"/>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2）空气流量计采用开封仪表、联测、重庆川仪等同等品牌档次设备。</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2.自控设计</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自控系统二次开发：</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二次开发应满足设计图纸及工艺、通风等专业和管理方所有相关要求并不仅限于此;</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二次设计中，应依据招标方指定自控系统Tag命名规则及HMI标准规划完成本项目自控系统及电力监控系统的建设，并将自控系统整合到招标方指定的数据中心;</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自控系统的调试、运行不应影响招标方现有厂区工程的正常生产；</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将电力监控系统整合到招标方指定自控系统中；新建控制室新增接口服务器及招标方指定数据中心数据采集所需所有软件由本次项目自控系统承建商负责；</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实现本期工程自控系统与招标方现有厂区工程自控系统的无缝衔接，统一管理；</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开发基于PC(Windows系统)、手机(IOS及安卓系统)和平板电脑(IOS及安卓系统)的管理平台软件，并满足招标方管维方的最终要求。</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(1)电机执行机构自控方式</w:t>
      </w:r>
    </w:p>
    <w:p>
      <w:pPr>
        <w:pStyle w:val="110"/>
        <w:spacing w:line="240" w:lineRule="auto"/>
        <w:ind w:firstLine="562"/>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除臭系统</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除臭风机:通过设置在分风管上的压力计反馈信号调节风机的频率实现风机功率的自动调节。</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循环水泵:通过设置在除臭系统里的液位计反馈信号经过PLC的CPU计算后启动循环水泵。</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离子送风机、新风机:通过设置在一期、二期总出风口的H2S检测仪和氨气检测仪调节新风、送风机的变频器的启停时间。</w:t>
      </w:r>
    </w:p>
    <w:p>
      <w:pPr>
        <w:pStyle w:val="110"/>
        <w:spacing w:line="240" w:lineRule="auto"/>
        <w:ind w:firstLine="562"/>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通风系统</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通过系统已有的压力；有毒气体浓度检测等仪表反馈的信号调整通风系统的设备开启状态调节等。</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(2)系统分层</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工程生产过程的监控按集中管理,分散控制的原则设计。改造后的PLC控制站与厂区通过光纤联通，形成环形通信网络。系统采用三层结构,即由管理层、控制层、设备层三个层次构成。生产过程监控系统的设计尽量保持与原有的系统结构形式一致。改造工程增加的监控点(需要购买监控点扩容授权来实现)，数据处理量的提高对监控计算机的硬件性能(包括CPU、内存容量、硬盘容量)有提高。新增的控制站采用以太网接口经交换机接入原控制层网络。</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管理层包括上位监控工程师站、操作员站、等设备;</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扩容控制层包括22个PLC控制站（除臭系统）及工艺设备附带控制单元等控制设备；扩容控制层包括7个PLC控制站（通风系统）及工艺设备附带控制单元等控制设备。现场控制站主要由可编程序控制器(PLC)、不间断电源(UPS)组成。</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设备层由现场仪表、风机电动执行机构、变频器、搅拌机、阀门、现场设备控制箱等系统构成。</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(3)通讯网络</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管理层与控制层设备之间采用以多模光纤为主干的环形1000Mb/s工业以太网通讯(水平布线采用光缆通信系统)。通过网管型交换机的管理功能，当网络处于堵塞等异常情况时能让重要流量优先、可预期地被处理。厂区生产监控网络数据应具有最高的处理优先级，确保生产监控的高可靠性。</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自控设备层与控制层设备之间采用常规I/O信号与工业以太网、现场总线通讯相结合的连接方式。带现场总线接口仪表及分布I/O站的采用大大减省了电缆系统材料、电缆敷设、接线、系统调试、日后系统维护的工作量,并且系统具有大的灵活性,易于扩展。同时也提高水质分析仪表及流量计等重要设备的可维护性和管理的灵活性。</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(4)系统功能</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生产过程监控软件除应具有监视监测、控制、报警管理、趋势分析、报表生成及打印、分级权限管理、系统组态、档案管理、应急方案预设、运维管理、系统维护和诊断等基本功能外，还应具有实现监控与报警系统各组成系统之间的跨系统联动的综合处理能力。 生产过程监控软件应具有汉化的动态图形化的人机互动界面，能直观反映各子系统内环境数据、电能数据、设备状态、报警状态等信息。人员可通过鼠标或键盘在显示屏上实现各功能任务各区域各层次界面之间的切换操作，监控、报警设定点的设置操作，设备控制操作以及切换进入相关区域实景视频画面等操作。</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生产过程监控软件应支持多任务、多用户同时操作，并能为管理者、编程者、操作者设置不同级别的权限。设备控制操作应具有手动、自动两种控制方式的转换功能。重要操作应具有确认功能，避免误操作。由预设条件触发应急方案时，应清晰显示并语音提示相关操作规程。系统软件组态、开发过程中，系统集成商应充分征询业主及管理使用单位的意见，方案最终实施前须获确认。</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生产过程监控软件具有强大的I/O驱动支持满足对本工程各种控制设备、智能终端设备的数据采集和传输需要；应集成功能强大的脚本系统，便于扩展应用系统的功能；应具有良好的开放性，通过标准的协议规范，第三方软件可轻松实现与平台的数据交互。</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4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④</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通过设备改造后各个除臭系统的现场PLC可以采集到各个设备的鼓风机，循环泵，搅拌机，加药泵，阀门等运行数据并通过以太网从中心控制室控制所有设备。通过改造通风系统的自控可以实现对通风系统设备，风阀等的实时监控。</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(5)对可编程序控制器系统PLC(包括成套工艺设备附带控制单元)的要求</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控制单元内存和扫描时间应满足程序和过程响应时间的要求，其响应时间包括输入输出扫描处理时间不大于500ms；</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PLCI/O通道、卡件槽位、相关端子排等辅助材料的备用数量及空间不小于实际I/O通道的20%；</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对分布I/O均可灵活配置其逻辑主站而不受物理位置限制,并通过以太网由距离较远的主站进行实时I/O控制；主站A的本地I/O也可经过适当配置(如智能从站)成由主站B的CPU进行I/O控制，实时性仍能满足CJJ120-2018要求的系统技术指标；     </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4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④</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控制站人机界面,能直观反映所有有关工艺流程(包括检测参数、设备运行及事故报警等信息)并按一定权限允许操纵人员作必要的设置及控制操作;</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5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⑤</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 随工艺设备附带的控制单元均应能通过与厂区PLC设备一致的工业现场通讯总线直接受相关控制站的实时I/O控制;</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6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⑥</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 xml:space="preserve">成套工艺设备提供方负责设备控制单元的安装、接线、编程、调试,还应积极配合厂区自动化系统集成商顺利实现有关设备之间的数据交换及实时I/O控制。  </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(6)防雷接地</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所有控制、信息设备应按《等电位联结安装图集》(15D501-2)第27页方的做法进行等电位联结。</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网络监控系统的防雷接地须满足《建筑物电子信息系统防雷技术规范》GB 50343-2012-5.5.2、5.5.3的防雷接地规定。</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3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③</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所有进出受保护区的金属线路(如电气线路、信号线路),如接入到受保护的设备,必须加装防雷防浪涌保护装置。所有的保护器都应可靠接地。</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4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④</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自控系统保护接地(包括防静电接地）、工作接地(包括屏蔽接地)等的做法应满足《仪表系统接地设计规定》(HG/T 20513-2014)的要求。自控系统独立接地时,接地电阻不大于4欧姆;与电气共用接地系统时，接地电阻不大于1欧姆。</w:t>
      </w:r>
    </w:p>
    <w:p>
      <w:pPr>
        <w:pStyle w:val="110"/>
        <w:spacing w:line="240" w:lineRule="auto"/>
        <w:ind w:firstLine="565" w:firstLineChars="202"/>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5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⑤</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每台PLC控制柜(箱)电源进线端配置防雷防浪涌保护装置。户外仪表或设备接入柜(箱)的干接点信号以及柜(箱)引向交流二次线路的控制接点均须用中间继电器进行隔离；户外仪表或设备接入柜(箱)的4－20mA信号、以太网、现场总线线路上均须加防雷防浪涌保护装置保护。</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(7)控制、信号线路敷设</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1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①</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自控专业线缆经电缆沟内电气、自控专业合用金属桥架敷设。从金属桥架出线后穿管贴墙或吊装敷设至各设备,如无特别注明为暗埋敷设；</w:t>
      </w:r>
    </w:p>
    <w:p>
      <w:pPr>
        <w:pStyle w:val="110"/>
        <w:spacing w:line="240" w:lineRule="auto"/>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 2 \* GB3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②</w:t>
      </w:r>
      <w:r>
        <w:rPr>
          <w:rFonts w:hint="eastAsia" w:ascii="宋体" w:hAnsi="宋体" w:eastAsia="宋体" w:cs="宋体"/>
          <w:color w:val="auto"/>
          <w:kern w:val="0"/>
          <w:sz w:val="28"/>
          <w:szCs w:val="28"/>
          <w:highlight w:val="none"/>
        </w:rPr>
        <w:fldChar w:fldCharType="end"/>
      </w:r>
      <w:r>
        <w:rPr>
          <w:rFonts w:hint="eastAsia" w:ascii="宋体" w:hAnsi="宋体" w:eastAsia="宋体" w:cs="宋体"/>
          <w:color w:val="auto"/>
          <w:kern w:val="0"/>
          <w:sz w:val="28"/>
          <w:szCs w:val="28"/>
          <w:highlight w:val="none"/>
        </w:rPr>
        <w:t>自控专业直流电源、信号(包括送往PLC的无源接点)、通讯等电缆不应与交流电源、控制信号(包括PLC输出的控制接点)电缆共穿保护管。两者在同一电缆桥架内敷设时,应采用防火的接地金属隔板将其分隔,各段桥架及隔板均应采用铜芯导线进行跨接并可靠接地;敷设电缆、光纤时注意产品动态最小弯曲半径要求，以免损坏线缆和光纤。</w:t>
      </w:r>
    </w:p>
    <w:p>
      <w:pPr>
        <w:autoSpaceDE w:val="0"/>
        <w:autoSpaceDN w:val="0"/>
        <w:adjustRightInd w:val="0"/>
        <w:spacing w:line="640" w:lineRule="exact"/>
        <w:ind w:firstLine="562"/>
        <w:jc w:val="center"/>
        <w:rPr>
          <w:rFonts w:hint="eastAsia" w:ascii="宋体" w:hAnsi="宋体" w:eastAsia="宋体" w:cs="宋体"/>
          <w:b/>
          <w:bCs/>
          <w:color w:val="auto"/>
          <w:sz w:val="28"/>
          <w:szCs w:val="28"/>
          <w:highlight w:val="none"/>
        </w:rPr>
      </w:pPr>
    </w:p>
    <w:p>
      <w:pPr>
        <w:pStyle w:val="110"/>
        <w:spacing w:line="240" w:lineRule="auto"/>
        <w:ind w:firstLine="560"/>
        <w:rPr>
          <w:rFonts w:hint="eastAsia" w:ascii="宋体" w:hAnsi="宋体" w:eastAsia="宋体" w:cs="宋体"/>
          <w:color w:val="auto"/>
          <w:kern w:val="0"/>
          <w:sz w:val="28"/>
          <w:szCs w:val="28"/>
          <w:highlight w:val="none"/>
        </w:rPr>
      </w:pPr>
    </w:p>
    <w:p>
      <w:pPr>
        <w:autoSpaceDE w:val="0"/>
        <w:autoSpaceDN w:val="0"/>
        <w:adjustRightInd w:val="0"/>
        <w:spacing w:line="640" w:lineRule="exact"/>
        <w:ind w:firstLine="562"/>
        <w:jc w:val="center"/>
        <w:rPr>
          <w:rFonts w:hint="eastAsia" w:ascii="宋体" w:hAnsi="宋体" w:eastAsia="宋体" w:cs="宋体"/>
          <w:b/>
          <w:bCs/>
          <w:color w:val="auto"/>
          <w:sz w:val="28"/>
          <w:szCs w:val="28"/>
          <w:highlight w:val="none"/>
        </w:rPr>
      </w:pPr>
    </w:p>
    <w:p>
      <w:pPr>
        <w:pStyle w:val="2"/>
        <w:spacing w:line="360" w:lineRule="auto"/>
        <w:ind w:firstLine="0" w:firstLineChars="0"/>
        <w:rPr>
          <w:rFonts w:hint="eastAsia" w:ascii="宋体" w:hAnsi="宋体" w:eastAsia="宋体" w:cs="宋体"/>
          <w:color w:val="000000" w:themeColor="text1"/>
          <w:szCs w:val="24"/>
          <w:highlight w:val="none"/>
          <w:lang w:val="zh-CN"/>
          <w14:textFill>
            <w14:solidFill>
              <w14:schemeClr w14:val="tx1"/>
            </w14:solidFill>
          </w14:textFill>
        </w:rPr>
      </w:pPr>
    </w:p>
    <w:p>
      <w:pPr>
        <w:widowControl/>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numPr>
          <w:ilvl w:val="0"/>
          <w:numId w:val="5"/>
        </w:numPr>
        <w:spacing w:line="360" w:lineRule="auto"/>
        <w:jc w:val="center"/>
        <w:outlineLvl w:val="1"/>
        <w:rPr>
          <w:rFonts w:hint="eastAsia" w:ascii="宋体" w:hAnsi="宋体" w:eastAsia="宋体" w:cs="宋体"/>
          <w:color w:val="000000" w:themeColor="text1"/>
          <w:sz w:val="32"/>
          <w:szCs w:val="27"/>
          <w:highlight w:val="none"/>
          <w14:textFill>
            <w14:solidFill>
              <w14:schemeClr w14:val="tx1"/>
            </w14:solidFill>
          </w14:textFill>
        </w:rPr>
      </w:pPr>
      <w:bookmarkStart w:id="613" w:name="_Toc2690"/>
      <w:bookmarkStart w:id="614" w:name="_Toc259524411"/>
      <w:bookmarkStart w:id="615" w:name="_Toc5209"/>
      <w:bookmarkStart w:id="616" w:name="_Toc17452691"/>
      <w:bookmarkStart w:id="617" w:name="_Toc17451650"/>
      <w:bookmarkStart w:id="618" w:name="_Toc5932"/>
      <w:bookmarkStart w:id="619" w:name="_Toc2392"/>
      <w:bookmarkStart w:id="620" w:name="_Toc17451128"/>
      <w:bookmarkStart w:id="621" w:name="_Toc17556958"/>
      <w:bookmarkStart w:id="622" w:name="_Toc20519"/>
      <w:bookmarkStart w:id="623" w:name="_Toc29817"/>
      <w:bookmarkStart w:id="624" w:name="_Toc17454898"/>
      <w:bookmarkStart w:id="625" w:name="_Toc17451605"/>
      <w:bookmarkStart w:id="626" w:name="_Toc17454949"/>
      <w:bookmarkStart w:id="627" w:name="_Toc17556903"/>
      <w:r>
        <w:rPr>
          <w:rFonts w:hint="eastAsia" w:ascii="宋体" w:hAnsi="宋体" w:eastAsia="宋体" w:cs="宋体"/>
          <w:color w:val="000000" w:themeColor="text1"/>
          <w:sz w:val="32"/>
          <w:szCs w:val="27"/>
          <w:highlight w:val="none"/>
          <w14:textFill>
            <w14:solidFill>
              <w14:schemeClr w14:val="tx1"/>
            </w14:solidFill>
          </w14:textFill>
        </w:rPr>
        <w:t>投标文件格式</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应按以下规定的格式及要求编制投标文件，如电子投标文件没有按招标文件规定的格式及要求编制，因其所引起系统无法检索、读取电子投标文件中的数据时，其结果将由投标人自行承担。本格式及要求规定适用于电子评标项目的投标文件的编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1.1《投标函附录》是投标文件的重要组成部分，其内容是投标人开标信息的主要来源，投标人应准确填写《投标函附录》的相关内容。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《投标函附录》内容按以下表述填写。</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投标总工期：“按招标文件的要求”；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工程质量标准：“按招标文件的要求”；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保修期限： “按《建设工程质量管理条例》规定”。</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1.3工程量清单报价表</w:t>
      </w:r>
      <w:r>
        <w:rPr>
          <w:rFonts w:hint="eastAsia" w:ascii="宋体" w:hAnsi="宋体" w:eastAsia="宋体" w:cs="宋体"/>
          <w:color w:val="000000" w:themeColor="text1"/>
          <w:sz w:val="24"/>
          <w:szCs w:val="24"/>
          <w:highlight w:val="none"/>
          <w14:textFill>
            <w14:solidFill>
              <w14:schemeClr w14:val="tx1"/>
            </w14:solidFill>
          </w14:textFill>
        </w:rPr>
        <w:t>工程量清单报价表应使用符合广东省标准《建设工程政府投资项目造价数据标准（DBJ/T15-145-2018）》及后续版本的有关规定的cos文件或者投标文件编制工具要求的文件格式，</w:t>
      </w:r>
      <w:r>
        <w:rPr>
          <w:rFonts w:hint="eastAsia" w:ascii="宋体" w:hAnsi="宋体" w:eastAsia="宋体" w:cs="宋体"/>
          <w:color w:val="000000" w:themeColor="text1"/>
          <w:sz w:val="24"/>
          <w:highlight w:val="none"/>
          <w14:textFill>
            <w14:solidFill>
              <w14:schemeClr w14:val="tx1"/>
            </w14:solidFill>
          </w14:textFill>
        </w:rPr>
        <w:t>《投标函附录》使用广州公共资源交易中心提供的电子投标文件管理软件直接填写，投标文件的其他内容均以电子文件编制。扫描图片电子文件要求为从扫描原纸质文件所形成的电子图片。图片文件格式要求为JPG格式，文件名称要求与上述对应名称一致且唯一，文件内容（即扫描图片内容）要求与文件名称相符，电子图片要求清晰可辨，每个JPG文件可包含多张扫描图片，单个JPG文件大小要求在1M以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 投标人为联合体投标时，应按以下规定填写。</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1.4.1投标人在广州公共资源交易中心信息登记时，必须将联合体的所有成员单位的全称填写完整。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1.4.2投标人在编制工程量清单时应只填写主体单位全称，且要求填写的全称与广州公共资源交易中心登记名称完全一致。</w:t>
      </w:r>
    </w:p>
    <w:p>
      <w:pPr>
        <w:spacing w:line="360" w:lineRule="auto"/>
        <w:ind w:firstLine="48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1.5投标文件中要求盖单位章的，均以盖电子签章为准。要求</w:t>
      </w:r>
      <w:r>
        <w:rPr>
          <w:rFonts w:hint="eastAsia" w:ascii="宋体" w:hAnsi="宋体" w:eastAsia="宋体" w:cs="宋体"/>
          <w:color w:val="000000" w:themeColor="text1"/>
          <w:sz w:val="24"/>
          <w:szCs w:val="24"/>
          <w:highlight w:val="none"/>
          <w14:textFill>
            <w14:solidFill>
              <w14:schemeClr w14:val="tx1"/>
            </w14:solidFill>
          </w14:textFill>
        </w:rPr>
        <w:t>规定法定代表人或授权委托人签字的页面必须签字。签字必须由本人在规定页面手写签名或签章后扫描上传。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widowControl/>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spacing w:line="400" w:lineRule="exact"/>
        <w:jc w:val="center"/>
        <w:rPr>
          <w:rFonts w:hint="eastAsia" w:ascii="宋体" w:hAnsi="宋体" w:eastAsia="宋体" w:cs="宋体"/>
          <w:color w:val="000000" w:themeColor="text1"/>
          <w:sz w:val="27"/>
          <w:szCs w:val="27"/>
          <w:highlight w:val="none"/>
          <w14:textFill>
            <w14:solidFill>
              <w14:schemeClr w14:val="tx1"/>
            </w14:solidFill>
          </w14:textFill>
        </w:rPr>
      </w:pPr>
      <w:bookmarkStart w:id="628" w:name="_Toc221951910"/>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r>
        <w:rPr>
          <w:rFonts w:hint="eastAsia" w:ascii="宋体" w:hAnsi="宋体" w:eastAsia="宋体" w:cs="宋体"/>
          <w:color w:val="000000" w:themeColor="text1"/>
          <w:sz w:val="27"/>
          <w:szCs w:val="27"/>
          <w:highlight w:val="none"/>
          <w14:textFill>
            <w14:solidFill>
              <w14:schemeClr w14:val="tx1"/>
            </w14:solidFill>
          </w14:textFill>
        </w:rPr>
        <w:t>（项目名称）</w:t>
      </w:r>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r>
        <w:rPr>
          <w:rFonts w:hint="eastAsia" w:ascii="宋体" w:hAnsi="宋体" w:eastAsia="宋体" w:cs="宋体"/>
          <w:color w:val="000000" w:themeColor="text1"/>
          <w:sz w:val="27"/>
          <w:szCs w:val="27"/>
          <w:highlight w:val="none"/>
          <w14:textFill>
            <w14:solidFill>
              <w14:schemeClr w14:val="tx1"/>
            </w14:solidFill>
          </w14:textFill>
        </w:rPr>
        <w:t xml:space="preserve">标段名称） </w:t>
      </w:r>
    </w:p>
    <w:bookmarkEnd w:id="628"/>
    <w:p>
      <w:pPr>
        <w:spacing w:line="400" w:lineRule="exact"/>
        <w:rPr>
          <w:rFonts w:hint="eastAsia" w:ascii="宋体" w:hAnsi="宋体" w:eastAsia="宋体" w:cs="宋体"/>
          <w:color w:val="000000" w:themeColor="text1"/>
          <w:sz w:val="35"/>
          <w:szCs w:val="35"/>
          <w:highlight w:val="none"/>
          <w14:textFill>
            <w14:solidFill>
              <w14:schemeClr w14:val="tx1"/>
            </w14:solidFill>
          </w14:textFill>
        </w:rPr>
      </w:pP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jc w:val="center"/>
        <w:rPr>
          <w:rFonts w:hint="eastAsia" w:ascii="宋体" w:hAnsi="宋体" w:eastAsia="宋体" w:cs="宋体"/>
          <w:color w:val="000000" w:themeColor="text1"/>
          <w:sz w:val="36"/>
          <w:szCs w:val="36"/>
          <w:highlight w:val="none"/>
          <w14:textFill>
            <w14:solidFill>
              <w14:schemeClr w14:val="tx1"/>
            </w14:solidFill>
          </w14:textFill>
        </w:rPr>
      </w:pP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jc w:val="center"/>
        <w:rPr>
          <w:rFonts w:hint="eastAsia" w:ascii="宋体" w:hAnsi="宋体" w:eastAsia="宋体" w:cs="宋体"/>
          <w:color w:val="000000" w:themeColor="text1"/>
          <w:sz w:val="42"/>
          <w:szCs w:val="42"/>
          <w:highlight w:val="none"/>
          <w14:textFill>
            <w14:solidFill>
              <w14:schemeClr w14:val="tx1"/>
            </w14:solidFill>
          </w14:textFill>
        </w:rPr>
      </w:pPr>
      <w:bookmarkStart w:id="629" w:name="_Toc221951911"/>
      <w:r>
        <w:rPr>
          <w:rFonts w:hint="eastAsia" w:ascii="宋体" w:hAnsi="宋体" w:eastAsia="宋体" w:cs="宋体"/>
          <w:color w:val="000000" w:themeColor="text1"/>
          <w:sz w:val="42"/>
          <w:szCs w:val="42"/>
          <w:highlight w:val="none"/>
          <w14:textFill>
            <w14:solidFill>
              <w14:schemeClr w14:val="tx1"/>
            </w14:solidFill>
          </w14:textFill>
        </w:rPr>
        <w:t>投  标  文  件</w:t>
      </w:r>
      <w:bookmarkEnd w:id="629"/>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rPr>
          <w:rFonts w:hint="eastAsia" w:ascii="宋体" w:hAnsi="宋体" w:eastAsia="宋体" w:cs="宋体"/>
          <w:color w:val="000000" w:themeColor="text1"/>
          <w:sz w:val="27"/>
          <w:szCs w:val="27"/>
          <w:highlight w:val="none"/>
          <w14:textFill>
            <w14:solidFill>
              <w14:schemeClr w14:val="tx1"/>
            </w14:solidFill>
          </w14:textFill>
        </w:rPr>
      </w:pPr>
    </w:p>
    <w:p>
      <w:pPr>
        <w:spacing w:line="400" w:lineRule="exact"/>
        <w:jc w:val="center"/>
        <w:rPr>
          <w:rFonts w:hint="eastAsia" w:ascii="宋体" w:hAnsi="宋体" w:eastAsia="宋体" w:cs="宋体"/>
          <w:color w:val="000000" w:themeColor="text1"/>
          <w:sz w:val="27"/>
          <w:szCs w:val="27"/>
          <w:highlight w:val="none"/>
          <w14:textFill>
            <w14:solidFill>
              <w14:schemeClr w14:val="tx1"/>
            </w14:solidFill>
          </w14:textFill>
        </w:rPr>
      </w:pPr>
      <w:bookmarkStart w:id="630" w:name="_Toc221951912"/>
      <w:r>
        <w:rPr>
          <w:rFonts w:hint="eastAsia" w:ascii="宋体" w:hAnsi="宋体" w:eastAsia="宋体" w:cs="宋体"/>
          <w:color w:val="000000" w:themeColor="text1"/>
          <w:sz w:val="27"/>
          <w:szCs w:val="27"/>
          <w:highlight w:val="none"/>
          <w14:textFill>
            <w14:solidFill>
              <w14:schemeClr w14:val="tx1"/>
            </w14:solidFill>
          </w14:textFill>
        </w:rPr>
        <w:t>投标人：</w:t>
      </w:r>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r>
        <w:rPr>
          <w:rFonts w:hint="eastAsia" w:ascii="宋体" w:hAnsi="宋体" w:eastAsia="宋体" w:cs="宋体"/>
          <w:color w:val="000000" w:themeColor="text1"/>
          <w:sz w:val="27"/>
          <w:szCs w:val="27"/>
          <w:highlight w:val="none"/>
          <w14:textFill>
            <w14:solidFill>
              <w14:schemeClr w14:val="tx1"/>
            </w14:solidFill>
          </w14:textFill>
        </w:rPr>
        <w:t>（盖单位章）</w:t>
      </w:r>
      <w:bookmarkEnd w:id="630"/>
    </w:p>
    <w:p>
      <w:pPr>
        <w:spacing w:line="400" w:lineRule="exact"/>
        <w:jc w:val="center"/>
        <w:rPr>
          <w:rFonts w:hint="eastAsia" w:ascii="宋体" w:hAnsi="宋体" w:eastAsia="宋体" w:cs="宋体"/>
          <w:color w:val="000000" w:themeColor="text1"/>
          <w:sz w:val="27"/>
          <w:szCs w:val="27"/>
          <w:highlight w:val="none"/>
          <w:u w:val="single"/>
          <w14:textFill>
            <w14:solidFill>
              <w14:schemeClr w14:val="tx1"/>
            </w14:solidFill>
          </w14:textFill>
        </w:rPr>
      </w:pPr>
    </w:p>
    <w:p>
      <w:pPr>
        <w:spacing w:line="400" w:lineRule="exact"/>
        <w:jc w:val="center"/>
        <w:rPr>
          <w:rFonts w:hint="eastAsia" w:ascii="宋体" w:hAnsi="宋体" w:eastAsia="宋体" w:cs="宋体"/>
          <w:color w:val="000000" w:themeColor="text1"/>
          <w:sz w:val="27"/>
          <w:szCs w:val="27"/>
          <w:highlight w:val="none"/>
          <w14:textFill>
            <w14:solidFill>
              <w14:schemeClr w14:val="tx1"/>
            </w14:solidFill>
          </w14:textFill>
        </w:rPr>
      </w:pPr>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bookmarkStart w:id="631" w:name="_Toc221951914"/>
      <w:r>
        <w:rPr>
          <w:rFonts w:hint="eastAsia" w:ascii="宋体" w:hAnsi="宋体" w:eastAsia="宋体" w:cs="宋体"/>
          <w:color w:val="000000" w:themeColor="text1"/>
          <w:sz w:val="27"/>
          <w:szCs w:val="27"/>
          <w:highlight w:val="none"/>
          <w14:textFill>
            <w14:solidFill>
              <w14:schemeClr w14:val="tx1"/>
            </w14:solidFill>
          </w14:textFill>
        </w:rPr>
        <w:t>年</w:t>
      </w:r>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r>
        <w:rPr>
          <w:rFonts w:hint="eastAsia" w:ascii="宋体" w:hAnsi="宋体" w:eastAsia="宋体" w:cs="宋体"/>
          <w:color w:val="000000" w:themeColor="text1"/>
          <w:sz w:val="27"/>
          <w:szCs w:val="27"/>
          <w:highlight w:val="none"/>
          <w14:textFill>
            <w14:solidFill>
              <w14:schemeClr w14:val="tx1"/>
            </w14:solidFill>
          </w14:textFill>
        </w:rPr>
        <w:t>月</w:t>
      </w:r>
      <w:r>
        <w:rPr>
          <w:rFonts w:hint="eastAsia" w:ascii="宋体" w:hAnsi="宋体" w:eastAsia="宋体" w:cs="宋体"/>
          <w:color w:val="000000" w:themeColor="text1"/>
          <w:sz w:val="27"/>
          <w:szCs w:val="27"/>
          <w:highlight w:val="none"/>
          <w:u w:val="single"/>
          <w14:textFill>
            <w14:solidFill>
              <w14:schemeClr w14:val="tx1"/>
            </w14:solidFill>
          </w14:textFill>
        </w:rPr>
        <w:t xml:space="preserve">         </w:t>
      </w:r>
      <w:r>
        <w:rPr>
          <w:rFonts w:hint="eastAsia" w:ascii="宋体" w:hAnsi="宋体" w:eastAsia="宋体" w:cs="宋体"/>
          <w:color w:val="000000" w:themeColor="text1"/>
          <w:sz w:val="27"/>
          <w:szCs w:val="27"/>
          <w:highlight w:val="none"/>
          <w14:textFill>
            <w14:solidFill>
              <w14:schemeClr w14:val="tx1"/>
            </w14:solidFill>
          </w14:textFill>
        </w:rPr>
        <w:t>日</w:t>
      </w:r>
      <w:bookmarkEnd w:id="631"/>
    </w:p>
    <w:p>
      <w:pPr>
        <w:spacing w:line="400" w:lineRule="exac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632" w:name="_Toc229305419"/>
      <w:bookmarkStart w:id="633" w:name="_Toc259524413"/>
      <w:bookmarkStart w:id="634" w:name="_Toc10758"/>
      <w:bookmarkStart w:id="635" w:name="_Toc17454950"/>
      <w:bookmarkStart w:id="636" w:name="_Toc17451651"/>
      <w:bookmarkStart w:id="637" w:name="_Toc17454899"/>
      <w:bookmarkStart w:id="638" w:name="_Toc2540"/>
      <w:bookmarkStart w:id="639" w:name="_Toc17452692"/>
      <w:bookmarkStart w:id="640" w:name="_Toc29091"/>
      <w:bookmarkStart w:id="641" w:name="_Toc18535"/>
      <w:bookmarkStart w:id="642" w:name="_Toc17451129"/>
      <w:bookmarkStart w:id="643" w:name="_Toc21654"/>
      <w:bookmarkStart w:id="644" w:name="_Toc4157"/>
      <w:bookmarkStart w:id="645" w:name="_Toc17451606"/>
      <w:bookmarkStart w:id="646" w:name="_Toc17556959"/>
      <w:bookmarkStart w:id="647" w:name="_Toc17556904"/>
      <w:r>
        <w:rPr>
          <w:rFonts w:hint="eastAsia" w:ascii="宋体" w:hAnsi="宋体" w:eastAsia="宋体" w:cs="宋体"/>
          <w:color w:val="000000" w:themeColor="text1"/>
          <w:sz w:val="28"/>
          <w:szCs w:val="27"/>
          <w:highlight w:val="none"/>
          <w14:textFill>
            <w14:solidFill>
              <w14:schemeClr w14:val="tx1"/>
            </w14:solidFill>
          </w14:textFill>
        </w:rPr>
        <w:t>目    录</w:t>
      </w:r>
      <w:bookmarkEnd w:id="632"/>
      <w:bookmarkEnd w:id="633"/>
      <w:r>
        <w:rPr>
          <w:rFonts w:hint="eastAsia" w:ascii="宋体" w:hAnsi="宋体" w:eastAsia="宋体" w:cs="宋体"/>
          <w:color w:val="000000" w:themeColor="text1"/>
          <w:szCs w:val="21"/>
          <w:highlight w:val="none"/>
          <w14:textFill>
            <w14:solidFill>
              <w14:schemeClr w14:val="tx1"/>
            </w14:solidFill>
          </w14:textFill>
        </w:rPr>
        <w:t>（可加上二级目录）</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pPr>
        <w:spacing w:line="400" w:lineRule="exact"/>
        <w:rPr>
          <w:rFonts w:hint="eastAsia" w:ascii="宋体" w:hAnsi="宋体" w:eastAsia="宋体" w:cs="宋体"/>
          <w:color w:val="000000" w:themeColor="text1"/>
          <w:sz w:val="20"/>
          <w:szCs w:val="20"/>
          <w:highlight w:val="none"/>
          <w14:textFill>
            <w14:solidFill>
              <w14:schemeClr w14:val="tx1"/>
            </w14:solidFill>
          </w14:textFill>
        </w:rPr>
      </w:pPr>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48" w:name="_Toc221951916"/>
      <w:r>
        <w:rPr>
          <w:rFonts w:hint="eastAsia" w:ascii="宋体" w:hAnsi="宋体" w:eastAsia="宋体" w:cs="宋体"/>
          <w:color w:val="000000" w:themeColor="text1"/>
          <w:sz w:val="27"/>
          <w:szCs w:val="27"/>
          <w:highlight w:val="none"/>
          <w14:textFill>
            <w14:solidFill>
              <w14:schemeClr w14:val="tx1"/>
            </w14:solidFill>
          </w14:textFill>
        </w:rPr>
        <w:t>一、投标函及投标函附录</w:t>
      </w:r>
      <w:bookmarkEnd w:id="648"/>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49" w:name="_Toc221951917"/>
      <w:r>
        <w:rPr>
          <w:rFonts w:hint="eastAsia" w:ascii="宋体" w:hAnsi="宋体" w:eastAsia="宋体" w:cs="宋体"/>
          <w:color w:val="000000" w:themeColor="text1"/>
          <w:sz w:val="27"/>
          <w:szCs w:val="27"/>
          <w:highlight w:val="none"/>
          <w14:textFill>
            <w14:solidFill>
              <w14:schemeClr w14:val="tx1"/>
            </w14:solidFill>
          </w14:textFill>
        </w:rPr>
        <w:t>二、法定代表人身份证明或附有法定代表人身份证明的授权委托书</w:t>
      </w:r>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r>
        <w:rPr>
          <w:rFonts w:hint="eastAsia" w:ascii="宋体" w:hAnsi="宋体" w:eastAsia="宋体" w:cs="宋体"/>
          <w:color w:val="000000" w:themeColor="text1"/>
          <w:sz w:val="27"/>
          <w:szCs w:val="27"/>
          <w:highlight w:val="none"/>
          <w14:textFill>
            <w14:solidFill>
              <w14:schemeClr w14:val="tx1"/>
            </w14:solidFill>
          </w14:textFill>
        </w:rPr>
        <w:t>三、</w:t>
      </w:r>
      <w:bookmarkEnd w:id="649"/>
      <w:bookmarkStart w:id="650" w:name="_Toc221951918"/>
      <w:r>
        <w:rPr>
          <w:rFonts w:hint="eastAsia" w:ascii="宋体" w:hAnsi="宋体" w:eastAsia="宋体" w:cs="宋体"/>
          <w:color w:val="000000" w:themeColor="text1"/>
          <w:sz w:val="27"/>
          <w:szCs w:val="27"/>
          <w:highlight w:val="none"/>
          <w14:textFill>
            <w14:solidFill>
              <w14:schemeClr w14:val="tx1"/>
            </w14:solidFill>
          </w14:textFill>
        </w:rPr>
        <w:t>联合体协议书（若有）</w:t>
      </w:r>
      <w:bookmarkEnd w:id="650"/>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1" w:name="_Toc221951919"/>
      <w:r>
        <w:rPr>
          <w:rFonts w:hint="eastAsia" w:ascii="宋体" w:hAnsi="宋体" w:eastAsia="宋体" w:cs="宋体"/>
          <w:color w:val="000000" w:themeColor="text1"/>
          <w:sz w:val="27"/>
          <w:szCs w:val="27"/>
          <w:highlight w:val="none"/>
          <w14:textFill>
            <w14:solidFill>
              <w14:schemeClr w14:val="tx1"/>
            </w14:solidFill>
          </w14:textFill>
        </w:rPr>
        <w:t>四、投标保证金</w:t>
      </w:r>
      <w:bookmarkEnd w:id="651"/>
      <w:r>
        <w:rPr>
          <w:rFonts w:hint="eastAsia" w:ascii="宋体" w:hAnsi="宋体" w:eastAsia="宋体" w:cs="宋体"/>
          <w:color w:val="000000" w:themeColor="text1"/>
          <w:sz w:val="27"/>
          <w:szCs w:val="27"/>
          <w:highlight w:val="none"/>
          <w14:textFill>
            <w14:solidFill>
              <w14:schemeClr w14:val="tx1"/>
            </w14:solidFill>
          </w14:textFill>
        </w:rPr>
        <w:t xml:space="preserve"> </w:t>
      </w:r>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2" w:name="_Toc221951920"/>
      <w:r>
        <w:rPr>
          <w:rFonts w:hint="eastAsia" w:ascii="宋体" w:hAnsi="宋体" w:eastAsia="宋体" w:cs="宋体"/>
          <w:color w:val="000000" w:themeColor="text1"/>
          <w:sz w:val="27"/>
          <w:szCs w:val="27"/>
          <w:highlight w:val="none"/>
          <w14:textFill>
            <w14:solidFill>
              <w14:schemeClr w14:val="tx1"/>
            </w14:solidFill>
          </w14:textFill>
        </w:rPr>
        <w:t>五、已标价工程量清单</w:t>
      </w:r>
      <w:bookmarkEnd w:id="652"/>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3" w:name="_Toc221951921"/>
      <w:r>
        <w:rPr>
          <w:rFonts w:hint="eastAsia" w:ascii="宋体" w:hAnsi="宋体" w:eastAsia="宋体" w:cs="宋体"/>
          <w:color w:val="000000" w:themeColor="text1"/>
          <w:sz w:val="27"/>
          <w:szCs w:val="27"/>
          <w:highlight w:val="none"/>
          <w14:textFill>
            <w14:solidFill>
              <w14:schemeClr w14:val="tx1"/>
            </w14:solidFill>
          </w14:textFill>
        </w:rPr>
        <w:t>六、施工组织设计</w:t>
      </w:r>
      <w:bookmarkEnd w:id="653"/>
      <w:r>
        <w:rPr>
          <w:rFonts w:hint="eastAsia" w:ascii="宋体" w:hAnsi="宋体" w:eastAsia="宋体" w:cs="宋体"/>
          <w:color w:val="000000" w:themeColor="text1"/>
          <w:sz w:val="27"/>
          <w:szCs w:val="27"/>
          <w:highlight w:val="none"/>
          <w14:textFill>
            <w14:solidFill>
              <w14:schemeClr w14:val="tx1"/>
            </w14:solidFill>
          </w14:textFill>
        </w:rPr>
        <w:t>（或施工组织设计要点）</w:t>
      </w:r>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4" w:name="_Toc221951922"/>
      <w:r>
        <w:rPr>
          <w:rFonts w:hint="eastAsia" w:ascii="宋体" w:hAnsi="宋体" w:eastAsia="宋体" w:cs="宋体"/>
          <w:color w:val="000000" w:themeColor="text1"/>
          <w:sz w:val="27"/>
          <w:szCs w:val="27"/>
          <w:highlight w:val="none"/>
          <w14:textFill>
            <w14:solidFill>
              <w14:schemeClr w14:val="tx1"/>
            </w14:solidFill>
          </w14:textFill>
        </w:rPr>
        <w:t>七、项目管理机构</w:t>
      </w:r>
      <w:bookmarkEnd w:id="654"/>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5" w:name="_Toc221951924"/>
      <w:r>
        <w:rPr>
          <w:rFonts w:hint="eastAsia" w:ascii="宋体" w:hAnsi="宋体" w:eastAsia="宋体" w:cs="宋体"/>
          <w:color w:val="000000" w:themeColor="text1"/>
          <w:sz w:val="27"/>
          <w:szCs w:val="27"/>
          <w:highlight w:val="none"/>
          <w14:textFill>
            <w14:solidFill>
              <w14:schemeClr w14:val="tx1"/>
            </w14:solidFill>
          </w14:textFill>
        </w:rPr>
        <w:t>八、资格审查资料</w:t>
      </w:r>
      <w:bookmarkEnd w:id="655"/>
    </w:p>
    <w:p>
      <w:pPr>
        <w:spacing w:line="276" w:lineRule="auto"/>
        <w:rPr>
          <w:rFonts w:hint="eastAsia" w:ascii="宋体" w:hAnsi="宋体" w:eastAsia="宋体" w:cs="宋体"/>
          <w:color w:val="000000" w:themeColor="text1"/>
          <w:sz w:val="27"/>
          <w:szCs w:val="27"/>
          <w:highlight w:val="none"/>
          <w14:textFill>
            <w14:solidFill>
              <w14:schemeClr w14:val="tx1"/>
            </w14:solidFill>
          </w14:textFill>
        </w:rPr>
      </w:pPr>
      <w:bookmarkStart w:id="656" w:name="_Toc221951925"/>
      <w:r>
        <w:rPr>
          <w:rFonts w:hint="eastAsia" w:ascii="宋体" w:hAnsi="宋体" w:eastAsia="宋体" w:cs="宋体"/>
          <w:color w:val="000000" w:themeColor="text1"/>
          <w:sz w:val="27"/>
          <w:szCs w:val="27"/>
          <w:highlight w:val="none"/>
          <w14:textFill>
            <w14:solidFill>
              <w14:schemeClr w14:val="tx1"/>
            </w14:solidFill>
          </w14:textFill>
        </w:rPr>
        <w:t>九、</w:t>
      </w:r>
      <w:bookmarkEnd w:id="656"/>
      <w:r>
        <w:rPr>
          <w:rFonts w:hint="eastAsia" w:ascii="宋体" w:hAnsi="宋体" w:eastAsia="宋体" w:cs="宋体"/>
          <w:color w:val="000000" w:themeColor="text1"/>
          <w:sz w:val="27"/>
          <w:szCs w:val="27"/>
          <w:highlight w:val="none"/>
          <w14:textFill>
            <w14:solidFill>
              <w14:schemeClr w14:val="tx1"/>
            </w14:solidFill>
          </w14:textFill>
        </w:rPr>
        <w:t>投标人须知前附表规定的其他材料</w:t>
      </w:r>
    </w:p>
    <w:p>
      <w:pPr>
        <w:spacing w:line="276" w:lineRule="auto"/>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657" w:name="_Toc17454951"/>
      <w:bookmarkStart w:id="658" w:name="_Toc144974857"/>
      <w:bookmarkStart w:id="659" w:name="_Toc222031062"/>
      <w:bookmarkStart w:id="660" w:name="_Toc222029560"/>
      <w:bookmarkStart w:id="661" w:name="_Toc27839"/>
      <w:bookmarkStart w:id="662" w:name="_Toc168475915"/>
      <w:bookmarkStart w:id="663" w:name="_Toc222033911"/>
      <w:bookmarkStart w:id="664" w:name="_Toc3469"/>
      <w:bookmarkStart w:id="665" w:name="_Toc259524414"/>
      <w:bookmarkStart w:id="666" w:name="_Toc222032729"/>
      <w:bookmarkStart w:id="667" w:name="_Toc229305420"/>
      <w:bookmarkStart w:id="668" w:name="_Toc17451652"/>
      <w:bookmarkStart w:id="669" w:name="_Toc23185"/>
      <w:bookmarkStart w:id="670" w:name="_Toc13563"/>
      <w:bookmarkStart w:id="671" w:name="_Toc17556960"/>
      <w:bookmarkStart w:id="672" w:name="_Toc168476318"/>
      <w:bookmarkStart w:id="673" w:name="_Toc17454900"/>
      <w:bookmarkStart w:id="674" w:name="_Toc17452693"/>
      <w:bookmarkStart w:id="675" w:name="_Toc17451130"/>
      <w:bookmarkStart w:id="676" w:name="_Toc32529"/>
      <w:bookmarkStart w:id="677" w:name="_Toc17556905"/>
      <w:bookmarkStart w:id="678" w:name="_Toc17451607"/>
      <w:bookmarkStart w:id="679" w:name="_Toc221951926"/>
      <w:bookmarkStart w:id="680" w:name="_Toc29643"/>
      <w:r>
        <w:rPr>
          <w:rFonts w:hint="eastAsia" w:ascii="宋体" w:hAnsi="宋体" w:eastAsia="宋体" w:cs="宋体"/>
          <w:color w:val="000000" w:themeColor="text1"/>
          <w:sz w:val="28"/>
          <w:szCs w:val="27"/>
          <w:highlight w:val="none"/>
          <w14:textFill>
            <w14:solidFill>
              <w14:schemeClr w14:val="tx1"/>
            </w14:solidFill>
          </w14:textFill>
        </w:rPr>
        <w:t>一、投标函及投标函附录</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spacing w:line="400" w:lineRule="exact"/>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681" w:name="_Toc144974858"/>
      <w:bookmarkStart w:id="682" w:name="_Toc221951927"/>
      <w:bookmarkStart w:id="683" w:name="_Toc168475916"/>
      <w:bookmarkStart w:id="684" w:name="_Toc168476319"/>
      <w:r>
        <w:rPr>
          <w:rFonts w:hint="eastAsia" w:ascii="宋体" w:hAnsi="宋体" w:eastAsia="宋体" w:cs="宋体"/>
          <w:b/>
          <w:color w:val="000000" w:themeColor="text1"/>
          <w:sz w:val="24"/>
          <w:szCs w:val="31"/>
          <w:highlight w:val="none"/>
          <w14:textFill>
            <w14:solidFill>
              <w14:schemeClr w14:val="tx1"/>
            </w14:solidFill>
          </w14:textFill>
        </w:rPr>
        <w:t>（一）投标函</w:t>
      </w:r>
      <w:bookmarkEnd w:id="681"/>
      <w:bookmarkEnd w:id="682"/>
      <w:bookmarkEnd w:id="683"/>
      <w:bookmarkEnd w:id="684"/>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685" w:name="_Toc221951928"/>
      <w:r>
        <w:rPr>
          <w:rFonts w:hint="eastAsia" w:ascii="宋体" w:hAnsi="宋体" w:eastAsia="宋体" w:cs="宋体"/>
          <w:color w:val="000000" w:themeColor="text1"/>
          <w:szCs w:val="21"/>
          <w:highlight w:val="none"/>
          <w14:textFill>
            <w14:solidFill>
              <w14:schemeClr w14:val="tx1"/>
            </w14:solidFill>
          </w14:textFill>
        </w:rPr>
        <w:t>（招标人名称）：</w:t>
      </w:r>
      <w:bookmarkEnd w:id="685"/>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686" w:name="_Toc221951929"/>
      <w:r>
        <w:rPr>
          <w:rFonts w:hint="eastAsia" w:ascii="宋体" w:hAnsi="宋体" w:eastAsia="宋体" w:cs="宋体"/>
          <w:color w:val="000000" w:themeColor="text1"/>
          <w:szCs w:val="21"/>
          <w:highlight w:val="none"/>
          <w14:textFill>
            <w14:solidFill>
              <w14:schemeClr w14:val="tx1"/>
            </w14:solidFill>
          </w14:textFill>
        </w:rPr>
        <w:t>1．我方已仔细研究了</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（项目名称）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（标段名称）招标文件的全部内容，愿意以人民币（大写）</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元（¥</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）的投标总报价，工期</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，按合同约定实施和完成承包工程，修补工程中的任何缺陷，工程质量达到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bookmarkEnd w:id="686"/>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687" w:name="_Toc221951930"/>
      <w:r>
        <w:rPr>
          <w:rFonts w:hint="eastAsia" w:ascii="宋体" w:hAnsi="宋体" w:eastAsia="宋体" w:cs="宋体"/>
          <w:color w:val="000000" w:themeColor="text1"/>
          <w:szCs w:val="21"/>
          <w:highlight w:val="none"/>
          <w14:textFill>
            <w14:solidFill>
              <w14:schemeClr w14:val="tx1"/>
            </w14:solidFill>
          </w14:textFill>
        </w:rPr>
        <w:t>2．我方承诺在投标有效期内不补充、修改、替代或撤回本投标文件。</w:t>
      </w:r>
      <w:bookmarkEnd w:id="687"/>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688" w:name="_Toc221951931"/>
      <w:r>
        <w:rPr>
          <w:rFonts w:hint="eastAsia" w:ascii="宋体" w:hAnsi="宋体" w:eastAsia="宋体" w:cs="宋体"/>
          <w:color w:val="000000" w:themeColor="text1"/>
          <w:szCs w:val="21"/>
          <w:highlight w:val="none"/>
          <w14:textFill>
            <w14:solidFill>
              <w14:schemeClr w14:val="tx1"/>
            </w14:solidFill>
          </w14:textFill>
        </w:rPr>
        <w:t>3． 随同本投标函提交投标保证金一份，金额为人民币（大写）</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元（¥</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元 ）。</w:t>
      </w:r>
      <w:bookmarkEnd w:id="688"/>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689" w:name="_Toc221951932"/>
      <w:r>
        <w:rPr>
          <w:rFonts w:hint="eastAsia" w:ascii="宋体" w:hAnsi="宋体" w:eastAsia="宋体" w:cs="宋体"/>
          <w:color w:val="000000" w:themeColor="text1"/>
          <w:szCs w:val="21"/>
          <w:highlight w:val="none"/>
          <w14:textFill>
            <w14:solidFill>
              <w14:schemeClr w14:val="tx1"/>
            </w14:solidFill>
          </w14:textFill>
        </w:rPr>
        <w:t>4．如我方中标：</w:t>
      </w:r>
      <w:bookmarkEnd w:id="689"/>
    </w:p>
    <w:p>
      <w:pPr>
        <w:spacing w:line="400" w:lineRule="exact"/>
        <w:ind w:firstLine="718" w:firstLineChars="342"/>
        <w:rPr>
          <w:rFonts w:hint="eastAsia" w:ascii="宋体" w:hAnsi="宋体" w:eastAsia="宋体" w:cs="宋体"/>
          <w:color w:val="000000" w:themeColor="text1"/>
          <w:szCs w:val="21"/>
          <w:highlight w:val="none"/>
          <w14:textFill>
            <w14:solidFill>
              <w14:schemeClr w14:val="tx1"/>
            </w14:solidFill>
          </w14:textFill>
        </w:rPr>
      </w:pPr>
      <w:bookmarkStart w:id="690" w:name="_Toc221951933"/>
      <w:r>
        <w:rPr>
          <w:rFonts w:hint="eastAsia" w:ascii="宋体" w:hAnsi="宋体" w:eastAsia="宋体" w:cs="宋体"/>
          <w:color w:val="000000" w:themeColor="text1"/>
          <w:szCs w:val="21"/>
          <w:highlight w:val="none"/>
          <w14:textFill>
            <w14:solidFill>
              <w14:schemeClr w14:val="tx1"/>
            </w14:solidFill>
          </w14:textFill>
        </w:rPr>
        <w:t>（1）我方承诺在收到中标通知书后，在中标通知书规定的期限内与你方签订合同。</w:t>
      </w:r>
      <w:bookmarkEnd w:id="690"/>
    </w:p>
    <w:p>
      <w:pPr>
        <w:spacing w:line="400" w:lineRule="exact"/>
        <w:ind w:firstLine="718" w:firstLineChars="342"/>
        <w:rPr>
          <w:rFonts w:hint="eastAsia" w:ascii="宋体" w:hAnsi="宋体" w:eastAsia="宋体" w:cs="宋体"/>
          <w:color w:val="000000" w:themeColor="text1"/>
          <w:szCs w:val="21"/>
          <w:highlight w:val="none"/>
          <w14:textFill>
            <w14:solidFill>
              <w14:schemeClr w14:val="tx1"/>
            </w14:solidFill>
          </w14:textFill>
        </w:rPr>
      </w:pPr>
      <w:bookmarkStart w:id="691" w:name="_Toc221951934"/>
      <w:r>
        <w:rPr>
          <w:rFonts w:hint="eastAsia" w:ascii="宋体" w:hAnsi="宋体" w:eastAsia="宋体" w:cs="宋体"/>
          <w:color w:val="000000" w:themeColor="text1"/>
          <w:szCs w:val="21"/>
          <w:highlight w:val="none"/>
          <w14:textFill>
            <w14:solidFill>
              <w14:schemeClr w14:val="tx1"/>
            </w14:solidFill>
          </w14:textFill>
        </w:rPr>
        <w:t>（2）随同本投标函递交的投标函附录属于合同文件的组成部分。</w:t>
      </w:r>
      <w:bookmarkEnd w:id="691"/>
    </w:p>
    <w:p>
      <w:pPr>
        <w:spacing w:line="400" w:lineRule="exact"/>
        <w:ind w:firstLine="718" w:firstLineChars="342"/>
        <w:rPr>
          <w:rFonts w:hint="eastAsia" w:ascii="宋体" w:hAnsi="宋体" w:eastAsia="宋体" w:cs="宋体"/>
          <w:color w:val="000000" w:themeColor="text1"/>
          <w:szCs w:val="21"/>
          <w:highlight w:val="none"/>
          <w14:textFill>
            <w14:solidFill>
              <w14:schemeClr w14:val="tx1"/>
            </w14:solidFill>
          </w14:textFill>
        </w:rPr>
      </w:pPr>
      <w:bookmarkStart w:id="692" w:name="_Toc221951935"/>
      <w:r>
        <w:rPr>
          <w:rFonts w:hint="eastAsia" w:ascii="宋体" w:hAnsi="宋体" w:eastAsia="宋体" w:cs="宋体"/>
          <w:color w:val="000000" w:themeColor="text1"/>
          <w:szCs w:val="21"/>
          <w:highlight w:val="none"/>
          <w14:textFill>
            <w14:solidFill>
              <w14:schemeClr w14:val="tx1"/>
            </w14:solidFill>
          </w14:textFill>
        </w:rPr>
        <w:t>（3）我方承诺按照招标文件规定向你方递交履约担保。</w:t>
      </w:r>
      <w:bookmarkEnd w:id="692"/>
    </w:p>
    <w:p>
      <w:pPr>
        <w:spacing w:line="400" w:lineRule="exact"/>
        <w:ind w:firstLine="718" w:firstLineChars="342"/>
        <w:rPr>
          <w:rFonts w:hint="eastAsia" w:ascii="宋体" w:hAnsi="宋体" w:eastAsia="宋体" w:cs="宋体"/>
          <w:color w:val="000000" w:themeColor="text1"/>
          <w:szCs w:val="21"/>
          <w:highlight w:val="none"/>
          <w14:textFill>
            <w14:solidFill>
              <w14:schemeClr w14:val="tx1"/>
            </w14:solidFill>
          </w14:textFill>
        </w:rPr>
      </w:pPr>
      <w:bookmarkStart w:id="693" w:name="_Toc221951936"/>
      <w:r>
        <w:rPr>
          <w:rFonts w:hint="eastAsia" w:ascii="宋体" w:hAnsi="宋体" w:eastAsia="宋体" w:cs="宋体"/>
          <w:color w:val="000000" w:themeColor="text1"/>
          <w:szCs w:val="21"/>
          <w:highlight w:val="none"/>
          <w14:textFill>
            <w14:solidFill>
              <w14:schemeClr w14:val="tx1"/>
            </w14:solidFill>
          </w14:textFill>
        </w:rPr>
        <w:t>（4）我方承诺在合同约定的期限内完成并移交全部合同工程。</w:t>
      </w:r>
      <w:bookmarkEnd w:id="693"/>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694" w:name="_Toc221951937"/>
      <w:r>
        <w:rPr>
          <w:rFonts w:hint="eastAsia" w:ascii="宋体" w:hAnsi="宋体" w:eastAsia="宋体" w:cs="宋体"/>
          <w:color w:val="000000" w:themeColor="text1"/>
          <w:szCs w:val="21"/>
          <w:highlight w:val="none"/>
          <w14:textFill>
            <w14:solidFill>
              <w14:schemeClr w14:val="tx1"/>
            </w14:solidFill>
          </w14:textFill>
        </w:rPr>
        <w:t>5．我方在此声明，所递交的投标文件及有关资料内容完整、真实和准确，且不存在第二章“投标人须知”第1.4.2和第1.4.3项规定的任何一种情形。</w:t>
      </w:r>
      <w:bookmarkEnd w:id="694"/>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695" w:name="_Toc221951938"/>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（其他补充说明）。</w:t>
      </w:r>
      <w:bookmarkEnd w:id="695"/>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696" w:name="_Toc221951939"/>
      <w:r>
        <w:rPr>
          <w:rFonts w:hint="eastAsia" w:ascii="宋体" w:hAnsi="宋体" w:eastAsia="宋体" w:cs="宋体"/>
          <w:color w:val="000000" w:themeColor="text1"/>
          <w:szCs w:val="21"/>
          <w:highlight w:val="none"/>
          <w14:textFill>
            <w14:solidFill>
              <w14:schemeClr w14:val="tx1"/>
            </w14:solidFill>
          </w14:textFill>
        </w:rPr>
        <w:t>投 标 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（盖单位章）</w:t>
      </w:r>
      <w:bookmarkEnd w:id="696"/>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697" w:name="_Toc221951941"/>
      <w:r>
        <w:rPr>
          <w:rFonts w:hint="eastAsia" w:ascii="宋体" w:hAnsi="宋体" w:eastAsia="宋体" w:cs="宋体"/>
          <w:color w:val="000000" w:themeColor="text1"/>
          <w:szCs w:val="21"/>
          <w:highlight w:val="none"/>
          <w14:textFill>
            <w14:solidFill>
              <w14:schemeClr w14:val="tx1"/>
            </w14:solidFill>
          </w14:textFill>
        </w:rPr>
        <w:t>地址：</w:t>
      </w:r>
      <w:bookmarkEnd w:id="697"/>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698" w:name="_Toc221951942"/>
      <w:r>
        <w:rPr>
          <w:rFonts w:hint="eastAsia" w:ascii="宋体" w:hAnsi="宋体" w:eastAsia="宋体" w:cs="宋体"/>
          <w:color w:val="000000" w:themeColor="text1"/>
          <w:szCs w:val="21"/>
          <w:highlight w:val="none"/>
          <w14:textFill>
            <w14:solidFill>
              <w14:schemeClr w14:val="tx1"/>
            </w14:solidFill>
          </w14:textFill>
        </w:rPr>
        <w:t>网址：</w:t>
      </w:r>
      <w:bookmarkEnd w:id="698"/>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699" w:name="_Toc221951943"/>
      <w:r>
        <w:rPr>
          <w:rFonts w:hint="eastAsia" w:ascii="宋体" w:hAnsi="宋体" w:eastAsia="宋体" w:cs="宋体"/>
          <w:color w:val="000000" w:themeColor="text1"/>
          <w:szCs w:val="21"/>
          <w:highlight w:val="none"/>
          <w14:textFill>
            <w14:solidFill>
              <w14:schemeClr w14:val="tx1"/>
            </w14:solidFill>
          </w14:textFill>
        </w:rPr>
        <w:t>电话：</w:t>
      </w:r>
      <w:bookmarkEnd w:id="699"/>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700" w:name="_Toc221951944"/>
      <w:r>
        <w:rPr>
          <w:rFonts w:hint="eastAsia" w:ascii="宋体" w:hAnsi="宋体" w:eastAsia="宋体" w:cs="宋体"/>
          <w:color w:val="000000" w:themeColor="text1"/>
          <w:szCs w:val="21"/>
          <w:highlight w:val="none"/>
          <w14:textFill>
            <w14:solidFill>
              <w14:schemeClr w14:val="tx1"/>
            </w14:solidFill>
          </w14:textFill>
        </w:rPr>
        <w:t>传真：</w:t>
      </w:r>
      <w:bookmarkEnd w:id="700"/>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bookmarkStart w:id="701" w:name="_Toc221951945"/>
      <w:r>
        <w:rPr>
          <w:rFonts w:hint="eastAsia" w:ascii="宋体" w:hAnsi="宋体" w:eastAsia="宋体" w:cs="宋体"/>
          <w:color w:val="000000" w:themeColor="text1"/>
          <w:szCs w:val="21"/>
          <w:highlight w:val="none"/>
          <w14:textFill>
            <w14:solidFill>
              <w14:schemeClr w14:val="tx1"/>
            </w14:solidFill>
          </w14:textFill>
        </w:rPr>
        <w:t>邮政编码：</w:t>
      </w:r>
      <w:bookmarkEnd w:id="701"/>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675" w:firstLineChars="1750"/>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4725" w:firstLineChars="2250"/>
        <w:jc w:val="right"/>
        <w:rPr>
          <w:rFonts w:hint="eastAsia" w:ascii="宋体" w:hAnsi="宋体" w:eastAsia="宋体" w:cs="宋体"/>
          <w:color w:val="000000" w:themeColor="text1"/>
          <w:szCs w:val="21"/>
          <w:highlight w:val="none"/>
          <w14:textFill>
            <w14:solidFill>
              <w14:schemeClr w14:val="tx1"/>
            </w14:solidFill>
          </w14:textFill>
        </w:rPr>
      </w:pPr>
      <w:bookmarkStart w:id="702" w:name="_Toc221951946"/>
      <w:r>
        <w:rPr>
          <w:rFonts w:hint="eastAsia" w:ascii="宋体" w:hAnsi="宋体" w:eastAsia="宋体" w:cs="宋体"/>
          <w:color w:val="000000" w:themeColor="text1"/>
          <w:szCs w:val="21"/>
          <w:highlight w:val="none"/>
          <w:u w:val="single"/>
          <w14:textFill>
            <w14:solidFill>
              <w14:schemeClr w14:val="tx1"/>
            </w14:solidFill>
          </w14:textFill>
        </w:rPr>
        <w:t>___   __</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__   __</w:t>
      </w:r>
      <w:r>
        <w:rPr>
          <w:rFonts w:hint="eastAsia" w:ascii="宋体" w:hAnsi="宋体" w:eastAsia="宋体" w:cs="宋体"/>
          <w:color w:val="000000" w:themeColor="text1"/>
          <w:szCs w:val="21"/>
          <w:highlight w:val="none"/>
          <w14:textFill>
            <w14:solidFill>
              <w14:schemeClr w14:val="tx1"/>
            </w14:solidFill>
          </w14:textFill>
        </w:rPr>
        <w:t>月__</w:t>
      </w:r>
      <w:r>
        <w:rPr>
          <w:rFonts w:hint="eastAsia" w:ascii="宋体" w:hAnsi="宋体" w:eastAsia="宋体" w:cs="宋体"/>
          <w:color w:val="000000" w:themeColor="text1"/>
          <w:szCs w:val="21"/>
          <w:highlight w:val="none"/>
          <w:u w:val="single"/>
          <w14:textFill>
            <w14:solidFill>
              <w14:schemeClr w14:val="tx1"/>
            </w14:solidFill>
          </w14:textFill>
        </w:rPr>
        <w:t>_  _</w:t>
      </w:r>
      <w:r>
        <w:rPr>
          <w:rFonts w:hint="eastAsia" w:ascii="宋体" w:hAnsi="宋体" w:eastAsia="宋体" w:cs="宋体"/>
          <w:color w:val="000000" w:themeColor="text1"/>
          <w:szCs w:val="21"/>
          <w:highlight w:val="none"/>
          <w14:textFill>
            <w14:solidFill>
              <w14:schemeClr w14:val="tx1"/>
            </w14:solidFill>
          </w14:textFill>
        </w:rPr>
        <w:t>日</w:t>
      </w:r>
      <w:bookmarkEnd w:id="702"/>
    </w:p>
    <w:p>
      <w:pPr>
        <w:spacing w:line="400" w:lineRule="exact"/>
        <w:rPr>
          <w:rFonts w:hint="eastAsia" w:ascii="宋体" w:hAnsi="宋体" w:eastAsia="宋体" w:cs="宋体"/>
          <w:color w:val="000000" w:themeColor="text1"/>
          <w:sz w:val="20"/>
          <w:szCs w:val="20"/>
          <w:highlight w:val="none"/>
          <w14:textFill>
            <w14:solidFill>
              <w14:schemeClr w14:val="tx1"/>
            </w14:solidFill>
          </w14:textFill>
        </w:rPr>
      </w:pPr>
    </w:p>
    <w:p>
      <w:pPr>
        <w:spacing w:line="400" w:lineRule="exact"/>
        <w:rPr>
          <w:rFonts w:hint="eastAsia" w:ascii="宋体" w:hAnsi="宋体" w:eastAsia="宋体" w:cs="宋体"/>
          <w:b/>
          <w:bCs/>
          <w:color w:val="000000" w:themeColor="text1"/>
          <w:sz w:val="36"/>
          <w:szCs w:val="36"/>
          <w:highlight w:val="none"/>
          <w:lang w:val="zh-CN"/>
          <w14:textFill>
            <w14:solidFill>
              <w14:schemeClr w14:val="tx1"/>
            </w14:solidFill>
          </w14:textFill>
        </w:rPr>
      </w:pPr>
      <w:r>
        <w:rPr>
          <w:rFonts w:hint="eastAsia" w:ascii="宋体" w:hAnsi="宋体" w:eastAsia="宋体" w:cs="宋体"/>
          <w:color w:val="000000" w:themeColor="text1"/>
          <w:sz w:val="19"/>
          <w:szCs w:val="19"/>
          <w:highlight w:val="none"/>
          <w14:textFill>
            <w14:solidFill>
              <w14:schemeClr w14:val="tx1"/>
            </w14:solidFill>
          </w14:textFill>
        </w:rPr>
        <w:br w:type="page"/>
      </w:r>
      <w:bookmarkStart w:id="703" w:name="_Toc168476320"/>
      <w:bookmarkStart w:id="704" w:name="_Toc221951947"/>
      <w:bookmarkStart w:id="705" w:name="_Toc168475917"/>
      <w:bookmarkStart w:id="706" w:name="_Toc144974859"/>
      <w:r>
        <w:rPr>
          <w:rFonts w:hint="eastAsia" w:ascii="宋体" w:hAnsi="宋体" w:eastAsia="宋体" w:cs="宋体"/>
          <w:b/>
          <w:color w:val="000000" w:themeColor="text1"/>
          <w:sz w:val="24"/>
          <w:szCs w:val="31"/>
          <w:highlight w:val="none"/>
          <w14:textFill>
            <w14:solidFill>
              <w14:schemeClr w14:val="tx1"/>
            </w14:solidFill>
          </w14:textFill>
        </w:rPr>
        <w:t>（二）</w:t>
      </w:r>
      <w:r>
        <w:rPr>
          <w:rFonts w:hint="eastAsia" w:ascii="宋体" w:hAnsi="宋体" w:eastAsia="宋体" w:cs="宋体"/>
          <w:color w:val="000000" w:themeColor="text1"/>
          <w:sz w:val="28"/>
          <w:szCs w:val="27"/>
          <w:highlight w:val="none"/>
          <w14:textFill>
            <w14:solidFill>
              <w14:schemeClr w14:val="tx1"/>
            </w14:solidFill>
          </w14:textFill>
        </w:rPr>
        <w:t>投标函附录</w:t>
      </w:r>
    </w:p>
    <w:p>
      <w:pPr>
        <w:autoSpaceDE w:val="0"/>
        <w:autoSpaceDN w:val="0"/>
        <w:adjustRightInd w:val="0"/>
        <w:jc w:val="center"/>
        <w:rPr>
          <w:rFonts w:hint="eastAsia" w:ascii="宋体" w:hAnsi="宋体" w:eastAsia="宋体" w:cs="宋体"/>
          <w:bCs/>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24"/>
          <w:szCs w:val="24"/>
          <w:highlight w:val="non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投标日期：   年  月  日</w:t>
      </w:r>
    </w:p>
    <w:tbl>
      <w:tblPr>
        <w:tblStyle w:val="39"/>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8"/>
        <w:gridCol w:w="202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工 程 名 称</w:t>
            </w:r>
          </w:p>
        </w:tc>
        <w:tc>
          <w:tcPr>
            <w:tcW w:w="585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投标总报价（元）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其中：</w:t>
            </w:r>
            <w:r>
              <w:rPr>
                <w:rFonts w:hint="eastAsia" w:ascii="宋体" w:hAnsi="宋体" w:eastAsia="宋体" w:cs="宋体"/>
                <w:bCs/>
                <w:color w:val="000000" w:themeColor="text1"/>
                <w:sz w:val="24"/>
                <w:szCs w:val="24"/>
                <w:highlight w:val="none"/>
                <w:lang w:val="zh-CN"/>
                <w14:textFill>
                  <w14:solidFill>
                    <w14:schemeClr w14:val="tx1"/>
                  </w14:solidFill>
                </w14:textFill>
              </w:rPr>
              <w:t>人工费</w:t>
            </w:r>
            <w:r>
              <w:rPr>
                <w:rFonts w:hint="eastAsia" w:ascii="宋体" w:hAnsi="宋体" w:eastAsia="宋体" w:cs="宋体"/>
                <w:color w:val="000000" w:themeColor="text1"/>
                <w:sz w:val="24"/>
                <w:szCs w:val="24"/>
                <w:highlight w:val="none"/>
                <w:lang w:val="zh-CN"/>
                <w14:textFill>
                  <w14:solidFill>
                    <w14:schemeClr w14:val="tx1"/>
                  </w14:solidFill>
                </w14:textFill>
              </w:rPr>
              <w:t>（元）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vAlign w:val="center"/>
          </w:tcPr>
          <w:p>
            <w:pPr>
              <w:widowControl/>
              <w:jc w:val="left"/>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其中</w:t>
            </w:r>
            <w:r>
              <w:rPr>
                <w:rFonts w:hint="eastAsia" w:ascii="宋体" w:hAnsi="宋体" w:eastAsia="宋体" w:cs="宋体"/>
                <w:color w:val="000000" w:themeColor="text1"/>
                <w:sz w:val="24"/>
                <w:szCs w:val="24"/>
                <w:highlight w:val="none"/>
                <w:lang w:val="zh-CN"/>
                <w14:textFill>
                  <w14:solidFill>
                    <w14:schemeClr w14:val="tx1"/>
                  </w14:solidFill>
                </w14:textFill>
              </w:rPr>
              <w:t>：绿色施工安全防护措施费（元）</w:t>
            </w: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 标 总</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工 期</w:t>
            </w:r>
          </w:p>
        </w:tc>
        <w:tc>
          <w:tcPr>
            <w:tcW w:w="585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工程质量标准</w:t>
            </w:r>
          </w:p>
        </w:tc>
        <w:tc>
          <w:tcPr>
            <w:tcW w:w="585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保 修 期 限</w:t>
            </w:r>
          </w:p>
        </w:tc>
        <w:tc>
          <w:tcPr>
            <w:tcW w:w="585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委派的项目负责人</w:t>
            </w:r>
          </w:p>
        </w:tc>
        <w:tc>
          <w:tcPr>
            <w:tcW w:w="20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p>
        </w:tc>
        <w:tc>
          <w:tcPr>
            <w:tcW w:w="3823"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Cs/>
                <w:color w:val="000000" w:themeColor="text1"/>
                <w:sz w:val="24"/>
                <w:szCs w:val="24"/>
                <w:highlight w:val="none"/>
                <w:lang w:val="zh-CN"/>
                <w14:textFill>
                  <w14:solidFill>
                    <w14:schemeClr w14:val="tx1"/>
                  </w14:solidFill>
                </w14:textFill>
              </w:rPr>
            </w:pPr>
          </w:p>
        </w:tc>
        <w:tc>
          <w:tcPr>
            <w:tcW w:w="20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建造师的注册编号或相关专业职称证书编号</w:t>
            </w:r>
          </w:p>
        </w:tc>
        <w:tc>
          <w:tcPr>
            <w:tcW w:w="3823"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235" w:firstLineChars="98"/>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委派的安全员</w:t>
            </w:r>
          </w:p>
        </w:tc>
        <w:tc>
          <w:tcPr>
            <w:tcW w:w="20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352" w:firstLineChars="147"/>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姓   名</w:t>
            </w:r>
          </w:p>
        </w:tc>
        <w:tc>
          <w:tcPr>
            <w:tcW w:w="3823"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5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sz w:val="24"/>
                <w:szCs w:val="24"/>
                <w:highlight w:val="none"/>
                <w:lang w:val="zh-CN"/>
                <w14:textFill>
                  <w14:solidFill>
                    <w14:schemeClr w14:val="tx1"/>
                  </w14:solidFill>
                </w14:textFill>
              </w:rPr>
            </w:pPr>
          </w:p>
        </w:tc>
        <w:tc>
          <w:tcPr>
            <w:tcW w:w="20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安全生产考核</w:t>
            </w:r>
          </w:p>
          <w:p>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合格证（C类或C</w:t>
            </w:r>
          </w:p>
          <w:p>
            <w:pPr>
              <w:autoSpaceDE w:val="0"/>
              <w:autoSpaceDN w:val="0"/>
              <w:adjustRightInd w:val="0"/>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3）编号</w:t>
            </w:r>
          </w:p>
        </w:tc>
        <w:tc>
          <w:tcPr>
            <w:tcW w:w="3823"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000000" w:themeColor="text1"/>
                <w:sz w:val="24"/>
                <w:szCs w:val="24"/>
                <w:highlight w:val="none"/>
                <w:lang w:val="zh-CN"/>
                <w14:textFill>
                  <w14:solidFill>
                    <w14:schemeClr w14:val="tx1"/>
                  </w14:solidFill>
                </w14:textFill>
              </w:rPr>
            </w:pPr>
          </w:p>
        </w:tc>
      </w:tr>
    </w:tbl>
    <w:p>
      <w:pPr>
        <w:autoSpaceDE w:val="0"/>
        <w:autoSpaceDN w:val="0"/>
        <w:adjustRightInd w:val="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注：1.本表所报委派的项目负责人、安全员的姓名及相关资料，须与本企业在广州公共资源交易中心企业库记录的相应信息一致，评审时，委派的项目负责人、安全员以投标人在广州公共资源交易中心企业库登记的信息为准。</w:t>
      </w:r>
    </w:p>
    <w:p>
      <w:pPr>
        <w:spacing w:line="400" w:lineRule="exact"/>
        <w:ind w:firstLine="420" w:firstLineChars="20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2.本投标函附录由投标文件管理软件生成，投标人可直接在上面填写相关内容。</w:t>
      </w:r>
      <w:bookmarkEnd w:id="703"/>
      <w:bookmarkEnd w:id="704"/>
      <w:bookmarkEnd w:id="705"/>
      <w:bookmarkEnd w:id="706"/>
    </w:p>
    <w:p>
      <w:pPr>
        <w:pageBreakBefore/>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707" w:name="_Toc168475918"/>
      <w:bookmarkStart w:id="708" w:name="_Toc11402"/>
      <w:bookmarkStart w:id="709" w:name="_Toc17556906"/>
      <w:bookmarkStart w:id="710" w:name="_Toc6824"/>
      <w:bookmarkStart w:id="711" w:name="_Toc229305421"/>
      <w:bookmarkStart w:id="712" w:name="_Toc17451608"/>
      <w:bookmarkStart w:id="713" w:name="_Toc17452694"/>
      <w:bookmarkStart w:id="714" w:name="_Toc259524415"/>
      <w:bookmarkStart w:id="715" w:name="_Toc2977"/>
      <w:bookmarkStart w:id="716" w:name="_Toc6457"/>
      <w:bookmarkStart w:id="717" w:name="_Toc168476321"/>
      <w:bookmarkStart w:id="718" w:name="_Toc222031063"/>
      <w:bookmarkStart w:id="719" w:name="_Toc222029561"/>
      <w:bookmarkStart w:id="720" w:name="_Toc222033912"/>
      <w:bookmarkStart w:id="721" w:name="_Toc144974860"/>
      <w:bookmarkStart w:id="722" w:name="_Toc17454901"/>
      <w:bookmarkStart w:id="723" w:name="_Toc222032730"/>
      <w:bookmarkStart w:id="724" w:name="_Toc1093"/>
      <w:bookmarkStart w:id="725" w:name="_Toc17556961"/>
      <w:bookmarkStart w:id="726" w:name="_Toc17451653"/>
      <w:bookmarkStart w:id="727" w:name="_Toc17451131"/>
      <w:bookmarkStart w:id="728" w:name="_Toc221952013"/>
      <w:bookmarkStart w:id="729" w:name="_Toc17454952"/>
      <w:bookmarkStart w:id="730" w:name="_Toc11149"/>
      <w:r>
        <w:rPr>
          <w:rFonts w:hint="eastAsia" w:ascii="宋体" w:hAnsi="宋体" w:eastAsia="宋体" w:cs="宋体"/>
          <w:color w:val="000000" w:themeColor="text1"/>
          <w:sz w:val="28"/>
          <w:szCs w:val="27"/>
          <w:highlight w:val="none"/>
          <w14:textFill>
            <w14:solidFill>
              <w14:schemeClr w14:val="tx1"/>
            </w14:solidFill>
          </w14:textFill>
        </w:rPr>
        <w:t>二、法定代表人身份证明</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1" w:name="_Toc221952014"/>
      <w:r>
        <w:rPr>
          <w:rFonts w:hint="eastAsia" w:ascii="宋体" w:hAnsi="宋体" w:eastAsia="宋体" w:cs="宋体"/>
          <w:color w:val="000000" w:themeColor="text1"/>
          <w:szCs w:val="21"/>
          <w:highlight w:val="none"/>
          <w14:textFill>
            <w14:solidFill>
              <w14:schemeClr w14:val="tx1"/>
            </w14:solidFill>
          </w14:textFill>
        </w:rPr>
        <w:t>投标人名称：</w:t>
      </w:r>
      <w:bookmarkEnd w:id="731"/>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2" w:name="_Toc221952015"/>
      <w:r>
        <w:rPr>
          <w:rFonts w:hint="eastAsia" w:ascii="宋体" w:hAnsi="宋体" w:eastAsia="宋体" w:cs="宋体"/>
          <w:color w:val="000000" w:themeColor="text1"/>
          <w:szCs w:val="21"/>
          <w:highlight w:val="none"/>
          <w14:textFill>
            <w14:solidFill>
              <w14:schemeClr w14:val="tx1"/>
            </w14:solidFill>
          </w14:textFill>
        </w:rPr>
        <w:t>单位性质：</w:t>
      </w:r>
      <w:bookmarkEnd w:id="732"/>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3" w:name="_Toc221952016"/>
      <w:r>
        <w:rPr>
          <w:rFonts w:hint="eastAsia" w:ascii="宋体" w:hAnsi="宋体" w:eastAsia="宋体" w:cs="宋体"/>
          <w:color w:val="000000" w:themeColor="text1"/>
          <w:szCs w:val="21"/>
          <w:highlight w:val="none"/>
          <w14:textFill>
            <w14:solidFill>
              <w14:schemeClr w14:val="tx1"/>
            </w14:solidFill>
          </w14:textFill>
        </w:rPr>
        <w:t>地址：</w:t>
      </w:r>
      <w:bookmarkEnd w:id="733"/>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4" w:name="_Toc221952017"/>
      <w:r>
        <w:rPr>
          <w:rFonts w:hint="eastAsia" w:ascii="宋体" w:hAnsi="宋体" w:eastAsia="宋体" w:cs="宋体"/>
          <w:color w:val="000000" w:themeColor="text1"/>
          <w:szCs w:val="21"/>
          <w:highlight w:val="none"/>
          <w14:textFill>
            <w14:solidFill>
              <w14:schemeClr w14:val="tx1"/>
            </w14:solidFill>
          </w14:textFill>
        </w:rPr>
        <w:t>成立时间：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日</w:t>
      </w:r>
      <w:bookmarkEnd w:id="734"/>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5" w:name="_Toc221952018"/>
      <w:r>
        <w:rPr>
          <w:rFonts w:hint="eastAsia" w:ascii="宋体" w:hAnsi="宋体" w:eastAsia="宋体" w:cs="宋体"/>
          <w:color w:val="000000" w:themeColor="text1"/>
          <w:szCs w:val="21"/>
          <w:highlight w:val="none"/>
          <w14:textFill>
            <w14:solidFill>
              <w14:schemeClr w14:val="tx1"/>
            </w14:solidFill>
          </w14:textFill>
        </w:rPr>
        <w:t>经营期限：</w:t>
      </w:r>
      <w:bookmarkEnd w:id="735"/>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rPr>
          <w:rFonts w:hint="eastAsia" w:ascii="宋体" w:hAnsi="宋体" w:eastAsia="宋体" w:cs="宋体"/>
          <w:color w:val="000000" w:themeColor="text1"/>
          <w:szCs w:val="21"/>
          <w:highlight w:val="none"/>
          <w14:textFill>
            <w14:solidFill>
              <w14:schemeClr w14:val="tx1"/>
            </w14:solidFill>
          </w14:textFill>
        </w:rPr>
      </w:pPr>
      <w:bookmarkStart w:id="736" w:name="_Toc221952019"/>
      <w:r>
        <w:rPr>
          <w:rFonts w:hint="eastAsia" w:ascii="宋体" w:hAnsi="宋体" w:eastAsia="宋体" w:cs="宋体"/>
          <w:color w:val="000000" w:themeColor="text1"/>
          <w:szCs w:val="21"/>
          <w:highlight w:val="none"/>
          <w14:textFill>
            <w14:solidFill>
              <w14:schemeClr w14:val="tx1"/>
            </w14:solidFill>
          </w14:textFill>
        </w:rPr>
        <w:t>姓名：</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性别：</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年龄：</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身份证号码：</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职务：</w:t>
      </w:r>
      <w:bookmarkEnd w:id="736"/>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737" w:name="_Toc221952020"/>
      <w:r>
        <w:rPr>
          <w:rFonts w:hint="eastAsia" w:ascii="宋体" w:hAnsi="宋体" w:eastAsia="宋体" w:cs="宋体"/>
          <w:color w:val="000000" w:themeColor="text1"/>
          <w:szCs w:val="21"/>
          <w:highlight w:val="none"/>
          <w14:textFill>
            <w14:solidFill>
              <w14:schemeClr w14:val="tx1"/>
            </w14:solidFill>
          </w14:textFill>
        </w:rPr>
        <w:t>系</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(投标人名称)的法定代表人。</w:t>
      </w:r>
      <w:bookmarkEnd w:id="737"/>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738" w:name="_Toc221952021"/>
      <w:r>
        <w:rPr>
          <w:rFonts w:hint="eastAsia" w:ascii="宋体" w:hAnsi="宋体" w:eastAsia="宋体" w:cs="宋体"/>
          <w:color w:val="000000" w:themeColor="text1"/>
          <w:szCs w:val="21"/>
          <w:highlight w:val="none"/>
          <w14:textFill>
            <w14:solidFill>
              <w14:schemeClr w14:val="tx1"/>
            </w14:solidFill>
          </w14:textFill>
        </w:rPr>
        <w:t>特此证明。</w:t>
      </w:r>
      <w:bookmarkEnd w:id="738"/>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739" w:name="_Toc221952022"/>
      <w:r>
        <w:rPr>
          <w:rFonts w:hint="eastAsia" w:ascii="宋体" w:hAnsi="宋体" w:eastAsia="宋体" w:cs="宋体"/>
          <w:color w:val="000000" w:themeColor="text1"/>
          <w:szCs w:val="21"/>
          <w:highlight w:val="none"/>
          <w14:textFill>
            <w14:solidFill>
              <w14:schemeClr w14:val="tx1"/>
            </w14:solidFill>
          </w14:textFill>
        </w:rPr>
        <w:t>投标人：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（盖单位章）</w:t>
      </w:r>
      <w:bookmarkEnd w:id="739"/>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740" w:name="_Toc221952023"/>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日</w:t>
      </w:r>
      <w:bookmarkEnd w:id="740"/>
      <w:r>
        <w:rPr>
          <w:rFonts w:hint="eastAsia" w:ascii="宋体" w:hAnsi="宋体" w:eastAsia="宋体" w:cs="宋体"/>
          <w:color w:val="000000" w:themeColor="text1"/>
          <w:szCs w:val="21"/>
          <w:highlight w:val="none"/>
          <w14:textFill>
            <w14:solidFill>
              <w14:schemeClr w14:val="tx1"/>
            </w14:solidFill>
          </w14:textFill>
        </w:rPr>
        <w:t xml:space="preserve"> </w:t>
      </w:r>
    </w:p>
    <w:p>
      <w:pPr>
        <w:spacing w:line="400" w:lineRule="exact"/>
        <w:jc w:val="center"/>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741" w:name="_Toc144974861"/>
      <w:bookmarkStart w:id="742" w:name="_Toc19828"/>
      <w:bookmarkStart w:id="743" w:name="_Toc17451654"/>
      <w:bookmarkStart w:id="744" w:name="_Toc9780"/>
      <w:bookmarkStart w:id="745" w:name="_Toc17452695"/>
      <w:bookmarkStart w:id="746" w:name="_Toc12444"/>
      <w:bookmarkStart w:id="747" w:name="_Toc17556907"/>
      <w:bookmarkStart w:id="748" w:name="_Toc17451609"/>
      <w:bookmarkStart w:id="749" w:name="_Toc17556962"/>
      <w:bookmarkStart w:id="750" w:name="_Toc21288"/>
      <w:bookmarkStart w:id="751" w:name="_Toc17454953"/>
      <w:bookmarkStart w:id="752" w:name="_Toc8427"/>
      <w:bookmarkStart w:id="753" w:name="_Toc222031064"/>
      <w:bookmarkStart w:id="754" w:name="_Toc17454902"/>
      <w:bookmarkStart w:id="755" w:name="_Toc259524416"/>
      <w:bookmarkStart w:id="756" w:name="_Toc222032731"/>
      <w:bookmarkStart w:id="757" w:name="_Toc12247"/>
      <w:bookmarkStart w:id="758" w:name="_Toc168475919"/>
      <w:bookmarkStart w:id="759" w:name="_Toc168476322"/>
      <w:bookmarkStart w:id="760" w:name="_Toc222033913"/>
      <w:bookmarkStart w:id="761" w:name="_Toc222029562"/>
      <w:bookmarkStart w:id="762" w:name="_Toc221952024"/>
      <w:bookmarkStart w:id="763" w:name="_Toc229305422"/>
      <w:bookmarkStart w:id="764" w:name="_Toc17451132"/>
      <w:r>
        <w:rPr>
          <w:rFonts w:hint="eastAsia" w:ascii="宋体" w:hAnsi="宋体" w:eastAsia="宋体" w:cs="宋体"/>
          <w:color w:val="000000" w:themeColor="text1"/>
          <w:sz w:val="28"/>
          <w:szCs w:val="27"/>
          <w:highlight w:val="none"/>
          <w14:textFill>
            <w14:solidFill>
              <w14:schemeClr w14:val="tx1"/>
            </w14:solidFill>
          </w14:textFill>
        </w:rPr>
        <w:t>授权委托书</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pPr>
        <w:spacing w:line="400" w:lineRule="exact"/>
        <w:rPr>
          <w:rFonts w:hint="eastAsia" w:ascii="宋体" w:hAnsi="宋体" w:eastAsia="宋体" w:cs="宋体"/>
          <w:color w:val="000000" w:themeColor="text1"/>
          <w:sz w:val="20"/>
          <w:szCs w:val="20"/>
          <w:highlight w:val="none"/>
          <w14:textFill>
            <w14:solidFill>
              <w14:schemeClr w14:val="tx1"/>
            </w14:solidFill>
          </w14:textFill>
        </w:rPr>
      </w:pPr>
    </w:p>
    <w:p>
      <w:pPr>
        <w:topLinePunct/>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765" w:name="_Toc221952025"/>
      <w:r>
        <w:rPr>
          <w:rFonts w:hint="eastAsia" w:ascii="宋体" w:hAnsi="宋体" w:eastAsia="宋体" w:cs="宋体"/>
          <w:color w:val="000000" w:themeColor="text1"/>
          <w:szCs w:val="21"/>
          <w:highlight w:val="none"/>
          <w14:textFill>
            <w14:solidFill>
              <w14:schemeClr w14:val="tx1"/>
            </w14:solidFill>
          </w14:textFill>
        </w:rPr>
        <w:t>本人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（姓名）系</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（投标人名称）的法定代表人，现委托</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（项目名称）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（标段名称）投标文件、签订合同和处理有关事宜，其法律后果由我方承担。</w:t>
      </w:r>
      <w:bookmarkEnd w:id="765"/>
    </w:p>
    <w:p>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bookmarkStart w:id="766" w:name="_Toc221952026"/>
      <w:r>
        <w:rPr>
          <w:rFonts w:hint="eastAsia" w:ascii="宋体" w:hAnsi="宋体" w:eastAsia="宋体" w:cs="宋体"/>
          <w:color w:val="000000" w:themeColor="text1"/>
          <w:szCs w:val="21"/>
          <w:highlight w:val="none"/>
          <w14:textFill>
            <w14:solidFill>
              <w14:schemeClr w14:val="tx1"/>
            </w14:solidFill>
          </w14:textFill>
        </w:rPr>
        <w:t>委托期限：</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bookmarkEnd w:id="766"/>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代理人无转委托权。代理人为投标人正式职工（提供离投标截止时间最近</w:t>
      </w:r>
      <w:r>
        <w:rPr>
          <w:rFonts w:hint="eastAsia" w:ascii="宋体" w:hAnsi="宋体" w:eastAsia="宋体" w:cs="宋体"/>
          <w:color w:val="000000" w:themeColor="text1"/>
          <w:szCs w:val="21"/>
          <w:highlight w:val="none"/>
          <w:lang w:val="en-US"/>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个月</w:t>
      </w:r>
      <w:r>
        <w:rPr>
          <w:rFonts w:hint="eastAsia" w:ascii="宋体" w:hAnsi="宋体" w:eastAsia="宋体" w:cs="宋体"/>
          <w:color w:val="000000" w:themeColor="text1"/>
          <w:highlight w:val="none"/>
          <w14:textFill>
            <w14:solidFill>
              <w14:schemeClr w14:val="tx1"/>
            </w14:solidFill>
          </w14:textFill>
        </w:rPr>
        <w:t>（时间为：2023年</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szCs w:val="21"/>
          <w:highlight w:val="none"/>
          <w14:textFill>
            <w14:solidFill>
              <w14:schemeClr w14:val="tx1"/>
            </w14:solidFill>
          </w14:textFill>
        </w:rPr>
        <w:t>的社保证明）</w:t>
      </w:r>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附：法定代表人身份证明和社保证明</w:t>
      </w:r>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767" w:name="_Toc221952029"/>
      <w:r>
        <w:rPr>
          <w:rFonts w:hint="eastAsia" w:ascii="宋体" w:hAnsi="宋体" w:eastAsia="宋体" w:cs="宋体"/>
          <w:color w:val="000000" w:themeColor="text1"/>
          <w:szCs w:val="21"/>
          <w:highlight w:val="none"/>
          <w14:textFill>
            <w14:solidFill>
              <w14:schemeClr w14:val="tx1"/>
            </w14:solidFill>
          </w14:textFill>
        </w:rPr>
        <w:t>投标人：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（盖单位章）</w:t>
      </w:r>
      <w:bookmarkEnd w:id="767"/>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wordWrap w:val="0"/>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768" w:name="_Toc221952030"/>
      <w:r>
        <w:rPr>
          <w:rFonts w:hint="eastAsia" w:ascii="宋体" w:hAnsi="宋体" w:eastAsia="宋体" w:cs="宋体"/>
          <w:color w:val="000000" w:themeColor="text1"/>
          <w:szCs w:val="21"/>
          <w:highlight w:val="none"/>
          <w14:textFill>
            <w14:solidFill>
              <w14:schemeClr w14:val="tx1"/>
            </w14:solidFill>
          </w14:textFill>
        </w:rPr>
        <w:t>法定代表人：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768"/>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right="420" w:firstLine="2940" w:firstLineChars="1400"/>
        <w:rPr>
          <w:rFonts w:hint="eastAsia" w:ascii="宋体" w:hAnsi="宋体" w:eastAsia="宋体" w:cs="宋体"/>
          <w:color w:val="000000" w:themeColor="text1"/>
          <w:szCs w:val="21"/>
          <w:highlight w:val="none"/>
          <w14:textFill>
            <w14:solidFill>
              <w14:schemeClr w14:val="tx1"/>
            </w14:solidFill>
          </w14:textFill>
        </w:rPr>
      </w:pPr>
      <w:bookmarkStart w:id="769" w:name="_Toc221952031"/>
      <w:r>
        <w:rPr>
          <w:rFonts w:hint="eastAsia" w:ascii="宋体" w:hAnsi="宋体" w:eastAsia="宋体" w:cs="宋体"/>
          <w:color w:val="000000" w:themeColor="text1"/>
          <w:szCs w:val="21"/>
          <w:highlight w:val="none"/>
          <w14:textFill>
            <w14:solidFill>
              <w14:schemeClr w14:val="tx1"/>
            </w14:solidFill>
          </w14:textFill>
        </w:rPr>
        <w:t>身份证号码：</w:t>
      </w:r>
      <w:bookmarkEnd w:id="769"/>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wordWrap w:val="0"/>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770" w:name="_Toc221952032"/>
      <w:r>
        <w:rPr>
          <w:rFonts w:hint="eastAsia" w:ascii="宋体" w:hAnsi="宋体" w:eastAsia="宋体" w:cs="宋体"/>
          <w:color w:val="000000" w:themeColor="text1"/>
          <w:szCs w:val="21"/>
          <w:highlight w:val="none"/>
          <w14:textFill>
            <w14:solidFill>
              <w14:schemeClr w14:val="tx1"/>
            </w14:solidFill>
          </w14:textFill>
        </w:rPr>
        <w:t>委托代理人：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770"/>
      <w:r>
        <w:rPr>
          <w:rFonts w:hint="eastAsia" w:ascii="宋体" w:hAnsi="宋体" w:eastAsia="宋体" w:cs="宋体"/>
          <w:color w:val="000000" w:themeColor="text1"/>
          <w:szCs w:val="21"/>
          <w:highlight w:val="none"/>
          <w14:textFill>
            <w14:solidFill>
              <w14:schemeClr w14:val="tx1"/>
            </w14:solidFill>
          </w14:textFill>
        </w:rPr>
        <w:t xml:space="preserve"> </w:t>
      </w:r>
    </w:p>
    <w:p>
      <w:pPr>
        <w:wordWrap w:val="0"/>
        <w:spacing w:line="400" w:lineRule="exact"/>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p>
    <w:p>
      <w:pPr>
        <w:spacing w:line="400" w:lineRule="exact"/>
        <w:ind w:right="420" w:firstLine="2940" w:firstLineChars="1400"/>
        <w:rPr>
          <w:rFonts w:hint="eastAsia" w:ascii="宋体" w:hAnsi="宋体" w:eastAsia="宋体" w:cs="宋体"/>
          <w:color w:val="000000" w:themeColor="text1"/>
          <w:szCs w:val="21"/>
          <w:highlight w:val="none"/>
          <w14:textFill>
            <w14:solidFill>
              <w14:schemeClr w14:val="tx1"/>
            </w14:solidFill>
          </w14:textFill>
        </w:rPr>
      </w:pPr>
      <w:bookmarkStart w:id="771" w:name="_Toc221952033"/>
      <w:r>
        <w:rPr>
          <w:rFonts w:hint="eastAsia" w:ascii="宋体" w:hAnsi="宋体" w:eastAsia="宋体" w:cs="宋体"/>
          <w:color w:val="000000" w:themeColor="text1"/>
          <w:szCs w:val="21"/>
          <w:highlight w:val="none"/>
          <w14:textFill>
            <w14:solidFill>
              <w14:schemeClr w14:val="tx1"/>
            </w14:solidFill>
          </w14:textFill>
        </w:rPr>
        <w:t>身份证号码：</w:t>
      </w:r>
      <w:bookmarkEnd w:id="771"/>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1575" w:firstLineChars="750"/>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772" w:name="_Toc221952034"/>
      <w:r>
        <w:rPr>
          <w:rFonts w:hint="eastAsia" w:ascii="宋体" w:hAnsi="宋体" w:eastAsia="宋体" w:cs="宋体"/>
          <w:color w:val="000000" w:themeColor="text1"/>
          <w:szCs w:val="21"/>
          <w:highlight w:val="none"/>
          <w14:textFill>
            <w14:solidFill>
              <w14:schemeClr w14:val="tx1"/>
            </w14:solidFill>
          </w14:textFill>
        </w:rPr>
        <w:t xml:space="preserve">年 </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bookmarkEnd w:id="772"/>
    </w:p>
    <w:p>
      <w:pPr>
        <w:spacing w:line="400" w:lineRule="exact"/>
        <w:jc w:val="center"/>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 w:val="19"/>
          <w:szCs w:val="19"/>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773" w:name="_Toc144974862"/>
      <w:bookmarkStart w:id="774" w:name="_Toc17556908"/>
      <w:bookmarkStart w:id="775" w:name="_Toc168475920"/>
      <w:bookmarkStart w:id="776" w:name="_Toc4332"/>
      <w:bookmarkStart w:id="777" w:name="_Toc222031065"/>
      <w:bookmarkStart w:id="778" w:name="_Toc229305423"/>
      <w:bookmarkStart w:id="779" w:name="_Toc259524417"/>
      <w:bookmarkStart w:id="780" w:name="_Toc17451610"/>
      <w:bookmarkStart w:id="781" w:name="_Toc17556963"/>
      <w:bookmarkStart w:id="782" w:name="_Toc17452696"/>
      <w:bookmarkStart w:id="783" w:name="_Toc17451655"/>
      <w:bookmarkStart w:id="784" w:name="_Toc222032732"/>
      <w:bookmarkStart w:id="785" w:name="_Toc221952035"/>
      <w:bookmarkStart w:id="786" w:name="_Toc17454954"/>
      <w:bookmarkStart w:id="787" w:name="_Toc168476323"/>
      <w:bookmarkStart w:id="788" w:name="_Toc17451133"/>
      <w:bookmarkStart w:id="789" w:name="_Toc222029563"/>
      <w:bookmarkStart w:id="790" w:name="_Toc17454903"/>
      <w:bookmarkStart w:id="791" w:name="_Toc222033914"/>
      <w:bookmarkStart w:id="792" w:name="_Toc18303"/>
      <w:bookmarkStart w:id="793" w:name="_Toc11604"/>
      <w:bookmarkStart w:id="794" w:name="_Toc26570"/>
      <w:bookmarkStart w:id="795" w:name="_Toc9701"/>
      <w:bookmarkStart w:id="796" w:name="_Toc29009"/>
      <w:r>
        <w:rPr>
          <w:rFonts w:hint="eastAsia" w:ascii="宋体" w:hAnsi="宋体" w:eastAsia="宋体" w:cs="宋体"/>
          <w:color w:val="000000" w:themeColor="text1"/>
          <w:sz w:val="28"/>
          <w:szCs w:val="27"/>
          <w:highlight w:val="none"/>
          <w14:textFill>
            <w14:solidFill>
              <w14:schemeClr w14:val="tx1"/>
            </w14:solidFill>
          </w14:textFill>
        </w:rPr>
        <w:t>三、</w:t>
      </w:r>
      <w:bookmarkEnd w:id="773"/>
      <w:r>
        <w:rPr>
          <w:rFonts w:hint="eastAsia" w:ascii="宋体" w:hAnsi="宋体" w:eastAsia="宋体" w:cs="宋体"/>
          <w:color w:val="000000" w:themeColor="text1"/>
          <w:sz w:val="28"/>
          <w:szCs w:val="27"/>
          <w:highlight w:val="none"/>
          <w14:textFill>
            <w14:solidFill>
              <w14:schemeClr w14:val="tx1"/>
            </w14:solidFill>
          </w14:textFill>
        </w:rPr>
        <w:t>联合体协议书</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hint="eastAsia" w:ascii="宋体" w:hAnsi="宋体" w:eastAsia="宋体" w:cs="宋体"/>
          <w:color w:val="000000" w:themeColor="text1"/>
          <w:sz w:val="28"/>
          <w:szCs w:val="27"/>
          <w:highlight w:val="none"/>
          <w14:textFill>
            <w14:solidFill>
              <w14:schemeClr w14:val="tx1"/>
            </w14:solidFill>
          </w14:textFill>
        </w:rPr>
        <w:t>（本项目不适用）</w:t>
      </w:r>
      <w:bookmarkEnd w:id="793"/>
      <w:bookmarkEnd w:id="794"/>
      <w:bookmarkEnd w:id="795"/>
      <w:bookmarkEnd w:id="796"/>
    </w:p>
    <w:p>
      <w:pPr>
        <w:spacing w:line="276" w:lineRule="auto"/>
        <w:jc w:val="left"/>
        <w:rPr>
          <w:rFonts w:hint="eastAsia" w:ascii="宋体" w:hAnsi="宋体" w:eastAsia="宋体" w:cs="宋体"/>
          <w:color w:val="000000" w:themeColor="text1"/>
          <w:szCs w:val="21"/>
          <w:highlight w:val="none"/>
          <w14:textFill>
            <w14:solidFill>
              <w14:schemeClr w14:val="tx1"/>
            </w14:solidFill>
          </w14:textFill>
        </w:rPr>
      </w:pPr>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bookmarkStart w:id="797" w:name="_Toc221952036"/>
      <w:r>
        <w:rPr>
          <w:rFonts w:hint="eastAsia" w:ascii="宋体" w:hAnsi="宋体" w:eastAsia="宋体" w:cs="宋体"/>
          <w:color w:val="000000" w:themeColor="text1"/>
          <w:szCs w:val="21"/>
          <w:highlight w:val="none"/>
          <w14:textFill>
            <w14:solidFill>
              <w14:schemeClr w14:val="tx1"/>
            </w14:solidFill>
          </w14:textFill>
        </w:rPr>
        <w:t>（所有成员单位名称）自愿组成</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（联合体名称），共同参加</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（项目名称）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标段名称）投标。现就联合体投标事宜订立如下协议。</w:t>
      </w:r>
      <w:bookmarkEnd w:id="797"/>
    </w:p>
    <w:p>
      <w:pPr>
        <w:spacing w:line="276"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bookmarkStart w:id="798" w:name="_Toc221952037"/>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（某成员单位名称）为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（联合体名称）牵头人。</w:t>
      </w:r>
      <w:bookmarkEnd w:id="798"/>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799" w:name="_Toc221952038"/>
      <w:r>
        <w:rPr>
          <w:rFonts w:hint="eastAsia" w:ascii="宋体" w:hAnsi="宋体" w:eastAsia="宋体" w:cs="宋体"/>
          <w:color w:val="000000" w:themeColor="text1"/>
          <w:szCs w:val="21"/>
          <w:highlight w:val="none"/>
          <w14:textFill>
            <w14:solidFill>
              <w14:schemeClr w14:val="tx1"/>
            </w14:solidFill>
          </w14:textFill>
        </w:rPr>
        <w:t>2.联合体牵头人合法代表联合体各成员负责本招标项目投标文件编制和合同谈判活动， 并代表联合体提交和接受相关的资料。信息及指示，并处理与之有关的一切事务，负责合同实施阶段的主办、组织和协调工作。</w:t>
      </w:r>
      <w:bookmarkEnd w:id="799"/>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800" w:name="_Toc221952039"/>
      <w:r>
        <w:rPr>
          <w:rFonts w:hint="eastAsia" w:ascii="宋体" w:hAnsi="宋体" w:eastAsia="宋体" w:cs="宋体"/>
          <w:color w:val="000000" w:themeColor="text1"/>
          <w:szCs w:val="21"/>
          <w:highlight w:val="none"/>
          <w14:textFill>
            <w14:solidFill>
              <w14:schemeClr w14:val="tx1"/>
            </w14:solidFill>
          </w14:textFill>
        </w:rPr>
        <w:t>3.联合体将严格按照招标文件的各项要求，递交投标文件，履行合同，并对外承担连带责任。</w:t>
      </w:r>
      <w:bookmarkEnd w:id="800"/>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801" w:name="_Toc221952040"/>
      <w:r>
        <w:rPr>
          <w:rFonts w:hint="eastAsia" w:ascii="宋体" w:hAnsi="宋体" w:eastAsia="宋体" w:cs="宋体"/>
          <w:color w:val="000000" w:themeColor="text1"/>
          <w:szCs w:val="21"/>
          <w:highlight w:val="none"/>
          <w14:textFill>
            <w14:solidFill>
              <w14:schemeClr w14:val="tx1"/>
            </w14:solidFill>
          </w14:textFill>
        </w:rPr>
        <w:t>4.联合体各成员单位内部的职责分工如下：</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w:t>
      </w:r>
      <w:bookmarkEnd w:id="801"/>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802" w:name="_Toc221952041"/>
      <w:r>
        <w:rPr>
          <w:rFonts w:hint="eastAsia" w:ascii="宋体" w:hAnsi="宋体" w:eastAsia="宋体" w:cs="宋体"/>
          <w:color w:val="000000" w:themeColor="text1"/>
          <w:szCs w:val="21"/>
          <w:highlight w:val="none"/>
          <w14:textFill>
            <w14:solidFill>
              <w14:schemeClr w14:val="tx1"/>
            </w14:solidFill>
          </w14:textFill>
        </w:rPr>
        <w:t>5.本协议书自签署之日起生效，合同履行完毕后自动失效。</w:t>
      </w:r>
      <w:bookmarkEnd w:id="802"/>
    </w:p>
    <w:p>
      <w:pPr>
        <w:spacing w:line="276"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803" w:name="_Toc221952042"/>
      <w:r>
        <w:rPr>
          <w:rFonts w:hint="eastAsia" w:ascii="宋体" w:hAnsi="宋体" w:eastAsia="宋体" w:cs="宋体"/>
          <w:color w:val="000000" w:themeColor="text1"/>
          <w:szCs w:val="21"/>
          <w:highlight w:val="none"/>
          <w14:textFill>
            <w14:solidFill>
              <w14:schemeClr w14:val="tx1"/>
            </w14:solidFill>
          </w14:textFill>
        </w:rPr>
        <w:t>6</w:t>
      </w:r>
      <w:bookmarkEnd w:id="803"/>
      <w:r>
        <w:rPr>
          <w:rFonts w:hint="eastAsia" w:ascii="宋体" w:hAnsi="宋体" w:eastAsia="宋体" w:cs="宋体"/>
          <w:color w:val="000000" w:themeColor="text1"/>
          <w:szCs w:val="21"/>
          <w:highlight w:val="none"/>
          <w14:textFill>
            <w14:solidFill>
              <w14:schemeClr w14:val="tx1"/>
            </w14:solidFill>
          </w14:textFill>
        </w:rPr>
        <w:t>.本协议书一式</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份，联合体成员和招标人各执一份。</w:t>
      </w: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bookmarkStart w:id="804" w:name="_Toc221952044"/>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牵头人名称：</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（盖单位章）</w:t>
      </w:r>
      <w:bookmarkEnd w:id="804"/>
    </w:p>
    <w:p>
      <w:pPr>
        <w:wordWrap w:val="0"/>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805" w:name="_Toc221952045"/>
      <w:r>
        <w:rPr>
          <w:rFonts w:hint="eastAsia" w:ascii="宋体" w:hAnsi="宋体" w:eastAsia="宋体" w:cs="宋体"/>
          <w:color w:val="000000" w:themeColor="text1"/>
          <w:szCs w:val="21"/>
          <w:highlight w:val="none"/>
          <w14:textFill>
            <w14:solidFill>
              <w14:schemeClr w14:val="tx1"/>
            </w14:solidFill>
          </w14:textFill>
        </w:rPr>
        <w:t>法定代表人或其委托代理人：</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805"/>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806" w:name="_Toc221952046"/>
      <w:r>
        <w:rPr>
          <w:rFonts w:hint="eastAsia" w:ascii="宋体" w:hAnsi="宋体" w:eastAsia="宋体" w:cs="宋体"/>
          <w:color w:val="000000" w:themeColor="text1"/>
          <w:szCs w:val="21"/>
          <w:highlight w:val="none"/>
          <w14:textFill>
            <w14:solidFill>
              <w14:schemeClr w14:val="tx1"/>
            </w14:solidFill>
          </w14:textFill>
        </w:rPr>
        <w:t>成员一名称：</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（盖单位章）</w:t>
      </w:r>
      <w:bookmarkEnd w:id="806"/>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807" w:name="_Toc221952047"/>
      <w:r>
        <w:rPr>
          <w:rFonts w:hint="eastAsia" w:ascii="宋体" w:hAnsi="宋体" w:eastAsia="宋体" w:cs="宋体"/>
          <w:color w:val="000000" w:themeColor="text1"/>
          <w:szCs w:val="21"/>
          <w:highlight w:val="none"/>
          <w14:textFill>
            <w14:solidFill>
              <w14:schemeClr w14:val="tx1"/>
            </w14:solidFill>
          </w14:textFill>
        </w:rPr>
        <w:t>法定代表人或其委托代理人：</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807"/>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808" w:name="_Toc221952048"/>
      <w:r>
        <w:rPr>
          <w:rFonts w:hint="eastAsia" w:ascii="宋体" w:hAnsi="宋体" w:eastAsia="宋体" w:cs="宋体"/>
          <w:color w:val="000000" w:themeColor="text1"/>
          <w:szCs w:val="21"/>
          <w:highlight w:val="none"/>
          <w14:textFill>
            <w14:solidFill>
              <w14:schemeClr w14:val="tx1"/>
            </w14:solidFill>
          </w14:textFill>
        </w:rPr>
        <w:t>成员二名称：</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（盖单位章）</w:t>
      </w:r>
      <w:bookmarkEnd w:id="808"/>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bookmarkStart w:id="809" w:name="_Toc221952049"/>
      <w:r>
        <w:rPr>
          <w:rFonts w:hint="eastAsia" w:ascii="宋体" w:hAnsi="宋体" w:eastAsia="宋体" w:cs="宋体"/>
          <w:color w:val="000000" w:themeColor="text1"/>
          <w:szCs w:val="21"/>
          <w:highlight w:val="none"/>
          <w14:textFill>
            <w14:solidFill>
              <w14:schemeClr w14:val="tx1"/>
            </w14:solidFill>
          </w14:textFill>
        </w:rPr>
        <w:t>法定代表人或其委托代理人：</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809"/>
    </w:p>
    <w:p>
      <w:pPr>
        <w:spacing w:line="400" w:lineRule="exact"/>
        <w:ind w:firstLine="2415" w:firstLineChars="1150"/>
        <w:jc w:val="left"/>
        <w:rPr>
          <w:rFonts w:hint="eastAsia" w:ascii="宋体" w:hAnsi="宋体" w:eastAsia="宋体" w:cs="宋体"/>
          <w:color w:val="000000" w:themeColor="text1"/>
          <w:szCs w:val="21"/>
          <w:highlight w:val="none"/>
          <w14:textFill>
            <w14:solidFill>
              <w14:schemeClr w14:val="tx1"/>
            </w14:solidFill>
          </w14:textFill>
        </w:rPr>
      </w:pPr>
      <w:bookmarkStart w:id="810" w:name="_Toc221952050"/>
      <w:r>
        <w:rPr>
          <w:rFonts w:hint="eastAsia" w:ascii="宋体" w:hAnsi="宋体" w:eastAsia="宋体" w:cs="宋体"/>
          <w:color w:val="000000" w:themeColor="text1"/>
          <w:szCs w:val="21"/>
          <w:highlight w:val="none"/>
          <w14:textFill>
            <w14:solidFill>
              <w14:schemeClr w14:val="tx1"/>
            </w14:solidFill>
          </w14:textFill>
        </w:rPr>
        <w:t>……</w:t>
      </w:r>
      <w:bookmarkEnd w:id="810"/>
    </w:p>
    <w:p>
      <w:pPr>
        <w:spacing w:line="400" w:lineRule="exact"/>
        <w:jc w:val="righ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3360" w:firstLineChars="1600"/>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811" w:name="_Toc221952051"/>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bookmarkEnd w:id="811"/>
    </w:p>
    <w:p>
      <w:pPr>
        <w:spacing w:line="400" w:lineRule="exact"/>
        <w:ind w:firstLine="435"/>
        <w:jc w:val="left"/>
        <w:rPr>
          <w:rFonts w:hint="eastAsia" w:ascii="宋体" w:hAnsi="宋体" w:eastAsia="宋体" w:cs="宋体"/>
          <w:color w:val="000000" w:themeColor="text1"/>
          <w:szCs w:val="21"/>
          <w:highlight w:val="none"/>
          <w14:textFill>
            <w14:solidFill>
              <w14:schemeClr w14:val="tx1"/>
            </w14:solidFill>
          </w14:textFill>
        </w:rPr>
      </w:pPr>
      <w:bookmarkStart w:id="812" w:name="_Toc221952043"/>
    </w:p>
    <w:p>
      <w:pPr>
        <w:spacing w:line="400" w:lineRule="exact"/>
        <w:ind w:firstLine="435"/>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435"/>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435"/>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注：本协议书由委托代理人签字的，应附法定代表人签字的授权委托书</w:t>
      </w:r>
      <w:bookmarkEnd w:id="812"/>
      <w:r>
        <w:rPr>
          <w:rFonts w:hint="eastAsia" w:ascii="宋体" w:hAnsi="宋体" w:eastAsia="宋体" w:cs="宋体"/>
          <w:color w:val="000000" w:themeColor="text1"/>
          <w:szCs w:val="21"/>
          <w:highlight w:val="none"/>
          <w14:textFill>
            <w14:solidFill>
              <w14:schemeClr w14:val="tx1"/>
            </w14:solidFill>
          </w14:textFill>
        </w:rPr>
        <w:t>。</w:t>
      </w:r>
    </w:p>
    <w:p>
      <w:pPr>
        <w:spacing w:line="400" w:lineRule="exact"/>
        <w:ind w:firstLine="3360" w:firstLineChars="1600"/>
        <w:jc w:val="left"/>
        <w:rPr>
          <w:rFonts w:hint="eastAsia" w:ascii="宋体" w:hAnsi="宋体" w:eastAsia="宋体" w:cs="宋体"/>
          <w:color w:val="000000" w:themeColor="text1"/>
          <w:szCs w:val="21"/>
          <w:highlight w:val="none"/>
          <w:u w:val="single"/>
          <w14:textFill>
            <w14:solidFill>
              <w14:schemeClr w14:val="tx1"/>
            </w14:solidFill>
          </w14:textFill>
        </w:rPr>
      </w:pPr>
    </w:p>
    <w:p>
      <w:pPr>
        <w:spacing w:line="400" w:lineRule="exact"/>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813" w:name="_Toc24836"/>
      <w:bookmarkStart w:id="814" w:name="_Toc222031066"/>
      <w:bookmarkStart w:id="815" w:name="_Toc168475921"/>
      <w:bookmarkStart w:id="816" w:name="_Toc5687"/>
      <w:bookmarkStart w:id="817" w:name="_Toc17452697"/>
      <w:bookmarkStart w:id="818" w:name="_Toc17451656"/>
      <w:bookmarkStart w:id="819" w:name="_Toc17454955"/>
      <w:bookmarkStart w:id="820" w:name="_Toc6748"/>
      <w:bookmarkStart w:id="821" w:name="_Toc11271"/>
      <w:bookmarkStart w:id="822" w:name="_Toc17556909"/>
      <w:bookmarkStart w:id="823" w:name="_Toc222029564"/>
      <w:bookmarkStart w:id="824" w:name="_Toc222033915"/>
      <w:bookmarkStart w:id="825" w:name="_Toc5018"/>
      <w:bookmarkStart w:id="826" w:name="_Toc222032733"/>
      <w:bookmarkStart w:id="827" w:name="_Toc17451611"/>
      <w:bookmarkStart w:id="828" w:name="_Toc259524418"/>
      <w:bookmarkStart w:id="829" w:name="_Toc7342"/>
      <w:bookmarkStart w:id="830" w:name="_Toc17556964"/>
      <w:bookmarkStart w:id="831" w:name="_Toc17451134"/>
      <w:bookmarkStart w:id="832" w:name="_Toc221952052"/>
      <w:bookmarkStart w:id="833" w:name="_Toc168476324"/>
      <w:bookmarkStart w:id="834" w:name="_Toc229305424"/>
      <w:bookmarkStart w:id="835" w:name="_Toc17454904"/>
      <w:r>
        <w:rPr>
          <w:rFonts w:hint="eastAsia" w:ascii="宋体" w:hAnsi="宋体" w:eastAsia="宋体" w:cs="宋体"/>
          <w:color w:val="000000" w:themeColor="text1"/>
          <w:sz w:val="28"/>
          <w:szCs w:val="27"/>
          <w:highlight w:val="none"/>
          <w14:textFill>
            <w14:solidFill>
              <w14:schemeClr w14:val="tx1"/>
            </w14:solidFill>
          </w14:textFill>
        </w:rPr>
        <w:t>四、投标保证金</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pPr>
        <w:spacing w:line="400" w:lineRule="exact"/>
        <w:jc w:val="left"/>
        <w:rPr>
          <w:rFonts w:hint="eastAsia" w:ascii="宋体" w:hAnsi="宋体" w:eastAsia="宋体" w:cs="宋体"/>
          <w:color w:val="000000" w:themeColor="text1"/>
          <w:szCs w:val="21"/>
          <w:highlight w:val="none"/>
          <w:u w:val="single"/>
          <w14:textFill>
            <w14:solidFill>
              <w14:schemeClr w14:val="tx1"/>
            </w14:solidFill>
          </w14:textFill>
        </w:rPr>
      </w:pP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836" w:name="_Toc221952054"/>
      <w:r>
        <w:rPr>
          <w:rFonts w:hint="eastAsia" w:ascii="宋体" w:hAnsi="宋体" w:eastAsia="宋体" w:cs="宋体"/>
          <w:color w:val="000000" w:themeColor="text1"/>
          <w:szCs w:val="21"/>
          <w:highlight w:val="none"/>
          <w14:textFill>
            <w14:solidFill>
              <w14:schemeClr w14:val="tx1"/>
            </w14:solidFill>
          </w14:textFill>
        </w:rPr>
        <w:t>（招标人名称）：</w:t>
      </w:r>
      <w:bookmarkEnd w:id="836"/>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鉴于</w:t>
      </w:r>
      <w:r>
        <w:rPr>
          <w:rFonts w:hint="eastAsia" w:ascii="宋体" w:hAnsi="宋体" w:eastAsia="宋体" w:cs="宋体"/>
          <w:color w:val="000000" w:themeColor="text1"/>
          <w:szCs w:val="21"/>
          <w:highlight w:val="none"/>
          <w:u w:val="single"/>
          <w14:textFill>
            <w14:solidFill>
              <w14:schemeClr w14:val="tx1"/>
            </w14:solidFill>
          </w14:textFill>
        </w:rPr>
        <w:t xml:space="preserve">       （投标人名称）</w:t>
      </w:r>
      <w:r>
        <w:rPr>
          <w:rFonts w:hint="eastAsia" w:ascii="宋体" w:hAnsi="宋体" w:eastAsia="宋体" w:cs="宋体"/>
          <w:color w:val="000000" w:themeColor="text1"/>
          <w:szCs w:val="21"/>
          <w:highlight w:val="none"/>
          <w14:textFill>
            <w14:solidFill>
              <w14:schemeClr w14:val="tx1"/>
            </w14:solidFill>
          </w14:textFill>
        </w:rPr>
        <w:t>（以下称“投标人”）于</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日参加</w:t>
      </w:r>
      <w:r>
        <w:rPr>
          <w:rFonts w:hint="eastAsia" w:ascii="宋体" w:hAnsi="宋体" w:eastAsia="宋体" w:cs="宋体"/>
          <w:color w:val="000000" w:themeColor="text1"/>
          <w:szCs w:val="21"/>
          <w:highlight w:val="none"/>
          <w:u w:val="single"/>
          <w14:textFill>
            <w14:solidFill>
              <w14:schemeClr w14:val="tx1"/>
            </w14:solidFill>
          </w14:textFill>
        </w:rPr>
        <w:t xml:space="preserve">         （项目名称）</w:t>
      </w:r>
      <w:r>
        <w:rPr>
          <w:rFonts w:hint="eastAsia" w:ascii="宋体" w:hAnsi="宋体" w:eastAsia="宋体" w:cs="宋体"/>
          <w:color w:val="000000" w:themeColor="text1"/>
          <w:szCs w:val="21"/>
          <w:highlight w:val="none"/>
          <w14:textFill>
            <w14:solidFill>
              <w14:schemeClr w14:val="tx1"/>
            </w14:solidFill>
          </w14:textFill>
        </w:rPr>
        <w:t>的投标，</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837" w:name="_Toc221952056"/>
      <w:r>
        <w:rPr>
          <w:rFonts w:hint="eastAsia" w:ascii="宋体" w:hAnsi="宋体" w:eastAsia="宋体" w:cs="宋体"/>
          <w:color w:val="000000" w:themeColor="text1"/>
          <w:szCs w:val="21"/>
          <w:highlight w:val="none"/>
          <w14:textFill>
            <w14:solidFill>
              <w14:schemeClr w14:val="tx1"/>
            </w14:solidFill>
          </w14:textFill>
        </w:rPr>
        <w:t>本担保在投标有效期内保持有效。要求我方承担保证责任的书面通知应在投标有效期内送达我方。</w:t>
      </w:r>
      <w:bookmarkEnd w:id="837"/>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ind w:firstLine="2158" w:firstLineChars="1028"/>
        <w:jc w:val="left"/>
        <w:rPr>
          <w:rFonts w:hint="eastAsia" w:ascii="宋体" w:hAnsi="宋体" w:eastAsia="宋体" w:cs="宋体"/>
          <w:color w:val="000000" w:themeColor="text1"/>
          <w:szCs w:val="21"/>
          <w:highlight w:val="none"/>
          <w14:textFill>
            <w14:solidFill>
              <w14:schemeClr w14:val="tx1"/>
            </w14:solidFill>
          </w14:textFill>
        </w:rPr>
      </w:pPr>
      <w:bookmarkStart w:id="838" w:name="_Toc221952057"/>
      <w:r>
        <w:rPr>
          <w:rFonts w:hint="eastAsia" w:ascii="宋体" w:hAnsi="宋体" w:eastAsia="宋体" w:cs="宋体"/>
          <w:color w:val="000000" w:themeColor="text1"/>
          <w:szCs w:val="21"/>
          <w:highlight w:val="none"/>
          <w14:textFill>
            <w14:solidFill>
              <w14:schemeClr w14:val="tx1"/>
            </w14:solidFill>
          </w14:textFill>
        </w:rPr>
        <w:t>担保人：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（盖单位章）</w:t>
      </w:r>
      <w:bookmarkEnd w:id="838"/>
    </w:p>
    <w:p>
      <w:pPr>
        <w:spacing w:line="400" w:lineRule="exact"/>
        <w:ind w:firstLine="2158" w:firstLineChars="1028"/>
        <w:jc w:val="left"/>
        <w:rPr>
          <w:rFonts w:hint="eastAsia" w:ascii="宋体" w:hAnsi="宋体" w:eastAsia="宋体" w:cs="宋体"/>
          <w:color w:val="000000" w:themeColor="text1"/>
          <w:szCs w:val="21"/>
          <w:highlight w:val="none"/>
          <w14:textFill>
            <w14:solidFill>
              <w14:schemeClr w14:val="tx1"/>
            </w14:solidFill>
          </w14:textFill>
        </w:rPr>
      </w:pPr>
      <w:bookmarkStart w:id="839" w:name="_Toc221952058"/>
      <w:r>
        <w:rPr>
          <w:rFonts w:hint="eastAsia" w:ascii="宋体" w:hAnsi="宋体" w:eastAsia="宋体" w:cs="宋体"/>
          <w:color w:val="000000" w:themeColor="text1"/>
          <w:szCs w:val="21"/>
          <w:highlight w:val="none"/>
          <w14:textFill>
            <w14:solidFill>
              <w14:schemeClr w14:val="tx1"/>
            </w14:solidFill>
          </w14:textFill>
        </w:rPr>
        <w:t>法定代表人或其委托代理人：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839"/>
    </w:p>
    <w:p>
      <w:pPr>
        <w:spacing w:line="400" w:lineRule="exact"/>
        <w:ind w:firstLine="2158" w:firstLineChars="1028"/>
        <w:jc w:val="left"/>
        <w:rPr>
          <w:rFonts w:hint="eastAsia" w:ascii="宋体" w:hAnsi="宋体" w:eastAsia="宋体" w:cs="宋体"/>
          <w:color w:val="000000" w:themeColor="text1"/>
          <w:szCs w:val="21"/>
          <w:highlight w:val="none"/>
          <w14:textFill>
            <w14:solidFill>
              <w14:schemeClr w14:val="tx1"/>
            </w14:solidFill>
          </w14:textFill>
        </w:rPr>
      </w:pPr>
      <w:bookmarkStart w:id="840" w:name="_Toc221952059"/>
      <w:r>
        <w:rPr>
          <w:rFonts w:hint="eastAsia" w:ascii="宋体" w:hAnsi="宋体" w:eastAsia="宋体" w:cs="宋体"/>
          <w:color w:val="000000" w:themeColor="text1"/>
          <w:szCs w:val="21"/>
          <w:highlight w:val="none"/>
          <w14:textFill>
            <w14:solidFill>
              <w14:schemeClr w14:val="tx1"/>
            </w14:solidFill>
          </w14:textFill>
        </w:rPr>
        <w:t>地    址：</w:t>
      </w:r>
      <w:bookmarkEnd w:id="840"/>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p>
    <w:p>
      <w:pPr>
        <w:spacing w:line="400" w:lineRule="exact"/>
        <w:ind w:firstLine="2158" w:firstLineChars="1028"/>
        <w:jc w:val="left"/>
        <w:rPr>
          <w:rFonts w:hint="eastAsia" w:ascii="宋体" w:hAnsi="宋体" w:eastAsia="宋体" w:cs="宋体"/>
          <w:color w:val="000000" w:themeColor="text1"/>
          <w:szCs w:val="21"/>
          <w:highlight w:val="none"/>
          <w:u w:val="single"/>
          <w14:textFill>
            <w14:solidFill>
              <w14:schemeClr w14:val="tx1"/>
            </w14:solidFill>
          </w14:textFill>
        </w:rPr>
      </w:pPr>
      <w:bookmarkStart w:id="841" w:name="_Toc221952060"/>
      <w:r>
        <w:rPr>
          <w:rFonts w:hint="eastAsia" w:ascii="宋体" w:hAnsi="宋体" w:eastAsia="宋体" w:cs="宋体"/>
          <w:color w:val="000000" w:themeColor="text1"/>
          <w:szCs w:val="21"/>
          <w:highlight w:val="none"/>
          <w14:textFill>
            <w14:solidFill>
              <w14:schemeClr w14:val="tx1"/>
            </w14:solidFill>
          </w14:textFill>
        </w:rPr>
        <w:t>邮政编码：</w:t>
      </w:r>
      <w:bookmarkEnd w:id="841"/>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p>
    <w:p>
      <w:pPr>
        <w:spacing w:line="400" w:lineRule="exact"/>
        <w:ind w:firstLine="2158" w:firstLineChars="1028"/>
        <w:jc w:val="left"/>
        <w:rPr>
          <w:rFonts w:hint="eastAsia" w:ascii="宋体" w:hAnsi="宋体" w:eastAsia="宋体" w:cs="宋体"/>
          <w:color w:val="000000" w:themeColor="text1"/>
          <w:szCs w:val="21"/>
          <w:highlight w:val="none"/>
          <w14:textFill>
            <w14:solidFill>
              <w14:schemeClr w14:val="tx1"/>
            </w14:solidFill>
          </w14:textFill>
        </w:rPr>
      </w:pPr>
      <w:bookmarkStart w:id="842" w:name="_Toc221952061"/>
      <w:r>
        <w:rPr>
          <w:rFonts w:hint="eastAsia" w:ascii="宋体" w:hAnsi="宋体" w:eastAsia="宋体" w:cs="宋体"/>
          <w:color w:val="000000" w:themeColor="text1"/>
          <w:szCs w:val="21"/>
          <w:highlight w:val="none"/>
          <w14:textFill>
            <w14:solidFill>
              <w14:schemeClr w14:val="tx1"/>
            </w14:solidFill>
          </w14:textFill>
        </w:rPr>
        <w:t>电    话：</w:t>
      </w:r>
      <w:bookmarkEnd w:id="842"/>
      <w:r>
        <w:rPr>
          <w:rFonts w:hint="eastAsia" w:ascii="宋体" w:hAnsi="宋体" w:eastAsia="宋体" w:cs="宋体"/>
          <w:color w:val="000000" w:themeColor="text1"/>
          <w:szCs w:val="21"/>
          <w:highlight w:val="none"/>
          <w:u w:val="single"/>
          <w14:textFill>
            <w14:solidFill>
              <w14:schemeClr w14:val="tx1"/>
            </w14:solidFill>
          </w14:textFill>
        </w:rPr>
        <w:t xml:space="preserve">                                          </w:t>
      </w:r>
    </w:p>
    <w:p>
      <w:pPr>
        <w:spacing w:line="400" w:lineRule="exact"/>
        <w:ind w:firstLine="3313" w:firstLineChars="1578"/>
        <w:jc w:val="center"/>
        <w:rPr>
          <w:rFonts w:hint="eastAsia" w:ascii="宋体" w:hAnsi="宋体" w:eastAsia="宋体" w:cs="宋体"/>
          <w:color w:val="000000" w:themeColor="text1"/>
          <w:szCs w:val="21"/>
          <w:highlight w:val="none"/>
          <w14:textFill>
            <w14:solidFill>
              <w14:schemeClr w14:val="tx1"/>
            </w14:solidFill>
          </w14:textFill>
        </w:rPr>
      </w:pPr>
      <w:bookmarkStart w:id="843" w:name="_Toc221952062"/>
      <w:r>
        <w:rPr>
          <w:rFonts w:hint="eastAsia" w:ascii="宋体" w:hAnsi="宋体" w:eastAsia="宋体" w:cs="宋体"/>
          <w:color w:val="000000" w:themeColor="text1"/>
          <w:szCs w:val="21"/>
          <w:highlight w:val="none"/>
          <w14:textFill>
            <w14:solidFill>
              <w14:schemeClr w14:val="tx1"/>
            </w14:solidFill>
          </w14:textFill>
        </w:rPr>
        <w:t>______年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bookmarkEnd w:id="843"/>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注1：投标保证金采取交易中心代收的，已开标记录表记录的结果为准。</w:t>
      </w:r>
    </w:p>
    <w:p>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2：招标人收取的，附招标人开具收据的复印件；采取保函的，应采用上述格式或银行的格式。</w:t>
      </w:r>
    </w:p>
    <w:p>
      <w:pPr>
        <w:spacing w:line="400" w:lineRule="exact"/>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注2：委托代理人应附授权委托书。</w:t>
      </w:r>
      <w:r>
        <w:rPr>
          <w:rFonts w:hint="eastAsia" w:ascii="宋体" w:hAnsi="宋体" w:eastAsia="宋体" w:cs="宋体"/>
          <w:color w:val="000000" w:themeColor="text1"/>
          <w:szCs w:val="21"/>
          <w:highlight w:val="none"/>
          <w14:textFill>
            <w14:solidFill>
              <w14:schemeClr w14:val="tx1"/>
            </w14:solidFill>
          </w14:textFill>
        </w:rPr>
        <w:br w:type="page"/>
      </w:r>
      <w:bookmarkStart w:id="844" w:name="_Toc144974863"/>
      <w:bookmarkStart w:id="845" w:name="_Toc222031067"/>
      <w:bookmarkStart w:id="846" w:name="_Toc168476325"/>
      <w:bookmarkStart w:id="847" w:name="_Toc168475922"/>
      <w:bookmarkStart w:id="848" w:name="_Toc221952063"/>
      <w:bookmarkStart w:id="849" w:name="_Toc222029565"/>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850" w:name="_Toc229305425"/>
      <w:bookmarkStart w:id="851" w:name="_Toc17556910"/>
      <w:bookmarkStart w:id="852" w:name="_Toc28589"/>
      <w:bookmarkStart w:id="853" w:name="_Toc222033916"/>
      <w:bookmarkStart w:id="854" w:name="_Toc17452698"/>
      <w:bookmarkStart w:id="855" w:name="_Toc259524419"/>
      <w:bookmarkStart w:id="856" w:name="_Toc17451657"/>
      <w:bookmarkStart w:id="857" w:name="_Toc26244"/>
      <w:bookmarkStart w:id="858" w:name="_Toc17556965"/>
      <w:bookmarkStart w:id="859" w:name="_Toc17454905"/>
      <w:bookmarkStart w:id="860" w:name="_Toc9787"/>
      <w:bookmarkStart w:id="861" w:name="_Toc26914"/>
      <w:bookmarkStart w:id="862" w:name="_Toc222032734"/>
      <w:bookmarkStart w:id="863" w:name="_Toc17454956"/>
      <w:bookmarkStart w:id="864" w:name="_Toc13801"/>
      <w:bookmarkStart w:id="865" w:name="_Toc4164"/>
      <w:bookmarkStart w:id="866" w:name="_Toc17451612"/>
      <w:bookmarkStart w:id="867" w:name="_Toc17451135"/>
      <w:r>
        <w:rPr>
          <w:rFonts w:hint="eastAsia" w:ascii="宋体" w:hAnsi="宋体" w:eastAsia="宋体" w:cs="宋体"/>
          <w:color w:val="000000" w:themeColor="text1"/>
          <w:sz w:val="28"/>
          <w:szCs w:val="27"/>
          <w:highlight w:val="none"/>
          <w14:textFill>
            <w14:solidFill>
              <w14:schemeClr w14:val="tx1"/>
            </w14:solidFill>
          </w14:textFill>
        </w:rPr>
        <w:t>五、已标价工程量清单</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spacing w:line="360" w:lineRule="auto"/>
        <w:jc w:val="center"/>
        <w:outlineLvl w:val="2"/>
        <w:rPr>
          <w:rFonts w:hint="eastAsia" w:ascii="宋体" w:hAnsi="宋体" w:eastAsia="宋体" w:cs="宋体"/>
          <w:color w:val="000000" w:themeColor="text1"/>
          <w:szCs w:val="21"/>
          <w:highlight w:val="none"/>
          <w14:textFill>
            <w14:solidFill>
              <w14:schemeClr w14:val="tx1"/>
            </w14:solidFill>
          </w14:textFill>
        </w:rPr>
      </w:pPr>
    </w:p>
    <w:p>
      <w:pPr>
        <w:spacing w:line="360" w:lineRule="auto"/>
        <w:rPr>
          <w:rFonts w:hint="eastAsia" w:ascii="宋体" w:hAnsi="宋体" w:eastAsia="宋体" w:cs="宋体"/>
          <w:color w:val="000000" w:themeColor="text1"/>
          <w:sz w:val="28"/>
          <w:szCs w:val="27"/>
          <w:highlight w:val="none"/>
          <w14:textFill>
            <w14:solidFill>
              <w14:schemeClr w14:val="tx1"/>
            </w14:solidFill>
          </w14:textFill>
        </w:rPr>
      </w:pPr>
    </w:p>
    <w:p>
      <w:pPr>
        <w:widowControl/>
        <w:jc w:val="left"/>
        <w:rPr>
          <w:rFonts w:hint="eastAsia" w:ascii="宋体" w:hAnsi="宋体" w:eastAsia="宋体" w:cs="宋体"/>
          <w:color w:val="000000" w:themeColor="text1"/>
          <w:sz w:val="28"/>
          <w:szCs w:val="27"/>
          <w:highlight w:val="none"/>
          <w14:textFill>
            <w14:solidFill>
              <w14:schemeClr w14:val="tx1"/>
            </w14:solidFill>
          </w14:textFill>
        </w:rPr>
      </w:pPr>
      <w:r>
        <w:rPr>
          <w:rFonts w:hint="eastAsia" w:ascii="宋体" w:hAnsi="宋体" w:eastAsia="宋体" w:cs="宋体"/>
          <w:color w:val="000000" w:themeColor="text1"/>
          <w:sz w:val="28"/>
          <w:szCs w:val="27"/>
          <w:highlight w:val="none"/>
          <w14:textFill>
            <w14:solidFill>
              <w14:schemeClr w14:val="tx1"/>
            </w14:solidFill>
          </w14:textFill>
        </w:rPr>
        <w:br w:type="page"/>
      </w: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868" w:name="_Toc16011"/>
      <w:bookmarkStart w:id="869" w:name="_Toc259524420"/>
      <w:bookmarkStart w:id="870" w:name="_Toc21829"/>
      <w:bookmarkStart w:id="871" w:name="_Toc222029566"/>
      <w:bookmarkStart w:id="872" w:name="_Toc18962"/>
      <w:bookmarkStart w:id="873" w:name="_Toc144974864"/>
      <w:bookmarkStart w:id="874" w:name="_Toc17454958"/>
      <w:bookmarkStart w:id="875" w:name="_Toc17452700"/>
      <w:bookmarkStart w:id="876" w:name="_Toc2004"/>
      <w:bookmarkStart w:id="877" w:name="_Toc221952064"/>
      <w:bookmarkStart w:id="878" w:name="_Toc222032735"/>
      <w:bookmarkStart w:id="879" w:name="_Toc222031068"/>
      <w:bookmarkStart w:id="880" w:name="_Toc17454907"/>
      <w:bookmarkStart w:id="881" w:name="_Toc168476326"/>
      <w:bookmarkStart w:id="882" w:name="_Toc17451614"/>
      <w:bookmarkStart w:id="883" w:name="_Toc229305426"/>
      <w:bookmarkStart w:id="884" w:name="_Toc168475923"/>
      <w:bookmarkStart w:id="885" w:name="_Toc222033917"/>
      <w:bookmarkStart w:id="886" w:name="_Toc17556912"/>
      <w:bookmarkStart w:id="887" w:name="_Toc17451137"/>
      <w:bookmarkStart w:id="888" w:name="_Toc9854"/>
      <w:bookmarkStart w:id="889" w:name="_Toc21865"/>
      <w:bookmarkStart w:id="890" w:name="_Toc17451659"/>
      <w:bookmarkStart w:id="891" w:name="_Toc17556967"/>
      <w:r>
        <w:rPr>
          <w:rFonts w:hint="eastAsia" w:ascii="宋体" w:hAnsi="宋体" w:eastAsia="宋体" w:cs="宋体"/>
          <w:color w:val="000000" w:themeColor="text1"/>
          <w:sz w:val="28"/>
          <w:szCs w:val="27"/>
          <w:highlight w:val="none"/>
          <w14:textFill>
            <w14:solidFill>
              <w14:schemeClr w14:val="tx1"/>
            </w14:solidFill>
          </w14:textFill>
        </w:rPr>
        <w:t>六、施工组织设计</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1. </w:t>
      </w:r>
      <w:r>
        <w:rPr>
          <w:rFonts w:hint="eastAsia" w:ascii="宋体" w:hAnsi="宋体" w:eastAsia="宋体" w:cs="宋体"/>
          <w:color w:val="000000" w:themeColor="text1"/>
          <w:szCs w:val="21"/>
          <w:highlight w:val="none"/>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投标人编制施工组织设计的要求：编制时应简明扼要地说明施工方法，工程质量、安全生产、文明施工、环境保护、冬雨季施工、工程进度、技术组织等主要措施，进度计划以及拟投入主要施工设备、劳动力、项目管理机构等。</w:t>
      </w:r>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 图表及格式要求：</w:t>
      </w: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附表一  拟投入本标段的主要施工设备表</w:t>
      </w: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附表二  拟投入本标段的试验和检测仪器设备表</w:t>
      </w: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附表三  拟投入本标段的劳动力计划表</w:t>
      </w:r>
    </w:p>
    <w:p>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附表四  计划开工日期、完工日期和施工进度网络图</w:t>
      </w:r>
    </w:p>
    <w:p>
      <w:pPr>
        <w:spacing w:line="400" w:lineRule="exact"/>
        <w:ind w:firstLine="380" w:firstLineChars="200"/>
        <w:jc w:val="left"/>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 w:val="19"/>
          <w:szCs w:val="19"/>
          <w:highlight w:val="none"/>
          <w14:textFill>
            <w14:solidFill>
              <w14:schemeClr w14:val="tx1"/>
            </w14:solidFill>
          </w14:textFill>
        </w:rPr>
        <w:br w:type="page"/>
      </w:r>
    </w:p>
    <w:p>
      <w:pPr>
        <w:spacing w:line="400" w:lineRule="exact"/>
        <w:jc w:val="center"/>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892" w:name="_Toc168475924"/>
      <w:bookmarkStart w:id="893" w:name="_Toc221952073"/>
      <w:bookmarkStart w:id="894" w:name="_Toc168476327"/>
      <w:bookmarkStart w:id="895" w:name="_Toc144974865"/>
      <w:r>
        <w:rPr>
          <w:rFonts w:hint="eastAsia" w:ascii="宋体" w:hAnsi="宋体" w:eastAsia="宋体" w:cs="宋体"/>
          <w:b/>
          <w:color w:val="000000" w:themeColor="text1"/>
          <w:sz w:val="24"/>
          <w:szCs w:val="31"/>
          <w:highlight w:val="none"/>
          <w14:textFill>
            <w14:solidFill>
              <w14:schemeClr w14:val="tx1"/>
            </w14:solidFill>
          </w14:textFill>
        </w:rPr>
        <w:t>附表一：拟投入本标段的主要施工设备表</w:t>
      </w:r>
      <w:bookmarkEnd w:id="892"/>
      <w:bookmarkEnd w:id="893"/>
      <w:bookmarkEnd w:id="894"/>
      <w:bookmarkEnd w:id="895"/>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896" w:name="_Toc221952074"/>
            <w:r>
              <w:rPr>
                <w:rFonts w:hint="eastAsia" w:ascii="宋体" w:hAnsi="宋体" w:eastAsia="宋体" w:cs="宋体"/>
                <w:color w:val="000000" w:themeColor="text1"/>
                <w:szCs w:val="21"/>
                <w:highlight w:val="none"/>
                <w14:textFill>
                  <w14:solidFill>
                    <w14:schemeClr w14:val="tx1"/>
                  </w14:solidFill>
                </w14:textFill>
              </w:rPr>
              <w:t>序号</w:t>
            </w:r>
            <w:bookmarkEnd w:id="896"/>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897" w:name="_Toc221952075"/>
            <w:r>
              <w:rPr>
                <w:rFonts w:hint="eastAsia" w:ascii="宋体" w:hAnsi="宋体" w:eastAsia="宋体" w:cs="宋体"/>
                <w:color w:val="000000" w:themeColor="text1"/>
                <w:szCs w:val="21"/>
                <w:highlight w:val="none"/>
                <w14:textFill>
                  <w14:solidFill>
                    <w14:schemeClr w14:val="tx1"/>
                  </w14:solidFill>
                </w14:textFill>
              </w:rPr>
              <w:t>设备名称</w:t>
            </w:r>
            <w:bookmarkEnd w:id="897"/>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898" w:name="_Toc221952076"/>
            <w:r>
              <w:rPr>
                <w:rFonts w:hint="eastAsia" w:ascii="宋体" w:hAnsi="宋体" w:eastAsia="宋体" w:cs="宋体"/>
                <w:color w:val="000000" w:themeColor="text1"/>
                <w:szCs w:val="21"/>
                <w:highlight w:val="none"/>
                <w14:textFill>
                  <w14:solidFill>
                    <w14:schemeClr w14:val="tx1"/>
                  </w14:solidFill>
                </w14:textFill>
              </w:rPr>
              <w:t>型号</w:t>
            </w:r>
            <w:bookmarkEnd w:id="898"/>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899" w:name="_Toc221952077"/>
            <w:r>
              <w:rPr>
                <w:rFonts w:hint="eastAsia" w:ascii="宋体" w:hAnsi="宋体" w:eastAsia="宋体" w:cs="宋体"/>
                <w:color w:val="000000" w:themeColor="text1"/>
                <w:szCs w:val="21"/>
                <w:highlight w:val="none"/>
                <w14:textFill>
                  <w14:solidFill>
                    <w14:schemeClr w14:val="tx1"/>
                  </w14:solidFill>
                </w14:textFill>
              </w:rPr>
              <w:t>规格</w:t>
            </w:r>
            <w:bookmarkEnd w:id="899"/>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0" w:name="_Toc221952078"/>
            <w:r>
              <w:rPr>
                <w:rFonts w:hint="eastAsia" w:ascii="宋体" w:hAnsi="宋体" w:eastAsia="宋体" w:cs="宋体"/>
                <w:color w:val="000000" w:themeColor="text1"/>
                <w:szCs w:val="21"/>
                <w:highlight w:val="none"/>
                <w14:textFill>
                  <w14:solidFill>
                    <w14:schemeClr w14:val="tx1"/>
                  </w14:solidFill>
                </w14:textFill>
              </w:rPr>
              <w:t>数量</w:t>
            </w:r>
            <w:bookmarkEnd w:id="900"/>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1" w:name="_Toc221952079"/>
            <w:r>
              <w:rPr>
                <w:rFonts w:hint="eastAsia" w:ascii="宋体" w:hAnsi="宋体" w:eastAsia="宋体" w:cs="宋体"/>
                <w:color w:val="000000" w:themeColor="text1"/>
                <w:szCs w:val="21"/>
                <w:highlight w:val="none"/>
                <w14:textFill>
                  <w14:solidFill>
                    <w14:schemeClr w14:val="tx1"/>
                  </w14:solidFill>
                </w14:textFill>
              </w:rPr>
              <w:t>国别</w:t>
            </w:r>
            <w:bookmarkEnd w:id="901"/>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2" w:name="_Toc221952080"/>
            <w:r>
              <w:rPr>
                <w:rFonts w:hint="eastAsia" w:ascii="宋体" w:hAnsi="宋体" w:eastAsia="宋体" w:cs="宋体"/>
                <w:color w:val="000000" w:themeColor="text1"/>
                <w:szCs w:val="21"/>
                <w:highlight w:val="none"/>
                <w14:textFill>
                  <w14:solidFill>
                    <w14:schemeClr w14:val="tx1"/>
                  </w14:solidFill>
                </w14:textFill>
              </w:rPr>
              <w:t>产地</w:t>
            </w:r>
            <w:bookmarkEnd w:id="902"/>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3" w:name="_Toc221952081"/>
            <w:r>
              <w:rPr>
                <w:rFonts w:hint="eastAsia" w:ascii="宋体" w:hAnsi="宋体" w:eastAsia="宋体" w:cs="宋体"/>
                <w:color w:val="000000" w:themeColor="text1"/>
                <w:szCs w:val="21"/>
                <w:highlight w:val="none"/>
                <w14:textFill>
                  <w14:solidFill>
                    <w14:schemeClr w14:val="tx1"/>
                  </w14:solidFill>
                </w14:textFill>
              </w:rPr>
              <w:t>制造</w:t>
            </w:r>
            <w:bookmarkEnd w:id="903"/>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4" w:name="_Toc221952082"/>
            <w:r>
              <w:rPr>
                <w:rFonts w:hint="eastAsia" w:ascii="宋体" w:hAnsi="宋体" w:eastAsia="宋体" w:cs="宋体"/>
                <w:color w:val="000000" w:themeColor="text1"/>
                <w:szCs w:val="21"/>
                <w:highlight w:val="none"/>
                <w14:textFill>
                  <w14:solidFill>
                    <w14:schemeClr w14:val="tx1"/>
                  </w14:solidFill>
                </w14:textFill>
              </w:rPr>
              <w:t>年份</w:t>
            </w:r>
            <w:bookmarkEnd w:id="904"/>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5" w:name="_Toc221952083"/>
            <w:r>
              <w:rPr>
                <w:rFonts w:hint="eastAsia" w:ascii="宋体" w:hAnsi="宋体" w:eastAsia="宋体" w:cs="宋体"/>
                <w:color w:val="000000" w:themeColor="text1"/>
                <w:szCs w:val="21"/>
                <w:highlight w:val="none"/>
                <w14:textFill>
                  <w14:solidFill>
                    <w14:schemeClr w14:val="tx1"/>
                  </w14:solidFill>
                </w14:textFill>
              </w:rPr>
              <w:t>额定功率（KW）</w:t>
            </w:r>
            <w:bookmarkEnd w:id="905"/>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6" w:name="_Toc221952084"/>
            <w:r>
              <w:rPr>
                <w:rFonts w:hint="eastAsia" w:ascii="宋体" w:hAnsi="宋体" w:eastAsia="宋体" w:cs="宋体"/>
                <w:color w:val="000000" w:themeColor="text1"/>
                <w:szCs w:val="21"/>
                <w:highlight w:val="none"/>
                <w14:textFill>
                  <w14:solidFill>
                    <w14:schemeClr w14:val="tx1"/>
                  </w14:solidFill>
                </w14:textFill>
              </w:rPr>
              <w:t>生产</w:t>
            </w:r>
            <w:bookmarkEnd w:id="906"/>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7" w:name="_Toc221952085"/>
            <w:r>
              <w:rPr>
                <w:rFonts w:hint="eastAsia" w:ascii="宋体" w:hAnsi="宋体" w:eastAsia="宋体" w:cs="宋体"/>
                <w:color w:val="000000" w:themeColor="text1"/>
                <w:szCs w:val="21"/>
                <w:highlight w:val="none"/>
                <w14:textFill>
                  <w14:solidFill>
                    <w14:schemeClr w14:val="tx1"/>
                  </w14:solidFill>
                </w14:textFill>
              </w:rPr>
              <w:t>能力</w:t>
            </w:r>
            <w:bookmarkEnd w:id="907"/>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8" w:name="_Toc221952086"/>
            <w:r>
              <w:rPr>
                <w:rFonts w:hint="eastAsia" w:ascii="宋体" w:hAnsi="宋体" w:eastAsia="宋体" w:cs="宋体"/>
                <w:color w:val="000000" w:themeColor="text1"/>
                <w:szCs w:val="21"/>
                <w:highlight w:val="none"/>
                <w14:textFill>
                  <w14:solidFill>
                    <w14:schemeClr w14:val="tx1"/>
                  </w14:solidFill>
                </w14:textFill>
              </w:rPr>
              <w:t>用于施工部位</w:t>
            </w:r>
            <w:bookmarkEnd w:id="908"/>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09" w:name="_Toc221952087"/>
            <w:r>
              <w:rPr>
                <w:rFonts w:hint="eastAsia" w:ascii="宋体" w:hAnsi="宋体" w:eastAsia="宋体" w:cs="宋体"/>
                <w:color w:val="000000" w:themeColor="text1"/>
                <w:szCs w:val="21"/>
                <w:highlight w:val="none"/>
                <w14:textFill>
                  <w14:solidFill>
                    <w14:schemeClr w14:val="tx1"/>
                  </w14:solidFill>
                </w14:textFill>
              </w:rPr>
              <w:t>备注</w:t>
            </w:r>
            <w:bookmarkEnd w:id="9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1"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6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8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2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9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00"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03"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bl>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 w:val="19"/>
          <w:szCs w:val="19"/>
          <w:highlight w:val="none"/>
          <w14:textFill>
            <w14:solidFill>
              <w14:schemeClr w14:val="tx1"/>
            </w14:solidFill>
          </w14:textFill>
        </w:rPr>
        <w:br w:type="page"/>
      </w:r>
    </w:p>
    <w:p>
      <w:pPr>
        <w:spacing w:line="400" w:lineRule="exact"/>
        <w:jc w:val="center"/>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910" w:name="_Toc221952088"/>
      <w:bookmarkStart w:id="911" w:name="_Toc144974866"/>
      <w:bookmarkStart w:id="912" w:name="_Toc168476328"/>
      <w:bookmarkStart w:id="913" w:name="_Toc168475925"/>
      <w:r>
        <w:rPr>
          <w:rFonts w:hint="eastAsia" w:ascii="宋体" w:hAnsi="宋体" w:eastAsia="宋体" w:cs="宋体"/>
          <w:b/>
          <w:color w:val="000000" w:themeColor="text1"/>
          <w:sz w:val="24"/>
          <w:szCs w:val="31"/>
          <w:highlight w:val="none"/>
          <w14:textFill>
            <w14:solidFill>
              <w14:schemeClr w14:val="tx1"/>
            </w14:solidFill>
          </w14:textFill>
        </w:rPr>
        <w:t>附表二：拟投入本标段的试验和检测仪器设备表</w:t>
      </w:r>
      <w:bookmarkEnd w:id="910"/>
      <w:bookmarkEnd w:id="911"/>
      <w:bookmarkEnd w:id="912"/>
      <w:bookmarkEnd w:id="913"/>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95"/>
        <w:gridCol w:w="882"/>
        <w:gridCol w:w="882"/>
        <w:gridCol w:w="677"/>
        <w:gridCol w:w="744"/>
        <w:gridCol w:w="1221"/>
        <w:gridCol w:w="166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4" w:name="_Toc221952089"/>
            <w:r>
              <w:rPr>
                <w:rFonts w:hint="eastAsia" w:ascii="宋体" w:hAnsi="宋体" w:eastAsia="宋体" w:cs="宋体"/>
                <w:color w:val="000000" w:themeColor="text1"/>
                <w:szCs w:val="21"/>
                <w:highlight w:val="none"/>
                <w14:textFill>
                  <w14:solidFill>
                    <w14:schemeClr w14:val="tx1"/>
                  </w14:solidFill>
                </w14:textFill>
              </w:rPr>
              <w:t>序号</w:t>
            </w:r>
            <w:bookmarkEnd w:id="914"/>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5" w:name="_Toc221952090"/>
            <w:r>
              <w:rPr>
                <w:rFonts w:hint="eastAsia" w:ascii="宋体" w:hAnsi="宋体" w:eastAsia="宋体" w:cs="宋体"/>
                <w:color w:val="000000" w:themeColor="text1"/>
                <w:szCs w:val="21"/>
                <w:highlight w:val="none"/>
                <w14:textFill>
                  <w14:solidFill>
                    <w14:schemeClr w14:val="tx1"/>
                  </w14:solidFill>
                </w14:textFill>
              </w:rPr>
              <w:t>仪器设备名称</w:t>
            </w:r>
            <w:bookmarkEnd w:id="915"/>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6" w:name="_Toc221952091"/>
            <w:r>
              <w:rPr>
                <w:rFonts w:hint="eastAsia" w:ascii="宋体" w:hAnsi="宋体" w:eastAsia="宋体" w:cs="宋体"/>
                <w:color w:val="000000" w:themeColor="text1"/>
                <w:szCs w:val="21"/>
                <w:highlight w:val="none"/>
                <w14:textFill>
                  <w14:solidFill>
                    <w14:schemeClr w14:val="tx1"/>
                  </w14:solidFill>
                </w14:textFill>
              </w:rPr>
              <w:t>型号</w:t>
            </w:r>
            <w:bookmarkEnd w:id="916"/>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7" w:name="_Toc221952092"/>
            <w:r>
              <w:rPr>
                <w:rFonts w:hint="eastAsia" w:ascii="宋体" w:hAnsi="宋体" w:eastAsia="宋体" w:cs="宋体"/>
                <w:color w:val="000000" w:themeColor="text1"/>
                <w:szCs w:val="21"/>
                <w:highlight w:val="none"/>
                <w14:textFill>
                  <w14:solidFill>
                    <w14:schemeClr w14:val="tx1"/>
                  </w14:solidFill>
                </w14:textFill>
              </w:rPr>
              <w:t>规格</w:t>
            </w:r>
            <w:bookmarkEnd w:id="917"/>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8" w:name="_Toc221952093"/>
            <w:r>
              <w:rPr>
                <w:rFonts w:hint="eastAsia" w:ascii="宋体" w:hAnsi="宋体" w:eastAsia="宋体" w:cs="宋体"/>
                <w:color w:val="000000" w:themeColor="text1"/>
                <w:szCs w:val="21"/>
                <w:highlight w:val="none"/>
                <w14:textFill>
                  <w14:solidFill>
                    <w14:schemeClr w14:val="tx1"/>
                  </w14:solidFill>
                </w14:textFill>
              </w:rPr>
              <w:t>数量</w:t>
            </w:r>
            <w:bookmarkEnd w:id="918"/>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19" w:name="_Toc221952094"/>
            <w:r>
              <w:rPr>
                <w:rFonts w:hint="eastAsia" w:ascii="宋体" w:hAnsi="宋体" w:eastAsia="宋体" w:cs="宋体"/>
                <w:color w:val="000000" w:themeColor="text1"/>
                <w:szCs w:val="21"/>
                <w:highlight w:val="none"/>
                <w14:textFill>
                  <w14:solidFill>
                    <w14:schemeClr w14:val="tx1"/>
                  </w14:solidFill>
                </w14:textFill>
              </w:rPr>
              <w:t>国别</w:t>
            </w:r>
            <w:bookmarkEnd w:id="919"/>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0" w:name="_Toc221952095"/>
            <w:r>
              <w:rPr>
                <w:rFonts w:hint="eastAsia" w:ascii="宋体" w:hAnsi="宋体" w:eastAsia="宋体" w:cs="宋体"/>
                <w:color w:val="000000" w:themeColor="text1"/>
                <w:szCs w:val="21"/>
                <w:highlight w:val="none"/>
                <w14:textFill>
                  <w14:solidFill>
                    <w14:schemeClr w14:val="tx1"/>
                  </w14:solidFill>
                </w14:textFill>
              </w:rPr>
              <w:t>产地</w:t>
            </w:r>
            <w:bookmarkEnd w:id="920"/>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1" w:name="_Toc221952096"/>
            <w:r>
              <w:rPr>
                <w:rFonts w:hint="eastAsia" w:ascii="宋体" w:hAnsi="宋体" w:eastAsia="宋体" w:cs="宋体"/>
                <w:color w:val="000000" w:themeColor="text1"/>
                <w:szCs w:val="21"/>
                <w:highlight w:val="none"/>
                <w14:textFill>
                  <w14:solidFill>
                    <w14:schemeClr w14:val="tx1"/>
                  </w14:solidFill>
                </w14:textFill>
              </w:rPr>
              <w:t>制造</w:t>
            </w:r>
            <w:bookmarkEnd w:id="921"/>
          </w:p>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2" w:name="_Toc221952097"/>
            <w:r>
              <w:rPr>
                <w:rFonts w:hint="eastAsia" w:ascii="宋体" w:hAnsi="宋体" w:eastAsia="宋体" w:cs="宋体"/>
                <w:color w:val="000000" w:themeColor="text1"/>
                <w:szCs w:val="21"/>
                <w:highlight w:val="none"/>
                <w14:textFill>
                  <w14:solidFill>
                    <w14:schemeClr w14:val="tx1"/>
                  </w14:solidFill>
                </w14:textFill>
              </w:rPr>
              <w:t>年份</w:t>
            </w:r>
            <w:bookmarkEnd w:id="922"/>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3" w:name="_Toc221952098"/>
            <w:r>
              <w:rPr>
                <w:rFonts w:hint="eastAsia" w:ascii="宋体" w:hAnsi="宋体" w:eastAsia="宋体" w:cs="宋体"/>
                <w:color w:val="000000" w:themeColor="text1"/>
                <w:szCs w:val="21"/>
                <w:highlight w:val="none"/>
                <w14:textFill>
                  <w14:solidFill>
                    <w14:schemeClr w14:val="tx1"/>
                  </w14:solidFill>
                </w14:textFill>
              </w:rPr>
              <w:t>已使用台时数</w:t>
            </w:r>
            <w:bookmarkEnd w:id="923"/>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4" w:name="_Toc221952099"/>
            <w:r>
              <w:rPr>
                <w:rFonts w:hint="eastAsia" w:ascii="宋体" w:hAnsi="宋体" w:eastAsia="宋体" w:cs="宋体"/>
                <w:color w:val="000000" w:themeColor="text1"/>
                <w:szCs w:val="21"/>
                <w:highlight w:val="none"/>
                <w14:textFill>
                  <w14:solidFill>
                    <w14:schemeClr w14:val="tx1"/>
                  </w14:solidFill>
                </w14:textFill>
              </w:rPr>
              <w:t>用途</w:t>
            </w:r>
            <w:bookmarkEnd w:id="924"/>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25" w:name="_Toc221952100"/>
            <w:r>
              <w:rPr>
                <w:rFonts w:hint="eastAsia" w:ascii="宋体" w:hAnsi="宋体" w:eastAsia="宋体" w:cs="宋体"/>
                <w:color w:val="000000" w:themeColor="text1"/>
                <w:szCs w:val="21"/>
                <w:highlight w:val="none"/>
                <w14:textFill>
                  <w14:solidFill>
                    <w14:schemeClr w14:val="tx1"/>
                  </w14:solidFill>
                </w14:textFill>
              </w:rPr>
              <w:t>备注</w:t>
            </w:r>
            <w:bookmarkEnd w:id="9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42"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1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397"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3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1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97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40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bl>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 w:val="19"/>
          <w:szCs w:val="19"/>
          <w:highlight w:val="none"/>
          <w14:textFill>
            <w14:solidFill>
              <w14:schemeClr w14:val="tx1"/>
            </w14:solidFill>
          </w14:textFill>
        </w:rPr>
        <w:br w:type="page"/>
      </w:r>
    </w:p>
    <w:p>
      <w:pPr>
        <w:spacing w:line="400" w:lineRule="exact"/>
        <w:jc w:val="center"/>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926" w:name="_Toc168475926"/>
      <w:bookmarkStart w:id="927" w:name="_Toc221952101"/>
      <w:bookmarkStart w:id="928" w:name="_Toc144974867"/>
      <w:bookmarkStart w:id="929" w:name="_Toc168476329"/>
      <w:r>
        <w:rPr>
          <w:rFonts w:hint="eastAsia" w:ascii="宋体" w:hAnsi="宋体" w:eastAsia="宋体" w:cs="宋体"/>
          <w:b/>
          <w:color w:val="000000" w:themeColor="text1"/>
          <w:sz w:val="24"/>
          <w:szCs w:val="31"/>
          <w:highlight w:val="none"/>
          <w14:textFill>
            <w14:solidFill>
              <w14:schemeClr w14:val="tx1"/>
            </w14:solidFill>
          </w14:textFill>
        </w:rPr>
        <w:t>附表三：拟投入本标段的劳动力计划表</w:t>
      </w:r>
      <w:bookmarkEnd w:id="926"/>
      <w:bookmarkEnd w:id="927"/>
      <w:bookmarkEnd w:id="928"/>
      <w:bookmarkEnd w:id="929"/>
    </w:p>
    <w:p>
      <w:pPr>
        <w:spacing w:line="400" w:lineRule="exact"/>
        <w:ind w:right="200"/>
        <w:jc w:val="right"/>
        <w:rPr>
          <w:rFonts w:hint="eastAsia" w:ascii="宋体" w:hAnsi="宋体" w:eastAsia="宋体" w:cs="宋体"/>
          <w:color w:val="000000" w:themeColor="text1"/>
          <w:szCs w:val="21"/>
          <w:highlight w:val="none"/>
          <w14:textFill>
            <w14:solidFill>
              <w14:schemeClr w14:val="tx1"/>
            </w14:solidFill>
          </w14:textFill>
        </w:rPr>
      </w:pPr>
      <w:bookmarkStart w:id="930" w:name="_Toc221952102"/>
      <w:r>
        <w:rPr>
          <w:rFonts w:hint="eastAsia" w:ascii="宋体" w:hAnsi="宋体" w:eastAsia="宋体" w:cs="宋体"/>
          <w:color w:val="000000" w:themeColor="text1"/>
          <w:szCs w:val="21"/>
          <w:highlight w:val="none"/>
          <w14:textFill>
            <w14:solidFill>
              <w14:schemeClr w14:val="tx1"/>
            </w14:solidFill>
          </w14:textFill>
        </w:rPr>
        <w:t>单位：人</w:t>
      </w:r>
      <w:bookmarkEnd w:id="930"/>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31" w:name="_Toc221952103"/>
            <w:r>
              <w:rPr>
                <w:rFonts w:hint="eastAsia" w:ascii="宋体" w:hAnsi="宋体" w:eastAsia="宋体" w:cs="宋体"/>
                <w:color w:val="000000" w:themeColor="text1"/>
                <w:szCs w:val="21"/>
                <w:highlight w:val="none"/>
                <w14:textFill>
                  <w14:solidFill>
                    <w14:schemeClr w14:val="tx1"/>
                  </w14:solidFill>
                </w14:textFill>
              </w:rPr>
              <w:t>工种</w:t>
            </w:r>
            <w:bookmarkEnd w:id="931"/>
          </w:p>
        </w:tc>
        <w:tc>
          <w:tcPr>
            <w:tcW w:w="4514" w:type="pct"/>
            <w:gridSpan w:val="7"/>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bookmarkStart w:id="932" w:name="_Toc221952104"/>
            <w:r>
              <w:rPr>
                <w:rFonts w:hint="eastAsia" w:ascii="宋体" w:hAnsi="宋体" w:eastAsia="宋体" w:cs="宋体"/>
                <w:color w:val="000000" w:themeColor="text1"/>
                <w:szCs w:val="21"/>
                <w:highlight w:val="none"/>
                <w14:textFill>
                  <w14:solidFill>
                    <w14:schemeClr w14:val="tx1"/>
                  </w14:solidFill>
                </w14:textFill>
              </w:rPr>
              <w:t>按工程施工阶段投入劳动力情况</w:t>
            </w:r>
            <w:bookmarkEnd w:id="9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6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5"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24" w:type="pct"/>
          </w:tcPr>
          <w:p>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bl>
    <w:p>
      <w:pPr>
        <w:topLinePunct/>
        <w:spacing w:line="400" w:lineRule="exact"/>
        <w:rPr>
          <w:rFonts w:hint="eastAsia" w:ascii="宋体" w:hAnsi="宋体" w:eastAsia="宋体" w:cs="宋体"/>
          <w:color w:val="000000" w:themeColor="text1"/>
          <w:sz w:val="20"/>
          <w:szCs w:val="20"/>
          <w:highlight w:val="none"/>
          <w14:textFill>
            <w14:solidFill>
              <w14:schemeClr w14:val="tx1"/>
            </w14:solidFill>
          </w14:textFill>
        </w:rPr>
      </w:pPr>
    </w:p>
    <w:p>
      <w:pPr>
        <w:widowControl/>
        <w:jc w:val="left"/>
        <w:rPr>
          <w:rFonts w:hint="eastAsia" w:ascii="宋体" w:hAnsi="宋体" w:eastAsia="宋体" w:cs="宋体"/>
          <w:b/>
          <w:color w:val="000000" w:themeColor="text1"/>
          <w:sz w:val="24"/>
          <w:szCs w:val="31"/>
          <w:highlight w:val="none"/>
          <w14:textFill>
            <w14:solidFill>
              <w14:schemeClr w14:val="tx1"/>
            </w14:solidFill>
          </w14:textFill>
        </w:rPr>
      </w:pPr>
      <w:bookmarkStart w:id="933" w:name="_Toc168475927"/>
      <w:bookmarkStart w:id="934" w:name="_Toc168476330"/>
      <w:bookmarkStart w:id="935" w:name="_Toc221952105"/>
      <w:bookmarkStart w:id="936" w:name="_Toc144974868"/>
      <w:r>
        <w:rPr>
          <w:rFonts w:hint="eastAsia" w:ascii="宋体" w:hAnsi="宋体" w:eastAsia="宋体" w:cs="宋体"/>
          <w:b/>
          <w:color w:val="000000" w:themeColor="text1"/>
          <w:sz w:val="24"/>
          <w:szCs w:val="31"/>
          <w:highlight w:val="none"/>
          <w14:textFill>
            <w14:solidFill>
              <w14:schemeClr w14:val="tx1"/>
            </w14:solidFill>
          </w14:textFill>
        </w:rPr>
        <w:br w:type="page"/>
      </w:r>
    </w:p>
    <w:p>
      <w:pPr>
        <w:spacing w:line="400" w:lineRule="exact"/>
        <w:jc w:val="center"/>
        <w:outlineLvl w:val="3"/>
        <w:rPr>
          <w:rFonts w:hint="eastAsia" w:ascii="宋体" w:hAnsi="宋体" w:eastAsia="宋体" w:cs="宋体"/>
          <w:b/>
          <w:color w:val="000000" w:themeColor="text1"/>
          <w:sz w:val="24"/>
          <w:szCs w:val="31"/>
          <w:highlight w:val="none"/>
          <w14:textFill>
            <w14:solidFill>
              <w14:schemeClr w14:val="tx1"/>
            </w14:solidFill>
          </w14:textFill>
        </w:rPr>
      </w:pPr>
      <w:r>
        <w:rPr>
          <w:rFonts w:hint="eastAsia" w:ascii="宋体" w:hAnsi="宋体" w:eastAsia="宋体" w:cs="宋体"/>
          <w:b/>
          <w:color w:val="000000" w:themeColor="text1"/>
          <w:sz w:val="24"/>
          <w:szCs w:val="31"/>
          <w:highlight w:val="none"/>
          <w14:textFill>
            <w14:solidFill>
              <w14:schemeClr w14:val="tx1"/>
            </w14:solidFill>
          </w14:textFill>
        </w:rPr>
        <w:t>附表四：计划开工日期、完工日期和施工进度网络图</w:t>
      </w:r>
      <w:bookmarkEnd w:id="933"/>
      <w:bookmarkEnd w:id="934"/>
      <w:bookmarkEnd w:id="935"/>
      <w:bookmarkEnd w:id="936"/>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spacing w:line="40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937" w:name="_Toc221952106"/>
      <w:r>
        <w:rPr>
          <w:rFonts w:hint="eastAsia" w:ascii="宋体" w:hAnsi="宋体" w:eastAsia="宋体" w:cs="宋体"/>
          <w:color w:val="000000" w:themeColor="text1"/>
          <w:szCs w:val="21"/>
          <w:highlight w:val="none"/>
          <w14:textFill>
            <w14:solidFill>
              <w14:schemeClr w14:val="tx1"/>
            </w14:solidFill>
          </w14:textFill>
        </w:rPr>
        <w:t>1. 投标人应递交施工进度网络图或施工进度表，说明按招标文件要求的计划工期进行施工的各个关键日期。</w:t>
      </w:r>
      <w:bookmarkEnd w:id="937"/>
    </w:p>
    <w:p>
      <w:pPr>
        <w:widowControl/>
        <w:spacing w:line="400" w:lineRule="exact"/>
        <w:ind w:firstLine="420" w:firstLineChars="200"/>
        <w:jc w:val="left"/>
        <w:rPr>
          <w:rFonts w:hint="eastAsia" w:ascii="宋体" w:hAnsi="宋体" w:eastAsia="宋体" w:cs="宋体"/>
          <w:color w:val="000000" w:themeColor="text1"/>
          <w:sz w:val="28"/>
          <w:szCs w:val="27"/>
          <w:highlight w:val="none"/>
          <w14:textFill>
            <w14:solidFill>
              <w14:schemeClr w14:val="tx1"/>
            </w14:solidFill>
          </w14:textFill>
        </w:rPr>
      </w:pPr>
      <w:bookmarkStart w:id="938" w:name="_Toc221952107"/>
      <w:r>
        <w:rPr>
          <w:rFonts w:hint="eastAsia" w:ascii="宋体" w:hAnsi="宋体" w:eastAsia="宋体" w:cs="宋体"/>
          <w:color w:val="000000" w:themeColor="text1"/>
          <w:szCs w:val="21"/>
          <w:highlight w:val="none"/>
          <w14:textFill>
            <w14:solidFill>
              <w14:schemeClr w14:val="tx1"/>
            </w14:solidFill>
          </w14:textFill>
        </w:rPr>
        <w:t>2. 施工进度表可采用</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网络图（或横道图）表示。</w:t>
      </w:r>
      <w:bookmarkEnd w:id="938"/>
      <w:r>
        <w:rPr>
          <w:rFonts w:hint="eastAsia" w:ascii="宋体" w:hAnsi="宋体" w:eastAsia="宋体" w:cs="宋体"/>
          <w:color w:val="000000" w:themeColor="text1"/>
          <w:sz w:val="19"/>
          <w:szCs w:val="19"/>
          <w:highlight w:val="none"/>
          <w14:textFill>
            <w14:solidFill>
              <w14:schemeClr w14:val="tx1"/>
            </w14:solidFill>
          </w14:textFill>
        </w:rPr>
        <w:br w:type="page"/>
      </w:r>
      <w:bookmarkStart w:id="939" w:name="_Toc168476333"/>
      <w:bookmarkStart w:id="940" w:name="_Toc222029567"/>
      <w:bookmarkStart w:id="941" w:name="_Toc144974871"/>
      <w:bookmarkStart w:id="942" w:name="_Toc229305427"/>
      <w:bookmarkStart w:id="943" w:name="_Toc222031069"/>
      <w:bookmarkStart w:id="944" w:name="_Toc222032736"/>
      <w:bookmarkStart w:id="945" w:name="_Toc259524421"/>
      <w:bookmarkStart w:id="946" w:name="_Toc168475930"/>
      <w:bookmarkStart w:id="947" w:name="_Toc221952115"/>
      <w:bookmarkStart w:id="948" w:name="_Toc222033918"/>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949" w:name="_Toc17556913"/>
      <w:bookmarkStart w:id="950" w:name="_Toc31399"/>
      <w:bookmarkStart w:id="951" w:name="_Toc17556968"/>
      <w:bookmarkStart w:id="952" w:name="_Toc17451615"/>
      <w:bookmarkStart w:id="953" w:name="_Toc27627"/>
      <w:bookmarkStart w:id="954" w:name="_Toc11447"/>
      <w:bookmarkStart w:id="955" w:name="_Toc15057"/>
      <w:bookmarkStart w:id="956" w:name="_Toc17451138"/>
      <w:bookmarkStart w:id="957" w:name="_Toc17454959"/>
      <w:bookmarkStart w:id="958" w:name="_Toc17452701"/>
      <w:bookmarkStart w:id="959" w:name="_Toc17454908"/>
      <w:bookmarkStart w:id="960" w:name="_Toc5749"/>
      <w:bookmarkStart w:id="961" w:name="_Toc17451660"/>
      <w:bookmarkStart w:id="962" w:name="_Toc20438"/>
      <w:r>
        <w:rPr>
          <w:rFonts w:hint="eastAsia" w:ascii="宋体" w:hAnsi="宋体" w:eastAsia="宋体" w:cs="宋体"/>
          <w:color w:val="000000" w:themeColor="text1"/>
          <w:sz w:val="28"/>
          <w:szCs w:val="27"/>
          <w:highlight w:val="none"/>
          <w14:textFill>
            <w14:solidFill>
              <w14:schemeClr w14:val="tx1"/>
            </w14:solidFill>
          </w14:textFill>
        </w:rPr>
        <w:t>七、项目管理机构</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spacing w:line="400" w:lineRule="exact"/>
        <w:jc w:val="left"/>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963" w:name="_Toc221952116"/>
      <w:bookmarkStart w:id="964" w:name="_Toc168475931"/>
      <w:bookmarkStart w:id="965" w:name="_Toc144974872"/>
      <w:bookmarkStart w:id="966" w:name="_Toc168476334"/>
      <w:r>
        <w:rPr>
          <w:rFonts w:hint="eastAsia" w:ascii="宋体" w:hAnsi="宋体" w:eastAsia="宋体" w:cs="宋体"/>
          <w:b/>
          <w:color w:val="000000" w:themeColor="text1"/>
          <w:sz w:val="24"/>
          <w:szCs w:val="31"/>
          <w:highlight w:val="none"/>
          <w14:textFill>
            <w14:solidFill>
              <w14:schemeClr w14:val="tx1"/>
            </w14:solidFill>
          </w14:textFill>
        </w:rPr>
        <w:t>（一）</w:t>
      </w:r>
      <w:bookmarkEnd w:id="963"/>
      <w:bookmarkEnd w:id="964"/>
      <w:bookmarkEnd w:id="965"/>
      <w:bookmarkEnd w:id="966"/>
      <w:r>
        <w:rPr>
          <w:rFonts w:hint="eastAsia" w:ascii="宋体" w:hAnsi="宋体" w:eastAsia="宋体" w:cs="宋体"/>
          <w:b/>
          <w:color w:val="000000" w:themeColor="text1"/>
          <w:sz w:val="24"/>
          <w:szCs w:val="31"/>
          <w:highlight w:val="none"/>
          <w14:textFill>
            <w14:solidFill>
              <w14:schemeClr w14:val="tx1"/>
            </w14:solidFill>
          </w14:textFill>
        </w:rPr>
        <w:t>拟投入项目人员配备响应表</w:t>
      </w:r>
    </w:p>
    <w:tbl>
      <w:tblPr>
        <w:tblStyle w:val="39"/>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655"/>
        <w:gridCol w:w="798"/>
        <w:gridCol w:w="2152"/>
        <w:gridCol w:w="3100"/>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w:t>
            </w: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381"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464"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252"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1803"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c>
          <w:tcPr>
            <w:tcW w:w="595" w:type="pct"/>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w:t>
      </w:r>
      <w:r>
        <w:rPr>
          <w:rFonts w:hint="eastAsia" w:ascii="宋体" w:hAnsi="宋体" w:eastAsia="宋体" w:cs="宋体"/>
          <w:color w:val="000000" w:themeColor="text1"/>
          <w:highlight w:val="none"/>
          <w14:textFill>
            <w14:solidFill>
              <w14:schemeClr w14:val="tx1"/>
            </w14:solidFill>
          </w14:textFill>
        </w:rPr>
        <w:t>：</w:t>
      </w:r>
    </w:p>
    <w:p>
      <w:pPr>
        <w:numPr>
          <w:ilvl w:val="0"/>
          <w:numId w:val="11"/>
        </w:num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除普工外，所有岗位人员应提供最近一个月（2023年</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月）社保缴纳证明和</w:t>
      </w:r>
      <w:r>
        <w:rPr>
          <w:rFonts w:hint="eastAsia" w:ascii="宋体" w:hAnsi="宋体" w:eastAsia="宋体" w:cs="宋体"/>
          <w:color w:val="000000" w:themeColor="text1"/>
          <w:highlight w:val="none"/>
          <w:lang w:val="en-US" w:eastAsia="zh-CN"/>
          <w14:textFill>
            <w14:solidFill>
              <w14:schemeClr w14:val="tx1"/>
            </w14:solidFill>
          </w14:textFill>
        </w:rPr>
        <w:t>在</w:t>
      </w:r>
      <w:r>
        <w:rPr>
          <w:rFonts w:hint="eastAsia" w:ascii="宋体" w:hAnsi="宋体" w:eastAsia="宋体" w:cs="宋体"/>
          <w:color w:val="000000" w:themeColor="text1"/>
          <w:highlight w:val="none"/>
          <w14:textFill>
            <w14:solidFill>
              <w14:schemeClr w14:val="tx1"/>
            </w14:solidFill>
          </w14:textFill>
        </w:rPr>
        <w:t>有效期内的执业或职业资格证明复印件</w:t>
      </w:r>
    </w:p>
    <w:p>
      <w:pPr>
        <w:numPr>
          <w:ilvl w:val="0"/>
          <w:numId w:val="11"/>
        </w:numPr>
        <w:spacing w:line="400" w:lineRule="exact"/>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投标人可以根据拟投入人员扩展表格。</w:t>
      </w:r>
    </w:p>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p>
    <w:p>
      <w:pPr>
        <w:widowControl/>
        <w:jc w:val="left"/>
        <w:rPr>
          <w:rFonts w:hint="eastAsia" w:ascii="宋体" w:hAnsi="宋体" w:eastAsia="宋体" w:cs="宋体"/>
          <w:b/>
          <w:color w:val="000000" w:themeColor="text1"/>
          <w:sz w:val="24"/>
          <w:szCs w:val="31"/>
          <w:highlight w:val="none"/>
          <w14:textFill>
            <w14:solidFill>
              <w14:schemeClr w14:val="tx1"/>
            </w14:solidFill>
          </w14:textFill>
        </w:rPr>
      </w:pPr>
      <w:bookmarkStart w:id="967" w:name="_Toc168476335"/>
      <w:bookmarkStart w:id="968" w:name="_Toc168475932"/>
      <w:bookmarkStart w:id="969" w:name="_Toc144974873"/>
      <w:bookmarkStart w:id="970" w:name="_Toc221952127"/>
      <w:r>
        <w:rPr>
          <w:rFonts w:hint="eastAsia" w:ascii="宋体" w:hAnsi="宋体" w:eastAsia="宋体" w:cs="宋体"/>
          <w:b/>
          <w:color w:val="000000" w:themeColor="text1"/>
          <w:sz w:val="24"/>
          <w:szCs w:val="31"/>
          <w:highlight w:val="none"/>
          <w14:textFill>
            <w14:solidFill>
              <w14:schemeClr w14:val="tx1"/>
            </w14:solidFill>
          </w14:textFill>
        </w:rPr>
        <w:br w:type="page"/>
      </w:r>
    </w:p>
    <w:p>
      <w:pPr>
        <w:spacing w:line="400" w:lineRule="exact"/>
        <w:jc w:val="left"/>
        <w:outlineLvl w:val="3"/>
        <w:rPr>
          <w:rFonts w:hint="eastAsia" w:ascii="宋体" w:hAnsi="宋体" w:eastAsia="宋体" w:cs="宋体"/>
          <w:b/>
          <w:color w:val="000000" w:themeColor="text1"/>
          <w:sz w:val="24"/>
          <w:szCs w:val="31"/>
          <w:highlight w:val="none"/>
          <w14:textFill>
            <w14:solidFill>
              <w14:schemeClr w14:val="tx1"/>
            </w14:solidFill>
          </w14:textFill>
        </w:rPr>
      </w:pPr>
      <w:r>
        <w:rPr>
          <w:rFonts w:hint="eastAsia" w:ascii="宋体" w:hAnsi="宋体" w:eastAsia="宋体" w:cs="宋体"/>
          <w:b/>
          <w:color w:val="000000" w:themeColor="text1"/>
          <w:sz w:val="24"/>
          <w:szCs w:val="31"/>
          <w:highlight w:val="none"/>
          <w14:textFill>
            <w14:solidFill>
              <w14:schemeClr w14:val="tx1"/>
            </w14:solidFill>
          </w14:textFill>
        </w:rPr>
        <w:t>（二）主要人员简历表</w:t>
      </w:r>
      <w:bookmarkEnd w:id="967"/>
      <w:bookmarkEnd w:id="968"/>
      <w:bookmarkEnd w:id="969"/>
      <w:bookmarkEnd w:id="970"/>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350"/>
        <w:gridCol w:w="701"/>
        <w:gridCol w:w="902"/>
        <w:gridCol w:w="1037"/>
        <w:gridCol w:w="691"/>
        <w:gridCol w:w="1228"/>
        <w:gridCol w:w="490"/>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1" w:name="_Toc221952129"/>
            <w:r>
              <w:rPr>
                <w:rFonts w:hint="eastAsia" w:ascii="宋体" w:hAnsi="宋体" w:eastAsia="宋体" w:cs="宋体"/>
                <w:color w:val="000000" w:themeColor="text1"/>
                <w:szCs w:val="21"/>
                <w:highlight w:val="none"/>
                <w14:textFill>
                  <w14:solidFill>
                    <w14:schemeClr w14:val="tx1"/>
                  </w14:solidFill>
                </w14:textFill>
              </w:rPr>
              <w:t>姓  名</w:t>
            </w:r>
            <w:bookmarkEnd w:id="971"/>
          </w:p>
        </w:tc>
        <w:tc>
          <w:tcPr>
            <w:tcW w:w="616" w:type="pct"/>
            <w:gridSpan w:val="2"/>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29"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2" w:name="_Toc221952130"/>
            <w:r>
              <w:rPr>
                <w:rFonts w:hint="eastAsia" w:ascii="宋体" w:hAnsi="宋体" w:eastAsia="宋体" w:cs="宋体"/>
                <w:color w:val="000000" w:themeColor="text1"/>
                <w:szCs w:val="21"/>
                <w:highlight w:val="none"/>
                <w14:textFill>
                  <w14:solidFill>
                    <w14:schemeClr w14:val="tx1"/>
                  </w14:solidFill>
                </w14:textFill>
              </w:rPr>
              <w:t>年 龄</w:t>
            </w:r>
            <w:bookmarkEnd w:id="972"/>
          </w:p>
        </w:tc>
        <w:tc>
          <w:tcPr>
            <w:tcW w:w="608"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412" w:type="pct"/>
            <w:gridSpan w:val="3"/>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3" w:name="_Toc221952131"/>
            <w:r>
              <w:rPr>
                <w:rFonts w:hint="eastAsia" w:ascii="宋体" w:hAnsi="宋体" w:eastAsia="宋体" w:cs="宋体"/>
                <w:color w:val="000000" w:themeColor="text1"/>
                <w:szCs w:val="21"/>
                <w:highlight w:val="none"/>
                <w14:textFill>
                  <w14:solidFill>
                    <w14:schemeClr w14:val="tx1"/>
                  </w14:solidFill>
                </w14:textFill>
              </w:rPr>
              <w:t>学历</w:t>
            </w:r>
            <w:bookmarkEnd w:id="973"/>
          </w:p>
        </w:tc>
        <w:tc>
          <w:tcPr>
            <w:tcW w:w="1158"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执业资格</w:t>
            </w:r>
          </w:p>
        </w:tc>
        <w:tc>
          <w:tcPr>
            <w:tcW w:w="1753" w:type="pct"/>
            <w:gridSpan w:val="4"/>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412" w:type="pct"/>
            <w:gridSpan w:val="3"/>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安全生产考核合格证书</w:t>
            </w:r>
          </w:p>
        </w:tc>
        <w:tc>
          <w:tcPr>
            <w:tcW w:w="1158"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4" w:name="_Toc221952132"/>
            <w:r>
              <w:rPr>
                <w:rFonts w:hint="eastAsia" w:ascii="宋体" w:hAnsi="宋体" w:eastAsia="宋体" w:cs="宋体"/>
                <w:color w:val="000000" w:themeColor="text1"/>
                <w:szCs w:val="21"/>
                <w:highlight w:val="none"/>
                <w14:textFill>
                  <w14:solidFill>
                    <w14:schemeClr w14:val="tx1"/>
                  </w14:solidFill>
                </w14:textFill>
              </w:rPr>
              <w:t>职  称</w:t>
            </w:r>
            <w:bookmarkEnd w:id="974"/>
          </w:p>
        </w:tc>
        <w:tc>
          <w:tcPr>
            <w:tcW w:w="616" w:type="pct"/>
            <w:gridSpan w:val="2"/>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529"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5" w:name="_Toc221952133"/>
            <w:r>
              <w:rPr>
                <w:rFonts w:hint="eastAsia" w:ascii="宋体" w:hAnsi="宋体" w:eastAsia="宋体" w:cs="宋体"/>
                <w:color w:val="000000" w:themeColor="text1"/>
                <w:szCs w:val="21"/>
                <w:highlight w:val="none"/>
                <w14:textFill>
                  <w14:solidFill>
                    <w14:schemeClr w14:val="tx1"/>
                  </w14:solidFill>
                </w14:textFill>
              </w:rPr>
              <w:t>职 务</w:t>
            </w:r>
            <w:bookmarkEnd w:id="975"/>
          </w:p>
        </w:tc>
        <w:tc>
          <w:tcPr>
            <w:tcW w:w="608"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412" w:type="pct"/>
            <w:gridSpan w:val="3"/>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6" w:name="_Toc221952134"/>
            <w:r>
              <w:rPr>
                <w:rFonts w:hint="eastAsia" w:ascii="宋体" w:hAnsi="宋体" w:eastAsia="宋体" w:cs="宋体"/>
                <w:color w:val="000000" w:themeColor="text1"/>
                <w:szCs w:val="21"/>
                <w:highlight w:val="none"/>
                <w14:textFill>
                  <w14:solidFill>
                    <w14:schemeClr w14:val="tx1"/>
                  </w14:solidFill>
                </w14:textFill>
              </w:rPr>
              <w:t>拟在本合同任职</w:t>
            </w:r>
            <w:bookmarkEnd w:id="976"/>
          </w:p>
        </w:tc>
        <w:tc>
          <w:tcPr>
            <w:tcW w:w="1158"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7" w:name="_Toc221952135"/>
            <w:r>
              <w:rPr>
                <w:rFonts w:hint="eastAsia" w:ascii="宋体" w:hAnsi="宋体" w:eastAsia="宋体" w:cs="宋体"/>
                <w:color w:val="000000" w:themeColor="text1"/>
                <w:szCs w:val="21"/>
                <w:highlight w:val="none"/>
                <w14:textFill>
                  <w14:solidFill>
                    <w14:schemeClr w14:val="tx1"/>
                  </w14:solidFill>
                </w14:textFill>
              </w:rPr>
              <w:t>毕业学校</w:t>
            </w:r>
            <w:bookmarkEnd w:id="977"/>
          </w:p>
        </w:tc>
        <w:tc>
          <w:tcPr>
            <w:tcW w:w="4324" w:type="pct"/>
            <w:gridSpan w:val="8"/>
          </w:tcPr>
          <w:p>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bookmarkStart w:id="978" w:name="_Toc221952136"/>
            <w:r>
              <w:rPr>
                <w:rFonts w:hint="eastAsia" w:ascii="宋体" w:hAnsi="宋体" w:eastAsia="宋体" w:cs="宋体"/>
                <w:color w:val="000000" w:themeColor="text1"/>
                <w:szCs w:val="21"/>
                <w:highlight w:val="none"/>
                <w14:textFill>
                  <w14:solidFill>
                    <w14:schemeClr w14:val="tx1"/>
                  </w14:solidFill>
                </w14:textFill>
              </w:rPr>
              <w:t>年毕业于            学校        专业</w:t>
            </w:r>
            <w:bookmarkEnd w:id="9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79" w:name="_Toc221952137"/>
            <w:r>
              <w:rPr>
                <w:rFonts w:hint="eastAsia" w:ascii="宋体" w:hAnsi="宋体" w:eastAsia="宋体" w:cs="宋体"/>
                <w:color w:val="000000" w:themeColor="text1"/>
                <w:szCs w:val="21"/>
                <w:highlight w:val="none"/>
                <w14:textFill>
                  <w14:solidFill>
                    <w14:schemeClr w14:val="tx1"/>
                  </w14:solidFill>
                </w14:textFill>
              </w:rPr>
              <w:t>主要施工管理经历</w:t>
            </w:r>
            <w:bookmarkEnd w:id="9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 w:type="pct"/>
            <w:gridSpan w:val="2"/>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80" w:name="_Toc221952138"/>
            <w:r>
              <w:rPr>
                <w:rFonts w:hint="eastAsia" w:ascii="宋体" w:hAnsi="宋体" w:eastAsia="宋体" w:cs="宋体"/>
                <w:color w:val="000000" w:themeColor="text1"/>
                <w:szCs w:val="21"/>
                <w:highlight w:val="none"/>
                <w14:textFill>
                  <w14:solidFill>
                    <w14:schemeClr w14:val="tx1"/>
                  </w14:solidFill>
                </w14:textFill>
              </w:rPr>
              <w:t>时  间</w:t>
            </w:r>
            <w:bookmarkEnd w:id="980"/>
          </w:p>
        </w:tc>
        <w:tc>
          <w:tcPr>
            <w:tcW w:w="1953" w:type="pct"/>
            <w:gridSpan w:val="4"/>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81" w:name="_Toc221952139"/>
            <w:r>
              <w:rPr>
                <w:rFonts w:hint="eastAsia" w:ascii="宋体" w:hAnsi="宋体" w:eastAsia="宋体" w:cs="宋体"/>
                <w:color w:val="000000" w:themeColor="text1"/>
                <w:szCs w:val="21"/>
                <w:highlight w:val="none"/>
                <w14:textFill>
                  <w14:solidFill>
                    <w14:schemeClr w14:val="tx1"/>
                  </w14:solidFill>
                </w14:textFill>
              </w:rPr>
              <w:t>参加过的类似项目</w:t>
            </w:r>
            <w:bookmarkEnd w:id="981"/>
          </w:p>
        </w:tc>
        <w:tc>
          <w:tcPr>
            <w:tcW w:w="720" w:type="pct"/>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bookmarkStart w:id="982" w:name="_Toc221952140"/>
            <w:r>
              <w:rPr>
                <w:rFonts w:hint="eastAsia" w:ascii="宋体" w:hAnsi="宋体" w:eastAsia="宋体" w:cs="宋体"/>
                <w:color w:val="000000" w:themeColor="text1"/>
                <w:szCs w:val="21"/>
                <w:highlight w:val="none"/>
                <w14:textFill>
                  <w14:solidFill>
                    <w14:schemeClr w14:val="tx1"/>
                  </w14:solidFill>
                </w14:textFill>
              </w:rPr>
              <w:t>担任职务</w:t>
            </w:r>
            <w:bookmarkEnd w:id="982"/>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bookmarkStart w:id="983" w:name="_Toc221952141"/>
            <w:r>
              <w:rPr>
                <w:rFonts w:hint="eastAsia" w:ascii="宋体" w:hAnsi="宋体" w:eastAsia="宋体" w:cs="宋体"/>
                <w:color w:val="000000" w:themeColor="text1"/>
                <w:szCs w:val="21"/>
                <w:highlight w:val="none"/>
                <w14:textFill>
                  <w14:solidFill>
                    <w14:schemeClr w14:val="tx1"/>
                  </w14:solidFill>
                </w14:textFill>
              </w:rPr>
              <w:t>发包人及联系电话</w:t>
            </w:r>
            <w:bookmarkEnd w:id="9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1"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953" w:type="pct"/>
            <w:gridSpan w:val="4"/>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720" w:type="pct"/>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445" w:type="pct"/>
            <w:gridSpan w:val="2"/>
            <w:vAlign w:val="center"/>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bl>
    <w:p>
      <w:pPr>
        <w:spacing w:line="400" w:lineRule="exact"/>
        <w:rPr>
          <w:rFonts w:hint="eastAsia"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w:t>
      </w:r>
      <w:r>
        <w:rPr>
          <w:rFonts w:hint="eastAsia" w:ascii="宋体" w:hAnsi="宋体" w:eastAsia="宋体" w:cs="宋体"/>
          <w:color w:val="000000" w:themeColor="text1"/>
          <w:highlight w:val="none"/>
          <w14:textFill>
            <w14:solidFill>
              <w14:schemeClr w14:val="tx1"/>
            </w14:solidFill>
          </w14:textFill>
        </w:rPr>
        <w:t>：要求提交项目管理架构人员最低配置承诺书的，可不填写本表。</w:t>
      </w:r>
    </w:p>
    <w:p>
      <w:pPr>
        <w:spacing w:line="400" w:lineRule="exact"/>
        <w:rPr>
          <w:rFonts w:hint="eastAsia" w:ascii="宋体" w:hAnsi="宋体" w:eastAsia="宋体" w:cs="宋体"/>
          <w:color w:val="000000" w:themeColor="text1"/>
          <w:sz w:val="20"/>
          <w:szCs w:val="20"/>
          <w:highlight w:val="none"/>
          <w14:textFill>
            <w14:solidFill>
              <w14:schemeClr w14:val="tx1"/>
            </w14:solidFill>
          </w14:textFill>
        </w:rPr>
      </w:pPr>
    </w:p>
    <w:p>
      <w:pPr>
        <w:pageBreakBefore/>
        <w:spacing w:before="120" w:line="400" w:lineRule="exact"/>
        <w:ind w:left="1077" w:hanging="1077"/>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（三）项目管理架构人员最低配置承诺书（参考格式）</w:t>
      </w:r>
    </w:p>
    <w:p>
      <w:pPr>
        <w:spacing w:before="120" w:line="520" w:lineRule="exact"/>
        <w:ind w:left="960" w:hanging="96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致（招标人）：</w:t>
      </w:r>
    </w:p>
    <w:p>
      <w:pPr>
        <w:spacing w:before="120" w:line="520" w:lineRule="exact"/>
        <w:ind w:left="6" w:leftChars="3" w:firstLine="420" w:firstLineChars="200"/>
        <w:rPr>
          <w:rFonts w:hint="eastAsia" w:ascii="宋体" w:hAnsi="宋体" w:eastAsia="宋体" w:cs="宋体"/>
          <w:b/>
          <w:bCs/>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我公司参与</w:t>
      </w:r>
      <w:r>
        <w:rPr>
          <w:rFonts w:hint="eastAsia" w:ascii="宋体" w:hAnsi="宋体" w:eastAsia="宋体" w:cs="宋体"/>
          <w:color w:val="000000" w:themeColor="text1"/>
          <w:szCs w:val="32"/>
          <w:highlight w:val="none"/>
          <w:u w:val="single"/>
          <w14:textFill>
            <w14:solidFill>
              <w14:schemeClr w14:val="tx1"/>
            </w14:solidFill>
          </w14:textFill>
        </w:rPr>
        <w:t xml:space="preserve">                （项目）</w:t>
      </w:r>
      <w:r>
        <w:rPr>
          <w:rFonts w:hint="eastAsia" w:ascii="宋体" w:hAnsi="宋体" w:eastAsia="宋体" w:cs="宋体"/>
          <w:color w:val="000000" w:themeColor="text1"/>
          <w:szCs w:val="32"/>
          <w:highlight w:val="none"/>
          <w14:textFill>
            <w14:solidFill>
              <w14:schemeClr w14:val="tx1"/>
            </w14:solidFill>
          </w14:textFill>
        </w:rPr>
        <w:t>投标，郑重承诺如下：</w:t>
      </w:r>
    </w:p>
    <w:tbl>
      <w:tblPr>
        <w:tblStyle w:val="39"/>
        <w:tblpPr w:leftFromText="180" w:rightFromText="180" w:vertAnchor="page" w:horzAnchor="page" w:tblpX="824" w:tblpY="3408"/>
        <w:tblW w:w="10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41"/>
        <w:gridCol w:w="3118"/>
        <w:gridCol w:w="1168"/>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before="120" w:line="400" w:lineRule="exact"/>
              <w:ind w:left="840" w:hanging="84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1941" w:type="dxa"/>
            <w:tcBorders>
              <w:top w:val="single" w:color="auto" w:sz="4" w:space="0"/>
              <w:left w:val="single" w:color="auto" w:sz="4" w:space="0"/>
              <w:bottom w:val="single" w:color="auto" w:sz="4" w:space="0"/>
              <w:right w:val="single" w:color="auto" w:sz="4" w:space="0"/>
            </w:tcBorders>
            <w:vAlign w:val="center"/>
          </w:tcPr>
          <w:p>
            <w:pPr>
              <w:spacing w:before="120" w:line="400" w:lineRule="exact"/>
              <w:ind w:left="840" w:hanging="84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岗位</w:t>
            </w:r>
          </w:p>
        </w:tc>
        <w:tc>
          <w:tcPr>
            <w:tcW w:w="3118" w:type="dxa"/>
            <w:tcBorders>
              <w:top w:val="single" w:color="auto" w:sz="4" w:space="0"/>
              <w:left w:val="single" w:color="auto" w:sz="4" w:space="0"/>
              <w:bottom w:val="single" w:color="auto" w:sz="4" w:space="0"/>
              <w:right w:val="single" w:color="auto" w:sz="4" w:space="0"/>
            </w:tcBorders>
            <w:vAlign w:val="center"/>
          </w:tcPr>
          <w:p>
            <w:pPr>
              <w:spacing w:before="120" w:line="400" w:lineRule="exact"/>
              <w:ind w:left="840" w:hanging="84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资格要求</w:t>
            </w:r>
          </w:p>
        </w:tc>
        <w:tc>
          <w:tcPr>
            <w:tcW w:w="1168" w:type="dxa"/>
            <w:tcBorders>
              <w:top w:val="single" w:color="auto" w:sz="4" w:space="0"/>
              <w:left w:val="single" w:color="auto" w:sz="4" w:space="0"/>
              <w:bottom w:val="single" w:color="auto" w:sz="4" w:space="0"/>
              <w:right w:val="single" w:color="auto" w:sz="4" w:space="0"/>
            </w:tcBorders>
            <w:vAlign w:val="center"/>
          </w:tcPr>
          <w:p>
            <w:pPr>
              <w:spacing w:before="120" w:line="400" w:lineRule="exact"/>
              <w:ind w:left="840" w:hanging="84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数量</w:t>
            </w:r>
          </w:p>
        </w:tc>
        <w:tc>
          <w:tcPr>
            <w:tcW w:w="3543" w:type="dxa"/>
            <w:tcBorders>
              <w:top w:val="single" w:color="auto" w:sz="4" w:space="0"/>
              <w:left w:val="single" w:color="auto" w:sz="4" w:space="0"/>
              <w:bottom w:val="single" w:color="auto" w:sz="4" w:space="0"/>
              <w:right w:val="single" w:color="auto" w:sz="4" w:space="0"/>
            </w:tcBorders>
            <w:vAlign w:val="center"/>
          </w:tcPr>
          <w:p>
            <w:pPr>
              <w:spacing w:before="120" w:line="400" w:lineRule="exact"/>
              <w:ind w:left="840" w:hanging="84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项目负责人</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与招标公告要求一致</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left="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填报人员与资格审查提供的人员一致。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技术负责人</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机电中级或以上职称</w:t>
            </w:r>
          </w:p>
        </w:tc>
        <w:tc>
          <w:tcPr>
            <w:tcW w:w="1168" w:type="dxa"/>
            <w:tcBorders>
              <w:top w:val="single" w:color="auto" w:sz="4" w:space="0"/>
              <w:left w:val="single" w:color="auto" w:sz="4" w:space="0"/>
              <w:bottom w:val="single" w:color="auto" w:sz="4" w:space="0"/>
              <w:right w:val="single" w:color="auto" w:sz="4" w:space="0"/>
            </w:tcBorders>
            <w:vAlign w:val="top"/>
          </w:tcPr>
          <w:p>
            <w:pPr>
              <w:spacing w:before="120" w:line="400" w:lineRule="exact"/>
              <w:ind w:left="720" w:leftChars="0" w:hanging="720" w:firstLine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3543" w:type="dxa"/>
            <w:tcBorders>
              <w:top w:val="single" w:color="auto" w:sz="4" w:space="0"/>
              <w:left w:val="single" w:color="auto" w:sz="4" w:space="0"/>
              <w:bottom w:val="single" w:color="auto" w:sz="4" w:space="0"/>
              <w:right w:val="single" w:color="auto" w:sz="4" w:space="0"/>
            </w:tcBorders>
            <w:vAlign w:val="top"/>
          </w:tcPr>
          <w:p>
            <w:pPr>
              <w:spacing w:before="120" w:line="400" w:lineRule="exact"/>
              <w:ind w:firstLine="34" w:firstLine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不得由项目负责人或专职安全员兼职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电气负责人</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机电工程专业二级或以上建造师</w:t>
            </w:r>
            <w:r>
              <w:rPr>
                <w:rFonts w:hint="eastAsia" w:ascii="宋体" w:hAnsi="宋体" w:eastAsia="宋体" w:cs="宋体"/>
                <w:color w:val="000000" w:themeColor="text1"/>
                <w:sz w:val="24"/>
                <w:highlight w:val="none"/>
                <w:lang w:val="en-US" w:eastAsia="zh-CN"/>
                <w14:textFill>
                  <w14:solidFill>
                    <w14:schemeClr w14:val="tx1"/>
                  </w14:solidFill>
                </w14:textFill>
              </w:rPr>
              <w:t>担任</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firstLine="34"/>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项目现场负责人</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施工员证</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firstLine="34"/>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安全员（含专职安全员）</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与招标公告要求一致</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left="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填报人员需包含资格审查提供的人员。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电工</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持特种作业操作证或以上等级</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焊工</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持特种作业操作证</w:t>
            </w: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w:t>
            </w:r>
          </w:p>
        </w:tc>
        <w:tc>
          <w:tcPr>
            <w:tcW w:w="1941"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普工</w:t>
            </w:r>
          </w:p>
        </w:tc>
        <w:tc>
          <w:tcPr>
            <w:tcW w:w="311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3543" w:type="dxa"/>
            <w:tcBorders>
              <w:top w:val="single" w:color="auto" w:sz="4" w:space="0"/>
              <w:left w:val="single" w:color="auto" w:sz="4" w:space="0"/>
              <w:bottom w:val="single" w:color="auto" w:sz="4" w:space="0"/>
              <w:right w:val="single" w:color="auto" w:sz="4" w:space="0"/>
            </w:tcBorders>
          </w:tcPr>
          <w:p>
            <w:pPr>
              <w:spacing w:before="120" w:line="400" w:lineRule="exact"/>
              <w:ind w:left="720" w:hanging="720"/>
              <w:rPr>
                <w:rFonts w:hint="eastAsia" w:ascii="宋体" w:hAnsi="宋体" w:eastAsia="宋体" w:cs="宋体"/>
                <w:color w:val="000000" w:themeColor="text1"/>
                <w:sz w:val="24"/>
                <w:szCs w:val="24"/>
                <w:highlight w:val="none"/>
                <w14:textFill>
                  <w14:solidFill>
                    <w14:schemeClr w14:val="tx1"/>
                  </w14:solidFill>
                </w14:textFill>
              </w:rPr>
            </w:pPr>
          </w:p>
        </w:tc>
      </w:tr>
    </w:tbl>
    <w:p>
      <w:pPr>
        <w:spacing w:before="120" w:line="400" w:lineRule="exact"/>
        <w:ind w:right="42" w:rightChars="2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我公司承诺，若我公司中标，配备管理和施工技术人员</w:t>
      </w:r>
      <w:r>
        <w:rPr>
          <w:rFonts w:hint="eastAsia" w:ascii="宋体" w:hAnsi="宋体" w:eastAsia="宋体" w:cs="宋体"/>
          <w:color w:val="000000" w:themeColor="text1"/>
          <w:sz w:val="24"/>
          <w:highlight w:val="none"/>
          <w:lang w:val="en-US" w:eastAsia="zh-CN"/>
          <w14:textFill>
            <w14:solidFill>
              <w14:schemeClr w14:val="tx1"/>
            </w14:solidFill>
          </w14:textFill>
        </w:rPr>
        <w:t>不</w:t>
      </w:r>
      <w:r>
        <w:rPr>
          <w:rFonts w:hint="eastAsia" w:ascii="宋体" w:hAnsi="宋体" w:eastAsia="宋体" w:cs="宋体"/>
          <w:color w:val="000000" w:themeColor="text1"/>
          <w:sz w:val="24"/>
          <w:highlight w:val="none"/>
          <w14:textFill>
            <w14:solidFill>
              <w14:schemeClr w14:val="tx1"/>
            </w14:solidFill>
          </w14:textFill>
        </w:rPr>
        <w:t>低于上表所列最低要求，同时提供所投入人员资格证书原件予业主核实。</w:t>
      </w:r>
    </w:p>
    <w:p>
      <w:pPr>
        <w:spacing w:before="120" w:line="400" w:lineRule="exact"/>
        <w:ind w:right="42" w:rightChars="2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如我公司违反上述承诺，我公司自愿放弃本项目中标资格。</w:t>
      </w:r>
    </w:p>
    <w:p>
      <w:pPr>
        <w:spacing w:before="120" w:line="400" w:lineRule="exact"/>
        <w:ind w:right="42" w:rightChars="2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若因人员不足或人员素质不能满足工程实际需要时，我方将无条件按照业主和监理工程师的要求更换或增加相关人员。</w:t>
      </w:r>
    </w:p>
    <w:p>
      <w:pPr>
        <w:spacing w:before="120" w:line="400" w:lineRule="exact"/>
        <w:ind w:left="720" w:hanging="720"/>
        <w:jc w:val="right"/>
        <w:rPr>
          <w:rFonts w:hint="eastAsia" w:ascii="宋体" w:hAnsi="宋体" w:eastAsia="宋体" w:cs="宋体"/>
          <w:color w:val="000000" w:themeColor="text1"/>
          <w:sz w:val="24"/>
          <w:highlight w:val="none"/>
          <w14:textFill>
            <w14:solidFill>
              <w14:schemeClr w14:val="tx1"/>
            </w14:solidFill>
          </w14:textFill>
        </w:rPr>
      </w:pPr>
    </w:p>
    <w:p>
      <w:pPr>
        <w:spacing w:before="120" w:line="400" w:lineRule="exact"/>
        <w:ind w:left="720" w:hanging="720"/>
        <w:jc w:val="right"/>
        <w:rPr>
          <w:rFonts w:hint="eastAsia" w:ascii="宋体" w:hAnsi="宋体" w:eastAsia="宋体" w:cs="宋体"/>
          <w:color w:val="000000" w:themeColor="text1"/>
          <w:sz w:val="24"/>
          <w:highlight w:val="none"/>
          <w14:textFill>
            <w14:solidFill>
              <w14:schemeClr w14:val="tx1"/>
            </w14:solidFill>
          </w14:textFill>
        </w:rPr>
      </w:pPr>
    </w:p>
    <w:p>
      <w:pPr>
        <w:wordWrap w:val="0"/>
        <w:spacing w:before="120" w:line="400" w:lineRule="exact"/>
        <w:ind w:left="720" w:hanging="720"/>
        <w:jc w:val="righ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法定代表人或其委托代理人：（签字）                     </w:t>
      </w:r>
    </w:p>
    <w:p>
      <w:pPr>
        <w:spacing w:line="40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单位名称：（盖单位章）  </w:t>
      </w:r>
    </w:p>
    <w:p>
      <w:pPr>
        <w:spacing w:line="24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topLinePunct/>
        <w:spacing w:line="400" w:lineRule="exact"/>
        <w:jc w:val="center"/>
        <w:rPr>
          <w:rFonts w:hint="eastAsia" w:ascii="宋体" w:hAnsi="宋体" w:eastAsia="宋体" w:cs="宋体"/>
          <w:color w:val="000000" w:themeColor="text1"/>
          <w:sz w:val="20"/>
          <w:szCs w:val="20"/>
          <w:highlight w:val="none"/>
          <w14:textFill>
            <w14:solidFill>
              <w14:schemeClr w14:val="tx1"/>
            </w14:solidFill>
          </w14:textFill>
        </w:rPr>
      </w:pPr>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984" w:name="_Toc16996"/>
      <w:bookmarkStart w:id="985" w:name="_Toc17454909"/>
      <w:bookmarkStart w:id="986" w:name="_Toc229305429"/>
      <w:bookmarkStart w:id="987" w:name="_Toc221948389"/>
      <w:bookmarkStart w:id="988" w:name="_Toc17451616"/>
      <w:bookmarkStart w:id="989" w:name="_Toc222033920"/>
      <w:bookmarkStart w:id="990" w:name="_Toc222029569"/>
      <w:bookmarkStart w:id="991" w:name="_Toc17556914"/>
      <w:bookmarkStart w:id="992" w:name="_Toc17556969"/>
      <w:bookmarkStart w:id="993" w:name="_Toc3435"/>
      <w:bookmarkStart w:id="994" w:name="_Toc222032738"/>
      <w:bookmarkStart w:id="995" w:name="_Toc17451139"/>
      <w:bookmarkStart w:id="996" w:name="_Toc11119"/>
      <w:bookmarkStart w:id="997" w:name="_Toc23591"/>
      <w:bookmarkStart w:id="998" w:name="_Toc17452702"/>
      <w:bookmarkStart w:id="999" w:name="_Toc259524423"/>
      <w:bookmarkStart w:id="1000" w:name="_Toc222031071"/>
      <w:bookmarkStart w:id="1001" w:name="_Toc221952153"/>
      <w:bookmarkStart w:id="1002" w:name="_Toc4922"/>
      <w:bookmarkStart w:id="1003" w:name="_Toc3936"/>
      <w:bookmarkStart w:id="1004" w:name="_Toc17451661"/>
      <w:bookmarkStart w:id="1005" w:name="_Toc17454960"/>
      <w:r>
        <w:rPr>
          <w:rFonts w:hint="eastAsia" w:ascii="宋体" w:hAnsi="宋体" w:eastAsia="宋体" w:cs="宋体"/>
          <w:color w:val="000000" w:themeColor="text1"/>
          <w:sz w:val="28"/>
          <w:szCs w:val="27"/>
          <w:highlight w:val="none"/>
          <w14:textFill>
            <w14:solidFill>
              <w14:schemeClr w14:val="tx1"/>
            </w14:solidFill>
          </w14:textFill>
        </w:rPr>
        <w:t>八、资格审查资料</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spacing w:line="400" w:lineRule="exact"/>
        <w:jc w:val="left"/>
        <w:outlineLvl w:val="3"/>
        <w:rPr>
          <w:rFonts w:hint="eastAsia" w:ascii="宋体" w:hAnsi="宋体" w:eastAsia="宋体" w:cs="宋体"/>
          <w:b/>
          <w:color w:val="000000" w:themeColor="text1"/>
          <w:sz w:val="24"/>
          <w:szCs w:val="31"/>
          <w:highlight w:val="none"/>
          <w14:textFill>
            <w14:solidFill>
              <w14:schemeClr w14:val="tx1"/>
            </w14:solidFill>
          </w14:textFill>
        </w:rPr>
      </w:pPr>
      <w:bookmarkStart w:id="1006" w:name="_Toc221952154"/>
      <w:bookmarkStart w:id="1007" w:name="_Toc179715759"/>
      <w:bookmarkStart w:id="1008" w:name="_Toc152047266"/>
      <w:bookmarkStart w:id="1009" w:name="_Toc259524424"/>
      <w:r>
        <w:rPr>
          <w:rFonts w:hint="eastAsia" w:ascii="宋体" w:hAnsi="宋体" w:eastAsia="宋体" w:cs="宋体"/>
          <w:b/>
          <w:color w:val="000000" w:themeColor="text1"/>
          <w:sz w:val="24"/>
          <w:szCs w:val="31"/>
          <w:highlight w:val="none"/>
          <w14:textFill>
            <w14:solidFill>
              <w14:schemeClr w14:val="tx1"/>
            </w14:solidFill>
          </w14:textFill>
        </w:rPr>
        <w:t>（一）投标人基本情况表</w:t>
      </w:r>
      <w:bookmarkEnd w:id="1006"/>
      <w:bookmarkEnd w:id="1007"/>
      <w:bookmarkEnd w:id="1008"/>
      <w:bookmarkEnd w:id="1009"/>
    </w:p>
    <w:tbl>
      <w:tblPr>
        <w:tblStyle w:val="3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14"/>
        <w:gridCol w:w="893"/>
        <w:gridCol w:w="947"/>
        <w:gridCol w:w="836"/>
        <w:gridCol w:w="418"/>
        <w:gridCol w:w="138"/>
        <w:gridCol w:w="1244"/>
        <w:gridCol w:w="183"/>
        <w:gridCol w:w="1162"/>
        <w:gridCol w:w="9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0" w:name="_Toc221952155"/>
            <w:r>
              <w:rPr>
                <w:rFonts w:hint="eastAsia" w:ascii="宋体" w:hAnsi="宋体" w:eastAsia="宋体" w:cs="宋体"/>
                <w:color w:val="000000" w:themeColor="text1"/>
                <w:szCs w:val="20"/>
                <w:highlight w:val="none"/>
                <w14:textFill>
                  <w14:solidFill>
                    <w14:schemeClr w14:val="tx1"/>
                  </w14:solidFill>
                </w14:textFill>
              </w:rPr>
              <w:t>投标人名称</w:t>
            </w:r>
            <w:bookmarkEnd w:id="1010"/>
          </w:p>
        </w:tc>
        <w:tc>
          <w:tcPr>
            <w:tcW w:w="3994" w:type="pct"/>
            <w:gridSpan w:val="9"/>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1" w:name="_Toc221952156"/>
            <w:r>
              <w:rPr>
                <w:rFonts w:hint="eastAsia" w:ascii="宋体" w:hAnsi="宋体" w:eastAsia="宋体" w:cs="宋体"/>
                <w:color w:val="000000" w:themeColor="text1"/>
                <w:szCs w:val="20"/>
                <w:highlight w:val="none"/>
                <w14:textFill>
                  <w14:solidFill>
                    <w14:schemeClr w14:val="tx1"/>
                  </w14:solidFill>
                </w14:textFill>
              </w:rPr>
              <w:t>注册地址</w:t>
            </w:r>
            <w:bookmarkEnd w:id="1011"/>
          </w:p>
        </w:tc>
        <w:tc>
          <w:tcPr>
            <w:tcW w:w="1895" w:type="pct"/>
            <w:gridSpan w:val="5"/>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729"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2" w:name="_Toc221952157"/>
            <w:r>
              <w:rPr>
                <w:rFonts w:hint="eastAsia" w:ascii="宋体" w:hAnsi="宋体" w:eastAsia="宋体" w:cs="宋体"/>
                <w:color w:val="000000" w:themeColor="text1"/>
                <w:szCs w:val="20"/>
                <w:highlight w:val="none"/>
                <w14:textFill>
                  <w14:solidFill>
                    <w14:schemeClr w14:val="tx1"/>
                  </w14:solidFill>
                </w14:textFill>
              </w:rPr>
              <w:t>邮政编码</w:t>
            </w:r>
            <w:bookmarkEnd w:id="1012"/>
          </w:p>
        </w:tc>
        <w:tc>
          <w:tcPr>
            <w:tcW w:w="1369" w:type="pct"/>
            <w:gridSpan w:val="3"/>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00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3" w:name="_Toc221952158"/>
            <w:r>
              <w:rPr>
                <w:rFonts w:hint="eastAsia" w:ascii="宋体" w:hAnsi="宋体" w:eastAsia="宋体" w:cs="宋体"/>
                <w:color w:val="000000" w:themeColor="text1"/>
                <w:szCs w:val="20"/>
                <w:highlight w:val="none"/>
                <w14:textFill>
                  <w14:solidFill>
                    <w14:schemeClr w14:val="tx1"/>
                  </w14:solidFill>
                </w14:textFill>
              </w:rPr>
              <w:t>联系方式</w:t>
            </w:r>
            <w:bookmarkEnd w:id="1013"/>
          </w:p>
        </w:tc>
        <w:tc>
          <w:tcPr>
            <w:tcW w:w="524"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4" w:name="_Toc221952159"/>
            <w:r>
              <w:rPr>
                <w:rFonts w:hint="eastAsia" w:ascii="宋体" w:hAnsi="宋体" w:eastAsia="宋体" w:cs="宋体"/>
                <w:color w:val="000000" w:themeColor="text1"/>
                <w:szCs w:val="20"/>
                <w:highlight w:val="none"/>
                <w14:textFill>
                  <w14:solidFill>
                    <w14:schemeClr w14:val="tx1"/>
                  </w14:solidFill>
                </w14:textFill>
              </w:rPr>
              <w:t>联系人</w:t>
            </w:r>
            <w:bookmarkEnd w:id="1014"/>
          </w:p>
        </w:tc>
        <w:tc>
          <w:tcPr>
            <w:tcW w:w="1371" w:type="pct"/>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729"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5" w:name="_Toc221952160"/>
            <w:r>
              <w:rPr>
                <w:rFonts w:hint="eastAsia" w:ascii="宋体" w:hAnsi="宋体" w:eastAsia="宋体" w:cs="宋体"/>
                <w:color w:val="000000" w:themeColor="text1"/>
                <w:szCs w:val="20"/>
                <w:highlight w:val="none"/>
                <w14:textFill>
                  <w14:solidFill>
                    <w14:schemeClr w14:val="tx1"/>
                  </w14:solidFill>
                </w14:textFill>
              </w:rPr>
              <w:t>电 话</w:t>
            </w:r>
            <w:bookmarkEnd w:id="1015"/>
          </w:p>
        </w:tc>
        <w:tc>
          <w:tcPr>
            <w:tcW w:w="1369" w:type="pct"/>
            <w:gridSpan w:val="3"/>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005" w:type="pct"/>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524"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6" w:name="_Toc221952161"/>
            <w:r>
              <w:rPr>
                <w:rFonts w:hint="eastAsia" w:ascii="宋体" w:hAnsi="宋体" w:eastAsia="宋体" w:cs="宋体"/>
                <w:color w:val="000000" w:themeColor="text1"/>
                <w:szCs w:val="20"/>
                <w:highlight w:val="none"/>
                <w14:textFill>
                  <w14:solidFill>
                    <w14:schemeClr w14:val="tx1"/>
                  </w14:solidFill>
                </w14:textFill>
              </w:rPr>
              <w:t>传  真</w:t>
            </w:r>
            <w:bookmarkEnd w:id="1016"/>
          </w:p>
        </w:tc>
        <w:tc>
          <w:tcPr>
            <w:tcW w:w="1371" w:type="pct"/>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729"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7" w:name="_Toc221952162"/>
            <w:r>
              <w:rPr>
                <w:rFonts w:hint="eastAsia" w:ascii="宋体" w:hAnsi="宋体" w:eastAsia="宋体" w:cs="宋体"/>
                <w:color w:val="000000" w:themeColor="text1"/>
                <w:szCs w:val="20"/>
                <w:highlight w:val="none"/>
                <w14:textFill>
                  <w14:solidFill>
                    <w14:schemeClr w14:val="tx1"/>
                  </w14:solidFill>
                </w14:textFill>
              </w:rPr>
              <w:t>网 址</w:t>
            </w:r>
            <w:bookmarkEnd w:id="1017"/>
          </w:p>
        </w:tc>
        <w:tc>
          <w:tcPr>
            <w:tcW w:w="1369" w:type="pct"/>
            <w:gridSpan w:val="3"/>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8" w:name="_Toc221952163"/>
            <w:r>
              <w:rPr>
                <w:rFonts w:hint="eastAsia" w:ascii="宋体" w:hAnsi="宋体" w:eastAsia="宋体" w:cs="宋体"/>
                <w:color w:val="000000" w:themeColor="text1"/>
                <w:szCs w:val="20"/>
                <w:highlight w:val="none"/>
                <w14:textFill>
                  <w14:solidFill>
                    <w14:schemeClr w14:val="tx1"/>
                  </w14:solidFill>
                </w14:textFill>
              </w:rPr>
              <w:t>组织结构</w:t>
            </w:r>
            <w:bookmarkEnd w:id="1018"/>
          </w:p>
        </w:tc>
        <w:tc>
          <w:tcPr>
            <w:tcW w:w="3994" w:type="pct"/>
            <w:gridSpan w:val="9"/>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19" w:name="_Toc221952164"/>
            <w:r>
              <w:rPr>
                <w:rFonts w:hint="eastAsia" w:ascii="宋体" w:hAnsi="宋体" w:eastAsia="宋体" w:cs="宋体"/>
                <w:color w:val="000000" w:themeColor="text1"/>
                <w:szCs w:val="20"/>
                <w:highlight w:val="none"/>
                <w14:textFill>
                  <w14:solidFill>
                    <w14:schemeClr w14:val="tx1"/>
                  </w14:solidFill>
                </w14:textFill>
              </w:rPr>
              <w:t>法定代表人</w:t>
            </w:r>
            <w:bookmarkEnd w:id="1019"/>
          </w:p>
        </w:tc>
        <w:tc>
          <w:tcPr>
            <w:tcW w:w="524"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0" w:name="_Toc221952165"/>
            <w:r>
              <w:rPr>
                <w:rFonts w:hint="eastAsia" w:ascii="宋体" w:hAnsi="宋体" w:eastAsia="宋体" w:cs="宋体"/>
                <w:color w:val="000000" w:themeColor="text1"/>
                <w:szCs w:val="20"/>
                <w:highlight w:val="none"/>
                <w14:textFill>
                  <w14:solidFill>
                    <w14:schemeClr w14:val="tx1"/>
                  </w14:solidFill>
                </w14:textFill>
              </w:rPr>
              <w:t>姓名</w:t>
            </w:r>
            <w:bookmarkEnd w:id="1020"/>
          </w:p>
        </w:tc>
        <w:tc>
          <w:tcPr>
            <w:tcW w:w="55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735"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1" w:name="_Toc221952166"/>
            <w:r>
              <w:rPr>
                <w:rFonts w:hint="eastAsia" w:ascii="宋体" w:hAnsi="宋体" w:eastAsia="宋体" w:cs="宋体"/>
                <w:color w:val="000000" w:themeColor="text1"/>
                <w:szCs w:val="20"/>
                <w:highlight w:val="none"/>
                <w14:textFill>
                  <w14:solidFill>
                    <w14:schemeClr w14:val="tx1"/>
                  </w14:solidFill>
                </w14:textFill>
              </w:rPr>
              <w:t>技术职称</w:t>
            </w:r>
            <w:bookmarkEnd w:id="1021"/>
          </w:p>
        </w:tc>
        <w:tc>
          <w:tcPr>
            <w:tcW w:w="917" w:type="pct"/>
            <w:gridSpan w:val="3"/>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681"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2" w:name="_Toc221952167"/>
            <w:r>
              <w:rPr>
                <w:rFonts w:hint="eastAsia" w:ascii="宋体" w:hAnsi="宋体" w:eastAsia="宋体" w:cs="宋体"/>
                <w:color w:val="000000" w:themeColor="text1"/>
                <w:szCs w:val="20"/>
                <w:highlight w:val="none"/>
                <w14:textFill>
                  <w14:solidFill>
                    <w14:schemeClr w14:val="tx1"/>
                  </w14:solidFill>
                </w14:textFill>
              </w:rPr>
              <w:t>电话</w:t>
            </w:r>
            <w:bookmarkEnd w:id="1022"/>
          </w:p>
        </w:tc>
        <w:tc>
          <w:tcPr>
            <w:tcW w:w="581"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3" w:name="_Toc221952168"/>
            <w:r>
              <w:rPr>
                <w:rFonts w:hint="eastAsia" w:ascii="宋体" w:hAnsi="宋体" w:eastAsia="宋体" w:cs="宋体"/>
                <w:color w:val="000000" w:themeColor="text1"/>
                <w:szCs w:val="20"/>
                <w:highlight w:val="none"/>
                <w14:textFill>
                  <w14:solidFill>
                    <w14:schemeClr w14:val="tx1"/>
                  </w14:solidFill>
                </w14:textFill>
              </w:rPr>
              <w:t>技术负责人</w:t>
            </w:r>
            <w:bookmarkEnd w:id="1023"/>
          </w:p>
        </w:tc>
        <w:tc>
          <w:tcPr>
            <w:tcW w:w="524"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4" w:name="_Toc221952169"/>
            <w:r>
              <w:rPr>
                <w:rFonts w:hint="eastAsia" w:ascii="宋体" w:hAnsi="宋体" w:eastAsia="宋体" w:cs="宋体"/>
                <w:color w:val="000000" w:themeColor="text1"/>
                <w:szCs w:val="20"/>
                <w:highlight w:val="none"/>
                <w14:textFill>
                  <w14:solidFill>
                    <w14:schemeClr w14:val="tx1"/>
                  </w14:solidFill>
                </w14:textFill>
              </w:rPr>
              <w:t>姓名</w:t>
            </w:r>
            <w:bookmarkEnd w:id="1024"/>
          </w:p>
        </w:tc>
        <w:tc>
          <w:tcPr>
            <w:tcW w:w="55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735"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5" w:name="_Toc221952170"/>
            <w:r>
              <w:rPr>
                <w:rFonts w:hint="eastAsia" w:ascii="宋体" w:hAnsi="宋体" w:eastAsia="宋体" w:cs="宋体"/>
                <w:color w:val="000000" w:themeColor="text1"/>
                <w:szCs w:val="20"/>
                <w:highlight w:val="none"/>
                <w14:textFill>
                  <w14:solidFill>
                    <w14:schemeClr w14:val="tx1"/>
                  </w14:solidFill>
                </w14:textFill>
              </w:rPr>
              <w:t>技术职称</w:t>
            </w:r>
            <w:bookmarkEnd w:id="1025"/>
          </w:p>
        </w:tc>
        <w:tc>
          <w:tcPr>
            <w:tcW w:w="917" w:type="pct"/>
            <w:gridSpan w:val="3"/>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681"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6" w:name="_Toc221952171"/>
            <w:r>
              <w:rPr>
                <w:rFonts w:hint="eastAsia" w:ascii="宋体" w:hAnsi="宋体" w:eastAsia="宋体" w:cs="宋体"/>
                <w:color w:val="000000" w:themeColor="text1"/>
                <w:szCs w:val="20"/>
                <w:highlight w:val="none"/>
                <w14:textFill>
                  <w14:solidFill>
                    <w14:schemeClr w14:val="tx1"/>
                  </w14:solidFill>
                </w14:textFill>
              </w:rPr>
              <w:t>电话</w:t>
            </w:r>
            <w:bookmarkEnd w:id="1026"/>
          </w:p>
        </w:tc>
        <w:tc>
          <w:tcPr>
            <w:tcW w:w="581"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7" w:name="_Toc221952172"/>
            <w:r>
              <w:rPr>
                <w:rFonts w:hint="eastAsia" w:ascii="宋体" w:hAnsi="宋体" w:eastAsia="宋体" w:cs="宋体"/>
                <w:color w:val="000000" w:themeColor="text1"/>
                <w:szCs w:val="20"/>
                <w:highlight w:val="none"/>
                <w14:textFill>
                  <w14:solidFill>
                    <w14:schemeClr w14:val="tx1"/>
                  </w14:solidFill>
                </w14:textFill>
              </w:rPr>
              <w:t>成立时间</w:t>
            </w:r>
            <w:bookmarkEnd w:id="1027"/>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1652" w:type="pct"/>
            <w:gridSpan w:val="5"/>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8" w:name="_Toc221952173"/>
            <w:r>
              <w:rPr>
                <w:rFonts w:hint="eastAsia" w:ascii="宋体" w:hAnsi="宋体" w:eastAsia="宋体" w:cs="宋体"/>
                <w:color w:val="000000" w:themeColor="text1"/>
                <w:szCs w:val="20"/>
                <w:highlight w:val="none"/>
                <w14:textFill>
                  <w14:solidFill>
                    <w14:schemeClr w14:val="tx1"/>
                  </w14:solidFill>
                </w14:textFill>
              </w:rPr>
              <w:t>员工总人数：</w:t>
            </w:r>
            <w:bookmarkEnd w:id="1028"/>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ind w:firstLine="1050" w:firstLineChars="500"/>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29" w:name="_Toc221952174"/>
            <w:r>
              <w:rPr>
                <w:rFonts w:hint="eastAsia" w:ascii="宋体" w:hAnsi="宋体" w:eastAsia="宋体" w:cs="宋体"/>
                <w:color w:val="000000" w:themeColor="text1"/>
                <w:szCs w:val="20"/>
                <w:highlight w:val="none"/>
                <w14:textFill>
                  <w14:solidFill>
                    <w14:schemeClr w14:val="tx1"/>
                  </w14:solidFill>
                </w14:textFill>
              </w:rPr>
              <w:t>企业资质等级</w:t>
            </w:r>
            <w:bookmarkEnd w:id="1029"/>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490" w:type="pct"/>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0" w:name="_Toc221952175"/>
            <w:r>
              <w:rPr>
                <w:rFonts w:hint="eastAsia" w:ascii="宋体" w:hAnsi="宋体" w:eastAsia="宋体" w:cs="宋体"/>
                <w:color w:val="000000" w:themeColor="text1"/>
                <w:szCs w:val="20"/>
                <w:highlight w:val="none"/>
                <w14:textFill>
                  <w14:solidFill>
                    <w14:schemeClr w14:val="tx1"/>
                  </w14:solidFill>
                </w14:textFill>
              </w:rPr>
              <w:t>其中</w:t>
            </w:r>
            <w:bookmarkEnd w:id="1030"/>
          </w:p>
        </w:tc>
        <w:tc>
          <w:tcPr>
            <w:tcW w:w="198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项目负责人</w:t>
            </w:r>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1" w:name="_Toc221952177"/>
            <w:r>
              <w:rPr>
                <w:rFonts w:hint="eastAsia" w:ascii="宋体" w:hAnsi="宋体" w:eastAsia="宋体" w:cs="宋体"/>
                <w:color w:val="000000" w:themeColor="text1"/>
                <w:szCs w:val="20"/>
                <w:highlight w:val="none"/>
                <w14:textFill>
                  <w14:solidFill>
                    <w14:schemeClr w14:val="tx1"/>
                  </w14:solidFill>
                </w14:textFill>
              </w:rPr>
              <w:t>营业执照号</w:t>
            </w:r>
            <w:bookmarkEnd w:id="1031"/>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高级职称人员</w:t>
            </w:r>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2" w:name="_Toc221952179"/>
            <w:r>
              <w:rPr>
                <w:rFonts w:hint="eastAsia" w:ascii="宋体" w:hAnsi="宋体" w:eastAsia="宋体" w:cs="宋体"/>
                <w:color w:val="000000" w:themeColor="text1"/>
                <w:szCs w:val="20"/>
                <w:highlight w:val="none"/>
                <w14:textFill>
                  <w14:solidFill>
                    <w14:schemeClr w14:val="tx1"/>
                  </w14:solidFill>
                </w14:textFill>
              </w:rPr>
              <w:t>注册资金</w:t>
            </w:r>
            <w:bookmarkEnd w:id="1032"/>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中级职称人员</w:t>
            </w:r>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3" w:name="_Toc221952181"/>
            <w:r>
              <w:rPr>
                <w:rFonts w:hint="eastAsia" w:ascii="宋体" w:hAnsi="宋体" w:eastAsia="宋体" w:cs="宋体"/>
                <w:color w:val="000000" w:themeColor="text1"/>
                <w:szCs w:val="20"/>
                <w:highlight w:val="none"/>
                <w14:textFill>
                  <w14:solidFill>
                    <w14:schemeClr w14:val="tx1"/>
                  </w14:solidFill>
                </w14:textFill>
              </w:rPr>
              <w:t>开户银行</w:t>
            </w:r>
            <w:bookmarkEnd w:id="1033"/>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初级职称人员</w:t>
            </w:r>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4" w:name="_Toc221952183"/>
            <w:r>
              <w:rPr>
                <w:rFonts w:hint="eastAsia" w:ascii="宋体" w:hAnsi="宋体" w:eastAsia="宋体" w:cs="宋体"/>
                <w:color w:val="000000" w:themeColor="text1"/>
                <w:szCs w:val="20"/>
                <w:highlight w:val="none"/>
                <w14:textFill>
                  <w14:solidFill>
                    <w14:schemeClr w14:val="tx1"/>
                  </w14:solidFill>
                </w14:textFill>
              </w:rPr>
              <w:t>账号</w:t>
            </w:r>
            <w:bookmarkEnd w:id="1034"/>
          </w:p>
        </w:tc>
        <w:tc>
          <w:tcPr>
            <w:tcW w:w="1079"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490" w:type="pct"/>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技  工</w:t>
            </w:r>
          </w:p>
        </w:tc>
        <w:tc>
          <w:tcPr>
            <w:tcW w:w="1262" w:type="pct"/>
            <w:gridSpan w:val="2"/>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005" w:type="pct"/>
            <w:tcBorders>
              <w:top w:val="single" w:color="auto" w:sz="4" w:space="0"/>
              <w:left w:val="single" w:color="auto" w:sz="4" w:space="0"/>
              <w:right w:val="single" w:color="auto" w:sz="4" w:space="0"/>
            </w:tcBorders>
            <w:vAlign w:val="center"/>
          </w:tcPr>
          <w:p>
            <w:pPr>
              <w:topLinePunct/>
              <w:spacing w:line="400" w:lineRule="exact"/>
              <w:ind w:firstLine="210" w:firstLineChars="100"/>
              <w:jc w:val="center"/>
              <w:rPr>
                <w:rFonts w:hint="eastAsia" w:ascii="宋体" w:hAnsi="宋体" w:eastAsia="宋体" w:cs="宋体"/>
                <w:color w:val="000000" w:themeColor="text1"/>
                <w:szCs w:val="20"/>
                <w:highlight w:val="none"/>
                <w14:textFill>
                  <w14:solidFill>
                    <w14:schemeClr w14:val="tx1"/>
                  </w14:solidFill>
                </w14:textFill>
              </w:rPr>
            </w:pPr>
            <w:bookmarkStart w:id="1035" w:name="_Toc221952185"/>
            <w:r>
              <w:rPr>
                <w:rFonts w:hint="eastAsia" w:ascii="宋体" w:hAnsi="宋体" w:eastAsia="宋体" w:cs="宋体"/>
                <w:color w:val="000000" w:themeColor="text1"/>
                <w:szCs w:val="20"/>
                <w:highlight w:val="none"/>
                <w14:textFill>
                  <w14:solidFill>
                    <w14:schemeClr w14:val="tx1"/>
                  </w14:solidFill>
                </w14:textFill>
              </w:rPr>
              <w:t>经营范围</w:t>
            </w:r>
            <w:bookmarkEnd w:id="1035"/>
          </w:p>
        </w:tc>
        <w:tc>
          <w:tcPr>
            <w:tcW w:w="3994" w:type="pct"/>
            <w:gridSpan w:val="9"/>
            <w:tcBorders>
              <w:top w:val="single" w:color="auto" w:sz="4" w:space="0"/>
              <w:left w:val="single" w:color="auto" w:sz="4" w:space="0"/>
              <w:right w:val="single" w:color="auto" w:sz="4" w:space="0"/>
            </w:tcBorders>
            <w:vAlign w:val="center"/>
          </w:tcPr>
          <w:p>
            <w:pPr>
              <w:topLinePunct/>
              <w:spacing w:line="400" w:lineRule="exact"/>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005" w:type="pct"/>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bookmarkStart w:id="1036" w:name="_Toc221952186"/>
            <w:r>
              <w:rPr>
                <w:rFonts w:hint="eastAsia" w:ascii="宋体" w:hAnsi="宋体" w:eastAsia="宋体" w:cs="宋体"/>
                <w:color w:val="000000" w:themeColor="text1"/>
                <w:szCs w:val="20"/>
                <w:highlight w:val="none"/>
                <w14:textFill>
                  <w14:solidFill>
                    <w14:schemeClr w14:val="tx1"/>
                  </w14:solidFill>
                </w14:textFill>
              </w:rPr>
              <w:t>备注</w:t>
            </w:r>
            <w:bookmarkEnd w:id="1036"/>
          </w:p>
        </w:tc>
        <w:tc>
          <w:tcPr>
            <w:tcW w:w="3994" w:type="pct"/>
            <w:gridSpan w:val="9"/>
            <w:tcBorders>
              <w:top w:val="single" w:color="auto" w:sz="4" w:space="0"/>
              <w:left w:val="single" w:color="auto" w:sz="4" w:space="0"/>
              <w:bottom w:val="single" w:color="auto" w:sz="4" w:space="0"/>
              <w:right w:val="single" w:color="auto" w:sz="4" w:space="0"/>
            </w:tcBorders>
            <w:vAlign w:val="center"/>
          </w:tcPr>
          <w:p>
            <w:pPr>
              <w:topLinePunct/>
              <w:spacing w:line="400" w:lineRule="exact"/>
              <w:jc w:val="center"/>
              <w:rPr>
                <w:rFonts w:hint="eastAsia" w:ascii="宋体" w:hAnsi="宋体" w:eastAsia="宋体" w:cs="宋体"/>
                <w:color w:val="000000" w:themeColor="text1"/>
                <w:szCs w:val="20"/>
                <w:highlight w:val="none"/>
                <w14:textFill>
                  <w14:solidFill>
                    <w14:schemeClr w14:val="tx1"/>
                  </w14:solidFill>
                </w14:textFill>
              </w:rPr>
            </w:pPr>
          </w:p>
        </w:tc>
      </w:tr>
    </w:tbl>
    <w:p>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注：按资格审查要求应提交的相关资料彩色扫描件。</w:t>
      </w:r>
    </w:p>
    <w:p>
      <w:pPr>
        <w:spacing w:line="400" w:lineRule="exact"/>
        <w:jc w:val="left"/>
        <w:rPr>
          <w:rFonts w:hint="eastAsia" w:ascii="宋体" w:hAnsi="宋体" w:eastAsia="宋体" w:cs="宋体"/>
          <w:b/>
          <w:color w:val="000000" w:themeColor="text1"/>
          <w:sz w:val="24"/>
          <w:szCs w:val="3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Start w:id="1037" w:name="_Toc247527849"/>
      <w:bookmarkStart w:id="1038" w:name="_Toc247514301"/>
      <w:bookmarkStart w:id="1039" w:name="_Toc144974877"/>
      <w:bookmarkStart w:id="1040" w:name="_Toc332641444"/>
      <w:bookmarkStart w:id="1041" w:name="_Toc265953295"/>
      <w:bookmarkStart w:id="1042" w:name="_Toc152042598"/>
      <w:bookmarkStart w:id="1043" w:name="_Toc152045809"/>
      <w:bookmarkStart w:id="1044" w:name="_Toc222029570"/>
      <w:bookmarkStart w:id="1045" w:name="_Toc229305430"/>
      <w:bookmarkStart w:id="1046" w:name="_Toc222031072"/>
      <w:bookmarkStart w:id="1047" w:name="_Toc222033921"/>
      <w:bookmarkStart w:id="1048" w:name="_Toc152047267"/>
      <w:bookmarkStart w:id="1049" w:name="_Toc259524425"/>
      <w:bookmarkStart w:id="1050" w:name="_Toc179715760"/>
      <w:bookmarkStart w:id="1051" w:name="_Toc222032739"/>
      <w:bookmarkStart w:id="1052" w:name="_Toc221952187"/>
      <w:r>
        <w:rPr>
          <w:rFonts w:hint="eastAsia" w:ascii="宋体" w:hAnsi="宋体" w:eastAsia="宋体" w:cs="宋体"/>
          <w:b/>
          <w:color w:val="000000" w:themeColor="text1"/>
          <w:sz w:val="24"/>
          <w:szCs w:val="31"/>
          <w:highlight w:val="none"/>
          <w14:textFill>
            <w14:solidFill>
              <w14:schemeClr w14:val="tx1"/>
            </w14:solidFill>
          </w14:textFill>
        </w:rPr>
        <w:t>（二）拟投入</w:t>
      </w:r>
      <w:bookmarkEnd w:id="1037"/>
      <w:bookmarkEnd w:id="1038"/>
      <w:bookmarkEnd w:id="1039"/>
      <w:bookmarkEnd w:id="1040"/>
      <w:bookmarkEnd w:id="1041"/>
      <w:bookmarkEnd w:id="1042"/>
      <w:bookmarkEnd w:id="1043"/>
      <w:r>
        <w:rPr>
          <w:rFonts w:hint="eastAsia" w:ascii="宋体" w:hAnsi="宋体" w:eastAsia="宋体" w:cs="宋体"/>
          <w:b/>
          <w:color w:val="000000" w:themeColor="text1"/>
          <w:sz w:val="24"/>
          <w:szCs w:val="31"/>
          <w:highlight w:val="none"/>
          <w14:textFill>
            <w14:solidFill>
              <w14:schemeClr w14:val="tx1"/>
            </w14:solidFill>
          </w14:textFill>
        </w:rPr>
        <w:t>项目负责人</w:t>
      </w:r>
    </w:p>
    <w:p>
      <w:pPr>
        <w:spacing w:before="260" w:after="260" w:line="415"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项目负责人简历表</w:t>
      </w:r>
    </w:p>
    <w:tbl>
      <w:tblPr>
        <w:tblStyle w:val="39"/>
        <w:tblpPr w:leftFromText="180" w:rightFromText="180" w:vertAnchor="text" w:horzAnchor="margin" w:tblpY="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56"/>
        <w:gridCol w:w="723"/>
        <w:gridCol w:w="928"/>
        <w:gridCol w:w="1066"/>
        <w:gridCol w:w="706"/>
        <w:gridCol w:w="1262"/>
        <w:gridCol w:w="16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姓  名</w:t>
            </w:r>
          </w:p>
        </w:tc>
        <w:tc>
          <w:tcPr>
            <w:tcW w:w="633" w:type="pct"/>
            <w:gridSpan w:val="2"/>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44"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年 龄</w:t>
            </w:r>
          </w:p>
        </w:tc>
        <w:tc>
          <w:tcPr>
            <w:tcW w:w="625"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250" w:type="pct"/>
            <w:gridSpan w:val="3"/>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学历</w:t>
            </w:r>
          </w:p>
        </w:tc>
        <w:tc>
          <w:tcPr>
            <w:tcW w:w="1252"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  称</w:t>
            </w:r>
          </w:p>
        </w:tc>
        <w:tc>
          <w:tcPr>
            <w:tcW w:w="633" w:type="pct"/>
            <w:gridSpan w:val="2"/>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44"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 务</w:t>
            </w:r>
          </w:p>
        </w:tc>
        <w:tc>
          <w:tcPr>
            <w:tcW w:w="625"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250" w:type="pct"/>
            <w:gridSpan w:val="3"/>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拟在本合同任职</w:t>
            </w:r>
          </w:p>
        </w:tc>
        <w:tc>
          <w:tcPr>
            <w:tcW w:w="1252"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毕业学校</w:t>
            </w:r>
          </w:p>
        </w:tc>
        <w:tc>
          <w:tcPr>
            <w:tcW w:w="4303" w:type="pct"/>
            <w:gridSpan w:val="8"/>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pct"/>
            <w:gridSpan w:val="2"/>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时  间</w:t>
            </w:r>
          </w:p>
        </w:tc>
        <w:tc>
          <w:tcPr>
            <w:tcW w:w="2007" w:type="pct"/>
            <w:gridSpan w:val="4"/>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参加过的类似项目</w:t>
            </w:r>
          </w:p>
        </w:tc>
        <w:tc>
          <w:tcPr>
            <w:tcW w:w="740"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担任职务</w:t>
            </w:r>
          </w:p>
        </w:tc>
        <w:tc>
          <w:tcPr>
            <w:tcW w:w="1347" w:type="pct"/>
            <w:gridSpan w:val="2"/>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bl>
    <w:p>
      <w:pPr>
        <w:spacing w:line="40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应附注册建造师执业资格证书、</w:t>
      </w:r>
      <w:r>
        <w:rPr>
          <w:rFonts w:hint="eastAsia" w:ascii="宋体" w:hAnsi="宋体" w:eastAsia="宋体" w:cs="宋体"/>
          <w:color w:val="000000" w:themeColor="text1"/>
          <w:highlight w:val="none"/>
          <w:u w:val="single"/>
          <w14:textFill>
            <w14:solidFill>
              <w14:schemeClr w14:val="tx1"/>
            </w14:solidFill>
          </w14:textFill>
        </w:rPr>
        <w:t>注册证书、社会保险扫描件、安全生产考核合格证明清晰扫描件或在有效期内的安全生产考核合格证（B类）清晰扫描件或建筑施工企业项目负责人安全生产考核合格证书清晰扫描件</w:t>
      </w:r>
      <w:r>
        <w:rPr>
          <w:rFonts w:hint="eastAsia" w:ascii="宋体" w:hAnsi="宋体" w:eastAsia="宋体" w:cs="宋体"/>
          <w:color w:val="000000" w:themeColor="text1"/>
          <w:highlight w:val="none"/>
          <w14:textFill>
            <w14:solidFill>
              <w14:schemeClr w14:val="tx1"/>
            </w14:solidFill>
          </w14:textFill>
        </w:rPr>
        <w:t>。</w:t>
      </w:r>
    </w:p>
    <w:p>
      <w:pPr>
        <w:spacing w:before="260" w:after="260" w:line="415" w:lineRule="auto"/>
        <w:jc w:val="center"/>
        <w:rPr>
          <w:rFonts w:hint="eastAsia" w:ascii="宋体" w:hAnsi="宋体" w:eastAsia="宋体" w:cs="宋体"/>
          <w:b/>
          <w:color w:val="000000" w:themeColor="text1"/>
          <w:sz w:val="32"/>
          <w:szCs w:val="32"/>
          <w:highlight w:val="none"/>
          <w14:textFill>
            <w14:solidFill>
              <w14:schemeClr w14:val="tx1"/>
            </w14:solidFill>
          </w14:textFill>
        </w:rPr>
      </w:pPr>
      <w:bookmarkStart w:id="1053" w:name="_Toc246997117"/>
      <w:bookmarkStart w:id="1054" w:name="_Toc332641447"/>
      <w:bookmarkStart w:id="1055" w:name="_Toc247085892"/>
      <w:bookmarkStart w:id="1056" w:name="_Toc246996374"/>
      <w:r>
        <w:rPr>
          <w:rFonts w:hint="eastAsia" w:ascii="宋体" w:hAnsi="宋体" w:eastAsia="宋体" w:cs="宋体"/>
          <w:b/>
          <w:color w:val="000000" w:themeColor="text1"/>
          <w:sz w:val="24"/>
          <w:szCs w:val="31"/>
          <w:highlight w:val="none"/>
          <w14:textFill>
            <w14:solidFill>
              <w14:schemeClr w14:val="tx1"/>
            </w14:solidFill>
          </w14:textFill>
        </w:rPr>
        <w:br w:type="page"/>
      </w:r>
      <w:r>
        <w:rPr>
          <w:rFonts w:hint="eastAsia" w:ascii="宋体" w:hAnsi="宋体" w:eastAsia="宋体" w:cs="宋体"/>
          <w:b/>
          <w:color w:val="000000" w:themeColor="text1"/>
          <w:sz w:val="32"/>
          <w:szCs w:val="32"/>
          <w:highlight w:val="none"/>
          <w14:textFill>
            <w14:solidFill>
              <w14:schemeClr w14:val="tx1"/>
            </w14:solidFill>
          </w14:textFill>
        </w:rPr>
        <w:t>技术负责人简历表</w:t>
      </w:r>
    </w:p>
    <w:tbl>
      <w:tblPr>
        <w:tblStyle w:val="39"/>
        <w:tblpPr w:leftFromText="180" w:rightFromText="180" w:vertAnchor="text" w:horzAnchor="margin" w:tblpY="9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56"/>
        <w:gridCol w:w="723"/>
        <w:gridCol w:w="928"/>
        <w:gridCol w:w="1066"/>
        <w:gridCol w:w="706"/>
        <w:gridCol w:w="1262"/>
        <w:gridCol w:w="16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姓  名</w:t>
            </w:r>
          </w:p>
        </w:tc>
        <w:tc>
          <w:tcPr>
            <w:tcW w:w="633" w:type="pct"/>
            <w:gridSpan w:val="2"/>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44"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年 龄</w:t>
            </w:r>
          </w:p>
        </w:tc>
        <w:tc>
          <w:tcPr>
            <w:tcW w:w="625"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250" w:type="pct"/>
            <w:gridSpan w:val="3"/>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学历</w:t>
            </w:r>
          </w:p>
        </w:tc>
        <w:tc>
          <w:tcPr>
            <w:tcW w:w="1251"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  称</w:t>
            </w:r>
          </w:p>
        </w:tc>
        <w:tc>
          <w:tcPr>
            <w:tcW w:w="633" w:type="pct"/>
            <w:gridSpan w:val="2"/>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544"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 务</w:t>
            </w:r>
          </w:p>
        </w:tc>
        <w:tc>
          <w:tcPr>
            <w:tcW w:w="625" w:type="pct"/>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250" w:type="pct"/>
            <w:gridSpan w:val="3"/>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拟在本合同任职</w:t>
            </w:r>
          </w:p>
        </w:tc>
        <w:tc>
          <w:tcPr>
            <w:tcW w:w="1251"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毕业学校</w:t>
            </w:r>
          </w:p>
        </w:tc>
        <w:tc>
          <w:tcPr>
            <w:tcW w:w="4303" w:type="pct"/>
            <w:gridSpan w:val="8"/>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pPr>
              <w:spacing w:line="44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pct"/>
            <w:gridSpan w:val="2"/>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时  间</w:t>
            </w:r>
          </w:p>
        </w:tc>
        <w:tc>
          <w:tcPr>
            <w:tcW w:w="2007" w:type="pct"/>
            <w:gridSpan w:val="4"/>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参加过的类似项目</w:t>
            </w:r>
          </w:p>
        </w:tc>
        <w:tc>
          <w:tcPr>
            <w:tcW w:w="740" w:type="pct"/>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担任职务</w:t>
            </w:r>
          </w:p>
        </w:tc>
        <w:tc>
          <w:tcPr>
            <w:tcW w:w="1347" w:type="pct"/>
            <w:gridSpan w:val="2"/>
            <w:vAlign w:val="center"/>
          </w:tcPr>
          <w:p>
            <w:pPr>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6"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2007" w:type="pct"/>
            <w:gridSpan w:val="4"/>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740" w:type="pct"/>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c>
          <w:tcPr>
            <w:tcW w:w="1347" w:type="pct"/>
            <w:gridSpan w:val="2"/>
          </w:tcPr>
          <w:p>
            <w:pPr>
              <w:spacing w:line="440" w:lineRule="exact"/>
              <w:rPr>
                <w:rFonts w:hint="eastAsia" w:ascii="宋体" w:hAnsi="宋体" w:eastAsia="宋体" w:cs="宋体"/>
                <w:color w:val="000000" w:themeColor="text1"/>
                <w:szCs w:val="21"/>
                <w:highlight w:val="none"/>
                <w14:textFill>
                  <w14:solidFill>
                    <w14:schemeClr w14:val="tx1"/>
                  </w14:solidFill>
                </w14:textFill>
              </w:rPr>
            </w:pPr>
          </w:p>
        </w:tc>
      </w:tr>
    </w:tbl>
    <w:p>
      <w:pPr>
        <w:spacing w:before="260" w:after="260" w:line="415"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应附职称证书扫描件、社会保险扫描件等。</w:t>
      </w:r>
    </w:p>
    <w:p>
      <w:pPr>
        <w:pageBreakBefore/>
        <w:widowControl/>
        <w:jc w:val="left"/>
        <w:rPr>
          <w:rFonts w:hint="eastAsia" w:ascii="宋体" w:hAnsi="宋体" w:eastAsia="宋体" w:cs="宋体"/>
          <w:b/>
          <w:color w:val="000000" w:themeColor="text1"/>
          <w:sz w:val="24"/>
          <w:szCs w:val="31"/>
          <w:highlight w:val="none"/>
          <w14:textFill>
            <w14:solidFill>
              <w14:schemeClr w14:val="tx1"/>
            </w14:solidFill>
          </w14:textFill>
        </w:rPr>
      </w:pPr>
    </w:p>
    <w:p>
      <w:pPr>
        <w:spacing w:line="400" w:lineRule="exact"/>
        <w:jc w:val="left"/>
        <w:outlineLvl w:val="3"/>
        <w:rPr>
          <w:rFonts w:hint="eastAsia" w:ascii="宋体" w:hAnsi="宋体" w:eastAsia="宋体" w:cs="宋体"/>
          <w:b/>
          <w:color w:val="000000" w:themeColor="text1"/>
          <w:sz w:val="24"/>
          <w:szCs w:val="31"/>
          <w:highlight w:val="none"/>
          <w14:textFill>
            <w14:solidFill>
              <w14:schemeClr w14:val="tx1"/>
            </w14:solidFill>
          </w14:textFill>
        </w:rPr>
      </w:pPr>
      <w:r>
        <w:rPr>
          <w:rFonts w:hint="eastAsia" w:ascii="宋体" w:hAnsi="宋体" w:eastAsia="宋体" w:cs="宋体"/>
          <w:b/>
          <w:color w:val="000000" w:themeColor="text1"/>
          <w:sz w:val="24"/>
          <w:szCs w:val="31"/>
          <w:highlight w:val="none"/>
          <w14:textFill>
            <w14:solidFill>
              <w14:schemeClr w14:val="tx1"/>
            </w14:solidFill>
          </w14:textFill>
        </w:rPr>
        <w:t>（三）专职安全管理员</w:t>
      </w:r>
      <w:bookmarkEnd w:id="1053"/>
      <w:bookmarkEnd w:id="1054"/>
      <w:bookmarkEnd w:id="1055"/>
      <w:bookmarkEnd w:id="1056"/>
    </w:p>
    <w:p>
      <w:pPr>
        <w:spacing w:before="260" w:after="260" w:line="415"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专职安全员简历表</w:t>
      </w:r>
    </w:p>
    <w:p>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应附安全生产考核合格证（C类）</w:t>
      </w:r>
      <w:r>
        <w:rPr>
          <w:rFonts w:hint="eastAsia" w:ascii="宋体" w:hAnsi="宋体" w:eastAsia="宋体" w:cs="宋体"/>
          <w:color w:val="000000" w:themeColor="text1"/>
          <w:szCs w:val="21"/>
          <w:highlight w:val="none"/>
          <w:u w:val="single"/>
          <w14:textFill>
            <w14:solidFill>
              <w14:schemeClr w14:val="tx1"/>
            </w14:solidFill>
          </w14:textFill>
        </w:rPr>
        <w:t>彩色扫描件</w:t>
      </w:r>
      <w:r>
        <w:rPr>
          <w:rFonts w:hint="eastAsia" w:ascii="宋体" w:hAnsi="宋体" w:eastAsia="宋体" w:cs="宋体"/>
          <w:color w:val="000000" w:themeColor="text1"/>
          <w:highlight w:val="none"/>
          <w14:textFill>
            <w14:solidFill>
              <w14:schemeClr w14:val="tx1"/>
            </w14:solidFill>
          </w14:textFill>
        </w:rPr>
        <w:t>或建筑施工企业专职安全生产管理人员安全生产考核合格证书（C3）</w:t>
      </w:r>
      <w:r>
        <w:rPr>
          <w:rFonts w:hint="eastAsia" w:ascii="宋体" w:hAnsi="宋体" w:eastAsia="宋体" w:cs="宋体"/>
          <w:color w:val="000000" w:themeColor="text1"/>
          <w:szCs w:val="21"/>
          <w:highlight w:val="none"/>
          <w:u w:val="single"/>
          <w14:textFill>
            <w14:solidFill>
              <w14:schemeClr w14:val="tx1"/>
            </w14:solidFill>
          </w14:textFill>
        </w:rPr>
        <w:t>彩色扫描件</w:t>
      </w:r>
      <w:r>
        <w:rPr>
          <w:rFonts w:hint="eastAsia" w:ascii="宋体" w:hAnsi="宋体" w:eastAsia="宋体" w:cs="宋体"/>
          <w:color w:val="000000" w:themeColor="text1"/>
          <w:highlight w:val="none"/>
          <w14:textFill>
            <w14:solidFill>
              <w14:schemeClr w14:val="tx1"/>
            </w14:solidFill>
          </w14:textFill>
        </w:rPr>
        <w:t>、社会保险证明扫描件。</w:t>
      </w:r>
    </w:p>
    <w:p>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917"/>
        <w:gridCol w:w="1329"/>
        <w:gridCol w:w="1312"/>
        <w:gridCol w:w="1264"/>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70" w:hRule="atLeast"/>
          <w:jc w:val="center"/>
        </w:trPr>
        <w:tc>
          <w:tcPr>
            <w:tcW w:w="77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姓名</w:t>
            </w:r>
          </w:p>
        </w:tc>
        <w:tc>
          <w:tcPr>
            <w:tcW w:w="1124"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7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年龄</w:t>
            </w:r>
          </w:p>
        </w:tc>
        <w:tc>
          <w:tcPr>
            <w:tcW w:w="76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41"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职称</w:t>
            </w:r>
          </w:p>
        </w:tc>
        <w:tc>
          <w:tcPr>
            <w:tcW w:w="80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7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从事本工作时间</w:t>
            </w:r>
          </w:p>
        </w:tc>
        <w:tc>
          <w:tcPr>
            <w:tcW w:w="1124"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7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学历</w:t>
            </w:r>
          </w:p>
        </w:tc>
        <w:tc>
          <w:tcPr>
            <w:tcW w:w="76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41"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专业</w:t>
            </w:r>
          </w:p>
        </w:tc>
        <w:tc>
          <w:tcPr>
            <w:tcW w:w="80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毕业院校</w:t>
            </w:r>
          </w:p>
        </w:tc>
        <w:tc>
          <w:tcPr>
            <w:tcW w:w="2671" w:type="pct"/>
            <w:gridSpan w:val="3"/>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41"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毕业时间</w:t>
            </w:r>
          </w:p>
        </w:tc>
        <w:tc>
          <w:tcPr>
            <w:tcW w:w="809" w:type="pct"/>
            <w:vAlign w:val="center"/>
          </w:tcPr>
          <w:p>
            <w:pPr>
              <w:pStyle w:val="97"/>
              <w:adjustRightInd w:val="0"/>
              <w:snapToGrid w:val="0"/>
              <w:spacing w:before="0" w:after="0"/>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spacing w:line="360" w:lineRule="auto"/>
        <w:jc w:val="left"/>
        <w:outlineLvl w:val="3"/>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31"/>
          <w:highlight w:val="none"/>
          <w14:textFill>
            <w14:solidFill>
              <w14:schemeClr w14:val="tx1"/>
            </w14:solidFill>
          </w14:textFill>
        </w:rPr>
        <w:br w:type="page"/>
      </w:r>
      <w:bookmarkEnd w:id="1044"/>
      <w:bookmarkEnd w:id="1045"/>
      <w:bookmarkEnd w:id="1046"/>
      <w:bookmarkEnd w:id="1047"/>
      <w:bookmarkEnd w:id="1048"/>
      <w:bookmarkEnd w:id="1049"/>
      <w:bookmarkEnd w:id="1050"/>
      <w:bookmarkEnd w:id="1051"/>
      <w:bookmarkEnd w:id="1052"/>
      <w:bookmarkStart w:id="1057" w:name="_Toc229474023"/>
      <w:bookmarkStart w:id="1058" w:name="_Toc152047271"/>
      <w:bookmarkStart w:id="1059" w:name="_Toc227133887"/>
      <w:bookmarkStart w:id="1060" w:name="_Toc221949894"/>
      <w:bookmarkStart w:id="1061" w:name="_Toc222029460"/>
      <w:bookmarkStart w:id="1062" w:name="_Toc179715764"/>
      <w:r>
        <w:rPr>
          <w:rFonts w:hint="eastAsia" w:ascii="宋体" w:hAnsi="宋体" w:eastAsia="宋体" w:cs="宋体"/>
          <w:b/>
          <w:bCs/>
          <w:color w:val="000000" w:themeColor="text1"/>
          <w:kern w:val="0"/>
          <w:sz w:val="24"/>
          <w:szCs w:val="24"/>
          <w:highlight w:val="none"/>
          <w14:textFill>
            <w14:solidFill>
              <w14:schemeClr w14:val="tx1"/>
            </w14:solidFill>
          </w14:textFill>
        </w:rPr>
        <w:t>（四）投标人声明</w:t>
      </w:r>
    </w:p>
    <w:p>
      <w:pPr>
        <w:spacing w:line="600" w:lineRule="exact"/>
        <w:jc w:val="center"/>
        <w:rPr>
          <w:rFonts w:hint="eastAsia" w:ascii="宋体" w:hAnsi="宋体" w:eastAsia="宋体" w:cs="宋体"/>
          <w:b/>
          <w:bCs/>
          <w:color w:val="000000" w:themeColor="text1"/>
          <w:kern w:val="0"/>
          <w:sz w:val="30"/>
          <w:szCs w:val="30"/>
          <w:highlight w:val="none"/>
          <w14:textFill>
            <w14:solidFill>
              <w14:schemeClr w14:val="tx1"/>
            </w14:solidFill>
          </w14:textFill>
        </w:rPr>
      </w:pPr>
      <w:r>
        <w:rPr>
          <w:rFonts w:hint="eastAsia" w:ascii="宋体" w:hAnsi="宋体" w:eastAsia="宋体" w:cs="宋体"/>
          <w:b/>
          <w:bCs/>
          <w:color w:val="000000" w:themeColor="text1"/>
          <w:kern w:val="0"/>
          <w:sz w:val="30"/>
          <w:szCs w:val="30"/>
          <w:highlight w:val="none"/>
          <w14:textFill>
            <w14:solidFill>
              <w14:schemeClr w14:val="tx1"/>
            </w14:solidFill>
          </w14:textFill>
        </w:rPr>
        <w:t>投标人声明</w:t>
      </w:r>
    </w:p>
    <w:p>
      <w:pPr>
        <w:spacing w:before="240"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本招标项目招标人及招标监管机构：</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本公司就参加</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（项目名称）</w:t>
      </w:r>
      <w:r>
        <w:rPr>
          <w:rFonts w:hint="eastAsia" w:ascii="宋体" w:hAnsi="宋体" w:eastAsia="宋体" w:cs="宋体"/>
          <w:color w:val="000000" w:themeColor="text1"/>
          <w:kern w:val="0"/>
          <w:sz w:val="24"/>
          <w:szCs w:val="24"/>
          <w:highlight w:val="none"/>
          <w14:textFill>
            <w14:solidFill>
              <w14:schemeClr w14:val="tx1"/>
            </w14:solidFill>
          </w14:textFill>
        </w:rPr>
        <w:t>投标工作，作出郑重声明：</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一、本公司保证投标登记及其后提供的一切材料都是真实的。如我司通过本项目的资格审查或成为本项目中标候选人，我司同意并授权招标人将我司响应招标文件资格能力条件（资质、营业执照等证书名称、等级、编号，人员、业绩）、投标文件商务部分的部分内容（施工方案、工程量清单及涉及商业秘密的内容除外）等资料进行公开。</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二、本公司保证在本项目投标中不与其他单位围标、串标，不出让投标资格，不向招标人或评标委员会成员行贿。</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三、本公司不存在下列情形：</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（1）为招标人不具有独立法人资格的附属机构（单位）；</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（2）为本标段前期准备提供设计或咨询服务或者与本项目设计人或提供咨询服务的机构存在附属关系的；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（3）为本标段监理人或者与本标段监理人存在隶属关系或者其他利害关系；</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（4）为本标段的代建人；</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（5）为本标段提供招标代理服务的； </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（6）与本标段的监理人或代建人或招标代理机构同为一个法定代表人的；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（7）与本标段的监理人或代建人或招标代理机构相互控股或参股的；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（8）与本标段的监理人或代建人或招标代理机构相互任职或工作的；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（9）与本标段的检测机构有隶属关系或者其他利害关系；</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（10）与招标人存在利害关系且可能影响招标公正性；</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（11）被责令停产停业、暂扣或者吊销许可证、暂扣或者吊销执照的（本项事实应当以根据《中华人民共和国行政处罚法》依法作出并已经生效的行政处罚决定为认定依据）；</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12）被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（13）财产被接管或冻结的；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（14）单位负责人为同一人或者存在控股、管理关系的不同单位，同时参加本招标项目投标；</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（15）投标人、投标人主要负责人及拟投入人员在招标投标、合同履行、安全事故方面因违反有关法律、法规规定受到相关行政管理部门的行政处罚，被取消投标资格的。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（16）进入清算程序，或被宣布破产，或其他丧失履约能力的情形；</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17）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（18）被“信用广州”网站纳入失信联合惩戒名单（失信黑名单）；</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（19）在近三年内投标人或其法定代表人、拟委派的项目负责人有行贿犯罪行为的；</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（20）法律法规规定的其他情形。</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四、本公司保证本项目拟派的项目负责人和安全员没有在其他在建项目中任职。</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五、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六、本公司承诺，中标后将利用信息技术手段实施考勤管理，对施工现场人员建立基本信息档案、实行实名制管理的制度并完成工资支付，切实落实《广州市住房和城乡建设局关于印发&lt;广州市建筑施工实名制管理办法&gt;的通知》（穗建规字〔2020〕18号）、《广州市建设领域工人工资支付分账管理实施细则》（穗建规字〔2020〕37号）等关于用工实名制和工人工资支付分账管理的各项规定。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七、与本公司单位负责人为同一人或者与本公司存在控股、管理关系的其他单位包括：</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。（注：本条由投标人如实填写，如有，应列出全部满足招标公告资质要求的相关单位的名称；如无，则填写“无”。）</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公司违反上述保证，或本声明陈述与事实不符，经查实，本公司愿意接受公开通报，承担由此带来的法律后果，并自愿停止参加广州市行政辖区内的招标投标活动三个月。本声明陈述与事实不符，属于弄虚作假骗取中标，将依法接受监管部门的处罚。</w:t>
      </w: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特此声明</w:t>
      </w:r>
    </w:p>
    <w:p>
      <w:pPr>
        <w:pStyle w:val="100"/>
        <w:ind w:left="629" w:right="1449" w:firstLine="480" w:firstLineChars="2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声明企业（盖单位章）：</w:t>
      </w:r>
    </w:p>
    <w:p>
      <w:pPr>
        <w:pStyle w:val="77"/>
        <w:ind w:right="1779" w:firstLine="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法定代表人（签字或盖章）：</w:t>
      </w:r>
    </w:p>
    <w:p>
      <w:pPr>
        <w:pStyle w:val="77"/>
        <w:ind w:right="1779" w:firstLine="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项目负责人（签字）：</w:t>
      </w:r>
    </w:p>
    <w:p>
      <w:pPr>
        <w:pStyle w:val="77"/>
        <w:ind w:right="1779" w:firstLine="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技术负责人（签字）：</w:t>
      </w:r>
    </w:p>
    <w:p>
      <w:pPr>
        <w:spacing w:line="360" w:lineRule="auto"/>
        <w:ind w:right="1179" w:firstLine="480" w:firstLineChars="200"/>
        <w:jc w:val="righ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年  月  日</w:t>
      </w:r>
    </w:p>
    <w:p>
      <w:pPr>
        <w:spacing w:line="360" w:lineRule="auto"/>
        <w:ind w:right="1179" w:firstLine="480" w:firstLineChars="200"/>
        <w:jc w:val="right"/>
        <w:rPr>
          <w:rFonts w:hint="eastAsia" w:ascii="宋体" w:hAnsi="宋体" w:eastAsia="宋体" w:cs="宋体"/>
          <w:color w:val="000000" w:themeColor="text1"/>
          <w:kern w:val="0"/>
          <w:sz w:val="24"/>
          <w:szCs w:val="24"/>
          <w:highlight w:val="none"/>
          <w14:textFill>
            <w14:solidFill>
              <w14:schemeClr w14:val="tx1"/>
            </w14:solidFill>
          </w14:textFill>
        </w:rPr>
      </w:pPr>
    </w:p>
    <w:p>
      <w:pPr>
        <w:pStyle w:val="77"/>
        <w:spacing w:line="6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pStyle w:val="77"/>
        <w:spacing w:line="600" w:lineRule="exact"/>
        <w:ind w:right="879" w:firstLine="480" w:firstLineChars="200"/>
        <w:jc w:val="right"/>
        <w:rPr>
          <w:rFonts w:hint="eastAsia" w:ascii="宋体" w:hAnsi="宋体" w:eastAsia="宋体" w:cs="宋体"/>
          <w:strike/>
          <w:color w:val="000000" w:themeColor="text1"/>
          <w:sz w:val="24"/>
          <w:szCs w:val="24"/>
          <w:highlight w:val="none"/>
          <w14:textFill>
            <w14:solidFill>
              <w14:schemeClr w14:val="tx1"/>
            </w14:solidFill>
          </w14:textFill>
        </w:rPr>
      </w:pPr>
    </w:p>
    <w:p>
      <w:pPr>
        <w:pageBreakBefore/>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（五）投标人廉洁承诺书（格式）</w:t>
      </w:r>
    </w:p>
    <w:p>
      <w:pPr>
        <w:spacing w:before="240" w:line="600" w:lineRule="exact"/>
        <w:jc w:val="center"/>
        <w:rPr>
          <w:rFonts w:hint="eastAsia" w:ascii="宋体" w:hAnsi="宋体" w:eastAsia="宋体" w:cs="宋体"/>
          <w:b/>
          <w:bCs/>
          <w:color w:val="000000" w:themeColor="text1"/>
          <w:kern w:val="0"/>
          <w:sz w:val="30"/>
          <w:szCs w:val="30"/>
          <w:highlight w:val="none"/>
          <w14:textFill>
            <w14:solidFill>
              <w14:schemeClr w14:val="tx1"/>
            </w14:solidFill>
          </w14:textFill>
        </w:rPr>
      </w:pPr>
      <w:r>
        <w:rPr>
          <w:rFonts w:hint="eastAsia" w:ascii="宋体" w:hAnsi="宋体" w:eastAsia="宋体" w:cs="宋体"/>
          <w:b/>
          <w:bCs/>
          <w:color w:val="000000" w:themeColor="text1"/>
          <w:kern w:val="0"/>
          <w:sz w:val="30"/>
          <w:szCs w:val="30"/>
          <w:highlight w:val="none"/>
          <w14:textFill>
            <w14:solidFill>
              <w14:schemeClr w14:val="tx1"/>
            </w14:solidFill>
          </w14:textFill>
        </w:rPr>
        <w:t>投标人廉洁承诺书</w:t>
      </w:r>
    </w:p>
    <w:p>
      <w:pPr>
        <w:pStyle w:val="22"/>
        <w:spacing w:after="240" w:afterLines="100" w:line="360" w:lineRule="auto"/>
        <w:ind w:right="42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本招标项目招标人及招标监管机构：</w:t>
      </w:r>
    </w:p>
    <w:p>
      <w:pPr>
        <w:pStyle w:val="22"/>
        <w:spacing w:line="360" w:lineRule="auto"/>
        <w:ind w:right="420" w:firstLine="720" w:firstLineChars="30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本公司参加了</w:t>
      </w:r>
      <w:r>
        <w:rPr>
          <w:rFonts w:hint="eastAsia" w:ascii="宋体" w:hAnsi="宋体" w:eastAsia="宋体" w:cs="宋体"/>
          <w:color w:val="000000" w:themeColor="text1"/>
          <w:sz w:val="24"/>
          <w:szCs w:val="21"/>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szCs w:val="21"/>
          <w:highlight w:val="none"/>
          <w14:textFill>
            <w14:solidFill>
              <w14:schemeClr w14:val="tx1"/>
            </w14:solidFill>
          </w14:textFill>
        </w:rPr>
        <w:t>投标，为确保招标工作的公平、公正、公开、有序进行，我们保证遵守《中华人民共和国招标投标法》、《中华人民共和国招标投标法实施条例》、《广东省实施&lt;中华人民共和国招标投标法&gt;办法》等法律法规，特承诺如下事项：</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一、自觉遵守国家有关法律法规及廉洁规定。</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二、不与招标单位工作人员串通投标，损害国家利益、企业利益以及他人的合法利益；</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三、不与其他单位围标、串标，不出让投标资格，不向招标人或评标委员会成员行贿。</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 xml:space="preserve">四、不以任何名义向参与招标、评标工作的有关人员提供高消费宴请及娱乐活动和赠送回扣、红包、礼金、购物卡、有价证券、贵重物品和好处费、感谢费等； </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五、不以任何名义为参与招标、评标工作的有关人员装修住房、婚丧嫁取、配偶子女的工作安排以及境内外旅游等提供方便；</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六、不以谋取非正当利益为目的，擅自与参与招标、评标工作的有关人员就业务问题进行私下商谈或者达成利益默契；</w:t>
      </w:r>
    </w:p>
    <w:p>
      <w:pPr>
        <w:pStyle w:val="22"/>
        <w:spacing w:line="360" w:lineRule="auto"/>
        <w:ind w:right="420" w:firstLine="420" w:firstLineChars="175"/>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本公司违反上述承诺，或本承诺陈述与事实不符，经查实，本公司愿意接受公开通报，承担由此带来的法律后果，并自愿停止参加广州市行政辖区内的招标投标活动三个月。</w:t>
      </w:r>
    </w:p>
    <w:p>
      <w:pPr>
        <w:pStyle w:val="22"/>
        <w:spacing w:line="360" w:lineRule="auto"/>
        <w:ind w:right="420" w:firstLine="480" w:firstLineChars="20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特此承诺</w:t>
      </w:r>
    </w:p>
    <w:p>
      <w:pPr>
        <w:pStyle w:val="23"/>
        <w:rPr>
          <w:rFonts w:hint="eastAsia" w:ascii="宋体" w:hAnsi="宋体" w:eastAsia="宋体" w:cs="宋体"/>
          <w:color w:val="000000" w:themeColor="text1"/>
          <w:highlight w:val="none"/>
          <w14:textFill>
            <w14:solidFill>
              <w14:schemeClr w14:val="tx1"/>
            </w14:solidFill>
          </w14:textFill>
        </w:rPr>
      </w:pP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 xml:space="preserve">承诺企业（盖单位章）： </w:t>
      </w: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 xml:space="preserve">法定代表人（签字或盖章）：           </w:t>
      </w: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年   月  日</w:t>
      </w:r>
    </w:p>
    <w:p>
      <w:pPr>
        <w:pStyle w:val="22"/>
        <w:spacing w:line="360" w:lineRule="auto"/>
        <w:ind w:right="420" w:firstLine="646"/>
        <w:rPr>
          <w:rFonts w:hint="eastAsia" w:ascii="宋体" w:hAnsi="宋体" w:eastAsia="宋体" w:cs="宋体"/>
          <w:color w:val="000000" w:themeColor="text1"/>
          <w:sz w:val="24"/>
          <w:szCs w:val="21"/>
          <w:highlight w:val="none"/>
          <w14:textFill>
            <w14:solidFill>
              <w14:schemeClr w14:val="tx1"/>
            </w14:solidFill>
          </w14:textFill>
        </w:rPr>
      </w:pPr>
    </w:p>
    <w:p>
      <w:pPr>
        <w:spacing w:line="360" w:lineRule="auto"/>
        <w:jc w:val="cente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br w:type="page"/>
      </w:r>
      <w:bookmarkEnd w:id="1057"/>
      <w:bookmarkStart w:id="1063" w:name="_Toc229474024"/>
    </w:p>
    <w:p>
      <w:pPr>
        <w:spacing w:line="360" w:lineRule="auto"/>
        <w:jc w:val="center"/>
        <w:outlineLvl w:val="2"/>
        <w:rPr>
          <w:rFonts w:hint="eastAsia" w:ascii="宋体" w:hAnsi="宋体" w:eastAsia="宋体" w:cs="宋体"/>
          <w:color w:val="000000" w:themeColor="text1"/>
          <w:sz w:val="28"/>
          <w:szCs w:val="27"/>
          <w:highlight w:val="none"/>
          <w14:textFill>
            <w14:solidFill>
              <w14:schemeClr w14:val="tx1"/>
            </w14:solidFill>
          </w14:textFill>
        </w:rPr>
      </w:pPr>
      <w:bookmarkStart w:id="1064" w:name="_Toc17451617"/>
      <w:bookmarkStart w:id="1065" w:name="_Toc17454910"/>
      <w:bookmarkStart w:id="1066" w:name="_Toc17556915"/>
      <w:bookmarkStart w:id="1067" w:name="_Toc10906"/>
      <w:bookmarkStart w:id="1068" w:name="_Toc17451140"/>
      <w:bookmarkStart w:id="1069" w:name="_Toc25005"/>
      <w:bookmarkStart w:id="1070" w:name="_Toc17454961"/>
      <w:bookmarkStart w:id="1071" w:name="_Toc17451662"/>
      <w:bookmarkStart w:id="1072" w:name="_Toc17452703"/>
      <w:bookmarkStart w:id="1073" w:name="_Toc17556970"/>
      <w:bookmarkStart w:id="1074" w:name="_Toc24489"/>
      <w:bookmarkStart w:id="1075" w:name="_Toc22746"/>
      <w:bookmarkStart w:id="1076" w:name="_Toc27018"/>
      <w:bookmarkStart w:id="1077" w:name="_Toc6957"/>
      <w:r>
        <w:rPr>
          <w:rFonts w:hint="eastAsia" w:ascii="宋体" w:hAnsi="宋体" w:eastAsia="宋体" w:cs="宋体"/>
          <w:color w:val="000000" w:themeColor="text1"/>
          <w:sz w:val="28"/>
          <w:szCs w:val="27"/>
          <w:highlight w:val="none"/>
          <w14:textFill>
            <w14:solidFill>
              <w14:schemeClr w14:val="tx1"/>
            </w14:solidFill>
          </w14:textFill>
        </w:rPr>
        <w:t>九、</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Pr>
          <w:rFonts w:hint="eastAsia" w:ascii="宋体" w:hAnsi="宋体" w:eastAsia="宋体" w:cs="宋体"/>
          <w:color w:val="000000" w:themeColor="text1"/>
          <w:sz w:val="28"/>
          <w:szCs w:val="27"/>
          <w:highlight w:val="none"/>
          <w14:textFill>
            <w14:solidFill>
              <w14:schemeClr w14:val="tx1"/>
            </w14:solidFill>
          </w14:textFill>
        </w:rPr>
        <w:t>其他应提交的材料</w:t>
      </w:r>
      <w:bookmarkEnd w:id="1074"/>
      <w:bookmarkEnd w:id="1075"/>
      <w:bookmarkEnd w:id="1076"/>
      <w:bookmarkEnd w:id="1077"/>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（如投标报价低于工程成本警示价的，提供投标报价不低于成本价的证明材料。）</w:t>
      </w:r>
    </w:p>
    <w:p>
      <w:pPr>
        <w:spacing w:line="600" w:lineRule="exact"/>
        <w:ind w:firstLine="480"/>
        <w:jc w:val="left"/>
        <w:rPr>
          <w:rFonts w:hint="eastAsia" w:ascii="宋体" w:hAnsi="宋体" w:eastAsia="宋体" w:cs="宋体"/>
          <w:color w:val="000000" w:themeColor="text1"/>
          <w:sz w:val="30"/>
          <w:szCs w:val="30"/>
          <w:highlight w:val="none"/>
          <w14:textFill>
            <w14:solidFill>
              <w14:schemeClr w14:val="tx1"/>
            </w14:solidFill>
          </w14:textFill>
        </w:rPr>
      </w:pPr>
      <w:bookmarkStart w:id="1078" w:name="_Toc249845977"/>
      <w:bookmarkStart w:id="1079" w:name="_Toc266881405"/>
      <w:bookmarkStart w:id="1080" w:name="_Toc249846232"/>
      <w:bookmarkStart w:id="1081" w:name="_Toc253143224"/>
      <w:bookmarkStart w:id="1082" w:name="_Toc416357992"/>
      <w:bookmarkStart w:id="1083" w:name="_Toc266093553"/>
      <w:bookmarkStart w:id="1084" w:name="_Toc416358163"/>
      <w:bookmarkStart w:id="1085" w:name="_Toc245024005"/>
      <w:r>
        <w:rPr>
          <w:rFonts w:hint="eastAsia" w:ascii="宋体" w:hAnsi="宋体" w:eastAsia="宋体" w:cs="宋体"/>
          <w:bCs/>
          <w:color w:val="000000" w:themeColor="text1"/>
          <w:kern w:val="0"/>
          <w:sz w:val="24"/>
          <w:szCs w:val="24"/>
          <w:highlight w:val="none"/>
          <w14:textFill>
            <w14:solidFill>
              <w14:schemeClr w14:val="tx1"/>
            </w14:solidFill>
          </w14:textFill>
        </w:rPr>
        <w:t>附件1</w:t>
      </w:r>
      <w:bookmarkEnd w:id="1078"/>
      <w:bookmarkEnd w:id="1079"/>
      <w:bookmarkEnd w:id="1080"/>
      <w:bookmarkEnd w:id="1081"/>
      <w:bookmarkEnd w:id="1082"/>
      <w:bookmarkEnd w:id="1083"/>
      <w:bookmarkEnd w:id="1084"/>
      <w:bookmarkEnd w:id="1085"/>
    </w:p>
    <w:p>
      <w:pPr>
        <w:tabs>
          <w:tab w:val="left" w:pos="720"/>
        </w:tabs>
        <w:snapToGrid w:val="0"/>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投标文件编制人员名单</w:t>
      </w:r>
    </w:p>
    <w:p>
      <w:pPr>
        <w:tabs>
          <w:tab w:val="left" w:pos="720"/>
        </w:tabs>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381"/>
        <w:gridCol w:w="2342"/>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姓名</w:t>
            </w: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职务</w:t>
            </w: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所承担工作</w:t>
            </w: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身份证号码</w:t>
            </w: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bl>
    <w:p>
      <w:pPr>
        <w:tabs>
          <w:tab w:val="left" w:pos="720"/>
        </w:tabs>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pStyle w:val="38"/>
        <w:spacing w:after="0" w:line="360" w:lineRule="auto"/>
        <w:ind w:left="-2" w:leftChars="-1" w:firstLine="350" w:firstLineChars="175"/>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注：参与编制投标文件所有人员名单应包括如编制技术投标方案、编制各种专业工程量清单投标报价、负责清样校对、负责打印及复印等所有人员在内的人员名单。</w:t>
      </w:r>
    </w:p>
    <w:p>
      <w:pPr>
        <w:pStyle w:val="38"/>
        <w:spacing w:after="0" w:line="360" w:lineRule="auto"/>
        <w:ind w:left="-2" w:leftChars="-1" w:firstLineChars="175"/>
        <w:jc w:val="center"/>
        <w:rPr>
          <w:rFonts w:hint="eastAsia" w:ascii="宋体" w:hAnsi="宋体" w:eastAsia="宋体" w:cs="宋体"/>
          <w:color w:val="000000" w:themeColor="text1"/>
          <w:sz w:val="24"/>
          <w:szCs w:val="24"/>
          <w:highlight w:val="none"/>
          <w14:textFill>
            <w14:solidFill>
              <w14:schemeClr w14:val="tx1"/>
            </w14:solidFill>
          </w14:textFill>
        </w:rPr>
      </w:pPr>
    </w:p>
    <w:p>
      <w:pPr>
        <w:pStyle w:val="38"/>
        <w:spacing w:after="0" w:line="360" w:lineRule="auto"/>
        <w:ind w:left="-2" w:leftChars="-1" w:firstLineChars="175"/>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Cs/>
          <w:color w:val="000000" w:themeColor="text1"/>
          <w:sz w:val="24"/>
          <w:szCs w:val="24"/>
          <w:highlight w:val="none"/>
          <w14:textFill>
            <w14:solidFill>
              <w14:schemeClr w14:val="tx1"/>
            </w14:solidFill>
          </w14:textFill>
        </w:rPr>
        <w:t>附件2</w:t>
      </w:r>
    </w:p>
    <w:p>
      <w:pPr>
        <w:pStyle w:val="38"/>
        <w:spacing w:after="0" w:line="360" w:lineRule="auto"/>
        <w:ind w:firstLine="0"/>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对投标文件编制的承诺</w:t>
      </w:r>
    </w:p>
    <w:p>
      <w:pPr>
        <w:pStyle w:val="38"/>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（身份证号：               ）</w:t>
      </w:r>
      <w:r>
        <w:rPr>
          <w:rFonts w:hint="eastAsia" w:ascii="宋体" w:hAnsi="宋体" w:eastAsia="宋体" w:cs="宋体"/>
          <w:color w:val="000000" w:themeColor="text1"/>
          <w:sz w:val="24"/>
          <w:szCs w:val="24"/>
          <w:highlight w:val="none"/>
          <w14:textFill>
            <w14:solidFill>
              <w14:schemeClr w14:val="tx1"/>
            </w14:solidFill>
          </w14:textFill>
        </w:rPr>
        <w:t>负责对投标文件的编制及内容进行解释、说明，并承诺以下事项：</w:t>
      </w:r>
    </w:p>
    <w:p>
      <w:pPr>
        <w:pStyle w:val="38"/>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1.被授权人清楚投标文件编制的具体情况，包括技术方案文件、工程量清单、以及投标文件的加密打包的理解；</w:t>
      </w:r>
    </w:p>
    <w:p>
      <w:pPr>
        <w:pStyle w:val="38"/>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2.在本项目开标至评标结束前，努力确保被授权人在项目评标所在地附近；</w:t>
      </w:r>
    </w:p>
    <w:p>
      <w:pPr>
        <w:pStyle w:val="38"/>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3.从评标委员会要求澄清起二小时内，被授权人应如实地书面澄清。</w:t>
      </w:r>
    </w:p>
    <w:p>
      <w:pPr>
        <w:pStyle w:val="38"/>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如由于未遵守上述承诺内容之一导致无法进行澄清的，我公司认可和接受评标委员会作出的评审结论。                                 </w:t>
      </w:r>
    </w:p>
    <w:p>
      <w:pPr>
        <w:pStyle w:val="38"/>
        <w:spacing w:after="0" w:line="360" w:lineRule="auto"/>
        <w:ind w:firstLine="360" w:firstLineChars="1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Style w:val="38"/>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附件：《投标文件编制情况》</w:t>
      </w:r>
    </w:p>
    <w:p>
      <w:pPr>
        <w:spacing w:line="360" w:lineRule="auto"/>
        <w:ind w:right="90" w:firstLine="3240" w:firstLineChars="135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投标人名称（盖单位章）：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firstLine="2880" w:firstLineChars="1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法定代表人或被授权人（签字）：</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firstLine="4440" w:firstLineChars="185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 </w:t>
      </w:r>
      <w:r>
        <w:rPr>
          <w:rFonts w:hint="eastAsia" w:ascii="宋体" w:hAnsi="宋体" w:eastAsia="宋体" w:cs="宋体"/>
          <w:color w:val="000000" w:themeColor="text1"/>
          <w:sz w:val="18"/>
          <w:szCs w:val="18"/>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360" w:lineRule="auto"/>
        <w:jc w:val="left"/>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color w:val="000000" w:themeColor="text1"/>
          <w:sz w:val="24"/>
          <w:szCs w:val="24"/>
          <w:highlight w:val="none"/>
          <w14:textFill>
            <w14:solidFill>
              <w14:schemeClr w14:val="tx1"/>
            </w14:solidFill>
          </w14:textFill>
        </w:rPr>
        <w:t>附件3</w:t>
      </w:r>
    </w:p>
    <w:p>
      <w:pPr>
        <w:pStyle w:val="38"/>
        <w:spacing w:after="0" w:line="360" w:lineRule="auto"/>
        <w:ind w:firstLine="643" w:firstLineChars="20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投标文件编制情况</w:t>
      </w:r>
    </w:p>
    <w:p>
      <w:pPr>
        <w:pStyle w:val="38"/>
        <w:spacing w:after="0"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1.投标文件报价编制方式: □自行编制的，编制的负责人：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（盖造价工程师执业专用章或全国建设工程造价员章，执业单位应与投标人一致） </w:t>
      </w:r>
      <w:r>
        <w:rPr>
          <w:rFonts w:hint="eastAsia" w:ascii="宋体" w:hAnsi="宋体" w:eastAsia="宋体" w:cs="宋体"/>
          <w:color w:val="000000" w:themeColor="text1"/>
          <w:sz w:val="24"/>
          <w:szCs w:val="24"/>
          <w:highlight w:val="none"/>
          <w14:textFill>
            <w14:solidFill>
              <w14:schemeClr w14:val="tx1"/>
            </w14:solidFill>
          </w14:textFill>
        </w:rPr>
        <w:t>。□委托编制的，受委托单位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，编制的负责人：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（盖造价工程师执业专用章或全国建设工程造价员章，执业单位应与受委托单位一致） </w:t>
      </w:r>
      <w:r>
        <w:rPr>
          <w:rFonts w:hint="eastAsia" w:ascii="宋体" w:hAnsi="宋体" w:eastAsia="宋体" w:cs="宋体"/>
          <w:color w:val="000000" w:themeColor="text1"/>
          <w:sz w:val="24"/>
          <w:szCs w:val="24"/>
          <w:highlight w:val="none"/>
          <w14:textFill>
            <w14:solidFill>
              <w14:schemeClr w14:val="tx1"/>
            </w14:solidFill>
          </w14:textFill>
        </w:rPr>
        <w:t>。</w:t>
      </w:r>
    </w:p>
    <w:p>
      <w:pPr>
        <w:pStyle w:val="38"/>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2.投标文件加密打包的电脑情况</w:t>
      </w:r>
    </w:p>
    <w:tbl>
      <w:tblPr>
        <w:tblStyle w:val="39"/>
        <w:tblW w:w="0" w:type="auto"/>
        <w:tblInd w:w="0" w:type="dxa"/>
        <w:tblLayout w:type="autofit"/>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rHeight w:val="2819" w:hRule="atLeast"/>
        </w:trPr>
        <w:tc>
          <w:tcPr>
            <w:tcW w:w="8919" w:type="dxa"/>
          </w:tcPr>
          <w:p>
            <w:pPr>
              <w:pStyle w:val="38"/>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投标文件加密打包的电脑     自有    □      外包    □     其他    □</w:t>
            </w:r>
          </w:p>
          <w:p>
            <w:pPr>
              <w:pStyle w:val="38"/>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电脑类型</w:t>
            </w:r>
          </w:p>
          <w:p>
            <w:pPr>
              <w:pStyle w:val="38"/>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电脑所属单位</w:t>
            </w:r>
          </w:p>
          <w:p>
            <w:pPr>
              <w:pStyle w:val="38"/>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电脑所在地址        （如××市××区(县) ××街（路）××号××大厦××房）</w:t>
            </w:r>
          </w:p>
        </w:tc>
      </w:tr>
    </w:tbl>
    <w:p>
      <w:pPr>
        <w:spacing w:line="360" w:lineRule="auto"/>
        <w:rPr>
          <w:rFonts w:hint="eastAsia" w:ascii="宋体" w:hAnsi="宋体" w:eastAsia="宋体" w:cs="宋体"/>
          <w:color w:val="000000" w:themeColor="text1"/>
          <w:sz w:val="24"/>
          <w:highlight w:val="none"/>
          <w14:textFill>
            <w14:solidFill>
              <w14:schemeClr w14:val="tx1"/>
            </w14:solidFill>
          </w14:textFill>
        </w:rPr>
      </w:pPr>
    </w:p>
    <w:p>
      <w:pPr>
        <w:spacing w:line="24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p>
      <w:pPr>
        <w:pStyle w:val="38"/>
        <w:spacing w:after="0" w:line="360" w:lineRule="auto"/>
        <w:ind w:firstLine="2891" w:firstLineChars="900"/>
        <w:jc w:val="center"/>
        <w:rPr>
          <w:rFonts w:hint="eastAsia" w:ascii="宋体" w:hAnsi="宋体" w:eastAsia="宋体" w:cs="宋体"/>
          <w:b/>
          <w:color w:val="000000" w:themeColor="text1"/>
          <w:sz w:val="32"/>
          <w:szCs w:val="32"/>
          <w:highlight w:val="none"/>
          <w:lang w:val="en-US" w:eastAsia="zh-CN"/>
          <w14:textFill>
            <w14:solidFill>
              <w14:schemeClr w14:val="tx1"/>
            </w14:solidFill>
          </w14:textFill>
        </w:rPr>
      </w:pPr>
      <w:r>
        <w:rPr>
          <w:rFonts w:hint="eastAsia" w:ascii="宋体" w:hAnsi="宋体" w:eastAsia="宋体" w:cs="宋体"/>
          <w:b/>
          <w:color w:val="000000" w:themeColor="text1"/>
          <w:sz w:val="32"/>
          <w:szCs w:val="32"/>
          <w:highlight w:val="none"/>
          <w:lang w:val="en-US" w:eastAsia="zh-CN"/>
          <w14:textFill>
            <w14:solidFill>
              <w14:schemeClr w14:val="tx1"/>
            </w14:solidFill>
          </w14:textFill>
        </w:rPr>
        <w:t>实质性条款响应表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2143"/>
        <w:gridCol w:w="1580"/>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条款内容</w:t>
            </w: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投标文件响应的具体内容</w:t>
            </w: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是否偏离</w:t>
            </w: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响应内容所在投标文件的位置</w:t>
            </w: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143"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0"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bl>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说明:</w:t>
      </w:r>
    </w:p>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条款内容按招标文件标注的“★”号条款进行填写，“★”号条款为实质性条款，若有任何一条负偏离或不满足则导致投标无效。</w:t>
      </w:r>
    </w:p>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“是否偏离”项下应按下列规定填写：优于的，填写“正偏离”；符合的，填写“无偏离”；低于的，填写“负偏离”。</w:t>
      </w:r>
    </w:p>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lang w:val="en-US" w:eastAsia="zh-CN"/>
          <w14:textFill>
            <w14:solidFill>
              <w14:schemeClr w14:val="tx1"/>
            </w14:solidFill>
          </w14:textFill>
        </w:rPr>
        <w:t>投标单位</w:t>
      </w:r>
      <w:r>
        <w:rPr>
          <w:rFonts w:hint="eastAsia" w:ascii="宋体" w:hAnsi="宋体" w:eastAsia="宋体" w:cs="宋体"/>
          <w:color w:val="000000" w:themeColor="text1"/>
          <w:sz w:val="24"/>
          <w:szCs w:val="21"/>
          <w:highlight w:val="none"/>
          <w14:textFill>
            <w14:solidFill>
              <w14:schemeClr w14:val="tx1"/>
            </w14:solidFill>
          </w14:textFill>
        </w:rPr>
        <w:t xml:space="preserve">（盖单位章）： </w:t>
      </w: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 xml:space="preserve">法定代表人（签字或盖章）：           </w:t>
      </w:r>
    </w:p>
    <w:p>
      <w:pPr>
        <w:pStyle w:val="22"/>
        <w:ind w:right="420" w:firstLine="646"/>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年   月  日</w:t>
      </w:r>
    </w:p>
    <w:p>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pPr>
        <w:numPr>
          <w:ilvl w:val="0"/>
          <w:numId w:val="5"/>
        </w:numPr>
        <w:spacing w:line="360" w:lineRule="auto"/>
        <w:jc w:val="center"/>
        <w:outlineLvl w:val="1"/>
        <w:rPr>
          <w:rFonts w:hint="eastAsia" w:ascii="宋体" w:hAnsi="宋体" w:eastAsia="宋体" w:cs="宋体"/>
          <w:color w:val="000000" w:themeColor="text1"/>
          <w:sz w:val="32"/>
          <w:szCs w:val="32"/>
          <w:highlight w:val="none"/>
          <w14:textFill>
            <w14:solidFill>
              <w14:schemeClr w14:val="tx1"/>
            </w14:solidFill>
          </w14:textFill>
        </w:rPr>
      </w:pPr>
      <w:bookmarkStart w:id="1086" w:name="_Toc17452704"/>
      <w:bookmarkStart w:id="1087" w:name="_Toc17556916"/>
      <w:bookmarkStart w:id="1088" w:name="_Toc17451141"/>
      <w:bookmarkStart w:id="1089" w:name="_Toc17454962"/>
      <w:bookmarkStart w:id="1090" w:name="_Toc23864"/>
      <w:bookmarkStart w:id="1091" w:name="_Toc17451618"/>
      <w:bookmarkStart w:id="1092" w:name="_Toc1993"/>
      <w:bookmarkStart w:id="1093" w:name="_Toc19720"/>
      <w:bookmarkStart w:id="1094" w:name="_Toc9981"/>
      <w:bookmarkStart w:id="1095" w:name="_Toc17454911"/>
      <w:bookmarkStart w:id="1096" w:name="_Toc17556971"/>
      <w:bookmarkStart w:id="1097" w:name="_Toc8479"/>
      <w:bookmarkStart w:id="1098" w:name="_Toc17451663"/>
      <w:bookmarkStart w:id="1099" w:name="_Toc29062"/>
      <w:r>
        <w:rPr>
          <w:rFonts w:hint="eastAsia" w:ascii="宋体" w:hAnsi="宋体" w:eastAsia="宋体" w:cs="宋体"/>
          <w:color w:val="000000" w:themeColor="text1"/>
          <w:sz w:val="32"/>
          <w:szCs w:val="32"/>
          <w:highlight w:val="none"/>
          <w14:textFill>
            <w14:solidFill>
              <w14:schemeClr w14:val="tx1"/>
            </w14:solidFill>
          </w14:textFill>
        </w:rPr>
        <w:t>否决性条款汇总</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招标人应当在招标文件中将否决性条款单列，招标文件的其他条款与该单列的否决性条款不一致的，以单列的否决性条款为准。如招标文件澄清或修改的内容中增加否决性条款的，招标人应当重新单列完整的否决性条款，并依法发给潜在投标人或投标人。</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否决性条款指招标文件中规定的拒绝受理或者作无效标以及不合格标处理等否定投标文件效力的条款。</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一、拒绝受理投标文件的情形</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电子投标文件未在投标截止时间前完整上传并保存在广州公共资源交易中心电子评标系统且取得回执的；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 投标文件未按招标文件要求进行电子签章，并进行加密的；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电子投标文件中投标人电子签章不完整的；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电子投标文件损坏或格式不正确的；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电子投标文件未加密的。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6. 投标总价超过最高投标限价的。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二、作无效投标的情形</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投标文件不符合招标文件评标办法中形式评审标准、资格评审标准、响应性评审标准的要求。</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 投标人没有按要求提供投标保证金的，其投标无效，不参与排序和资格审查。</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如果投标文件于投标截止时间未能上传完毕，该投标文件将视为无效投标文件。</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如出现拟报项目负责人不能被使用而造成投标信息无法录入广州公共资源交易中心交易服务系统的，其投标文件将视为无效投标文件。</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三、其他否定投标文件效力情形</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评标时，评标委员会发现投标人的报价明显低于其他投标报价，或者低于成本警示价的报价，使得其投标报价可能低于其成本的，且投标人不能合理说明或者不能提供相应证明材料的，由评标委员会认定该投标人以低于成本报价竞标，评标委员会应当否决其投标。</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第二章“投标人须知”第1.4.3项规定的任何一种情形的；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 串通投标或弄虚作假或有其他违法行为的；</w:t>
      </w:r>
    </w:p>
    <w:p>
      <w:pPr>
        <w:widowControl/>
        <w:ind w:firstLine="448"/>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 不按评标委员会要求澄清、说明或补正的。</w:t>
      </w:r>
    </w:p>
    <w:p>
      <w:pPr>
        <w:widowControl/>
        <w:ind w:firstLine="448"/>
        <w:jc w:val="left"/>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5. 投标报价有算术错误的，投标人不接受评标委员会修正价格的，评标委员会应当否决其投标。</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6. 因投标人原因造成投标文件未解密的；</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 两个（含两个）以上的投标人加密打包投标文件电脑机器码一致的；</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8. 项目负责人和安全员为同一人的；</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9. 投标文件中的投标人、项目负责人、安全员与投标登记时的信息不一致的；</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10. 两个（含两个）以上的投标人投标文件工程量清单编制机器硬件信息一致的。</w:t>
      </w:r>
    </w:p>
    <w:p>
      <w:pPr>
        <w:tabs>
          <w:tab w:val="left" w:pos="105"/>
        </w:tabs>
        <w:ind w:firstLine="424" w:firstLineChars="177"/>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kern w:val="0"/>
          <w:sz w:val="24"/>
          <w:szCs w:val="24"/>
          <w:highlight w:val="none"/>
          <w14:textFill>
            <w14:solidFill>
              <w14:schemeClr w14:val="tx1"/>
            </w14:solidFill>
          </w14:textFill>
        </w:rPr>
        <w:t>招标文件中，凡标有“★”的地方均为实质性响应条款，投标人若有一项带“★”的条款未响应或不满足，将按无效投标处理。</w:t>
      </w:r>
    </w:p>
    <w:p>
      <w:pPr>
        <w:tabs>
          <w:tab w:val="left" w:pos="105"/>
        </w:tabs>
        <w:spacing w:line="240" w:lineRule="auto"/>
        <w:ind w:firstLine="424" w:firstLineChars="177"/>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br w:type="page"/>
      </w:r>
    </w:p>
    <w:p>
      <w:pPr>
        <w:numPr>
          <w:ilvl w:val="0"/>
          <w:numId w:val="5"/>
        </w:numPr>
        <w:spacing w:line="360" w:lineRule="auto"/>
        <w:jc w:val="center"/>
        <w:outlineLvl w:val="1"/>
        <w:rPr>
          <w:rFonts w:hint="eastAsia" w:ascii="宋体" w:hAnsi="宋体" w:eastAsia="宋体" w:cs="宋体"/>
          <w:color w:val="000000" w:themeColor="text1"/>
          <w:sz w:val="32"/>
          <w:szCs w:val="32"/>
          <w:highlight w:val="none"/>
          <w14:textFill>
            <w14:solidFill>
              <w14:schemeClr w14:val="tx1"/>
            </w14:solidFill>
          </w14:textFill>
        </w:rPr>
      </w:pPr>
      <w:bookmarkStart w:id="1100" w:name="_Toc12292"/>
      <w:bookmarkStart w:id="1101" w:name="_Toc22036"/>
      <w:bookmarkStart w:id="1102" w:name="_Toc7836"/>
      <w:bookmarkStart w:id="1103" w:name="_Toc17556973"/>
      <w:bookmarkStart w:id="1104" w:name="_Toc5376"/>
      <w:bookmarkStart w:id="1105" w:name="_Toc13873"/>
      <w:bookmarkStart w:id="1106" w:name="_Toc31716"/>
      <w:bookmarkStart w:id="1107" w:name="_Toc17472014"/>
      <w:bookmarkStart w:id="1108" w:name="_Toc17556918"/>
      <w:r>
        <w:rPr>
          <w:rFonts w:hint="eastAsia" w:ascii="宋体" w:hAnsi="宋体" w:eastAsia="宋体" w:cs="宋体"/>
          <w:color w:val="000000" w:themeColor="text1"/>
          <w:sz w:val="32"/>
          <w:szCs w:val="32"/>
          <w:highlight w:val="none"/>
          <w14:textFill>
            <w14:solidFill>
              <w14:schemeClr w14:val="tx1"/>
            </w14:solidFill>
          </w14:textFill>
        </w:rPr>
        <w:t>最高投标限价（招标控制价）</w:t>
      </w:r>
      <w:bookmarkEnd w:id="1100"/>
      <w:bookmarkEnd w:id="1101"/>
      <w:bookmarkEnd w:id="1102"/>
      <w:bookmarkEnd w:id="1103"/>
      <w:bookmarkEnd w:id="1104"/>
      <w:bookmarkEnd w:id="1105"/>
      <w:bookmarkEnd w:id="1106"/>
      <w:bookmarkEnd w:id="1107"/>
      <w:bookmarkEnd w:id="1108"/>
    </w:p>
    <w:p>
      <w:pPr>
        <w:pStyle w:val="2"/>
        <w:ind w:firstLine="48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详见最高控制价公布函</w:t>
      </w:r>
    </w:p>
    <w:p>
      <w:pPr>
        <w:spacing w:line="360" w:lineRule="auto"/>
        <w:rPr>
          <w:rFonts w:hint="eastAsia" w:ascii="宋体" w:hAnsi="宋体" w:eastAsia="宋体" w:cs="宋体"/>
          <w:color w:val="000000" w:themeColor="text1"/>
          <w:sz w:val="24"/>
          <w:highlight w:val="none"/>
          <w14:textFill>
            <w14:solidFill>
              <w14:schemeClr w14:val="tx1"/>
            </w14:solidFill>
          </w14:textFill>
        </w:rPr>
      </w:pPr>
    </w:p>
    <w:sectPr>
      <w:footerReference r:id="rId7" w:type="default"/>
      <w:pgSz w:w="11906" w:h="16838"/>
      <w:pgMar w:top="1440" w:right="1797" w:bottom="1440" w:left="1797" w:header="851" w:footer="992"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29"/>
                          </w:pPr>
                          <w:r>
                            <w:fldChar w:fldCharType="begin"/>
                          </w:r>
                          <w:r>
                            <w:instrText xml:space="preserve"> PAGE  \* MERGEFORMAT </w:instrText>
                          </w:r>
                          <w:r>
                            <w:fldChar w:fldCharType="separate"/>
                          </w:r>
                          <w:r>
                            <w:t>55</w:t>
                          </w:r>
                          <w: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jWcCIK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zGmRWGGn78/u3449fx&#10;51d2Ge3pnC8o685RXuhfQU9Dk6R6dwvys2cWbhpht+oaEbpGiYro5fFldu/pgOMjyKZ7CxXVEbsA&#10;Caiv0UTvyA1G6NSaw7k1qg9MxpL5/OXskjNJV/ksn88Tt0wU42OHPrxWYFgMSo7U+QQu9rc+RDKi&#10;GFNiLQtr3bap+63964AS40kiH/kOzEO/6U9mbKA6kAyEYZjoK1HQAH7hrKNBKrmlf8NZ+8aSEXHm&#10;xgDHYDMGwkp6WPLA2RDehGE2dw71tiHc0eprMmutk5Do6sDhxJJGI+k7jXGcvfv7lPXn6y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Y1nAiCgIAAAIEAAAOAAAAAAAAAAEAIAAAAB8BAABk&#10;cnMvZTJvRG9jLnhtbFBLBQYAAAAABgAGAFkBAACbBQ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55</w:t>
                    </w:r>
                    <w:r>
                      <w:fldChar w:fldCharType="end"/>
                    </w:r>
                  </w:p>
                </w:txbxContent>
              </v:textbox>
            </v:shape>
          </w:pict>
        </mc:Fallback>
      </mc:AlternateContent>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31445"/>
              <wp:effectExtent l="0" t="0" r="0" b="0"/>
              <wp:wrapNone/>
              <wp:docPr id="2"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wps:spPr>
                    <wps:txbx>
                      <w:txbxContent>
                        <w:p>
                          <w:pPr>
                            <w:pStyle w:val="29"/>
                          </w:pPr>
                          <w:r>
                            <w:fldChar w:fldCharType="begin"/>
                          </w:r>
                          <w:r>
                            <w:instrText xml:space="preserve"> PAGE  \* MERGEFORMAT </w:instrText>
                          </w:r>
                          <w:r>
                            <w:fldChar w:fldCharType="separate"/>
                          </w:r>
                          <w:r>
                            <w:t>145</w:t>
                          </w:r>
                          <w: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3.55pt;mso-position-horizontal:center;mso-position-horizontal-relative:margin;mso-wrap-style:none;z-index:251661312;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SV0OXPAAAAAwEAAA8AAAAAAAAAAQAgAAAAIgAAAGRycy9k&#10;b3ducmV2LnhtbFBLAQIUABQAAAAIAIdO4kBwO7v8CwIAAAIEAAAOAAAAAAAAAAEAIAAAAB4BAABk&#10;cnMvZTJvRG9jLnhtbFBLBQYAAAAABgAGAFkBAACbBQ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145</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84480"/>
              <wp:effectExtent l="0" t="0" r="0" b="0"/>
              <wp:wrapNone/>
              <wp:docPr id="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pPr>
                            <w:pStyle w:val="29"/>
                            <w:jc w:val="center"/>
                          </w:pPr>
                        </w:p>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22.4pt;width:9.05pt;mso-position-horizontal:center;mso-position-horizontal-relative:margin;mso-wrap-style:none;z-index:251660288;mso-width-relative:page;mso-height-relative:page;" filled="f" stroked="f" coordsize="21600,21600" o:gfxdata="UEsDBAoAAAAAAIdO4kAAAAAAAAAAAAAAAAAEAAAAZHJzL1BLAwQUAAAACACHTuJAEp0xst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dMbLQAAAAAwEAAA8AAAAAAAAAAQAgAAAAIgAAAGRycy9k&#10;b3ducmV2LnhtbFBLAQIUABQAAAAIAIdO4kBl47ukCgIAAAIEAAAOAAAAAAAAAAEAIAAAAB8BAABk&#10;cnMvZTJvRG9jLnhtbFBLBQYAAAAABgAGAFkBAACbBQAAAAA=&#10;">
              <v:fill on="f" focussize="0,0"/>
              <v:stroke on="f"/>
              <v:imagedata o:title=""/>
              <o:lock v:ext="edit" aspectratio="f"/>
              <v:textbox inset="0mm,0mm,0mm,0mm" style="mso-fit-shape-to-text:t;">
                <w:txbxContent>
                  <w:p>
                    <w:pPr>
                      <w:pStyle w:val="29"/>
                      <w:jc w:val="center"/>
                    </w:pPr>
                  </w:p>
                  <w:p/>
                </w:txbxContent>
              </v:textbox>
            </v:shape>
          </w:pict>
        </mc:Fallback>
      </mc:AlternateContent>
    </w:r>
  </w:p>
  <w:p>
    <w:pPr>
      <w:pStyle w:val="2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F8965"/>
    <w:multiLevelType w:val="singleLevel"/>
    <w:tmpl w:val="8DDF8965"/>
    <w:lvl w:ilvl="0" w:tentative="0">
      <w:start w:val="1"/>
      <w:numFmt w:val="decimal"/>
      <w:suff w:val="nothing"/>
      <w:lvlText w:val="%1、"/>
      <w:lvlJc w:val="left"/>
    </w:lvl>
  </w:abstractNum>
  <w:abstractNum w:abstractNumId="1">
    <w:nsid w:val="D3BFBF68"/>
    <w:multiLevelType w:val="singleLevel"/>
    <w:tmpl w:val="D3BFBF68"/>
    <w:lvl w:ilvl="0" w:tentative="0">
      <w:start w:val="1"/>
      <w:numFmt w:val="decimal"/>
      <w:suff w:val="nothing"/>
      <w:lvlText w:val="（%1）"/>
      <w:lvlJc w:val="left"/>
    </w:lvl>
  </w:abstractNum>
  <w:abstractNum w:abstractNumId="2">
    <w:nsid w:val="D85B2E4C"/>
    <w:multiLevelType w:val="singleLevel"/>
    <w:tmpl w:val="D85B2E4C"/>
    <w:lvl w:ilvl="0" w:tentative="0">
      <w:start w:val="1"/>
      <w:numFmt w:val="chineseCounting"/>
      <w:suff w:val="nothing"/>
      <w:lvlText w:val="%1、"/>
      <w:lvlJc w:val="left"/>
      <w:rPr>
        <w:rFonts w:hint="eastAsia"/>
      </w:rPr>
    </w:lvl>
  </w:abstractNum>
  <w:abstractNum w:abstractNumId="3">
    <w:nsid w:val="F2B05ECC"/>
    <w:multiLevelType w:val="singleLevel"/>
    <w:tmpl w:val="F2B05ECC"/>
    <w:lvl w:ilvl="0" w:tentative="0">
      <w:start w:val="1"/>
      <w:numFmt w:val="chineseCounting"/>
      <w:suff w:val="nothing"/>
      <w:lvlText w:val="%1、"/>
      <w:lvlJc w:val="left"/>
      <w:rPr>
        <w:rFonts w:hint="eastAsia"/>
      </w:rPr>
    </w:lvl>
  </w:abstractNum>
  <w:abstractNum w:abstractNumId="4">
    <w:nsid w:val="F474C9A6"/>
    <w:multiLevelType w:val="singleLevel"/>
    <w:tmpl w:val="F474C9A6"/>
    <w:lvl w:ilvl="0" w:tentative="0">
      <w:start w:val="10"/>
      <w:numFmt w:val="chineseCounting"/>
      <w:suff w:val="space"/>
      <w:lvlText w:val="第%1条"/>
      <w:lvlJc w:val="left"/>
      <w:rPr>
        <w:rFonts w:hint="eastAsia"/>
      </w:rPr>
    </w:lvl>
  </w:abstractNum>
  <w:abstractNum w:abstractNumId="5">
    <w:nsid w:val="FBBBE870"/>
    <w:multiLevelType w:val="singleLevel"/>
    <w:tmpl w:val="FBBBE870"/>
    <w:lvl w:ilvl="0" w:tentative="0">
      <w:start w:val="5"/>
      <w:numFmt w:val="decimalEnclosedCircleChinese"/>
      <w:suff w:val="nothing"/>
      <w:lvlText w:val="%1　"/>
      <w:lvlJc w:val="left"/>
      <w:pPr>
        <w:ind w:left="0" w:firstLine="403"/>
      </w:pPr>
      <w:rPr>
        <w:rFonts w:hint="eastAsia"/>
      </w:rPr>
    </w:lvl>
  </w:abstractNum>
  <w:abstractNum w:abstractNumId="6">
    <w:nsid w:val="129224B5"/>
    <w:multiLevelType w:val="multilevel"/>
    <w:tmpl w:val="129224B5"/>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9"/>
      <w:suff w:val="space"/>
      <w:lvlText w:val="%2.%3.%4"/>
      <w:lvlJc w:val="left"/>
      <w:pPr>
        <w:ind w:left="284" w:hanging="284"/>
      </w:pPr>
      <w:rPr>
        <w:rFonts w:hint="eastAsia" w:ascii="宋体" w:eastAsia="宋体"/>
        <w:b/>
        <w:i w:val="0"/>
        <w:sz w:val="28"/>
      </w:rPr>
    </w:lvl>
    <w:lvl w:ilvl="4" w:tentative="0">
      <w:start w:val="1"/>
      <w:numFmt w:val="decimal"/>
      <w:pStyle w:val="10"/>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2"/>
      <w:suff w:val="nothing"/>
      <w:lvlText w:val=""/>
      <w:lvlJc w:val="left"/>
      <w:pPr>
        <w:ind w:left="0" w:firstLine="0"/>
      </w:pPr>
      <w:rPr>
        <w:rFonts w:hint="eastAsia"/>
      </w:rPr>
    </w:lvl>
    <w:lvl w:ilvl="7" w:tentative="0">
      <w:start w:val="1"/>
      <w:numFmt w:val="none"/>
      <w:pStyle w:val="13"/>
      <w:suff w:val="nothing"/>
      <w:lvlText w:val=""/>
      <w:lvlJc w:val="left"/>
      <w:pPr>
        <w:ind w:left="0" w:firstLine="0"/>
      </w:pPr>
      <w:rPr>
        <w:rFonts w:hint="eastAsia"/>
      </w:rPr>
    </w:lvl>
    <w:lvl w:ilvl="8" w:tentative="0">
      <w:start w:val="1"/>
      <w:numFmt w:val="none"/>
      <w:pStyle w:val="14"/>
      <w:suff w:val="nothing"/>
      <w:lvlText w:val=""/>
      <w:lvlJc w:val="left"/>
      <w:pPr>
        <w:ind w:left="0" w:firstLine="0"/>
      </w:pPr>
      <w:rPr>
        <w:rFonts w:hint="eastAsia"/>
      </w:rPr>
    </w:lvl>
  </w:abstractNum>
  <w:abstractNum w:abstractNumId="8">
    <w:nsid w:val="37934594"/>
    <w:multiLevelType w:val="multilevel"/>
    <w:tmpl w:val="37934594"/>
    <w:lvl w:ilvl="0" w:tentative="0">
      <w:start w:val="1"/>
      <w:numFmt w:val="bullet"/>
      <w:pStyle w:val="79"/>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9">
    <w:nsid w:val="3E307B62"/>
    <w:multiLevelType w:val="singleLevel"/>
    <w:tmpl w:val="3E307B62"/>
    <w:lvl w:ilvl="0" w:tentative="0">
      <w:start w:val="6"/>
      <w:numFmt w:val="chineseCounting"/>
      <w:suff w:val="space"/>
      <w:lvlText w:val="第%1章"/>
      <w:lvlJc w:val="left"/>
      <w:rPr>
        <w:rFonts w:hint="eastAsia"/>
      </w:rPr>
    </w:lvl>
  </w:abstractNum>
  <w:abstractNum w:abstractNumId="10">
    <w:nsid w:val="59D829F4"/>
    <w:multiLevelType w:val="singleLevel"/>
    <w:tmpl w:val="59D829F4"/>
    <w:lvl w:ilvl="0" w:tentative="0">
      <w:start w:val="1"/>
      <w:numFmt w:val="decimal"/>
      <w:suff w:val="nothing"/>
      <w:lvlText w:val="（%1）"/>
      <w:lvlJc w:val="left"/>
    </w:lvl>
  </w:abstractNum>
  <w:num w:numId="1">
    <w:abstractNumId w:val="7"/>
  </w:num>
  <w:num w:numId="2">
    <w:abstractNumId w:val="8"/>
  </w:num>
  <w:num w:numId="3">
    <w:abstractNumId w:val="1"/>
  </w:num>
  <w:num w:numId="4">
    <w:abstractNumId w:val="4"/>
  </w:num>
  <w:num w:numId="5">
    <w:abstractNumId w:val="9"/>
  </w:num>
  <w:num w:numId="6">
    <w:abstractNumId w:val="10"/>
  </w:num>
  <w:num w:numId="7">
    <w:abstractNumId w:val="2"/>
  </w:num>
  <w:num w:numId="8">
    <w:abstractNumId w:val="3"/>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YWJkNTg5NWFmNjE1M2Y3N2JkYTU0OTRlZmYyMTQifQ=="/>
  </w:docVars>
  <w:rsids>
    <w:rsidRoot w:val="006C528A"/>
    <w:rsid w:val="0000106A"/>
    <w:rsid w:val="000011EC"/>
    <w:rsid w:val="00001F4D"/>
    <w:rsid w:val="00003900"/>
    <w:rsid w:val="0000591C"/>
    <w:rsid w:val="00006980"/>
    <w:rsid w:val="00007A01"/>
    <w:rsid w:val="000104F5"/>
    <w:rsid w:val="00011448"/>
    <w:rsid w:val="000135DF"/>
    <w:rsid w:val="000158FD"/>
    <w:rsid w:val="0001592C"/>
    <w:rsid w:val="00017189"/>
    <w:rsid w:val="00017F65"/>
    <w:rsid w:val="00020165"/>
    <w:rsid w:val="00020C21"/>
    <w:rsid w:val="00020E54"/>
    <w:rsid w:val="0002298F"/>
    <w:rsid w:val="00023CAC"/>
    <w:rsid w:val="000250AE"/>
    <w:rsid w:val="00026D37"/>
    <w:rsid w:val="0002719E"/>
    <w:rsid w:val="00027681"/>
    <w:rsid w:val="00027E91"/>
    <w:rsid w:val="000304E8"/>
    <w:rsid w:val="0003090E"/>
    <w:rsid w:val="0003114A"/>
    <w:rsid w:val="00033951"/>
    <w:rsid w:val="0003598E"/>
    <w:rsid w:val="00035A65"/>
    <w:rsid w:val="00035F0F"/>
    <w:rsid w:val="000367DE"/>
    <w:rsid w:val="00040EEA"/>
    <w:rsid w:val="000426E0"/>
    <w:rsid w:val="00044102"/>
    <w:rsid w:val="000441E8"/>
    <w:rsid w:val="000447E1"/>
    <w:rsid w:val="00047073"/>
    <w:rsid w:val="00047C6B"/>
    <w:rsid w:val="000532DC"/>
    <w:rsid w:val="000541B0"/>
    <w:rsid w:val="00056371"/>
    <w:rsid w:val="00060579"/>
    <w:rsid w:val="000618EE"/>
    <w:rsid w:val="00061E2B"/>
    <w:rsid w:val="0006269E"/>
    <w:rsid w:val="000631D6"/>
    <w:rsid w:val="0006600D"/>
    <w:rsid w:val="000703F8"/>
    <w:rsid w:val="00070A86"/>
    <w:rsid w:val="00070D0C"/>
    <w:rsid w:val="00072E6B"/>
    <w:rsid w:val="00073518"/>
    <w:rsid w:val="00073BE1"/>
    <w:rsid w:val="00073FF4"/>
    <w:rsid w:val="000761D8"/>
    <w:rsid w:val="00076703"/>
    <w:rsid w:val="00076790"/>
    <w:rsid w:val="000809E0"/>
    <w:rsid w:val="0008242A"/>
    <w:rsid w:val="000828DF"/>
    <w:rsid w:val="00083829"/>
    <w:rsid w:val="00086B85"/>
    <w:rsid w:val="00087268"/>
    <w:rsid w:val="000874E6"/>
    <w:rsid w:val="00091BCD"/>
    <w:rsid w:val="00091DAA"/>
    <w:rsid w:val="00092085"/>
    <w:rsid w:val="000922F2"/>
    <w:rsid w:val="00092526"/>
    <w:rsid w:val="0009296C"/>
    <w:rsid w:val="00093358"/>
    <w:rsid w:val="00095BEB"/>
    <w:rsid w:val="000A1C76"/>
    <w:rsid w:val="000A33F9"/>
    <w:rsid w:val="000A3EEF"/>
    <w:rsid w:val="000A628B"/>
    <w:rsid w:val="000A6559"/>
    <w:rsid w:val="000A6B18"/>
    <w:rsid w:val="000B0A8B"/>
    <w:rsid w:val="000B0D53"/>
    <w:rsid w:val="000B20D3"/>
    <w:rsid w:val="000B21E1"/>
    <w:rsid w:val="000B2690"/>
    <w:rsid w:val="000B5FA0"/>
    <w:rsid w:val="000B706A"/>
    <w:rsid w:val="000C0083"/>
    <w:rsid w:val="000C45C5"/>
    <w:rsid w:val="000C52EF"/>
    <w:rsid w:val="000C542C"/>
    <w:rsid w:val="000C79A9"/>
    <w:rsid w:val="000C7E7F"/>
    <w:rsid w:val="000D358E"/>
    <w:rsid w:val="000D4B69"/>
    <w:rsid w:val="000D745C"/>
    <w:rsid w:val="000D798E"/>
    <w:rsid w:val="000D7F58"/>
    <w:rsid w:val="000E2A6E"/>
    <w:rsid w:val="000E364B"/>
    <w:rsid w:val="000E51FD"/>
    <w:rsid w:val="000E552D"/>
    <w:rsid w:val="000F0998"/>
    <w:rsid w:val="000F1D7C"/>
    <w:rsid w:val="000F20F8"/>
    <w:rsid w:val="000F2422"/>
    <w:rsid w:val="000F2664"/>
    <w:rsid w:val="000F68E8"/>
    <w:rsid w:val="00100563"/>
    <w:rsid w:val="001035A4"/>
    <w:rsid w:val="00103751"/>
    <w:rsid w:val="00103EC1"/>
    <w:rsid w:val="001101F5"/>
    <w:rsid w:val="00115512"/>
    <w:rsid w:val="0011639B"/>
    <w:rsid w:val="0011697B"/>
    <w:rsid w:val="001206D3"/>
    <w:rsid w:val="0012343E"/>
    <w:rsid w:val="00126AA3"/>
    <w:rsid w:val="00127A7C"/>
    <w:rsid w:val="00132737"/>
    <w:rsid w:val="00132AA1"/>
    <w:rsid w:val="001331D3"/>
    <w:rsid w:val="00134D62"/>
    <w:rsid w:val="001357F4"/>
    <w:rsid w:val="00135F03"/>
    <w:rsid w:val="001366F4"/>
    <w:rsid w:val="00137BEB"/>
    <w:rsid w:val="001406D1"/>
    <w:rsid w:val="00140CF7"/>
    <w:rsid w:val="00144C37"/>
    <w:rsid w:val="00145150"/>
    <w:rsid w:val="00147125"/>
    <w:rsid w:val="00147995"/>
    <w:rsid w:val="00147A04"/>
    <w:rsid w:val="001513B9"/>
    <w:rsid w:val="0015229E"/>
    <w:rsid w:val="00152C85"/>
    <w:rsid w:val="001609AA"/>
    <w:rsid w:val="00161BEB"/>
    <w:rsid w:val="00162AEB"/>
    <w:rsid w:val="00164BE8"/>
    <w:rsid w:val="00166B4E"/>
    <w:rsid w:val="0017082F"/>
    <w:rsid w:val="00174F81"/>
    <w:rsid w:val="00175411"/>
    <w:rsid w:val="0017692E"/>
    <w:rsid w:val="00181CFC"/>
    <w:rsid w:val="0018494B"/>
    <w:rsid w:val="0019024D"/>
    <w:rsid w:val="00195155"/>
    <w:rsid w:val="00196E15"/>
    <w:rsid w:val="00197679"/>
    <w:rsid w:val="001A1D81"/>
    <w:rsid w:val="001A5822"/>
    <w:rsid w:val="001A5BFC"/>
    <w:rsid w:val="001B060A"/>
    <w:rsid w:val="001B2DAC"/>
    <w:rsid w:val="001B3403"/>
    <w:rsid w:val="001B341A"/>
    <w:rsid w:val="001B4D12"/>
    <w:rsid w:val="001B51D2"/>
    <w:rsid w:val="001B6993"/>
    <w:rsid w:val="001C0BE8"/>
    <w:rsid w:val="001C21AC"/>
    <w:rsid w:val="001C2C1C"/>
    <w:rsid w:val="001C5079"/>
    <w:rsid w:val="001C64DF"/>
    <w:rsid w:val="001C6A03"/>
    <w:rsid w:val="001C6C88"/>
    <w:rsid w:val="001D16DF"/>
    <w:rsid w:val="001D2294"/>
    <w:rsid w:val="001D3B91"/>
    <w:rsid w:val="001D46EB"/>
    <w:rsid w:val="001D7254"/>
    <w:rsid w:val="001E3773"/>
    <w:rsid w:val="001E54EB"/>
    <w:rsid w:val="001E6C57"/>
    <w:rsid w:val="001E72E7"/>
    <w:rsid w:val="001F4283"/>
    <w:rsid w:val="001F59A0"/>
    <w:rsid w:val="00200DFA"/>
    <w:rsid w:val="00201588"/>
    <w:rsid w:val="0020187B"/>
    <w:rsid w:val="00201B1B"/>
    <w:rsid w:val="00202002"/>
    <w:rsid w:val="0020216A"/>
    <w:rsid w:val="00202CE9"/>
    <w:rsid w:val="00204073"/>
    <w:rsid w:val="002062F8"/>
    <w:rsid w:val="0021045D"/>
    <w:rsid w:val="002111BE"/>
    <w:rsid w:val="00211407"/>
    <w:rsid w:val="00214FE9"/>
    <w:rsid w:val="00215702"/>
    <w:rsid w:val="00216510"/>
    <w:rsid w:val="0021655A"/>
    <w:rsid w:val="002171FC"/>
    <w:rsid w:val="00217A5D"/>
    <w:rsid w:val="00222767"/>
    <w:rsid w:val="00223C54"/>
    <w:rsid w:val="00224488"/>
    <w:rsid w:val="002279B6"/>
    <w:rsid w:val="00227C3B"/>
    <w:rsid w:val="00233AB6"/>
    <w:rsid w:val="00233BDB"/>
    <w:rsid w:val="00235E27"/>
    <w:rsid w:val="002365F0"/>
    <w:rsid w:val="0023717C"/>
    <w:rsid w:val="002418BE"/>
    <w:rsid w:val="00244C52"/>
    <w:rsid w:val="00245A5B"/>
    <w:rsid w:val="002463B3"/>
    <w:rsid w:val="0025020C"/>
    <w:rsid w:val="00250782"/>
    <w:rsid w:val="00255D41"/>
    <w:rsid w:val="00255EBF"/>
    <w:rsid w:val="00256BCF"/>
    <w:rsid w:val="002600B6"/>
    <w:rsid w:val="002613C4"/>
    <w:rsid w:val="00261BF9"/>
    <w:rsid w:val="00264D5C"/>
    <w:rsid w:val="002656D7"/>
    <w:rsid w:val="00265EDF"/>
    <w:rsid w:val="00266C69"/>
    <w:rsid w:val="002671A9"/>
    <w:rsid w:val="002712C3"/>
    <w:rsid w:val="00272731"/>
    <w:rsid w:val="00272F33"/>
    <w:rsid w:val="0027313C"/>
    <w:rsid w:val="00275B9E"/>
    <w:rsid w:val="00275DCC"/>
    <w:rsid w:val="0027741A"/>
    <w:rsid w:val="0028046A"/>
    <w:rsid w:val="002813AD"/>
    <w:rsid w:val="0028268E"/>
    <w:rsid w:val="002826CB"/>
    <w:rsid w:val="002830D6"/>
    <w:rsid w:val="0028335F"/>
    <w:rsid w:val="00286BA6"/>
    <w:rsid w:val="002902BB"/>
    <w:rsid w:val="0029073F"/>
    <w:rsid w:val="002916AC"/>
    <w:rsid w:val="0029193E"/>
    <w:rsid w:val="00291C56"/>
    <w:rsid w:val="00291DA8"/>
    <w:rsid w:val="00291EDB"/>
    <w:rsid w:val="00294A3C"/>
    <w:rsid w:val="00295612"/>
    <w:rsid w:val="00295A4B"/>
    <w:rsid w:val="002A0ACC"/>
    <w:rsid w:val="002A0D56"/>
    <w:rsid w:val="002A1B57"/>
    <w:rsid w:val="002A2152"/>
    <w:rsid w:val="002A3891"/>
    <w:rsid w:val="002A3C4B"/>
    <w:rsid w:val="002A4587"/>
    <w:rsid w:val="002A4C49"/>
    <w:rsid w:val="002A7450"/>
    <w:rsid w:val="002B2BD0"/>
    <w:rsid w:val="002B3555"/>
    <w:rsid w:val="002C20A3"/>
    <w:rsid w:val="002C29E9"/>
    <w:rsid w:val="002C5A99"/>
    <w:rsid w:val="002C6AA7"/>
    <w:rsid w:val="002D17E0"/>
    <w:rsid w:val="002D3F6E"/>
    <w:rsid w:val="002D44D8"/>
    <w:rsid w:val="002D4610"/>
    <w:rsid w:val="002E41F6"/>
    <w:rsid w:val="002E430C"/>
    <w:rsid w:val="002F08FF"/>
    <w:rsid w:val="002F0F90"/>
    <w:rsid w:val="002F1E7B"/>
    <w:rsid w:val="002F3288"/>
    <w:rsid w:val="002F3CE0"/>
    <w:rsid w:val="002F66DE"/>
    <w:rsid w:val="002F6EDF"/>
    <w:rsid w:val="002F7225"/>
    <w:rsid w:val="002F7F78"/>
    <w:rsid w:val="00301973"/>
    <w:rsid w:val="00301F53"/>
    <w:rsid w:val="003023DE"/>
    <w:rsid w:val="00303A68"/>
    <w:rsid w:val="00304565"/>
    <w:rsid w:val="00306711"/>
    <w:rsid w:val="00306763"/>
    <w:rsid w:val="0030685B"/>
    <w:rsid w:val="0031379E"/>
    <w:rsid w:val="00313DEB"/>
    <w:rsid w:val="00314362"/>
    <w:rsid w:val="00315238"/>
    <w:rsid w:val="00315AEB"/>
    <w:rsid w:val="00317ED3"/>
    <w:rsid w:val="00320585"/>
    <w:rsid w:val="0032198F"/>
    <w:rsid w:val="0032219D"/>
    <w:rsid w:val="0032281F"/>
    <w:rsid w:val="00324FA7"/>
    <w:rsid w:val="00325C38"/>
    <w:rsid w:val="003268D5"/>
    <w:rsid w:val="0032696D"/>
    <w:rsid w:val="00330A19"/>
    <w:rsid w:val="00332A2D"/>
    <w:rsid w:val="003333B2"/>
    <w:rsid w:val="00336299"/>
    <w:rsid w:val="00336F4E"/>
    <w:rsid w:val="00341052"/>
    <w:rsid w:val="00341216"/>
    <w:rsid w:val="00341B79"/>
    <w:rsid w:val="00342015"/>
    <w:rsid w:val="003446AA"/>
    <w:rsid w:val="003450A0"/>
    <w:rsid w:val="003461A8"/>
    <w:rsid w:val="003524FC"/>
    <w:rsid w:val="003575C2"/>
    <w:rsid w:val="00357CC2"/>
    <w:rsid w:val="00357EBA"/>
    <w:rsid w:val="00360D42"/>
    <w:rsid w:val="00361A8B"/>
    <w:rsid w:val="00361CDE"/>
    <w:rsid w:val="00362115"/>
    <w:rsid w:val="00364EA6"/>
    <w:rsid w:val="00365C04"/>
    <w:rsid w:val="0037079E"/>
    <w:rsid w:val="003727E8"/>
    <w:rsid w:val="00372999"/>
    <w:rsid w:val="00373E72"/>
    <w:rsid w:val="003756A0"/>
    <w:rsid w:val="003774C2"/>
    <w:rsid w:val="00377D3A"/>
    <w:rsid w:val="00380310"/>
    <w:rsid w:val="00382351"/>
    <w:rsid w:val="00382B13"/>
    <w:rsid w:val="00382B6B"/>
    <w:rsid w:val="00384568"/>
    <w:rsid w:val="003858F0"/>
    <w:rsid w:val="0038689C"/>
    <w:rsid w:val="003908BA"/>
    <w:rsid w:val="003917BD"/>
    <w:rsid w:val="00394009"/>
    <w:rsid w:val="003958D2"/>
    <w:rsid w:val="00396D99"/>
    <w:rsid w:val="003974CC"/>
    <w:rsid w:val="003A2295"/>
    <w:rsid w:val="003A42F5"/>
    <w:rsid w:val="003A6114"/>
    <w:rsid w:val="003A6245"/>
    <w:rsid w:val="003A6A89"/>
    <w:rsid w:val="003B034A"/>
    <w:rsid w:val="003B188E"/>
    <w:rsid w:val="003B25CF"/>
    <w:rsid w:val="003B3791"/>
    <w:rsid w:val="003B44FC"/>
    <w:rsid w:val="003B4A15"/>
    <w:rsid w:val="003C4CDB"/>
    <w:rsid w:val="003C6AC1"/>
    <w:rsid w:val="003D0386"/>
    <w:rsid w:val="003D3F4E"/>
    <w:rsid w:val="003D4AB9"/>
    <w:rsid w:val="003D4D60"/>
    <w:rsid w:val="003D69B7"/>
    <w:rsid w:val="003D6CA1"/>
    <w:rsid w:val="003D6D7C"/>
    <w:rsid w:val="003E22A6"/>
    <w:rsid w:val="003E281E"/>
    <w:rsid w:val="003E35BE"/>
    <w:rsid w:val="003E40D7"/>
    <w:rsid w:val="003E6915"/>
    <w:rsid w:val="003F000D"/>
    <w:rsid w:val="003F0091"/>
    <w:rsid w:val="003F1625"/>
    <w:rsid w:val="003F1641"/>
    <w:rsid w:val="003F39E9"/>
    <w:rsid w:val="003F5D68"/>
    <w:rsid w:val="003F6716"/>
    <w:rsid w:val="003F6B53"/>
    <w:rsid w:val="00401DDA"/>
    <w:rsid w:val="00401EAD"/>
    <w:rsid w:val="004020A3"/>
    <w:rsid w:val="00403006"/>
    <w:rsid w:val="00403049"/>
    <w:rsid w:val="0040602F"/>
    <w:rsid w:val="004061C4"/>
    <w:rsid w:val="0040637F"/>
    <w:rsid w:val="004065E6"/>
    <w:rsid w:val="00406E8C"/>
    <w:rsid w:val="00410432"/>
    <w:rsid w:val="004128EE"/>
    <w:rsid w:val="00412C70"/>
    <w:rsid w:val="00412CEF"/>
    <w:rsid w:val="004145C2"/>
    <w:rsid w:val="00415519"/>
    <w:rsid w:val="00415715"/>
    <w:rsid w:val="00415A03"/>
    <w:rsid w:val="00417BBD"/>
    <w:rsid w:val="00417F67"/>
    <w:rsid w:val="00421AD5"/>
    <w:rsid w:val="0042616F"/>
    <w:rsid w:val="00426191"/>
    <w:rsid w:val="00426346"/>
    <w:rsid w:val="004273E5"/>
    <w:rsid w:val="00430909"/>
    <w:rsid w:val="004327BF"/>
    <w:rsid w:val="00434090"/>
    <w:rsid w:val="00434668"/>
    <w:rsid w:val="00436173"/>
    <w:rsid w:val="00443D45"/>
    <w:rsid w:val="00444C05"/>
    <w:rsid w:val="00445810"/>
    <w:rsid w:val="00445D0A"/>
    <w:rsid w:val="00445E04"/>
    <w:rsid w:val="00447602"/>
    <w:rsid w:val="00451973"/>
    <w:rsid w:val="004526DC"/>
    <w:rsid w:val="004545D7"/>
    <w:rsid w:val="00454ED2"/>
    <w:rsid w:val="00455DBD"/>
    <w:rsid w:val="004576FB"/>
    <w:rsid w:val="00457855"/>
    <w:rsid w:val="00460831"/>
    <w:rsid w:val="004622B8"/>
    <w:rsid w:val="00462417"/>
    <w:rsid w:val="00462C45"/>
    <w:rsid w:val="00464136"/>
    <w:rsid w:val="00464CC5"/>
    <w:rsid w:val="00465E7B"/>
    <w:rsid w:val="0046642C"/>
    <w:rsid w:val="00467894"/>
    <w:rsid w:val="00467E20"/>
    <w:rsid w:val="00470C58"/>
    <w:rsid w:val="00470EA8"/>
    <w:rsid w:val="004711A8"/>
    <w:rsid w:val="004717D5"/>
    <w:rsid w:val="00472531"/>
    <w:rsid w:val="004734AB"/>
    <w:rsid w:val="00474A97"/>
    <w:rsid w:val="00475823"/>
    <w:rsid w:val="00475AED"/>
    <w:rsid w:val="0048185A"/>
    <w:rsid w:val="00481C3E"/>
    <w:rsid w:val="0048658C"/>
    <w:rsid w:val="004869D7"/>
    <w:rsid w:val="00487FF3"/>
    <w:rsid w:val="00490B5A"/>
    <w:rsid w:val="0049116C"/>
    <w:rsid w:val="004927F0"/>
    <w:rsid w:val="00492AB7"/>
    <w:rsid w:val="004933EA"/>
    <w:rsid w:val="00494935"/>
    <w:rsid w:val="004A0470"/>
    <w:rsid w:val="004A0E32"/>
    <w:rsid w:val="004A1CB0"/>
    <w:rsid w:val="004A3908"/>
    <w:rsid w:val="004A42B8"/>
    <w:rsid w:val="004A589F"/>
    <w:rsid w:val="004A71EE"/>
    <w:rsid w:val="004B1C93"/>
    <w:rsid w:val="004B2B6C"/>
    <w:rsid w:val="004B68AA"/>
    <w:rsid w:val="004C4A46"/>
    <w:rsid w:val="004C4DFC"/>
    <w:rsid w:val="004D03A0"/>
    <w:rsid w:val="004D0F3C"/>
    <w:rsid w:val="004D240E"/>
    <w:rsid w:val="004D585E"/>
    <w:rsid w:val="004D5BEC"/>
    <w:rsid w:val="004D5C3F"/>
    <w:rsid w:val="004D67F4"/>
    <w:rsid w:val="004D6993"/>
    <w:rsid w:val="004D6A6D"/>
    <w:rsid w:val="004D6B6A"/>
    <w:rsid w:val="004E07AA"/>
    <w:rsid w:val="004E1B4D"/>
    <w:rsid w:val="004E2F70"/>
    <w:rsid w:val="004E3732"/>
    <w:rsid w:val="004E4BC9"/>
    <w:rsid w:val="004E4DCF"/>
    <w:rsid w:val="004E615F"/>
    <w:rsid w:val="004E7878"/>
    <w:rsid w:val="004F1C70"/>
    <w:rsid w:val="00500F8C"/>
    <w:rsid w:val="0050108E"/>
    <w:rsid w:val="00502963"/>
    <w:rsid w:val="00502F7F"/>
    <w:rsid w:val="00503238"/>
    <w:rsid w:val="00505334"/>
    <w:rsid w:val="005062CF"/>
    <w:rsid w:val="005065BE"/>
    <w:rsid w:val="00506942"/>
    <w:rsid w:val="00506BC7"/>
    <w:rsid w:val="00507850"/>
    <w:rsid w:val="005078DD"/>
    <w:rsid w:val="005109D3"/>
    <w:rsid w:val="00513283"/>
    <w:rsid w:val="00513561"/>
    <w:rsid w:val="00524B1B"/>
    <w:rsid w:val="005255B0"/>
    <w:rsid w:val="0052601A"/>
    <w:rsid w:val="0052658B"/>
    <w:rsid w:val="00527A6C"/>
    <w:rsid w:val="00531698"/>
    <w:rsid w:val="005344BC"/>
    <w:rsid w:val="00534E64"/>
    <w:rsid w:val="00535C0D"/>
    <w:rsid w:val="00536331"/>
    <w:rsid w:val="00536B35"/>
    <w:rsid w:val="00537C63"/>
    <w:rsid w:val="00540EAA"/>
    <w:rsid w:val="00544C5A"/>
    <w:rsid w:val="00545609"/>
    <w:rsid w:val="005458E9"/>
    <w:rsid w:val="00545FB5"/>
    <w:rsid w:val="00546F6B"/>
    <w:rsid w:val="00551E77"/>
    <w:rsid w:val="005521A1"/>
    <w:rsid w:val="005521AB"/>
    <w:rsid w:val="00553DC7"/>
    <w:rsid w:val="00556D04"/>
    <w:rsid w:val="00557649"/>
    <w:rsid w:val="00562724"/>
    <w:rsid w:val="005650E1"/>
    <w:rsid w:val="00571A79"/>
    <w:rsid w:val="00571BE9"/>
    <w:rsid w:val="00571C96"/>
    <w:rsid w:val="00574533"/>
    <w:rsid w:val="00574C33"/>
    <w:rsid w:val="00575CF8"/>
    <w:rsid w:val="005760C5"/>
    <w:rsid w:val="00576B4D"/>
    <w:rsid w:val="00577006"/>
    <w:rsid w:val="00580218"/>
    <w:rsid w:val="005806D7"/>
    <w:rsid w:val="00582E97"/>
    <w:rsid w:val="00583C23"/>
    <w:rsid w:val="005853C5"/>
    <w:rsid w:val="00585A7F"/>
    <w:rsid w:val="00585C13"/>
    <w:rsid w:val="00585DCD"/>
    <w:rsid w:val="00586127"/>
    <w:rsid w:val="00586131"/>
    <w:rsid w:val="00586362"/>
    <w:rsid w:val="005863B2"/>
    <w:rsid w:val="00586E08"/>
    <w:rsid w:val="005872BD"/>
    <w:rsid w:val="0058760B"/>
    <w:rsid w:val="00587FCE"/>
    <w:rsid w:val="00590BE7"/>
    <w:rsid w:val="005911FC"/>
    <w:rsid w:val="005919B1"/>
    <w:rsid w:val="00593B04"/>
    <w:rsid w:val="00594329"/>
    <w:rsid w:val="00594988"/>
    <w:rsid w:val="00594A23"/>
    <w:rsid w:val="00595049"/>
    <w:rsid w:val="00595427"/>
    <w:rsid w:val="00595611"/>
    <w:rsid w:val="00595DA7"/>
    <w:rsid w:val="00597003"/>
    <w:rsid w:val="005A2F80"/>
    <w:rsid w:val="005A3EFF"/>
    <w:rsid w:val="005A46B4"/>
    <w:rsid w:val="005A6FC8"/>
    <w:rsid w:val="005B079F"/>
    <w:rsid w:val="005B0BA1"/>
    <w:rsid w:val="005B3257"/>
    <w:rsid w:val="005B34E6"/>
    <w:rsid w:val="005B4263"/>
    <w:rsid w:val="005B659A"/>
    <w:rsid w:val="005C2E33"/>
    <w:rsid w:val="005C52DE"/>
    <w:rsid w:val="005C5E2B"/>
    <w:rsid w:val="005C60F3"/>
    <w:rsid w:val="005C6200"/>
    <w:rsid w:val="005C7253"/>
    <w:rsid w:val="005C7363"/>
    <w:rsid w:val="005C7568"/>
    <w:rsid w:val="005C7BFF"/>
    <w:rsid w:val="005D4E65"/>
    <w:rsid w:val="005D6033"/>
    <w:rsid w:val="005D722F"/>
    <w:rsid w:val="005D7A38"/>
    <w:rsid w:val="005E1D20"/>
    <w:rsid w:val="005E1EEE"/>
    <w:rsid w:val="005E23F1"/>
    <w:rsid w:val="005E406A"/>
    <w:rsid w:val="005E4707"/>
    <w:rsid w:val="005E5791"/>
    <w:rsid w:val="005F16A2"/>
    <w:rsid w:val="005F1947"/>
    <w:rsid w:val="005F20D7"/>
    <w:rsid w:val="005F2DC2"/>
    <w:rsid w:val="005F3ADC"/>
    <w:rsid w:val="005F47A9"/>
    <w:rsid w:val="005F4B93"/>
    <w:rsid w:val="005F4D18"/>
    <w:rsid w:val="005F74AC"/>
    <w:rsid w:val="00601698"/>
    <w:rsid w:val="00602942"/>
    <w:rsid w:val="006050AA"/>
    <w:rsid w:val="0060544E"/>
    <w:rsid w:val="006054D7"/>
    <w:rsid w:val="0060559C"/>
    <w:rsid w:val="00605AC6"/>
    <w:rsid w:val="0060668C"/>
    <w:rsid w:val="00613B85"/>
    <w:rsid w:val="006141AD"/>
    <w:rsid w:val="00614783"/>
    <w:rsid w:val="006152A8"/>
    <w:rsid w:val="00616365"/>
    <w:rsid w:val="00617C50"/>
    <w:rsid w:val="00622AC5"/>
    <w:rsid w:val="00623109"/>
    <w:rsid w:val="00624619"/>
    <w:rsid w:val="00625120"/>
    <w:rsid w:val="0062596E"/>
    <w:rsid w:val="0062645A"/>
    <w:rsid w:val="0063015F"/>
    <w:rsid w:val="00631410"/>
    <w:rsid w:val="00635C82"/>
    <w:rsid w:val="0063671C"/>
    <w:rsid w:val="006369C6"/>
    <w:rsid w:val="006415C6"/>
    <w:rsid w:val="00642066"/>
    <w:rsid w:val="0064256A"/>
    <w:rsid w:val="00644480"/>
    <w:rsid w:val="00647451"/>
    <w:rsid w:val="00651A3B"/>
    <w:rsid w:val="0065273F"/>
    <w:rsid w:val="006528BE"/>
    <w:rsid w:val="00653F15"/>
    <w:rsid w:val="00655439"/>
    <w:rsid w:val="00656F98"/>
    <w:rsid w:val="0066014D"/>
    <w:rsid w:val="00660933"/>
    <w:rsid w:val="00660F0F"/>
    <w:rsid w:val="00661574"/>
    <w:rsid w:val="006618EF"/>
    <w:rsid w:val="00661DAB"/>
    <w:rsid w:val="0066200A"/>
    <w:rsid w:val="00663190"/>
    <w:rsid w:val="00665801"/>
    <w:rsid w:val="006665F3"/>
    <w:rsid w:val="00670376"/>
    <w:rsid w:val="00673545"/>
    <w:rsid w:val="006739C4"/>
    <w:rsid w:val="00674FC3"/>
    <w:rsid w:val="006771D7"/>
    <w:rsid w:val="00677686"/>
    <w:rsid w:val="00683146"/>
    <w:rsid w:val="00683559"/>
    <w:rsid w:val="00684AF4"/>
    <w:rsid w:val="006863AA"/>
    <w:rsid w:val="00687C4D"/>
    <w:rsid w:val="00690C94"/>
    <w:rsid w:val="0069291A"/>
    <w:rsid w:val="00693511"/>
    <w:rsid w:val="00694FB7"/>
    <w:rsid w:val="00695433"/>
    <w:rsid w:val="006A004C"/>
    <w:rsid w:val="006A1270"/>
    <w:rsid w:val="006A1276"/>
    <w:rsid w:val="006A455E"/>
    <w:rsid w:val="006A6E82"/>
    <w:rsid w:val="006A7B4D"/>
    <w:rsid w:val="006A7E53"/>
    <w:rsid w:val="006B1B24"/>
    <w:rsid w:val="006B1BD2"/>
    <w:rsid w:val="006B3097"/>
    <w:rsid w:val="006B38B6"/>
    <w:rsid w:val="006B4190"/>
    <w:rsid w:val="006B5BA6"/>
    <w:rsid w:val="006C1398"/>
    <w:rsid w:val="006C528A"/>
    <w:rsid w:val="006C7290"/>
    <w:rsid w:val="006C7391"/>
    <w:rsid w:val="006D467B"/>
    <w:rsid w:val="006D748D"/>
    <w:rsid w:val="006D7AC7"/>
    <w:rsid w:val="006D7C42"/>
    <w:rsid w:val="006E031F"/>
    <w:rsid w:val="006E09E4"/>
    <w:rsid w:val="006E0C9A"/>
    <w:rsid w:val="006E1092"/>
    <w:rsid w:val="006E2182"/>
    <w:rsid w:val="006E2543"/>
    <w:rsid w:val="006E7627"/>
    <w:rsid w:val="006F047C"/>
    <w:rsid w:val="006F3767"/>
    <w:rsid w:val="006F5819"/>
    <w:rsid w:val="006F5CB6"/>
    <w:rsid w:val="006F7FD9"/>
    <w:rsid w:val="007019EA"/>
    <w:rsid w:val="00706283"/>
    <w:rsid w:val="007063A0"/>
    <w:rsid w:val="0070654C"/>
    <w:rsid w:val="00707428"/>
    <w:rsid w:val="00711BDB"/>
    <w:rsid w:val="00711EF3"/>
    <w:rsid w:val="00712EBC"/>
    <w:rsid w:val="00714478"/>
    <w:rsid w:val="00714886"/>
    <w:rsid w:val="00717276"/>
    <w:rsid w:val="00717FE0"/>
    <w:rsid w:val="0072260B"/>
    <w:rsid w:val="00724B64"/>
    <w:rsid w:val="00726559"/>
    <w:rsid w:val="007277C3"/>
    <w:rsid w:val="007303AC"/>
    <w:rsid w:val="00731455"/>
    <w:rsid w:val="00731B95"/>
    <w:rsid w:val="00733727"/>
    <w:rsid w:val="00733862"/>
    <w:rsid w:val="0073423B"/>
    <w:rsid w:val="00734671"/>
    <w:rsid w:val="0073512A"/>
    <w:rsid w:val="00742426"/>
    <w:rsid w:val="0074775B"/>
    <w:rsid w:val="007478FC"/>
    <w:rsid w:val="0075026E"/>
    <w:rsid w:val="00750AED"/>
    <w:rsid w:val="007512CF"/>
    <w:rsid w:val="00751F42"/>
    <w:rsid w:val="0075207E"/>
    <w:rsid w:val="00752ACB"/>
    <w:rsid w:val="007538FC"/>
    <w:rsid w:val="00756192"/>
    <w:rsid w:val="00757B10"/>
    <w:rsid w:val="00757DC5"/>
    <w:rsid w:val="00760BDA"/>
    <w:rsid w:val="00760E28"/>
    <w:rsid w:val="00761CBF"/>
    <w:rsid w:val="007623D7"/>
    <w:rsid w:val="007639E9"/>
    <w:rsid w:val="007648CC"/>
    <w:rsid w:val="00766C30"/>
    <w:rsid w:val="00767277"/>
    <w:rsid w:val="00767441"/>
    <w:rsid w:val="00767972"/>
    <w:rsid w:val="007743D5"/>
    <w:rsid w:val="00774A4E"/>
    <w:rsid w:val="00777521"/>
    <w:rsid w:val="007810A7"/>
    <w:rsid w:val="00781AAB"/>
    <w:rsid w:val="00781B1D"/>
    <w:rsid w:val="00782100"/>
    <w:rsid w:val="0078213E"/>
    <w:rsid w:val="007835D9"/>
    <w:rsid w:val="00783750"/>
    <w:rsid w:val="0078393C"/>
    <w:rsid w:val="00784D88"/>
    <w:rsid w:val="00787E72"/>
    <w:rsid w:val="00787EE6"/>
    <w:rsid w:val="007918C4"/>
    <w:rsid w:val="007932CB"/>
    <w:rsid w:val="00793C74"/>
    <w:rsid w:val="0079585B"/>
    <w:rsid w:val="00796FFF"/>
    <w:rsid w:val="007A0036"/>
    <w:rsid w:val="007A2BB4"/>
    <w:rsid w:val="007A39F8"/>
    <w:rsid w:val="007A5114"/>
    <w:rsid w:val="007A597B"/>
    <w:rsid w:val="007A5B40"/>
    <w:rsid w:val="007A60D3"/>
    <w:rsid w:val="007A655E"/>
    <w:rsid w:val="007A74FD"/>
    <w:rsid w:val="007A7D3B"/>
    <w:rsid w:val="007A7ED4"/>
    <w:rsid w:val="007B0043"/>
    <w:rsid w:val="007B0A7B"/>
    <w:rsid w:val="007B0ADD"/>
    <w:rsid w:val="007B0CE7"/>
    <w:rsid w:val="007B1327"/>
    <w:rsid w:val="007B169C"/>
    <w:rsid w:val="007B16E9"/>
    <w:rsid w:val="007B56A5"/>
    <w:rsid w:val="007C23FA"/>
    <w:rsid w:val="007C2806"/>
    <w:rsid w:val="007C3564"/>
    <w:rsid w:val="007C59F3"/>
    <w:rsid w:val="007C64ED"/>
    <w:rsid w:val="007C6E07"/>
    <w:rsid w:val="007C7400"/>
    <w:rsid w:val="007C787C"/>
    <w:rsid w:val="007D0E5F"/>
    <w:rsid w:val="007D125A"/>
    <w:rsid w:val="007D1E18"/>
    <w:rsid w:val="007D2ED4"/>
    <w:rsid w:val="007D3792"/>
    <w:rsid w:val="007D5E31"/>
    <w:rsid w:val="007D6C70"/>
    <w:rsid w:val="007D7869"/>
    <w:rsid w:val="007D7A63"/>
    <w:rsid w:val="007E0905"/>
    <w:rsid w:val="007E28EF"/>
    <w:rsid w:val="007E4946"/>
    <w:rsid w:val="007E5E98"/>
    <w:rsid w:val="007E6AB9"/>
    <w:rsid w:val="007F0D5E"/>
    <w:rsid w:val="007F15EC"/>
    <w:rsid w:val="007F44F9"/>
    <w:rsid w:val="007F5615"/>
    <w:rsid w:val="007F6576"/>
    <w:rsid w:val="007F6F2E"/>
    <w:rsid w:val="007F79D6"/>
    <w:rsid w:val="00803D67"/>
    <w:rsid w:val="00804D43"/>
    <w:rsid w:val="00805787"/>
    <w:rsid w:val="00805A6B"/>
    <w:rsid w:val="00806F1D"/>
    <w:rsid w:val="00807DEB"/>
    <w:rsid w:val="00812FE3"/>
    <w:rsid w:val="008156AB"/>
    <w:rsid w:val="00815E9C"/>
    <w:rsid w:val="00821022"/>
    <w:rsid w:val="00822263"/>
    <w:rsid w:val="008223D2"/>
    <w:rsid w:val="00822B58"/>
    <w:rsid w:val="00824C3C"/>
    <w:rsid w:val="00825400"/>
    <w:rsid w:val="00834B2C"/>
    <w:rsid w:val="00836BCE"/>
    <w:rsid w:val="0084133F"/>
    <w:rsid w:val="00841474"/>
    <w:rsid w:val="008418C7"/>
    <w:rsid w:val="00842B15"/>
    <w:rsid w:val="008472AF"/>
    <w:rsid w:val="0084740F"/>
    <w:rsid w:val="00847475"/>
    <w:rsid w:val="00851774"/>
    <w:rsid w:val="00852C15"/>
    <w:rsid w:val="00853368"/>
    <w:rsid w:val="00854DF3"/>
    <w:rsid w:val="00855AA8"/>
    <w:rsid w:val="00861FD7"/>
    <w:rsid w:val="008644A2"/>
    <w:rsid w:val="00865783"/>
    <w:rsid w:val="00870983"/>
    <w:rsid w:val="00872885"/>
    <w:rsid w:val="00874B63"/>
    <w:rsid w:val="008759D7"/>
    <w:rsid w:val="00875D9D"/>
    <w:rsid w:val="00876312"/>
    <w:rsid w:val="0087766F"/>
    <w:rsid w:val="00877C7F"/>
    <w:rsid w:val="00880735"/>
    <w:rsid w:val="00881F10"/>
    <w:rsid w:val="00882DE5"/>
    <w:rsid w:val="00884A84"/>
    <w:rsid w:val="00886E32"/>
    <w:rsid w:val="0089208D"/>
    <w:rsid w:val="008921F1"/>
    <w:rsid w:val="008937B4"/>
    <w:rsid w:val="00896A1C"/>
    <w:rsid w:val="008A0A96"/>
    <w:rsid w:val="008A3236"/>
    <w:rsid w:val="008A45C4"/>
    <w:rsid w:val="008A6DF9"/>
    <w:rsid w:val="008B0764"/>
    <w:rsid w:val="008B117D"/>
    <w:rsid w:val="008C0164"/>
    <w:rsid w:val="008C344E"/>
    <w:rsid w:val="008C3EA5"/>
    <w:rsid w:val="008C4CC2"/>
    <w:rsid w:val="008C5091"/>
    <w:rsid w:val="008C55EC"/>
    <w:rsid w:val="008C6F53"/>
    <w:rsid w:val="008C79E8"/>
    <w:rsid w:val="008D01EA"/>
    <w:rsid w:val="008D04E1"/>
    <w:rsid w:val="008D44F4"/>
    <w:rsid w:val="008D4DB0"/>
    <w:rsid w:val="008D603D"/>
    <w:rsid w:val="008D748B"/>
    <w:rsid w:val="008E559C"/>
    <w:rsid w:val="008E5AD7"/>
    <w:rsid w:val="008E74EB"/>
    <w:rsid w:val="008E7929"/>
    <w:rsid w:val="008F1AF3"/>
    <w:rsid w:val="008F7027"/>
    <w:rsid w:val="008F70E0"/>
    <w:rsid w:val="008F7817"/>
    <w:rsid w:val="008F7A5A"/>
    <w:rsid w:val="009004DF"/>
    <w:rsid w:val="009051D6"/>
    <w:rsid w:val="009106E3"/>
    <w:rsid w:val="009112F6"/>
    <w:rsid w:val="009120BD"/>
    <w:rsid w:val="0091446C"/>
    <w:rsid w:val="00915B67"/>
    <w:rsid w:val="009162CB"/>
    <w:rsid w:val="00917467"/>
    <w:rsid w:val="00917803"/>
    <w:rsid w:val="00917FEC"/>
    <w:rsid w:val="009251D2"/>
    <w:rsid w:val="00925D2D"/>
    <w:rsid w:val="009265E0"/>
    <w:rsid w:val="0092702E"/>
    <w:rsid w:val="00927779"/>
    <w:rsid w:val="00932BCF"/>
    <w:rsid w:val="009340E0"/>
    <w:rsid w:val="0093623B"/>
    <w:rsid w:val="00936953"/>
    <w:rsid w:val="00941C68"/>
    <w:rsid w:val="00943A11"/>
    <w:rsid w:val="00944A12"/>
    <w:rsid w:val="00944E4A"/>
    <w:rsid w:val="0094777D"/>
    <w:rsid w:val="00947CF7"/>
    <w:rsid w:val="00954DCD"/>
    <w:rsid w:val="00956032"/>
    <w:rsid w:val="00956A1E"/>
    <w:rsid w:val="00956A28"/>
    <w:rsid w:val="009602BF"/>
    <w:rsid w:val="00962885"/>
    <w:rsid w:val="00967CB6"/>
    <w:rsid w:val="00970DC8"/>
    <w:rsid w:val="00970E7E"/>
    <w:rsid w:val="0097346F"/>
    <w:rsid w:val="00974AAF"/>
    <w:rsid w:val="00974E5B"/>
    <w:rsid w:val="00980BD8"/>
    <w:rsid w:val="00981EFE"/>
    <w:rsid w:val="00982AC7"/>
    <w:rsid w:val="009830AF"/>
    <w:rsid w:val="0098370D"/>
    <w:rsid w:val="00984A39"/>
    <w:rsid w:val="00984D7E"/>
    <w:rsid w:val="00986389"/>
    <w:rsid w:val="009876A4"/>
    <w:rsid w:val="009950F1"/>
    <w:rsid w:val="009953CE"/>
    <w:rsid w:val="0099567A"/>
    <w:rsid w:val="009963B8"/>
    <w:rsid w:val="009977C7"/>
    <w:rsid w:val="00997A67"/>
    <w:rsid w:val="00997B26"/>
    <w:rsid w:val="00997F5A"/>
    <w:rsid w:val="009A0E2C"/>
    <w:rsid w:val="009A1EBF"/>
    <w:rsid w:val="009A3364"/>
    <w:rsid w:val="009A48F4"/>
    <w:rsid w:val="009A538D"/>
    <w:rsid w:val="009A5BC7"/>
    <w:rsid w:val="009A70EA"/>
    <w:rsid w:val="009B0B8A"/>
    <w:rsid w:val="009B2D42"/>
    <w:rsid w:val="009B3C64"/>
    <w:rsid w:val="009B424E"/>
    <w:rsid w:val="009B44F3"/>
    <w:rsid w:val="009B75C2"/>
    <w:rsid w:val="009B781A"/>
    <w:rsid w:val="009C0B2C"/>
    <w:rsid w:val="009C3449"/>
    <w:rsid w:val="009C3BB2"/>
    <w:rsid w:val="009C50CA"/>
    <w:rsid w:val="009C7FE9"/>
    <w:rsid w:val="009D2EB7"/>
    <w:rsid w:val="009D3048"/>
    <w:rsid w:val="009D35EA"/>
    <w:rsid w:val="009D3DF9"/>
    <w:rsid w:val="009D6688"/>
    <w:rsid w:val="009E6C85"/>
    <w:rsid w:val="009E7BEF"/>
    <w:rsid w:val="009F0915"/>
    <w:rsid w:val="009F0AE3"/>
    <w:rsid w:val="009F1A7D"/>
    <w:rsid w:val="009F1B2F"/>
    <w:rsid w:val="009F2361"/>
    <w:rsid w:val="009F2E4D"/>
    <w:rsid w:val="009F390C"/>
    <w:rsid w:val="009F3AB1"/>
    <w:rsid w:val="009F6004"/>
    <w:rsid w:val="009F7671"/>
    <w:rsid w:val="00A000CE"/>
    <w:rsid w:val="00A019E6"/>
    <w:rsid w:val="00A01CA1"/>
    <w:rsid w:val="00A02B21"/>
    <w:rsid w:val="00A03725"/>
    <w:rsid w:val="00A03CFD"/>
    <w:rsid w:val="00A03E48"/>
    <w:rsid w:val="00A04954"/>
    <w:rsid w:val="00A05E44"/>
    <w:rsid w:val="00A05E49"/>
    <w:rsid w:val="00A06365"/>
    <w:rsid w:val="00A10C31"/>
    <w:rsid w:val="00A11C3A"/>
    <w:rsid w:val="00A132F1"/>
    <w:rsid w:val="00A13337"/>
    <w:rsid w:val="00A14C77"/>
    <w:rsid w:val="00A21C9B"/>
    <w:rsid w:val="00A22542"/>
    <w:rsid w:val="00A237D9"/>
    <w:rsid w:val="00A24755"/>
    <w:rsid w:val="00A24779"/>
    <w:rsid w:val="00A26524"/>
    <w:rsid w:val="00A26A8C"/>
    <w:rsid w:val="00A2733D"/>
    <w:rsid w:val="00A30DDB"/>
    <w:rsid w:val="00A311CC"/>
    <w:rsid w:val="00A31F75"/>
    <w:rsid w:val="00A358BE"/>
    <w:rsid w:val="00A35F8C"/>
    <w:rsid w:val="00A36C0B"/>
    <w:rsid w:val="00A376FE"/>
    <w:rsid w:val="00A3797E"/>
    <w:rsid w:val="00A4133D"/>
    <w:rsid w:val="00A41C3D"/>
    <w:rsid w:val="00A41C4B"/>
    <w:rsid w:val="00A44192"/>
    <w:rsid w:val="00A45178"/>
    <w:rsid w:val="00A52622"/>
    <w:rsid w:val="00A52722"/>
    <w:rsid w:val="00A53830"/>
    <w:rsid w:val="00A551F4"/>
    <w:rsid w:val="00A565EA"/>
    <w:rsid w:val="00A576A8"/>
    <w:rsid w:val="00A60360"/>
    <w:rsid w:val="00A6248F"/>
    <w:rsid w:val="00A627F1"/>
    <w:rsid w:val="00A62FA1"/>
    <w:rsid w:val="00A63424"/>
    <w:rsid w:val="00A644A8"/>
    <w:rsid w:val="00A64E66"/>
    <w:rsid w:val="00A656DC"/>
    <w:rsid w:val="00A664B3"/>
    <w:rsid w:val="00A669D6"/>
    <w:rsid w:val="00A6717C"/>
    <w:rsid w:val="00A70E79"/>
    <w:rsid w:val="00A72F4B"/>
    <w:rsid w:val="00A7737B"/>
    <w:rsid w:val="00A77FFD"/>
    <w:rsid w:val="00A80ABA"/>
    <w:rsid w:val="00A80C73"/>
    <w:rsid w:val="00A84BD8"/>
    <w:rsid w:val="00A85A65"/>
    <w:rsid w:val="00A85C3E"/>
    <w:rsid w:val="00A85C88"/>
    <w:rsid w:val="00A91910"/>
    <w:rsid w:val="00A9314F"/>
    <w:rsid w:val="00A9462F"/>
    <w:rsid w:val="00A949C8"/>
    <w:rsid w:val="00AA0083"/>
    <w:rsid w:val="00AA031B"/>
    <w:rsid w:val="00AA290A"/>
    <w:rsid w:val="00AA2AF9"/>
    <w:rsid w:val="00AA2E6F"/>
    <w:rsid w:val="00AA2E7E"/>
    <w:rsid w:val="00AA3A3E"/>
    <w:rsid w:val="00AA49BD"/>
    <w:rsid w:val="00AA592F"/>
    <w:rsid w:val="00AA6278"/>
    <w:rsid w:val="00AA72FB"/>
    <w:rsid w:val="00AA74B1"/>
    <w:rsid w:val="00AB1510"/>
    <w:rsid w:val="00AB3255"/>
    <w:rsid w:val="00AB3344"/>
    <w:rsid w:val="00AB41E7"/>
    <w:rsid w:val="00AB4C6F"/>
    <w:rsid w:val="00AB5B2D"/>
    <w:rsid w:val="00AB5C95"/>
    <w:rsid w:val="00AB7BCD"/>
    <w:rsid w:val="00AC04A9"/>
    <w:rsid w:val="00AC0662"/>
    <w:rsid w:val="00AC0FD2"/>
    <w:rsid w:val="00AC1622"/>
    <w:rsid w:val="00AC2E52"/>
    <w:rsid w:val="00AC43E0"/>
    <w:rsid w:val="00AC4B9F"/>
    <w:rsid w:val="00AC57C7"/>
    <w:rsid w:val="00AC6D55"/>
    <w:rsid w:val="00AD1AD0"/>
    <w:rsid w:val="00AD6439"/>
    <w:rsid w:val="00AD66FD"/>
    <w:rsid w:val="00AD6F37"/>
    <w:rsid w:val="00AD7639"/>
    <w:rsid w:val="00AE4534"/>
    <w:rsid w:val="00AE7238"/>
    <w:rsid w:val="00AE7500"/>
    <w:rsid w:val="00AE791F"/>
    <w:rsid w:val="00AF1467"/>
    <w:rsid w:val="00AF1C80"/>
    <w:rsid w:val="00AF2263"/>
    <w:rsid w:val="00AF243A"/>
    <w:rsid w:val="00AF5DC6"/>
    <w:rsid w:val="00B005BF"/>
    <w:rsid w:val="00B007D1"/>
    <w:rsid w:val="00B02AA5"/>
    <w:rsid w:val="00B04E2B"/>
    <w:rsid w:val="00B06817"/>
    <w:rsid w:val="00B07607"/>
    <w:rsid w:val="00B107A8"/>
    <w:rsid w:val="00B108A2"/>
    <w:rsid w:val="00B10C13"/>
    <w:rsid w:val="00B12EFE"/>
    <w:rsid w:val="00B14DAB"/>
    <w:rsid w:val="00B17360"/>
    <w:rsid w:val="00B22021"/>
    <w:rsid w:val="00B22A01"/>
    <w:rsid w:val="00B23516"/>
    <w:rsid w:val="00B244CE"/>
    <w:rsid w:val="00B25605"/>
    <w:rsid w:val="00B25662"/>
    <w:rsid w:val="00B30F5F"/>
    <w:rsid w:val="00B3299C"/>
    <w:rsid w:val="00B335FF"/>
    <w:rsid w:val="00B359EA"/>
    <w:rsid w:val="00B36DAF"/>
    <w:rsid w:val="00B3739A"/>
    <w:rsid w:val="00B374D7"/>
    <w:rsid w:val="00B40C5D"/>
    <w:rsid w:val="00B4183E"/>
    <w:rsid w:val="00B4401C"/>
    <w:rsid w:val="00B45330"/>
    <w:rsid w:val="00B45AA7"/>
    <w:rsid w:val="00B45C1E"/>
    <w:rsid w:val="00B45C7C"/>
    <w:rsid w:val="00B46233"/>
    <w:rsid w:val="00B50D71"/>
    <w:rsid w:val="00B528D9"/>
    <w:rsid w:val="00B53370"/>
    <w:rsid w:val="00B55877"/>
    <w:rsid w:val="00B603C7"/>
    <w:rsid w:val="00B607DC"/>
    <w:rsid w:val="00B61121"/>
    <w:rsid w:val="00B61940"/>
    <w:rsid w:val="00B61D5A"/>
    <w:rsid w:val="00B64095"/>
    <w:rsid w:val="00B644E0"/>
    <w:rsid w:val="00B657E4"/>
    <w:rsid w:val="00B65D04"/>
    <w:rsid w:val="00B67067"/>
    <w:rsid w:val="00B72113"/>
    <w:rsid w:val="00B725C0"/>
    <w:rsid w:val="00B736F6"/>
    <w:rsid w:val="00B73AED"/>
    <w:rsid w:val="00B74164"/>
    <w:rsid w:val="00B75B8B"/>
    <w:rsid w:val="00B7612B"/>
    <w:rsid w:val="00B761F7"/>
    <w:rsid w:val="00B776E5"/>
    <w:rsid w:val="00B84CFD"/>
    <w:rsid w:val="00B859E2"/>
    <w:rsid w:val="00B87BAF"/>
    <w:rsid w:val="00B87DCE"/>
    <w:rsid w:val="00B91336"/>
    <w:rsid w:val="00B920AB"/>
    <w:rsid w:val="00B932A1"/>
    <w:rsid w:val="00B94790"/>
    <w:rsid w:val="00B953ED"/>
    <w:rsid w:val="00BA2A79"/>
    <w:rsid w:val="00BA4719"/>
    <w:rsid w:val="00BA5A5A"/>
    <w:rsid w:val="00BA6933"/>
    <w:rsid w:val="00BB0756"/>
    <w:rsid w:val="00BB1949"/>
    <w:rsid w:val="00BB2AEC"/>
    <w:rsid w:val="00BB3EB7"/>
    <w:rsid w:val="00BB4395"/>
    <w:rsid w:val="00BB5D21"/>
    <w:rsid w:val="00BB7315"/>
    <w:rsid w:val="00BC23D1"/>
    <w:rsid w:val="00BC2898"/>
    <w:rsid w:val="00BC3C3C"/>
    <w:rsid w:val="00BC6256"/>
    <w:rsid w:val="00BC6B78"/>
    <w:rsid w:val="00BD07CD"/>
    <w:rsid w:val="00BD20A2"/>
    <w:rsid w:val="00BD4D6B"/>
    <w:rsid w:val="00BD517A"/>
    <w:rsid w:val="00BD6A1B"/>
    <w:rsid w:val="00BD70BD"/>
    <w:rsid w:val="00BD73F2"/>
    <w:rsid w:val="00BD75DE"/>
    <w:rsid w:val="00BE1191"/>
    <w:rsid w:val="00BE226A"/>
    <w:rsid w:val="00BE2F9E"/>
    <w:rsid w:val="00BE6651"/>
    <w:rsid w:val="00BF1411"/>
    <w:rsid w:val="00BF2D3B"/>
    <w:rsid w:val="00BF39E4"/>
    <w:rsid w:val="00BF4B36"/>
    <w:rsid w:val="00BF665D"/>
    <w:rsid w:val="00BF7446"/>
    <w:rsid w:val="00BF7D67"/>
    <w:rsid w:val="00BF7D86"/>
    <w:rsid w:val="00C020A6"/>
    <w:rsid w:val="00C041C2"/>
    <w:rsid w:val="00C0445A"/>
    <w:rsid w:val="00C04B51"/>
    <w:rsid w:val="00C07899"/>
    <w:rsid w:val="00C10642"/>
    <w:rsid w:val="00C11419"/>
    <w:rsid w:val="00C11565"/>
    <w:rsid w:val="00C11AA0"/>
    <w:rsid w:val="00C12D3C"/>
    <w:rsid w:val="00C1496C"/>
    <w:rsid w:val="00C168AE"/>
    <w:rsid w:val="00C17C48"/>
    <w:rsid w:val="00C20F0F"/>
    <w:rsid w:val="00C21D9C"/>
    <w:rsid w:val="00C244CB"/>
    <w:rsid w:val="00C27E7C"/>
    <w:rsid w:val="00C30DD8"/>
    <w:rsid w:val="00C316DA"/>
    <w:rsid w:val="00C31DC8"/>
    <w:rsid w:val="00C32013"/>
    <w:rsid w:val="00C32136"/>
    <w:rsid w:val="00C32954"/>
    <w:rsid w:val="00C33630"/>
    <w:rsid w:val="00C358A8"/>
    <w:rsid w:val="00C35B49"/>
    <w:rsid w:val="00C35CB9"/>
    <w:rsid w:val="00C37347"/>
    <w:rsid w:val="00C41C47"/>
    <w:rsid w:val="00C42988"/>
    <w:rsid w:val="00C46061"/>
    <w:rsid w:val="00C4673C"/>
    <w:rsid w:val="00C52268"/>
    <w:rsid w:val="00C53312"/>
    <w:rsid w:val="00C53479"/>
    <w:rsid w:val="00C567C3"/>
    <w:rsid w:val="00C56C49"/>
    <w:rsid w:val="00C56CC6"/>
    <w:rsid w:val="00C574F5"/>
    <w:rsid w:val="00C637FE"/>
    <w:rsid w:val="00C655BB"/>
    <w:rsid w:val="00C7157A"/>
    <w:rsid w:val="00C73417"/>
    <w:rsid w:val="00C7701B"/>
    <w:rsid w:val="00C77182"/>
    <w:rsid w:val="00C80A2C"/>
    <w:rsid w:val="00C81FCF"/>
    <w:rsid w:val="00C82D6F"/>
    <w:rsid w:val="00C86ED1"/>
    <w:rsid w:val="00C87323"/>
    <w:rsid w:val="00C87C37"/>
    <w:rsid w:val="00C906EF"/>
    <w:rsid w:val="00C91726"/>
    <w:rsid w:val="00C93E1B"/>
    <w:rsid w:val="00C94756"/>
    <w:rsid w:val="00C94E3E"/>
    <w:rsid w:val="00C953C9"/>
    <w:rsid w:val="00C95514"/>
    <w:rsid w:val="00CA681E"/>
    <w:rsid w:val="00CA6AA4"/>
    <w:rsid w:val="00CA70AC"/>
    <w:rsid w:val="00CB043F"/>
    <w:rsid w:val="00CB0E3C"/>
    <w:rsid w:val="00CB254E"/>
    <w:rsid w:val="00CB453A"/>
    <w:rsid w:val="00CB6205"/>
    <w:rsid w:val="00CB7978"/>
    <w:rsid w:val="00CC058A"/>
    <w:rsid w:val="00CC0B67"/>
    <w:rsid w:val="00CC1556"/>
    <w:rsid w:val="00CC3C0C"/>
    <w:rsid w:val="00CC5EA5"/>
    <w:rsid w:val="00CC6E5D"/>
    <w:rsid w:val="00CC6EAB"/>
    <w:rsid w:val="00CC74E7"/>
    <w:rsid w:val="00CD1AA7"/>
    <w:rsid w:val="00CD44C6"/>
    <w:rsid w:val="00CD7960"/>
    <w:rsid w:val="00CD7A96"/>
    <w:rsid w:val="00CE016D"/>
    <w:rsid w:val="00CE0991"/>
    <w:rsid w:val="00CE216C"/>
    <w:rsid w:val="00CE38C9"/>
    <w:rsid w:val="00CE5ED6"/>
    <w:rsid w:val="00CE65EF"/>
    <w:rsid w:val="00CE7D05"/>
    <w:rsid w:val="00CF1C7B"/>
    <w:rsid w:val="00CF20DE"/>
    <w:rsid w:val="00CF2808"/>
    <w:rsid w:val="00CF33B6"/>
    <w:rsid w:val="00CF37EC"/>
    <w:rsid w:val="00CF6516"/>
    <w:rsid w:val="00CF7AED"/>
    <w:rsid w:val="00D013E1"/>
    <w:rsid w:val="00D013FA"/>
    <w:rsid w:val="00D0268A"/>
    <w:rsid w:val="00D04612"/>
    <w:rsid w:val="00D056CA"/>
    <w:rsid w:val="00D06687"/>
    <w:rsid w:val="00D12A06"/>
    <w:rsid w:val="00D13231"/>
    <w:rsid w:val="00D14DDA"/>
    <w:rsid w:val="00D2003B"/>
    <w:rsid w:val="00D20676"/>
    <w:rsid w:val="00D20760"/>
    <w:rsid w:val="00D20C89"/>
    <w:rsid w:val="00D20E6D"/>
    <w:rsid w:val="00D22D46"/>
    <w:rsid w:val="00D26A59"/>
    <w:rsid w:val="00D26D6B"/>
    <w:rsid w:val="00D27FF7"/>
    <w:rsid w:val="00D324B9"/>
    <w:rsid w:val="00D32BA0"/>
    <w:rsid w:val="00D34D0F"/>
    <w:rsid w:val="00D35991"/>
    <w:rsid w:val="00D36081"/>
    <w:rsid w:val="00D36279"/>
    <w:rsid w:val="00D36571"/>
    <w:rsid w:val="00D37D1F"/>
    <w:rsid w:val="00D41895"/>
    <w:rsid w:val="00D41DD6"/>
    <w:rsid w:val="00D429E6"/>
    <w:rsid w:val="00D42BA5"/>
    <w:rsid w:val="00D4378D"/>
    <w:rsid w:val="00D439FD"/>
    <w:rsid w:val="00D45DCF"/>
    <w:rsid w:val="00D461B9"/>
    <w:rsid w:val="00D5044B"/>
    <w:rsid w:val="00D50D8E"/>
    <w:rsid w:val="00D50EE9"/>
    <w:rsid w:val="00D51863"/>
    <w:rsid w:val="00D52763"/>
    <w:rsid w:val="00D5285B"/>
    <w:rsid w:val="00D53659"/>
    <w:rsid w:val="00D55180"/>
    <w:rsid w:val="00D55DB2"/>
    <w:rsid w:val="00D56734"/>
    <w:rsid w:val="00D5772D"/>
    <w:rsid w:val="00D608C3"/>
    <w:rsid w:val="00D60B61"/>
    <w:rsid w:val="00D6299A"/>
    <w:rsid w:val="00D62EAE"/>
    <w:rsid w:val="00D6340C"/>
    <w:rsid w:val="00D63DBE"/>
    <w:rsid w:val="00D63DCC"/>
    <w:rsid w:val="00D6435D"/>
    <w:rsid w:val="00D65215"/>
    <w:rsid w:val="00D701EA"/>
    <w:rsid w:val="00D70D53"/>
    <w:rsid w:val="00D763D1"/>
    <w:rsid w:val="00D76A52"/>
    <w:rsid w:val="00D76FB5"/>
    <w:rsid w:val="00D80179"/>
    <w:rsid w:val="00D815D5"/>
    <w:rsid w:val="00D81C56"/>
    <w:rsid w:val="00D82432"/>
    <w:rsid w:val="00D83B8A"/>
    <w:rsid w:val="00D83E13"/>
    <w:rsid w:val="00D83F47"/>
    <w:rsid w:val="00D84E4B"/>
    <w:rsid w:val="00D85915"/>
    <w:rsid w:val="00D86A91"/>
    <w:rsid w:val="00D91AC2"/>
    <w:rsid w:val="00D952B3"/>
    <w:rsid w:val="00D955B6"/>
    <w:rsid w:val="00DA3A10"/>
    <w:rsid w:val="00DA4DFD"/>
    <w:rsid w:val="00DA4FBC"/>
    <w:rsid w:val="00DA57F0"/>
    <w:rsid w:val="00DB09F1"/>
    <w:rsid w:val="00DB16D6"/>
    <w:rsid w:val="00DB4A24"/>
    <w:rsid w:val="00DB57DB"/>
    <w:rsid w:val="00DB6AD8"/>
    <w:rsid w:val="00DB6BC9"/>
    <w:rsid w:val="00DB724A"/>
    <w:rsid w:val="00DC208C"/>
    <w:rsid w:val="00DC264B"/>
    <w:rsid w:val="00DC77F2"/>
    <w:rsid w:val="00DD03B8"/>
    <w:rsid w:val="00DD2B14"/>
    <w:rsid w:val="00DD4219"/>
    <w:rsid w:val="00DD461C"/>
    <w:rsid w:val="00DD6DFC"/>
    <w:rsid w:val="00DD6E52"/>
    <w:rsid w:val="00DD7271"/>
    <w:rsid w:val="00DD734E"/>
    <w:rsid w:val="00DD77E0"/>
    <w:rsid w:val="00DE084F"/>
    <w:rsid w:val="00DE1C46"/>
    <w:rsid w:val="00DE2499"/>
    <w:rsid w:val="00DE6F21"/>
    <w:rsid w:val="00DE7364"/>
    <w:rsid w:val="00DF1402"/>
    <w:rsid w:val="00DF3AA3"/>
    <w:rsid w:val="00DF3FEE"/>
    <w:rsid w:val="00DF7E28"/>
    <w:rsid w:val="00E01B0B"/>
    <w:rsid w:val="00E02958"/>
    <w:rsid w:val="00E03D7B"/>
    <w:rsid w:val="00E05A07"/>
    <w:rsid w:val="00E10310"/>
    <w:rsid w:val="00E10A80"/>
    <w:rsid w:val="00E13E59"/>
    <w:rsid w:val="00E147CA"/>
    <w:rsid w:val="00E1499F"/>
    <w:rsid w:val="00E15113"/>
    <w:rsid w:val="00E179E4"/>
    <w:rsid w:val="00E23073"/>
    <w:rsid w:val="00E234D3"/>
    <w:rsid w:val="00E26540"/>
    <w:rsid w:val="00E2692D"/>
    <w:rsid w:val="00E34AF9"/>
    <w:rsid w:val="00E401D6"/>
    <w:rsid w:val="00E40517"/>
    <w:rsid w:val="00E41962"/>
    <w:rsid w:val="00E4441B"/>
    <w:rsid w:val="00E46195"/>
    <w:rsid w:val="00E46BE7"/>
    <w:rsid w:val="00E46E81"/>
    <w:rsid w:val="00E46FD9"/>
    <w:rsid w:val="00E476DA"/>
    <w:rsid w:val="00E53EB5"/>
    <w:rsid w:val="00E545AA"/>
    <w:rsid w:val="00E55155"/>
    <w:rsid w:val="00E56AC3"/>
    <w:rsid w:val="00E5707D"/>
    <w:rsid w:val="00E6332C"/>
    <w:rsid w:val="00E633DD"/>
    <w:rsid w:val="00E64B69"/>
    <w:rsid w:val="00E74194"/>
    <w:rsid w:val="00E7501C"/>
    <w:rsid w:val="00E779F8"/>
    <w:rsid w:val="00E80886"/>
    <w:rsid w:val="00E8123A"/>
    <w:rsid w:val="00E82B16"/>
    <w:rsid w:val="00E82E52"/>
    <w:rsid w:val="00E83080"/>
    <w:rsid w:val="00E83D35"/>
    <w:rsid w:val="00E840EC"/>
    <w:rsid w:val="00E8418F"/>
    <w:rsid w:val="00E84BEC"/>
    <w:rsid w:val="00E84E72"/>
    <w:rsid w:val="00E86589"/>
    <w:rsid w:val="00E8740C"/>
    <w:rsid w:val="00E90F0A"/>
    <w:rsid w:val="00E9106C"/>
    <w:rsid w:val="00E9466B"/>
    <w:rsid w:val="00EA0121"/>
    <w:rsid w:val="00EA17FA"/>
    <w:rsid w:val="00EA1A9B"/>
    <w:rsid w:val="00EA3C6D"/>
    <w:rsid w:val="00EA5F15"/>
    <w:rsid w:val="00EA641D"/>
    <w:rsid w:val="00EA7082"/>
    <w:rsid w:val="00EB1488"/>
    <w:rsid w:val="00EB1CD8"/>
    <w:rsid w:val="00EB44AA"/>
    <w:rsid w:val="00EB5183"/>
    <w:rsid w:val="00EB65AA"/>
    <w:rsid w:val="00EC2EAD"/>
    <w:rsid w:val="00EC3463"/>
    <w:rsid w:val="00EC52A8"/>
    <w:rsid w:val="00EC7D97"/>
    <w:rsid w:val="00ED3E2A"/>
    <w:rsid w:val="00ED4F63"/>
    <w:rsid w:val="00ED5D77"/>
    <w:rsid w:val="00ED60B8"/>
    <w:rsid w:val="00ED7149"/>
    <w:rsid w:val="00ED72D4"/>
    <w:rsid w:val="00ED7940"/>
    <w:rsid w:val="00EE1EC0"/>
    <w:rsid w:val="00EE2975"/>
    <w:rsid w:val="00EE3227"/>
    <w:rsid w:val="00EE3360"/>
    <w:rsid w:val="00EE425B"/>
    <w:rsid w:val="00EE6657"/>
    <w:rsid w:val="00EE7B82"/>
    <w:rsid w:val="00EE7DD8"/>
    <w:rsid w:val="00EF757D"/>
    <w:rsid w:val="00EF78DA"/>
    <w:rsid w:val="00F04A12"/>
    <w:rsid w:val="00F04AC8"/>
    <w:rsid w:val="00F07746"/>
    <w:rsid w:val="00F107CF"/>
    <w:rsid w:val="00F11735"/>
    <w:rsid w:val="00F13C50"/>
    <w:rsid w:val="00F1497C"/>
    <w:rsid w:val="00F2029E"/>
    <w:rsid w:val="00F2049B"/>
    <w:rsid w:val="00F20B66"/>
    <w:rsid w:val="00F23F11"/>
    <w:rsid w:val="00F25DC6"/>
    <w:rsid w:val="00F30DD1"/>
    <w:rsid w:val="00F313BF"/>
    <w:rsid w:val="00F32203"/>
    <w:rsid w:val="00F33839"/>
    <w:rsid w:val="00F36B2A"/>
    <w:rsid w:val="00F378AE"/>
    <w:rsid w:val="00F40D76"/>
    <w:rsid w:val="00F419EB"/>
    <w:rsid w:val="00F445DF"/>
    <w:rsid w:val="00F45FF2"/>
    <w:rsid w:val="00F46D54"/>
    <w:rsid w:val="00F47BD2"/>
    <w:rsid w:val="00F52255"/>
    <w:rsid w:val="00F524BE"/>
    <w:rsid w:val="00F535A9"/>
    <w:rsid w:val="00F56CA6"/>
    <w:rsid w:val="00F57072"/>
    <w:rsid w:val="00F63D00"/>
    <w:rsid w:val="00F717CA"/>
    <w:rsid w:val="00F72B26"/>
    <w:rsid w:val="00F73116"/>
    <w:rsid w:val="00F7499F"/>
    <w:rsid w:val="00F76E38"/>
    <w:rsid w:val="00F77985"/>
    <w:rsid w:val="00F77A92"/>
    <w:rsid w:val="00F80705"/>
    <w:rsid w:val="00F819B2"/>
    <w:rsid w:val="00F83695"/>
    <w:rsid w:val="00F8417F"/>
    <w:rsid w:val="00F86FF2"/>
    <w:rsid w:val="00F8750C"/>
    <w:rsid w:val="00F87AD2"/>
    <w:rsid w:val="00F9077D"/>
    <w:rsid w:val="00F92057"/>
    <w:rsid w:val="00F94134"/>
    <w:rsid w:val="00F94608"/>
    <w:rsid w:val="00F948BF"/>
    <w:rsid w:val="00F951AE"/>
    <w:rsid w:val="00F97FAC"/>
    <w:rsid w:val="00FA05A0"/>
    <w:rsid w:val="00FA11D2"/>
    <w:rsid w:val="00FA17EC"/>
    <w:rsid w:val="00FA2CD2"/>
    <w:rsid w:val="00FA2DD4"/>
    <w:rsid w:val="00FA5B16"/>
    <w:rsid w:val="00FB0A14"/>
    <w:rsid w:val="00FB0BD4"/>
    <w:rsid w:val="00FB3361"/>
    <w:rsid w:val="00FB36B9"/>
    <w:rsid w:val="00FB421F"/>
    <w:rsid w:val="00FB78E0"/>
    <w:rsid w:val="00FB7B1A"/>
    <w:rsid w:val="00FC0571"/>
    <w:rsid w:val="00FC0D7D"/>
    <w:rsid w:val="00FC1067"/>
    <w:rsid w:val="00FC308C"/>
    <w:rsid w:val="00FC3E99"/>
    <w:rsid w:val="00FC409E"/>
    <w:rsid w:val="00FC494B"/>
    <w:rsid w:val="00FC51A4"/>
    <w:rsid w:val="00FC78A7"/>
    <w:rsid w:val="00FD08BC"/>
    <w:rsid w:val="00FD1F9B"/>
    <w:rsid w:val="00FD23FC"/>
    <w:rsid w:val="00FD42C3"/>
    <w:rsid w:val="00FD4B5F"/>
    <w:rsid w:val="00FD5D49"/>
    <w:rsid w:val="00FD612D"/>
    <w:rsid w:val="00FE05CF"/>
    <w:rsid w:val="00FE0F6F"/>
    <w:rsid w:val="00FE1A60"/>
    <w:rsid w:val="00FE2870"/>
    <w:rsid w:val="00FE29F5"/>
    <w:rsid w:val="00FE33DE"/>
    <w:rsid w:val="00FE4684"/>
    <w:rsid w:val="00FE4718"/>
    <w:rsid w:val="00FE5EF8"/>
    <w:rsid w:val="00FF0AB7"/>
    <w:rsid w:val="00FF118F"/>
    <w:rsid w:val="00FF2543"/>
    <w:rsid w:val="00FF3918"/>
    <w:rsid w:val="00FF403D"/>
    <w:rsid w:val="00FF55CB"/>
    <w:rsid w:val="00FF5795"/>
    <w:rsid w:val="00FF585C"/>
    <w:rsid w:val="00FF5CE9"/>
    <w:rsid w:val="00FF78A2"/>
    <w:rsid w:val="00FF7B6E"/>
    <w:rsid w:val="010926C6"/>
    <w:rsid w:val="0140048C"/>
    <w:rsid w:val="02064930"/>
    <w:rsid w:val="021978A0"/>
    <w:rsid w:val="063F6664"/>
    <w:rsid w:val="08846FFD"/>
    <w:rsid w:val="08FE3458"/>
    <w:rsid w:val="08FE7EE4"/>
    <w:rsid w:val="095056FD"/>
    <w:rsid w:val="09615163"/>
    <w:rsid w:val="096A04BC"/>
    <w:rsid w:val="0A3966D9"/>
    <w:rsid w:val="0A5D0E4A"/>
    <w:rsid w:val="0B7D2EC0"/>
    <w:rsid w:val="0B894A59"/>
    <w:rsid w:val="0C762FA5"/>
    <w:rsid w:val="0CE96942"/>
    <w:rsid w:val="0D742EA4"/>
    <w:rsid w:val="0DCE30D6"/>
    <w:rsid w:val="0F6A0868"/>
    <w:rsid w:val="100D2CF8"/>
    <w:rsid w:val="1017657C"/>
    <w:rsid w:val="112F5B47"/>
    <w:rsid w:val="117E6A3C"/>
    <w:rsid w:val="123C051C"/>
    <w:rsid w:val="123D1028"/>
    <w:rsid w:val="12946868"/>
    <w:rsid w:val="13C55B0B"/>
    <w:rsid w:val="143A4D20"/>
    <w:rsid w:val="151B52D0"/>
    <w:rsid w:val="158A6B0C"/>
    <w:rsid w:val="169E7B9B"/>
    <w:rsid w:val="16E5611C"/>
    <w:rsid w:val="17F3025B"/>
    <w:rsid w:val="18E10F51"/>
    <w:rsid w:val="19CD56A0"/>
    <w:rsid w:val="19E16A10"/>
    <w:rsid w:val="19F8130B"/>
    <w:rsid w:val="1B1D5B1D"/>
    <w:rsid w:val="1C8D1A1E"/>
    <w:rsid w:val="1E1B4806"/>
    <w:rsid w:val="1E262080"/>
    <w:rsid w:val="1F3F7DCE"/>
    <w:rsid w:val="1F794E23"/>
    <w:rsid w:val="1FA0658E"/>
    <w:rsid w:val="20347D6D"/>
    <w:rsid w:val="20C879F4"/>
    <w:rsid w:val="21242926"/>
    <w:rsid w:val="21787096"/>
    <w:rsid w:val="228C2472"/>
    <w:rsid w:val="23276527"/>
    <w:rsid w:val="24AF25D9"/>
    <w:rsid w:val="250615FA"/>
    <w:rsid w:val="25C01FF7"/>
    <w:rsid w:val="25D4327F"/>
    <w:rsid w:val="26B009E5"/>
    <w:rsid w:val="27A62610"/>
    <w:rsid w:val="285E529C"/>
    <w:rsid w:val="286923D0"/>
    <w:rsid w:val="2950633C"/>
    <w:rsid w:val="29624EA7"/>
    <w:rsid w:val="29707AE1"/>
    <w:rsid w:val="2993122D"/>
    <w:rsid w:val="29A924E3"/>
    <w:rsid w:val="2A253803"/>
    <w:rsid w:val="2AB477D7"/>
    <w:rsid w:val="2BEE0D24"/>
    <w:rsid w:val="2D1862B6"/>
    <w:rsid w:val="2DC91D15"/>
    <w:rsid w:val="2E1B2263"/>
    <w:rsid w:val="2E6B4D57"/>
    <w:rsid w:val="2EE041D2"/>
    <w:rsid w:val="2FB01BA2"/>
    <w:rsid w:val="30115DB3"/>
    <w:rsid w:val="30343257"/>
    <w:rsid w:val="30945557"/>
    <w:rsid w:val="30A72E02"/>
    <w:rsid w:val="31B244D3"/>
    <w:rsid w:val="32B16353"/>
    <w:rsid w:val="32E12CEE"/>
    <w:rsid w:val="33481272"/>
    <w:rsid w:val="341C379B"/>
    <w:rsid w:val="34DA4772"/>
    <w:rsid w:val="356524A2"/>
    <w:rsid w:val="35AF3D74"/>
    <w:rsid w:val="37BC7C37"/>
    <w:rsid w:val="3AA67358"/>
    <w:rsid w:val="3BAB3051"/>
    <w:rsid w:val="3C6209EF"/>
    <w:rsid w:val="3CCB5AF0"/>
    <w:rsid w:val="3D5A0FAC"/>
    <w:rsid w:val="3DF44BBF"/>
    <w:rsid w:val="3F60143E"/>
    <w:rsid w:val="3F736B0C"/>
    <w:rsid w:val="407451A1"/>
    <w:rsid w:val="409842FD"/>
    <w:rsid w:val="41B00F39"/>
    <w:rsid w:val="42602DD4"/>
    <w:rsid w:val="444569C6"/>
    <w:rsid w:val="44684948"/>
    <w:rsid w:val="4561751C"/>
    <w:rsid w:val="45B14176"/>
    <w:rsid w:val="47616438"/>
    <w:rsid w:val="477737C9"/>
    <w:rsid w:val="481869A3"/>
    <w:rsid w:val="483A2A4F"/>
    <w:rsid w:val="48F94436"/>
    <w:rsid w:val="49085E45"/>
    <w:rsid w:val="493874B9"/>
    <w:rsid w:val="49A91779"/>
    <w:rsid w:val="4AC26B09"/>
    <w:rsid w:val="4AC563A5"/>
    <w:rsid w:val="4AD85A03"/>
    <w:rsid w:val="4BA032C9"/>
    <w:rsid w:val="4BFA3DF8"/>
    <w:rsid w:val="4CE2507B"/>
    <w:rsid w:val="4E5A138E"/>
    <w:rsid w:val="4EDC6743"/>
    <w:rsid w:val="4EDD0A12"/>
    <w:rsid w:val="4FFF1AF2"/>
    <w:rsid w:val="507D4415"/>
    <w:rsid w:val="51930EF1"/>
    <w:rsid w:val="51ED1C8D"/>
    <w:rsid w:val="524F3F27"/>
    <w:rsid w:val="52984AD9"/>
    <w:rsid w:val="52CD0A2E"/>
    <w:rsid w:val="53457C47"/>
    <w:rsid w:val="544D4A8D"/>
    <w:rsid w:val="54A13C33"/>
    <w:rsid w:val="56A7547E"/>
    <w:rsid w:val="574A7A97"/>
    <w:rsid w:val="5A2E7D17"/>
    <w:rsid w:val="5A3317D1"/>
    <w:rsid w:val="5B86611E"/>
    <w:rsid w:val="5BE15DD7"/>
    <w:rsid w:val="5E2606F4"/>
    <w:rsid w:val="5E6344B5"/>
    <w:rsid w:val="5ED6097D"/>
    <w:rsid w:val="5F5D1C03"/>
    <w:rsid w:val="5F8F46A5"/>
    <w:rsid w:val="60591866"/>
    <w:rsid w:val="606F5B12"/>
    <w:rsid w:val="60DE3643"/>
    <w:rsid w:val="61B73090"/>
    <w:rsid w:val="63540074"/>
    <w:rsid w:val="636D4A7F"/>
    <w:rsid w:val="63FF2EE0"/>
    <w:rsid w:val="64691F93"/>
    <w:rsid w:val="65130235"/>
    <w:rsid w:val="65242442"/>
    <w:rsid w:val="656A67DD"/>
    <w:rsid w:val="65DB33A4"/>
    <w:rsid w:val="66AD0917"/>
    <w:rsid w:val="66D439F4"/>
    <w:rsid w:val="678A0557"/>
    <w:rsid w:val="67C17686"/>
    <w:rsid w:val="68894F25"/>
    <w:rsid w:val="6912551D"/>
    <w:rsid w:val="6A735FE3"/>
    <w:rsid w:val="6CA513D7"/>
    <w:rsid w:val="6DAC577E"/>
    <w:rsid w:val="6E884E95"/>
    <w:rsid w:val="70174A6B"/>
    <w:rsid w:val="70330D32"/>
    <w:rsid w:val="70711B28"/>
    <w:rsid w:val="71FA6F11"/>
    <w:rsid w:val="724A7260"/>
    <w:rsid w:val="72850298"/>
    <w:rsid w:val="72C7261E"/>
    <w:rsid w:val="73834E5D"/>
    <w:rsid w:val="73A41156"/>
    <w:rsid w:val="73BA21C4"/>
    <w:rsid w:val="73D043D1"/>
    <w:rsid w:val="73F96848"/>
    <w:rsid w:val="748E6284"/>
    <w:rsid w:val="74F82FA3"/>
    <w:rsid w:val="764113B5"/>
    <w:rsid w:val="783E33C3"/>
    <w:rsid w:val="78B743DC"/>
    <w:rsid w:val="78D05CB6"/>
    <w:rsid w:val="798E3AE8"/>
    <w:rsid w:val="7A296C72"/>
    <w:rsid w:val="7ACC524B"/>
    <w:rsid w:val="7AF64908"/>
    <w:rsid w:val="7B76471B"/>
    <w:rsid w:val="7B777DE4"/>
    <w:rsid w:val="7CF206F3"/>
    <w:rsid w:val="7DA573FC"/>
    <w:rsid w:val="7E115CAB"/>
    <w:rsid w:val="7E4F52FD"/>
    <w:rsid w:val="7F085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name="endnote reference"/>
    <w:lsdException w:qFormat="1" w:uiPriority="99" w:semiHidden="0"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6">
    <w:name w:val="heading 2"/>
    <w:basedOn w:val="1"/>
    <w:next w:val="7"/>
    <w:link w:val="52"/>
    <w:qFormat/>
    <w:uiPriority w:val="0"/>
    <w:pPr>
      <w:keepNext/>
      <w:keepLines/>
      <w:spacing w:before="260" w:after="260" w:line="415" w:lineRule="auto"/>
      <w:jc w:val="center"/>
      <w:outlineLvl w:val="1"/>
    </w:pPr>
    <w:rPr>
      <w:rFonts w:ascii="黑体" w:hAnsi="黑体" w:eastAsia="黑体"/>
      <w:sz w:val="30"/>
      <w:szCs w:val="30"/>
    </w:rPr>
  </w:style>
  <w:style w:type="paragraph" w:styleId="8">
    <w:name w:val="heading 3"/>
    <w:basedOn w:val="1"/>
    <w:next w:val="1"/>
    <w:link w:val="53"/>
    <w:qFormat/>
    <w:uiPriority w:val="9"/>
    <w:pPr>
      <w:keepNext/>
      <w:keepLines/>
      <w:spacing w:before="260" w:after="260" w:line="416" w:lineRule="auto"/>
      <w:outlineLvl w:val="2"/>
    </w:pPr>
    <w:rPr>
      <w:b/>
      <w:bCs/>
      <w:kern w:val="0"/>
      <w:sz w:val="32"/>
      <w:szCs w:val="32"/>
    </w:rPr>
  </w:style>
  <w:style w:type="paragraph" w:styleId="9">
    <w:name w:val="heading 4"/>
    <w:basedOn w:val="8"/>
    <w:next w:val="7"/>
    <w:link w:val="54"/>
    <w:qFormat/>
    <w:uiPriority w:val="0"/>
    <w:pPr>
      <w:numPr>
        <w:ilvl w:val="3"/>
        <w:numId w:val="1"/>
      </w:numPr>
      <w:spacing w:before="156" w:beforeLines="50" w:after="156" w:afterLines="50" w:line="360" w:lineRule="auto"/>
      <w:jc w:val="center"/>
      <w:outlineLvl w:val="3"/>
    </w:pPr>
    <w:rPr>
      <w:rFonts w:ascii="Arial" w:hAnsi="Arial"/>
      <w:b w:val="0"/>
      <w:bCs w:val="0"/>
      <w:color w:val="000000"/>
      <w:sz w:val="24"/>
      <w:szCs w:val="24"/>
    </w:rPr>
  </w:style>
  <w:style w:type="paragraph" w:styleId="10">
    <w:name w:val="heading 5"/>
    <w:basedOn w:val="9"/>
    <w:next w:val="7"/>
    <w:link w:val="55"/>
    <w:qFormat/>
    <w:uiPriority w:val="0"/>
    <w:pPr>
      <w:numPr>
        <w:ilvl w:val="4"/>
      </w:numPr>
      <w:spacing w:line="240" w:lineRule="exact"/>
      <w:outlineLvl w:val="4"/>
    </w:pPr>
  </w:style>
  <w:style w:type="paragraph" w:styleId="11">
    <w:name w:val="heading 6"/>
    <w:basedOn w:val="1"/>
    <w:next w:val="1"/>
    <w:link w:val="56"/>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paragraph" w:styleId="12">
    <w:name w:val="heading 7"/>
    <w:basedOn w:val="1"/>
    <w:next w:val="7"/>
    <w:link w:val="57"/>
    <w:qFormat/>
    <w:uiPriority w:val="0"/>
    <w:pPr>
      <w:keepNext/>
      <w:keepLines/>
      <w:numPr>
        <w:ilvl w:val="6"/>
        <w:numId w:val="1"/>
      </w:numPr>
      <w:spacing w:before="240" w:after="64" w:line="320" w:lineRule="auto"/>
      <w:outlineLvl w:val="6"/>
    </w:pPr>
    <w:rPr>
      <w:b/>
      <w:kern w:val="0"/>
      <w:sz w:val="24"/>
      <w:szCs w:val="20"/>
    </w:rPr>
  </w:style>
  <w:style w:type="paragraph" w:styleId="13">
    <w:name w:val="heading 8"/>
    <w:basedOn w:val="1"/>
    <w:next w:val="7"/>
    <w:link w:val="58"/>
    <w:qFormat/>
    <w:uiPriority w:val="0"/>
    <w:pPr>
      <w:keepNext/>
      <w:keepLines/>
      <w:numPr>
        <w:ilvl w:val="7"/>
        <w:numId w:val="1"/>
      </w:numPr>
      <w:spacing w:before="240" w:after="64" w:line="320" w:lineRule="auto"/>
      <w:outlineLvl w:val="7"/>
    </w:pPr>
    <w:rPr>
      <w:rFonts w:ascii="Arial" w:hAnsi="Arial" w:eastAsia="黑体"/>
      <w:kern w:val="0"/>
      <w:sz w:val="24"/>
      <w:szCs w:val="20"/>
    </w:rPr>
  </w:style>
  <w:style w:type="paragraph" w:styleId="14">
    <w:name w:val="heading 9"/>
    <w:basedOn w:val="1"/>
    <w:next w:val="7"/>
    <w:link w:val="59"/>
    <w:qFormat/>
    <w:uiPriority w:val="0"/>
    <w:pPr>
      <w:keepNext/>
      <w:keepLines/>
      <w:numPr>
        <w:ilvl w:val="8"/>
        <w:numId w:val="1"/>
      </w:numPr>
      <w:spacing w:before="240" w:after="64" w:line="320" w:lineRule="auto"/>
      <w:outlineLvl w:val="8"/>
    </w:pPr>
    <w:rPr>
      <w:rFonts w:ascii="Arial" w:hAnsi="Arial" w:eastAsia="黑体"/>
      <w:kern w:val="0"/>
      <w:sz w:val="20"/>
      <w:szCs w:val="20"/>
    </w:rPr>
  </w:style>
  <w:style w:type="character" w:default="1" w:styleId="43">
    <w:name w:val="Default Paragraph Font"/>
    <w:unhideWhenUsed/>
    <w:qFormat/>
    <w:uiPriority w:val="1"/>
  </w:style>
  <w:style w:type="table" w:default="1" w:styleId="39">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left="0" w:leftChars="0" w:firstLine="960" w:firstLineChars="200"/>
    </w:pPr>
    <w:rPr>
      <w:sz w:val="24"/>
      <w:szCs w:val="20"/>
    </w:rPr>
  </w:style>
  <w:style w:type="paragraph" w:styleId="3">
    <w:name w:val="Body Text Indent"/>
    <w:basedOn w:val="1"/>
    <w:next w:val="4"/>
    <w:link w:val="65"/>
    <w:qFormat/>
    <w:uiPriority w:val="0"/>
    <w:pPr>
      <w:spacing w:after="120"/>
      <w:ind w:left="420" w:leftChars="200"/>
    </w:pPr>
    <w:rPr>
      <w:kern w:val="0"/>
      <w:sz w:val="20"/>
      <w:szCs w:val="24"/>
    </w:rPr>
  </w:style>
  <w:style w:type="paragraph" w:styleId="4">
    <w:name w:val="envelope return"/>
    <w:basedOn w:val="1"/>
    <w:qFormat/>
    <w:uiPriority w:val="0"/>
    <w:pPr>
      <w:snapToGrid w:val="0"/>
    </w:pPr>
    <w:rPr>
      <w:rFonts w:ascii="Arial" w:hAnsi="Arial"/>
      <w:szCs w:val="24"/>
    </w:rPr>
  </w:style>
  <w:style w:type="paragraph" w:styleId="7">
    <w:name w:val="Normal Indent"/>
    <w:basedOn w:val="1"/>
    <w:unhideWhenUsed/>
    <w:qFormat/>
    <w:uiPriority w:val="0"/>
    <w:pPr>
      <w:ind w:firstLine="420" w:firstLineChars="200"/>
    </w:pPr>
  </w:style>
  <w:style w:type="paragraph" w:styleId="15">
    <w:name w:val="Document Map"/>
    <w:basedOn w:val="1"/>
    <w:link w:val="60"/>
    <w:semiHidden/>
    <w:qFormat/>
    <w:uiPriority w:val="0"/>
    <w:pPr>
      <w:shd w:val="clear" w:color="auto" w:fill="000080"/>
    </w:pPr>
    <w:rPr>
      <w:kern w:val="0"/>
      <w:sz w:val="20"/>
      <w:szCs w:val="24"/>
    </w:rPr>
  </w:style>
  <w:style w:type="paragraph" w:styleId="16">
    <w:name w:val="toa heading"/>
    <w:basedOn w:val="1"/>
    <w:next w:val="1"/>
    <w:unhideWhenUsed/>
    <w:qFormat/>
    <w:uiPriority w:val="99"/>
    <w:pPr>
      <w:spacing w:before="120"/>
    </w:pPr>
    <w:rPr>
      <w:rFonts w:ascii="Cambria" w:hAnsi="Cambria"/>
      <w:sz w:val="24"/>
    </w:rPr>
  </w:style>
  <w:style w:type="paragraph" w:styleId="17">
    <w:name w:val="annotation text"/>
    <w:basedOn w:val="1"/>
    <w:link w:val="61"/>
    <w:unhideWhenUsed/>
    <w:qFormat/>
    <w:uiPriority w:val="99"/>
    <w:pPr>
      <w:jc w:val="left"/>
    </w:pPr>
  </w:style>
  <w:style w:type="paragraph" w:styleId="18">
    <w:name w:val="Body Text 3"/>
    <w:basedOn w:val="1"/>
    <w:link w:val="62"/>
    <w:unhideWhenUsed/>
    <w:qFormat/>
    <w:uiPriority w:val="99"/>
    <w:pPr>
      <w:spacing w:after="120"/>
    </w:pPr>
    <w:rPr>
      <w:kern w:val="0"/>
      <w:sz w:val="16"/>
      <w:szCs w:val="16"/>
    </w:rPr>
  </w:style>
  <w:style w:type="paragraph" w:styleId="19">
    <w:name w:val="Body Text"/>
    <w:basedOn w:val="1"/>
    <w:next w:val="20"/>
    <w:link w:val="63"/>
    <w:unhideWhenUsed/>
    <w:qFormat/>
    <w:uiPriority w:val="0"/>
    <w:pPr>
      <w:spacing w:after="120"/>
    </w:pPr>
  </w:style>
  <w:style w:type="paragraph" w:styleId="20">
    <w:name w:val="Body Text 2"/>
    <w:basedOn w:val="1"/>
    <w:link w:val="64"/>
    <w:unhideWhenUsed/>
    <w:qFormat/>
    <w:uiPriority w:val="0"/>
    <w:rPr>
      <w:rFonts w:ascii="宋体" w:hAnsi="宋体" w:eastAsia="楷体_GB2312"/>
      <w:kern w:val="0"/>
      <w:sz w:val="20"/>
      <w:szCs w:val="24"/>
      <w:u w:val="single"/>
    </w:rPr>
  </w:style>
  <w:style w:type="paragraph" w:styleId="21">
    <w:name w:val="toc 3"/>
    <w:basedOn w:val="1"/>
    <w:next w:val="1"/>
    <w:unhideWhenUsed/>
    <w:qFormat/>
    <w:uiPriority w:val="39"/>
    <w:pPr>
      <w:ind w:left="840" w:leftChars="400"/>
    </w:pPr>
  </w:style>
  <w:style w:type="paragraph" w:styleId="22">
    <w:name w:val="Plain Text"/>
    <w:basedOn w:val="1"/>
    <w:next w:val="23"/>
    <w:link w:val="66"/>
    <w:qFormat/>
    <w:uiPriority w:val="99"/>
    <w:rPr>
      <w:rFonts w:ascii="宋体" w:hAnsi="Courier New" w:eastAsia="楷体_GB2312"/>
      <w:kern w:val="0"/>
      <w:sz w:val="20"/>
      <w:szCs w:val="24"/>
    </w:rPr>
  </w:style>
  <w:style w:type="paragraph" w:customStyle="1" w:styleId="23">
    <w:name w:val="Default"/>
    <w:next w:val="24"/>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24">
    <w:name w:val="List"/>
    <w:basedOn w:val="1"/>
    <w:next w:val="1"/>
    <w:qFormat/>
    <w:uiPriority w:val="0"/>
    <w:pPr>
      <w:snapToGrid w:val="0"/>
    </w:pPr>
    <w:rPr>
      <w:szCs w:val="24"/>
    </w:rPr>
  </w:style>
  <w:style w:type="paragraph" w:styleId="25">
    <w:name w:val="Date"/>
    <w:basedOn w:val="1"/>
    <w:next w:val="1"/>
    <w:link w:val="67"/>
    <w:qFormat/>
    <w:uiPriority w:val="0"/>
    <w:rPr>
      <w:kern w:val="0"/>
      <w:sz w:val="24"/>
      <w:szCs w:val="20"/>
    </w:rPr>
  </w:style>
  <w:style w:type="paragraph" w:styleId="26">
    <w:name w:val="Body Text Indent 2"/>
    <w:basedOn w:val="1"/>
    <w:link w:val="68"/>
    <w:qFormat/>
    <w:uiPriority w:val="0"/>
    <w:pPr>
      <w:spacing w:after="120" w:line="480" w:lineRule="auto"/>
      <w:ind w:left="420" w:leftChars="200"/>
    </w:pPr>
    <w:rPr>
      <w:kern w:val="0"/>
      <w:sz w:val="20"/>
      <w:szCs w:val="24"/>
    </w:rPr>
  </w:style>
  <w:style w:type="paragraph" w:styleId="27">
    <w:name w:val="endnote text"/>
    <w:basedOn w:val="1"/>
    <w:link w:val="69"/>
    <w:unhideWhenUsed/>
    <w:qFormat/>
    <w:uiPriority w:val="99"/>
    <w:pPr>
      <w:snapToGrid w:val="0"/>
      <w:jc w:val="left"/>
    </w:pPr>
  </w:style>
  <w:style w:type="paragraph" w:styleId="28">
    <w:name w:val="Balloon Text"/>
    <w:basedOn w:val="1"/>
    <w:link w:val="70"/>
    <w:unhideWhenUsed/>
    <w:qFormat/>
    <w:uiPriority w:val="99"/>
    <w:rPr>
      <w:kern w:val="0"/>
      <w:sz w:val="18"/>
      <w:szCs w:val="18"/>
    </w:rPr>
  </w:style>
  <w:style w:type="paragraph" w:styleId="29">
    <w:name w:val="footer"/>
    <w:basedOn w:val="1"/>
    <w:link w:val="71"/>
    <w:unhideWhenUsed/>
    <w:qFormat/>
    <w:uiPriority w:val="99"/>
    <w:pPr>
      <w:tabs>
        <w:tab w:val="center" w:pos="4153"/>
        <w:tab w:val="right" w:pos="8306"/>
      </w:tabs>
      <w:snapToGrid w:val="0"/>
      <w:jc w:val="left"/>
    </w:pPr>
    <w:rPr>
      <w:kern w:val="0"/>
      <w:sz w:val="18"/>
      <w:szCs w:val="18"/>
    </w:rPr>
  </w:style>
  <w:style w:type="paragraph" w:styleId="30">
    <w:name w:val="header"/>
    <w:basedOn w:val="1"/>
    <w:link w:val="7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qFormat/>
    <w:uiPriority w:val="39"/>
    <w:pPr>
      <w:tabs>
        <w:tab w:val="right" w:leader="dot" w:pos="9060"/>
      </w:tabs>
      <w:spacing w:before="120" w:after="120"/>
      <w:jc w:val="center"/>
    </w:pPr>
    <w:rPr>
      <w:b/>
      <w:bCs/>
      <w:caps/>
      <w:sz w:val="24"/>
      <w:szCs w:val="24"/>
      <w:lang w:val="en-US" w:eastAsia="zh-CN"/>
    </w:rPr>
  </w:style>
  <w:style w:type="paragraph" w:styleId="32">
    <w:name w:val="Body Text Indent 3"/>
    <w:basedOn w:val="1"/>
    <w:link w:val="73"/>
    <w:qFormat/>
    <w:uiPriority w:val="0"/>
    <w:pPr>
      <w:spacing w:after="120"/>
      <w:ind w:left="420" w:leftChars="200"/>
    </w:pPr>
    <w:rPr>
      <w:kern w:val="0"/>
      <w:sz w:val="16"/>
      <w:szCs w:val="16"/>
    </w:rPr>
  </w:style>
  <w:style w:type="paragraph" w:styleId="33">
    <w:name w:val="toc 2"/>
    <w:basedOn w:val="1"/>
    <w:next w:val="1"/>
    <w:qFormat/>
    <w:uiPriority w:val="39"/>
    <w:pPr>
      <w:tabs>
        <w:tab w:val="right" w:leader="dot" w:pos="8302"/>
      </w:tabs>
      <w:ind w:left="210"/>
      <w:jc w:val="left"/>
    </w:pPr>
    <w:rPr>
      <w:smallCaps/>
      <w:sz w:val="20"/>
      <w:szCs w:val="20"/>
    </w:rPr>
  </w:style>
  <w:style w:type="paragraph" w:styleId="34">
    <w:name w:val="Normal (Web)"/>
    <w:basedOn w:val="1"/>
    <w:qFormat/>
    <w:uiPriority w:val="99"/>
    <w:pPr>
      <w:widowControl/>
      <w:spacing w:before="100" w:beforeAutospacing="1" w:after="100" w:afterAutospacing="1"/>
      <w:jc w:val="left"/>
    </w:pPr>
    <w:rPr>
      <w:kern w:val="0"/>
      <w:sz w:val="24"/>
      <w:szCs w:val="24"/>
    </w:rPr>
  </w:style>
  <w:style w:type="paragraph" w:styleId="35">
    <w:name w:val="index 1"/>
    <w:basedOn w:val="1"/>
    <w:next w:val="1"/>
    <w:semiHidden/>
    <w:qFormat/>
    <w:uiPriority w:val="0"/>
    <w:pPr>
      <w:spacing w:line="220" w:lineRule="exact"/>
      <w:jc w:val="center"/>
    </w:pPr>
    <w:rPr>
      <w:rFonts w:ascii="仿宋_GB2312" w:eastAsia="仿宋_GB2312"/>
      <w:szCs w:val="21"/>
    </w:rPr>
  </w:style>
  <w:style w:type="paragraph" w:styleId="36">
    <w:name w:val="Title"/>
    <w:basedOn w:val="1"/>
    <w:link w:val="74"/>
    <w:qFormat/>
    <w:uiPriority w:val="0"/>
    <w:pPr>
      <w:spacing w:before="120" w:after="60"/>
      <w:jc w:val="center"/>
    </w:pPr>
    <w:rPr>
      <w:rFonts w:ascii="Arial" w:hAnsi="Arial" w:eastAsia="楷体_GB2312"/>
      <w:b/>
      <w:kern w:val="0"/>
      <w:sz w:val="44"/>
      <w:szCs w:val="20"/>
    </w:rPr>
  </w:style>
  <w:style w:type="paragraph" w:styleId="37">
    <w:name w:val="annotation subject"/>
    <w:basedOn w:val="17"/>
    <w:next w:val="17"/>
    <w:link w:val="75"/>
    <w:unhideWhenUsed/>
    <w:qFormat/>
    <w:uiPriority w:val="99"/>
    <w:rPr>
      <w:b/>
      <w:bCs/>
      <w:kern w:val="0"/>
      <w:sz w:val="20"/>
      <w:szCs w:val="20"/>
    </w:rPr>
  </w:style>
  <w:style w:type="paragraph" w:styleId="38">
    <w:name w:val="Body Text First Indent"/>
    <w:basedOn w:val="19"/>
    <w:link w:val="76"/>
    <w:qFormat/>
    <w:uiPriority w:val="0"/>
    <w:pPr>
      <w:ind w:firstLine="420"/>
    </w:pPr>
    <w:rPr>
      <w:rFonts w:eastAsia="楷体_GB2312"/>
      <w:kern w:val="0"/>
      <w:sz w:val="20"/>
      <w:szCs w:val="20"/>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Theme"/>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Table Professional"/>
    <w:basedOn w:val="3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44">
    <w:name w:val="Strong"/>
    <w:basedOn w:val="43"/>
    <w:qFormat/>
    <w:uiPriority w:val="22"/>
    <w:rPr>
      <w:rFonts w:eastAsia="宋体"/>
      <w:b/>
      <w:bCs/>
      <w:kern w:val="2"/>
      <w:sz w:val="24"/>
      <w:szCs w:val="24"/>
      <w:lang w:val="en-US" w:eastAsia="zh-CN" w:bidi="ar-SA"/>
    </w:rPr>
  </w:style>
  <w:style w:type="character" w:styleId="45">
    <w:name w:val="endnote reference"/>
    <w:semiHidden/>
    <w:qFormat/>
    <w:uiPriority w:val="0"/>
    <w:rPr>
      <w:rFonts w:eastAsia="宋体"/>
      <w:kern w:val="2"/>
      <w:sz w:val="24"/>
      <w:szCs w:val="24"/>
      <w:vertAlign w:val="superscript"/>
      <w:lang w:val="en-US" w:eastAsia="zh-CN" w:bidi="ar-SA"/>
    </w:rPr>
  </w:style>
  <w:style w:type="character" w:styleId="46">
    <w:name w:val="page number"/>
    <w:qFormat/>
    <w:uiPriority w:val="0"/>
    <w:rPr>
      <w:rFonts w:ascii="Arial" w:hAnsi="Arial" w:eastAsia="黑体"/>
      <w:kern w:val="2"/>
      <w:sz w:val="21"/>
      <w:szCs w:val="21"/>
      <w:lang w:val="en-US" w:eastAsia="zh-CN" w:bidi="ar-SA"/>
    </w:rPr>
  </w:style>
  <w:style w:type="character" w:styleId="47">
    <w:name w:val="FollowedHyperlink"/>
    <w:qFormat/>
    <w:uiPriority w:val="0"/>
    <w:rPr>
      <w:rFonts w:ascii="Arial" w:hAnsi="Arial" w:eastAsia="黑体"/>
      <w:color w:val="800080"/>
      <w:kern w:val="2"/>
      <w:sz w:val="21"/>
      <w:szCs w:val="21"/>
      <w:u w:val="single"/>
      <w:lang w:val="en-US" w:eastAsia="zh-CN" w:bidi="ar-SA"/>
    </w:rPr>
  </w:style>
  <w:style w:type="character" w:styleId="48">
    <w:name w:val="Hyperlink"/>
    <w:qFormat/>
    <w:uiPriority w:val="99"/>
    <w:rPr>
      <w:rFonts w:ascii="Arial" w:hAnsi="Arial" w:eastAsia="黑体"/>
      <w:color w:val="0000FF"/>
      <w:kern w:val="2"/>
      <w:sz w:val="21"/>
      <w:szCs w:val="21"/>
      <w:u w:val="single"/>
      <w:lang w:val="en-US" w:eastAsia="zh-CN" w:bidi="ar-SA"/>
    </w:rPr>
  </w:style>
  <w:style w:type="character" w:styleId="49">
    <w:name w:val="annotation reference"/>
    <w:unhideWhenUsed/>
    <w:qFormat/>
    <w:uiPriority w:val="99"/>
    <w:rPr>
      <w:sz w:val="21"/>
      <w:szCs w:val="21"/>
    </w:rPr>
  </w:style>
  <w:style w:type="paragraph" w:customStyle="1" w:styleId="50">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1">
    <w:name w:val="标题 1 Char"/>
    <w:link w:val="5"/>
    <w:qFormat/>
    <w:uiPriority w:val="0"/>
    <w:rPr>
      <w:b/>
      <w:bCs/>
      <w:kern w:val="44"/>
      <w:sz w:val="44"/>
      <w:szCs w:val="44"/>
    </w:rPr>
  </w:style>
  <w:style w:type="character" w:customStyle="1" w:styleId="52">
    <w:name w:val="标题 2 Char"/>
    <w:link w:val="6"/>
    <w:qFormat/>
    <w:uiPriority w:val="0"/>
    <w:rPr>
      <w:rFonts w:ascii="黑体" w:hAnsi="黑体" w:eastAsia="黑体"/>
      <w:kern w:val="2"/>
      <w:sz w:val="30"/>
      <w:szCs w:val="30"/>
    </w:rPr>
  </w:style>
  <w:style w:type="character" w:customStyle="1" w:styleId="53">
    <w:name w:val="标题 3 Char"/>
    <w:link w:val="8"/>
    <w:semiHidden/>
    <w:qFormat/>
    <w:uiPriority w:val="9"/>
    <w:rPr>
      <w:b/>
      <w:bCs/>
      <w:sz w:val="32"/>
      <w:szCs w:val="32"/>
    </w:rPr>
  </w:style>
  <w:style w:type="character" w:customStyle="1" w:styleId="54">
    <w:name w:val="标题 4 Char"/>
    <w:link w:val="9"/>
    <w:qFormat/>
    <w:uiPriority w:val="0"/>
    <w:rPr>
      <w:rFonts w:ascii="Arial" w:hAnsi="Arial" w:eastAsia="宋体" w:cs="Times New Roman"/>
      <w:color w:val="000000"/>
      <w:sz w:val="24"/>
      <w:szCs w:val="24"/>
    </w:rPr>
  </w:style>
  <w:style w:type="character" w:customStyle="1" w:styleId="55">
    <w:name w:val="标题 5 Char"/>
    <w:link w:val="10"/>
    <w:qFormat/>
    <w:uiPriority w:val="0"/>
    <w:rPr>
      <w:rFonts w:ascii="Arial" w:hAnsi="Arial" w:eastAsia="宋体" w:cs="Times New Roman"/>
      <w:color w:val="000000"/>
      <w:sz w:val="24"/>
      <w:szCs w:val="24"/>
    </w:rPr>
  </w:style>
  <w:style w:type="character" w:customStyle="1" w:styleId="56">
    <w:name w:val="标题 6 Char"/>
    <w:link w:val="11"/>
    <w:qFormat/>
    <w:uiPriority w:val="0"/>
    <w:rPr>
      <w:rFonts w:ascii="Arial" w:hAnsi="Arial" w:eastAsia="黑体" w:cs="Times New Roman"/>
      <w:b/>
      <w:bCs/>
      <w:kern w:val="0"/>
      <w:sz w:val="24"/>
      <w:szCs w:val="24"/>
    </w:rPr>
  </w:style>
  <w:style w:type="character" w:customStyle="1" w:styleId="57">
    <w:name w:val="标题 7 Char"/>
    <w:link w:val="12"/>
    <w:qFormat/>
    <w:uiPriority w:val="0"/>
    <w:rPr>
      <w:rFonts w:ascii="Times New Roman" w:hAnsi="Times New Roman" w:eastAsia="宋体" w:cs="Times New Roman"/>
      <w:b/>
      <w:sz w:val="24"/>
      <w:szCs w:val="20"/>
    </w:rPr>
  </w:style>
  <w:style w:type="character" w:customStyle="1" w:styleId="58">
    <w:name w:val="标题 8 Char"/>
    <w:link w:val="13"/>
    <w:qFormat/>
    <w:uiPriority w:val="0"/>
    <w:rPr>
      <w:rFonts w:ascii="Arial" w:hAnsi="Arial" w:eastAsia="黑体" w:cs="Times New Roman"/>
      <w:sz w:val="24"/>
      <w:szCs w:val="20"/>
    </w:rPr>
  </w:style>
  <w:style w:type="character" w:customStyle="1" w:styleId="59">
    <w:name w:val="标题 9 Char"/>
    <w:link w:val="14"/>
    <w:qFormat/>
    <w:uiPriority w:val="0"/>
    <w:rPr>
      <w:rFonts w:ascii="Arial" w:hAnsi="Arial" w:eastAsia="黑体" w:cs="Times New Roman"/>
      <w:szCs w:val="20"/>
    </w:rPr>
  </w:style>
  <w:style w:type="character" w:customStyle="1" w:styleId="60">
    <w:name w:val="文档结构图 Char"/>
    <w:link w:val="15"/>
    <w:semiHidden/>
    <w:qFormat/>
    <w:uiPriority w:val="0"/>
    <w:rPr>
      <w:rFonts w:ascii="Times New Roman" w:hAnsi="Times New Roman" w:eastAsia="宋体" w:cs="Times New Roman"/>
      <w:szCs w:val="24"/>
      <w:shd w:val="clear" w:color="auto" w:fill="000080"/>
    </w:rPr>
  </w:style>
  <w:style w:type="character" w:customStyle="1" w:styleId="61">
    <w:name w:val="批注文字 Char"/>
    <w:link w:val="17"/>
    <w:semiHidden/>
    <w:qFormat/>
    <w:uiPriority w:val="99"/>
  </w:style>
  <w:style w:type="character" w:customStyle="1" w:styleId="62">
    <w:name w:val="正文文本 3 Char"/>
    <w:link w:val="18"/>
    <w:semiHidden/>
    <w:qFormat/>
    <w:uiPriority w:val="99"/>
    <w:rPr>
      <w:sz w:val="16"/>
      <w:szCs w:val="16"/>
    </w:rPr>
  </w:style>
  <w:style w:type="character" w:customStyle="1" w:styleId="63">
    <w:name w:val="正文文本 Char"/>
    <w:link w:val="19"/>
    <w:semiHidden/>
    <w:qFormat/>
    <w:uiPriority w:val="99"/>
  </w:style>
  <w:style w:type="character" w:customStyle="1" w:styleId="64">
    <w:name w:val="正文文本 2 Char"/>
    <w:link w:val="20"/>
    <w:semiHidden/>
    <w:qFormat/>
    <w:uiPriority w:val="0"/>
    <w:rPr>
      <w:rFonts w:ascii="宋体" w:hAnsi="宋体" w:eastAsia="楷体_GB2312" w:cs="Times New Roman"/>
      <w:szCs w:val="24"/>
      <w:u w:val="single"/>
    </w:rPr>
  </w:style>
  <w:style w:type="character" w:customStyle="1" w:styleId="65">
    <w:name w:val="正文文本缩进 Char"/>
    <w:link w:val="3"/>
    <w:qFormat/>
    <w:uiPriority w:val="0"/>
    <w:rPr>
      <w:rFonts w:ascii="Times New Roman" w:hAnsi="Times New Roman" w:eastAsia="宋体" w:cs="Times New Roman"/>
      <w:szCs w:val="24"/>
    </w:rPr>
  </w:style>
  <w:style w:type="character" w:customStyle="1" w:styleId="66">
    <w:name w:val="纯文本 Char"/>
    <w:link w:val="22"/>
    <w:qFormat/>
    <w:locked/>
    <w:uiPriority w:val="99"/>
    <w:rPr>
      <w:rFonts w:ascii="宋体" w:hAnsi="Courier New" w:eastAsia="楷体_GB2312"/>
      <w:szCs w:val="24"/>
    </w:rPr>
  </w:style>
  <w:style w:type="character" w:customStyle="1" w:styleId="67">
    <w:name w:val="日期 Char"/>
    <w:link w:val="25"/>
    <w:qFormat/>
    <w:uiPriority w:val="0"/>
    <w:rPr>
      <w:rFonts w:ascii="Times New Roman" w:hAnsi="Times New Roman" w:eastAsia="宋体" w:cs="Times New Roman"/>
      <w:sz w:val="24"/>
      <w:szCs w:val="20"/>
    </w:rPr>
  </w:style>
  <w:style w:type="character" w:customStyle="1" w:styleId="68">
    <w:name w:val="正文文本缩进 2 Char"/>
    <w:link w:val="26"/>
    <w:qFormat/>
    <w:uiPriority w:val="0"/>
    <w:rPr>
      <w:rFonts w:ascii="Times New Roman" w:hAnsi="Times New Roman" w:eastAsia="宋体" w:cs="Times New Roman"/>
      <w:szCs w:val="24"/>
    </w:rPr>
  </w:style>
  <w:style w:type="character" w:customStyle="1" w:styleId="69">
    <w:name w:val="尾注文本 Char"/>
    <w:link w:val="27"/>
    <w:semiHidden/>
    <w:qFormat/>
    <w:uiPriority w:val="99"/>
  </w:style>
  <w:style w:type="character" w:customStyle="1" w:styleId="70">
    <w:name w:val="批注框文本 Char"/>
    <w:link w:val="28"/>
    <w:semiHidden/>
    <w:qFormat/>
    <w:uiPriority w:val="99"/>
    <w:rPr>
      <w:sz w:val="18"/>
      <w:szCs w:val="18"/>
    </w:rPr>
  </w:style>
  <w:style w:type="character" w:customStyle="1" w:styleId="71">
    <w:name w:val="页脚 Char"/>
    <w:link w:val="29"/>
    <w:qFormat/>
    <w:uiPriority w:val="99"/>
    <w:rPr>
      <w:sz w:val="18"/>
      <w:szCs w:val="18"/>
    </w:rPr>
  </w:style>
  <w:style w:type="character" w:customStyle="1" w:styleId="72">
    <w:name w:val="页眉 Char"/>
    <w:link w:val="30"/>
    <w:qFormat/>
    <w:uiPriority w:val="99"/>
    <w:rPr>
      <w:sz w:val="18"/>
      <w:szCs w:val="18"/>
    </w:rPr>
  </w:style>
  <w:style w:type="character" w:customStyle="1" w:styleId="73">
    <w:name w:val="正文文本缩进 3 Char"/>
    <w:link w:val="32"/>
    <w:qFormat/>
    <w:uiPriority w:val="0"/>
    <w:rPr>
      <w:rFonts w:ascii="Times New Roman" w:hAnsi="Times New Roman" w:eastAsia="宋体" w:cs="Times New Roman"/>
      <w:sz w:val="16"/>
      <w:szCs w:val="16"/>
    </w:rPr>
  </w:style>
  <w:style w:type="character" w:customStyle="1" w:styleId="74">
    <w:name w:val="标题 Char"/>
    <w:link w:val="36"/>
    <w:qFormat/>
    <w:uiPriority w:val="0"/>
    <w:rPr>
      <w:rFonts w:ascii="Arial" w:hAnsi="Arial" w:eastAsia="楷体_GB2312" w:cs="Times New Roman"/>
      <w:b/>
      <w:sz w:val="44"/>
      <w:szCs w:val="20"/>
    </w:rPr>
  </w:style>
  <w:style w:type="character" w:customStyle="1" w:styleId="75">
    <w:name w:val="批注主题 Char"/>
    <w:link w:val="37"/>
    <w:semiHidden/>
    <w:qFormat/>
    <w:uiPriority w:val="99"/>
    <w:rPr>
      <w:b/>
      <w:bCs/>
    </w:rPr>
  </w:style>
  <w:style w:type="character" w:customStyle="1" w:styleId="76">
    <w:name w:val="正文首行缩进 Char"/>
    <w:link w:val="38"/>
    <w:qFormat/>
    <w:uiPriority w:val="0"/>
    <w:rPr>
      <w:rFonts w:ascii="Times New Roman" w:hAnsi="Times New Roman" w:eastAsia="楷体_GB2312" w:cs="Times New Roman"/>
      <w:szCs w:val="20"/>
    </w:rPr>
  </w:style>
  <w:style w:type="paragraph" w:customStyle="1" w:styleId="77">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character" w:customStyle="1" w:styleId="78">
    <w:name w:val="纯文本 Char1"/>
    <w:semiHidden/>
    <w:qFormat/>
    <w:uiPriority w:val="99"/>
    <w:rPr>
      <w:rFonts w:ascii="宋体" w:hAnsi="Courier New" w:eastAsia="宋体" w:cs="Courier New"/>
      <w:szCs w:val="21"/>
    </w:rPr>
  </w:style>
  <w:style w:type="paragraph" w:customStyle="1" w:styleId="79">
    <w:name w:val="Char"/>
    <w:basedOn w:val="1"/>
    <w:qFormat/>
    <w:uiPriority w:val="0"/>
    <w:pPr>
      <w:numPr>
        <w:ilvl w:val="0"/>
        <w:numId w:val="2"/>
      </w:numPr>
    </w:pPr>
    <w:rPr>
      <w:sz w:val="24"/>
      <w:szCs w:val="24"/>
    </w:rPr>
  </w:style>
  <w:style w:type="paragraph" w:customStyle="1" w:styleId="8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81">
    <w:name w:val="xl31"/>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82">
    <w:name w:val="标题2"/>
    <w:basedOn w:val="6"/>
    <w:next w:val="1"/>
    <w:qFormat/>
    <w:uiPriority w:val="0"/>
    <w:pPr>
      <w:snapToGrid w:val="0"/>
      <w:spacing w:before="120" w:line="240" w:lineRule="auto"/>
      <w:jc w:val="left"/>
    </w:pPr>
    <w:rPr>
      <w:rFonts w:ascii="Arial" w:hAnsi="Arial"/>
      <w:sz w:val="21"/>
      <w:szCs w:val="21"/>
    </w:rPr>
  </w:style>
  <w:style w:type="paragraph" w:customStyle="1" w:styleId="83">
    <w:name w:val="样式 标题 3 + (中文) 黑体 小四 非加粗 段前: 7.8 磅 段后: 0 磅 行距: 固定值 20 磅"/>
    <w:basedOn w:val="8"/>
    <w:qFormat/>
    <w:uiPriority w:val="0"/>
    <w:pPr>
      <w:spacing w:before="0" w:after="0" w:line="400" w:lineRule="exact"/>
      <w:jc w:val="left"/>
    </w:pPr>
    <w:rPr>
      <w:rFonts w:ascii="宋体" w:hAnsi="宋体" w:eastAsia="黑体" w:cs="宋体"/>
      <w:b w:val="0"/>
      <w:bCs w:val="0"/>
      <w:sz w:val="24"/>
      <w:szCs w:val="20"/>
    </w:rPr>
  </w:style>
  <w:style w:type="paragraph" w:customStyle="1" w:styleId="84">
    <w:name w:val="样式 标题 2 + Times New Roman 四号 非加粗 段前: 5 磅 段后: 0 磅 行距: 固定值 20..."/>
    <w:basedOn w:val="6"/>
    <w:qFormat/>
    <w:uiPriority w:val="0"/>
    <w:pPr>
      <w:spacing w:before="100" w:after="0"/>
    </w:pPr>
    <w:rPr>
      <w:rFonts w:ascii="Times New Roman" w:hAnsi="Times New Roman"/>
      <w:sz w:val="28"/>
      <w:szCs w:val="20"/>
    </w:rPr>
  </w:style>
  <w:style w:type="paragraph" w:customStyle="1" w:styleId="85">
    <w:name w:val="样式 标题 1 + 黑体 三号 非加粗 居中 段前: 6 磅 段后: 6 磅 行距: 固定值 20 磅"/>
    <w:basedOn w:val="5"/>
    <w:qFormat/>
    <w:uiPriority w:val="0"/>
    <w:pPr>
      <w:spacing w:before="120" w:after="120" w:line="400" w:lineRule="exact"/>
      <w:jc w:val="center"/>
    </w:pPr>
    <w:rPr>
      <w:rFonts w:ascii="黑体" w:hAnsi="黑体" w:eastAsia="黑体" w:cs="宋体"/>
      <w:b w:val="0"/>
      <w:bCs w:val="0"/>
      <w:sz w:val="32"/>
      <w:szCs w:val="20"/>
    </w:rPr>
  </w:style>
  <w:style w:type="paragraph" w:customStyle="1" w:styleId="86">
    <w:name w:val="1"/>
    <w:basedOn w:val="1"/>
    <w:qFormat/>
    <w:uiPriority w:val="0"/>
    <w:rPr>
      <w:szCs w:val="24"/>
    </w:rPr>
  </w:style>
  <w:style w:type="character" w:customStyle="1" w:styleId="87">
    <w:name w:val="font161"/>
    <w:qFormat/>
    <w:uiPriority w:val="0"/>
    <w:rPr>
      <w:rFonts w:ascii="Arial" w:hAnsi="Arial" w:eastAsia="黑体"/>
      <w:b/>
      <w:bCs/>
      <w:kern w:val="2"/>
      <w:sz w:val="32"/>
      <w:szCs w:val="32"/>
      <w:lang w:val="en-US" w:eastAsia="zh-CN" w:bidi="ar-SA"/>
    </w:rPr>
  </w:style>
  <w:style w:type="paragraph" w:customStyle="1" w:styleId="88">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89">
    <w:name w:val="表格"/>
    <w:basedOn w:val="1"/>
    <w:qFormat/>
    <w:uiPriority w:val="0"/>
    <w:pPr>
      <w:jc w:val="center"/>
      <w:textAlignment w:val="center"/>
    </w:pPr>
    <w:rPr>
      <w:rFonts w:ascii="华文细黑" w:hAnsi="华文细黑"/>
      <w:kern w:val="0"/>
      <w:szCs w:val="20"/>
    </w:rPr>
  </w:style>
  <w:style w:type="paragraph" w:customStyle="1" w:styleId="90">
    <w:name w:val="表格文字"/>
    <w:basedOn w:val="1"/>
    <w:qFormat/>
    <w:uiPriority w:val="0"/>
    <w:pPr>
      <w:adjustRightInd w:val="0"/>
      <w:spacing w:line="420" w:lineRule="atLeast"/>
      <w:jc w:val="left"/>
      <w:textAlignment w:val="baseline"/>
    </w:pPr>
    <w:rPr>
      <w:kern w:val="0"/>
      <w:szCs w:val="20"/>
    </w:rPr>
  </w:style>
  <w:style w:type="paragraph" w:customStyle="1" w:styleId="91">
    <w:name w:val="font5"/>
    <w:basedOn w:val="1"/>
    <w:link w:val="92"/>
    <w:qFormat/>
    <w:uiPriority w:val="0"/>
    <w:pPr>
      <w:widowControl/>
      <w:spacing w:before="100" w:beforeAutospacing="1" w:after="100" w:afterAutospacing="1"/>
      <w:jc w:val="left"/>
    </w:pPr>
    <w:rPr>
      <w:rFonts w:ascii="宋体" w:hAnsi="宋体"/>
      <w:kern w:val="0"/>
      <w:sz w:val="24"/>
      <w:szCs w:val="24"/>
    </w:rPr>
  </w:style>
  <w:style w:type="character" w:customStyle="1" w:styleId="92">
    <w:name w:val="font5 Char"/>
    <w:link w:val="91"/>
    <w:qFormat/>
    <w:uiPriority w:val="0"/>
    <w:rPr>
      <w:rFonts w:ascii="宋体" w:hAnsi="宋体" w:eastAsia="宋体" w:cs="Times New Roman"/>
      <w:kern w:val="0"/>
      <w:sz w:val="24"/>
      <w:szCs w:val="24"/>
    </w:rPr>
  </w:style>
  <w:style w:type="paragraph" w:customStyle="1" w:styleId="93">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94">
    <w:name w:val="表格2"/>
    <w:basedOn w:val="1"/>
    <w:qFormat/>
    <w:uiPriority w:val="0"/>
    <w:pPr>
      <w:adjustRightInd w:val="0"/>
      <w:spacing w:before="60" w:after="60"/>
      <w:jc w:val="center"/>
    </w:pPr>
    <w:rPr>
      <w:rFonts w:ascii="宋体"/>
      <w:color w:val="000000"/>
      <w:kern w:val="0"/>
      <w:sz w:val="24"/>
      <w:szCs w:val="20"/>
    </w:rPr>
  </w:style>
  <w:style w:type="paragraph" w:customStyle="1" w:styleId="9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szCs w:val="24"/>
    </w:rPr>
  </w:style>
  <w:style w:type="paragraph" w:styleId="96">
    <w:name w:val="List Paragraph"/>
    <w:basedOn w:val="1"/>
    <w:qFormat/>
    <w:uiPriority w:val="34"/>
    <w:pPr>
      <w:ind w:firstLine="420" w:firstLineChars="200"/>
    </w:pPr>
  </w:style>
  <w:style w:type="paragraph" w:customStyle="1" w:styleId="97">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98">
    <w:name w:val="TOC Heading"/>
    <w:basedOn w:val="5"/>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99">
    <w:name w:val="p0"/>
    <w:basedOn w:val="1"/>
    <w:qFormat/>
    <w:uiPriority w:val="0"/>
    <w:pPr>
      <w:widowControl/>
      <w:spacing w:before="75" w:after="75"/>
      <w:jc w:val="left"/>
    </w:pPr>
    <w:rPr>
      <w:rFonts w:ascii="宋体" w:hAnsi="宋体" w:cs="宋体"/>
      <w:kern w:val="0"/>
      <w:sz w:val="24"/>
      <w:szCs w:val="24"/>
    </w:rPr>
  </w:style>
  <w:style w:type="paragraph" w:customStyle="1" w:styleId="100">
    <w:name w:val="发文落款"/>
    <w:basedOn w:val="77"/>
    <w:qFormat/>
    <w:uiPriority w:val="99"/>
    <w:pPr>
      <w:ind w:left="4094" w:right="607" w:firstLine="0"/>
      <w:jc w:val="center"/>
    </w:pPr>
    <w:rPr>
      <w:rFonts w:cs="仿宋_GB2312"/>
      <w:szCs w:val="32"/>
    </w:rPr>
  </w:style>
  <w:style w:type="paragraph" w:customStyle="1" w:styleId="101">
    <w:name w:val="Revision"/>
    <w:semiHidden/>
    <w:qFormat/>
    <w:uiPriority w:val="99"/>
    <w:rPr>
      <w:rFonts w:ascii="Times New Roman" w:hAnsi="Times New Roman" w:eastAsia="宋体" w:cs="Times New Roman"/>
      <w:kern w:val="2"/>
      <w:sz w:val="21"/>
      <w:szCs w:val="22"/>
      <w:lang w:val="en-US" w:eastAsia="zh-CN" w:bidi="ar-SA"/>
    </w:rPr>
  </w:style>
  <w:style w:type="character" w:customStyle="1" w:styleId="102">
    <w:name w:val="NormalCharacter"/>
    <w:qFormat/>
    <w:uiPriority w:val="0"/>
    <w:rPr>
      <w:kern w:val="2"/>
      <w:sz w:val="21"/>
      <w:szCs w:val="22"/>
      <w:lang w:val="en-US" w:eastAsia="zh-CN" w:bidi="ar-SA"/>
    </w:rPr>
  </w:style>
  <w:style w:type="paragraph" w:customStyle="1" w:styleId="103">
    <w:name w:val="_Style 67"/>
    <w:basedOn w:val="19"/>
    <w:next w:val="38"/>
    <w:qFormat/>
    <w:uiPriority w:val="0"/>
    <w:pPr>
      <w:ind w:firstLine="420"/>
    </w:pPr>
    <w:rPr>
      <w:rFonts w:eastAsia="楷体_GB2312"/>
      <w:kern w:val="0"/>
      <w:sz w:val="20"/>
      <w:szCs w:val="20"/>
    </w:rPr>
  </w:style>
  <w:style w:type="paragraph" w:customStyle="1" w:styleId="104">
    <w:name w:val="样式 宋体 行距: 1.5 倍行距"/>
    <w:basedOn w:val="1"/>
    <w:qFormat/>
    <w:uiPriority w:val="0"/>
    <w:pPr>
      <w:jc w:val="center"/>
    </w:pPr>
    <w:rPr>
      <w:b/>
    </w:rPr>
  </w:style>
  <w:style w:type="paragraph" w:styleId="105">
    <w:name w:val="No Spacing"/>
    <w:qFormat/>
    <w:uiPriority w:val="1"/>
    <w:rPr>
      <w:rFonts w:ascii="Calibri" w:hAnsi="Calibri" w:eastAsia="宋体" w:cs="Times New Roman"/>
      <w:sz w:val="22"/>
      <w:szCs w:val="22"/>
      <w:lang w:val="en-US" w:eastAsia="zh-CN" w:bidi="ar-SA"/>
    </w:rPr>
  </w:style>
  <w:style w:type="character" w:customStyle="1" w:styleId="106">
    <w:name w:val="font01"/>
    <w:qFormat/>
    <w:uiPriority w:val="0"/>
    <w:rPr>
      <w:rFonts w:hint="eastAsia" w:ascii="宋体" w:hAnsi="宋体" w:eastAsia="宋体" w:cs="宋体"/>
      <w:color w:val="000000"/>
      <w:sz w:val="18"/>
      <w:szCs w:val="18"/>
      <w:u w:val="none"/>
    </w:rPr>
  </w:style>
  <w:style w:type="paragraph" w:customStyle="1" w:styleId="107">
    <w:name w:val="p15"/>
    <w:basedOn w:val="1"/>
    <w:qFormat/>
    <w:uiPriority w:val="0"/>
    <w:pPr>
      <w:widowControl/>
      <w:spacing w:before="100" w:after="100"/>
      <w:ind w:firstLine="3584"/>
    </w:pPr>
    <w:rPr>
      <w:rFonts w:ascii="Tahoma"/>
    </w:rPr>
  </w:style>
  <w:style w:type="paragraph" w:customStyle="1" w:styleId="108">
    <w:name w:val="样式 左 行距: 1.5 倍行距"/>
    <w:basedOn w:val="1"/>
    <w:qFormat/>
    <w:uiPriority w:val="0"/>
    <w:pPr>
      <w:snapToGrid w:val="0"/>
      <w:spacing w:line="360" w:lineRule="auto"/>
      <w:ind w:firstLine="592" w:firstLineChars="200"/>
      <w:jc w:val="left"/>
    </w:pPr>
    <w:rPr>
      <w:rFonts w:cs="宋体"/>
      <w:spacing w:val="8"/>
      <w:sz w:val="24"/>
      <w:szCs w:val="20"/>
    </w:rPr>
  </w:style>
  <w:style w:type="paragraph" w:customStyle="1" w:styleId="109">
    <w:name w:val="[正文]"/>
    <w:basedOn w:val="1"/>
    <w:qFormat/>
    <w:uiPriority w:val="0"/>
    <w:pPr>
      <w:spacing w:line="360" w:lineRule="auto"/>
      <w:ind w:firstLine="480"/>
    </w:pPr>
    <w:rPr>
      <w:rFonts w:ascii="Calibri" w:hAnsi="Calibri"/>
      <w:sz w:val="24"/>
      <w:szCs w:val="22"/>
    </w:rPr>
  </w:style>
  <w:style w:type="paragraph" w:customStyle="1" w:styleId="110">
    <w:name w:val="设备正文"/>
    <w:basedOn w:val="1"/>
    <w:qFormat/>
    <w:uiPriority w:val="0"/>
    <w:pPr>
      <w:spacing w:line="360" w:lineRule="auto"/>
      <w:ind w:firstLine="48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73389</Words>
  <Characters>79405</Characters>
  <Lines>638</Lines>
  <Paragraphs>179</Paragraphs>
  <TotalTime>1</TotalTime>
  <ScaleCrop>false</ScaleCrop>
  <LinksUpToDate>false</LinksUpToDate>
  <CharactersWithSpaces>84003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2023-07-11T07:52:00Z</dcterms:created>
  <dc:creator>msb</dc:creator>
  <cp:lastModifiedBy>ruan</cp:lastModifiedBy>
  <cp:lastPrinted>2023-06-27T13:11:00Z</cp:lastPrinted>
  <dcterms:modified xsi:type="dcterms:W3CDTF">2023-09-06T08:04:47Z</dcterms:modified>
  <dc:title>广州市水务工程施工公开招标</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5A705244AE714FD09F59A73062E3BADF_13</vt:lpwstr>
  </property>
</Properties>
</file>