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line="240" w:lineRule="auto"/>
        <w:jc w:val="center"/>
        <w:rPr>
          <w:rFonts w:ascii="宋体" w:hAnsi="宋体" w:eastAsia="宋体"/>
          <w:b/>
          <w:bCs/>
          <w:color w:val="auto"/>
          <w:spacing w:val="0"/>
          <w:sz w:val="30"/>
          <w:szCs w:val="30"/>
          <w:highlight w:val="none"/>
        </w:rPr>
      </w:pPr>
      <w:r>
        <w:rPr>
          <w:rFonts w:hint="eastAsia" w:ascii="宋体" w:hAnsi="宋体" w:eastAsia="宋体"/>
          <w:b/>
          <w:bCs/>
          <w:color w:val="auto"/>
          <w:spacing w:val="0"/>
          <w:sz w:val="30"/>
          <w:szCs w:val="30"/>
          <w:highlight w:val="none"/>
        </w:rPr>
        <w:t>评标办法</w:t>
      </w:r>
    </w:p>
    <w:p>
      <w:pPr>
        <w:numPr>
          <w:ilvl w:val="0"/>
          <w:numId w:val="0"/>
        </w:numPr>
        <w:spacing w:after="156" w:afterLines="50" w:line="240" w:lineRule="auto"/>
        <w:ind w:firstLine="301" w:firstLineChars="100"/>
        <w:jc w:val="center"/>
        <w:rPr>
          <w:rFonts w:ascii="宋体" w:hAnsi="宋体" w:eastAsia="宋体" w:cs="宋体"/>
          <w:b/>
          <w:bCs/>
          <w:color w:val="auto"/>
          <w:spacing w:val="0"/>
          <w:sz w:val="30"/>
          <w:szCs w:val="30"/>
          <w:highlight w:val="none"/>
        </w:rPr>
      </w:pPr>
      <w:r>
        <w:rPr>
          <w:rFonts w:hint="eastAsia" w:ascii="宋体" w:hAnsi="宋体" w:eastAsia="宋体" w:cs="宋体"/>
          <w:b/>
          <w:bCs/>
          <w:color w:val="auto"/>
          <w:spacing w:val="0"/>
          <w:sz w:val="30"/>
          <w:szCs w:val="30"/>
          <w:highlight w:val="none"/>
        </w:rPr>
        <w:t>（双信封的技术评分最低标价法）</w:t>
      </w:r>
    </w:p>
    <w:p>
      <w:pPr>
        <w:pStyle w:val="3"/>
        <w:spacing w:before="156" w:beforeLines="50" w:after="0" w:line="400" w:lineRule="exact"/>
        <w:rPr>
          <w:rFonts w:ascii="宋体" w:hAnsi="宋体" w:cs="宋体"/>
          <w:color w:val="auto"/>
          <w:spacing w:val="0"/>
          <w:sz w:val="21"/>
          <w:szCs w:val="21"/>
          <w:highlight w:val="none"/>
        </w:rPr>
      </w:pPr>
      <w:bookmarkStart w:id="0" w:name="_Toc490681635"/>
      <w:bookmarkEnd w:id="0"/>
      <w:r>
        <w:rPr>
          <w:rFonts w:hint="eastAsia" w:ascii="黑体" w:hAnsi="黑体" w:eastAsia="黑体" w:cs="黑体"/>
          <w:color w:val="auto"/>
          <w:spacing w:val="0"/>
          <w:kern w:val="0"/>
          <w:sz w:val="21"/>
          <w:szCs w:val="21"/>
          <w:highlight w:val="none"/>
        </w:rPr>
        <w:t xml:space="preserve">评标办法前附表 </w:t>
      </w:r>
    </w:p>
    <w:tbl>
      <w:tblPr>
        <w:tblStyle w:val="7"/>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134"/>
        <w:gridCol w:w="7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70" w:type="dxa"/>
            <w:gridSpan w:val="2"/>
            <w:noWrap w:val="0"/>
            <w:vAlign w:val="center"/>
          </w:tcPr>
          <w:p>
            <w:pPr>
              <w:spacing w:line="400" w:lineRule="exact"/>
              <w:rPr>
                <w:rFonts w:ascii="宋体" w:hAnsi="宋体" w:eastAsia="宋体" w:cs="宋体"/>
                <w:b/>
                <w:color w:val="auto"/>
                <w:spacing w:val="0"/>
                <w:sz w:val="21"/>
                <w:szCs w:val="24"/>
                <w:highlight w:val="none"/>
              </w:rPr>
            </w:pPr>
            <w:r>
              <w:rPr>
                <w:rFonts w:ascii="Calibri" w:hAnsi="Calibri" w:eastAsia="宋体"/>
                <w:color w:val="auto"/>
                <w:spacing w:val="0"/>
                <w:sz w:val="21"/>
                <w:szCs w:val="24"/>
                <w:highlight w:val="none"/>
              </w:rPr>
              <w:br w:type="page"/>
            </w:r>
            <w:r>
              <w:rPr>
                <w:rFonts w:hint="eastAsia" w:ascii="宋体" w:hAnsi="宋体" w:eastAsia="宋体" w:cs="宋体"/>
                <w:b/>
                <w:color w:val="auto"/>
                <w:spacing w:val="0"/>
                <w:sz w:val="21"/>
                <w:szCs w:val="24"/>
                <w:highlight w:val="none"/>
              </w:rPr>
              <w:t>条款号</w:t>
            </w:r>
          </w:p>
        </w:tc>
        <w:tc>
          <w:tcPr>
            <w:tcW w:w="7999" w:type="dxa"/>
            <w:noWrap w:val="0"/>
            <w:vAlign w:val="center"/>
          </w:tcPr>
          <w:p>
            <w:pPr>
              <w:spacing w:line="400" w:lineRule="exact"/>
              <w:jc w:val="center"/>
              <w:rPr>
                <w:rFonts w:ascii="宋体" w:hAnsi="宋体" w:eastAsia="宋体" w:cs="宋体"/>
                <w:b/>
                <w:color w:val="auto"/>
                <w:spacing w:val="0"/>
                <w:sz w:val="21"/>
                <w:szCs w:val="24"/>
                <w:highlight w:val="none"/>
              </w:rPr>
            </w:pPr>
            <w:r>
              <w:rPr>
                <w:rFonts w:hint="eastAsia" w:ascii="宋体" w:hAnsi="宋体" w:eastAsia="宋体" w:cs="宋体"/>
                <w:b/>
                <w:color w:val="auto"/>
                <w:spacing w:val="0"/>
                <w:sz w:val="21"/>
                <w:szCs w:val="24"/>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pPr>
              <w:pStyle w:val="10"/>
              <w:tabs>
                <w:tab w:val="left" w:pos="804"/>
              </w:tabs>
              <w:kinsoku w:val="0"/>
              <w:overflowPunct w:val="0"/>
              <w:spacing w:line="400" w:lineRule="exact"/>
              <w:jc w:val="center"/>
              <w:rPr>
                <w:rFonts w:hint="default"/>
                <w:color w:val="auto"/>
                <w:spacing w:val="-1"/>
                <w:sz w:val="21"/>
                <w:szCs w:val="21"/>
                <w:highlight w:val="none"/>
              </w:rPr>
            </w:pPr>
            <w:r>
              <w:rPr>
                <w:color w:val="auto"/>
                <w:spacing w:val="-1"/>
                <w:sz w:val="21"/>
                <w:szCs w:val="21"/>
                <w:highlight w:val="none"/>
              </w:rPr>
              <w:t>1</w:t>
            </w:r>
          </w:p>
        </w:tc>
        <w:tc>
          <w:tcPr>
            <w:tcW w:w="1134" w:type="dxa"/>
            <w:noWrap w:val="0"/>
            <w:vAlign w:val="center"/>
          </w:tcPr>
          <w:p>
            <w:pPr>
              <w:pStyle w:val="10"/>
              <w:tabs>
                <w:tab w:val="left" w:pos="804"/>
              </w:tabs>
              <w:kinsoku w:val="0"/>
              <w:overflowPunct w:val="0"/>
              <w:spacing w:line="400" w:lineRule="exact"/>
              <w:jc w:val="center"/>
              <w:rPr>
                <w:rFonts w:hint="default"/>
                <w:color w:val="auto"/>
                <w:spacing w:val="-1"/>
                <w:sz w:val="21"/>
                <w:szCs w:val="21"/>
                <w:highlight w:val="none"/>
              </w:rPr>
            </w:pPr>
            <w:r>
              <w:rPr>
                <w:color w:val="auto"/>
                <w:spacing w:val="-1"/>
                <w:sz w:val="21"/>
                <w:szCs w:val="21"/>
                <w:highlight w:val="none"/>
              </w:rPr>
              <w:t>评标方法</w:t>
            </w:r>
          </w:p>
        </w:tc>
        <w:tc>
          <w:tcPr>
            <w:tcW w:w="7999" w:type="dxa"/>
            <w:noWrap w:val="0"/>
            <w:vAlign w:val="top"/>
          </w:tcPr>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 xml:space="preserve">评标价相等时，评标委员会依次按照以下优先顺序推荐中标候选人或确定中标人： </w:t>
            </w:r>
          </w:p>
          <w:p>
            <w:pPr>
              <w:pStyle w:val="10"/>
              <w:numPr>
                <w:ilvl w:val="0"/>
                <w:numId w:val="1"/>
              </w:numPr>
              <w:tabs>
                <w:tab w:val="left" w:pos="804"/>
              </w:tabs>
              <w:overflowPunct w:val="0"/>
              <w:spacing w:line="400" w:lineRule="exact"/>
              <w:ind w:firstLine="456" w:firstLineChars="200"/>
              <w:rPr>
                <w:rFonts w:hint="default"/>
                <w:color w:val="auto"/>
                <w:spacing w:val="0"/>
                <w:sz w:val="21"/>
                <w:szCs w:val="21"/>
                <w:highlight w:val="none"/>
              </w:rPr>
            </w:pPr>
            <w:r>
              <w:rPr>
                <w:rFonts w:cs="宋体"/>
                <w:color w:val="auto"/>
                <w:spacing w:val="9"/>
                <w:sz w:val="21"/>
                <w:szCs w:val="21"/>
                <w:highlight w:val="none"/>
              </w:rPr>
              <w:t>按招标文件规定</w:t>
            </w:r>
            <w:r>
              <w:rPr>
                <w:color w:val="auto"/>
                <w:spacing w:val="0"/>
                <w:sz w:val="21"/>
                <w:szCs w:val="21"/>
                <w:highlight w:val="none"/>
              </w:rPr>
              <w:t>被广东省交通运输厅最新年度评为较高信用等级的投标人优先；</w:t>
            </w:r>
          </w:p>
          <w:p>
            <w:pPr>
              <w:pStyle w:val="10"/>
              <w:numPr>
                <w:ilvl w:val="0"/>
                <w:numId w:val="0"/>
              </w:numPr>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 xml:space="preserve">【采用如下的优先顺序：承诺使用的AA级投标人、不承诺使用的AA级投标人、承诺使用的A级投标人、不承诺使用的A级投标人、B级投标人、未参评且被确定为B级投标人】 </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 xml:space="preserve">（2）以投标人企业最新年度净资产较高的优先； </w:t>
            </w:r>
          </w:p>
          <w:p>
            <w:pPr>
              <w:pStyle w:val="10"/>
              <w:tabs>
                <w:tab w:val="left" w:pos="804"/>
              </w:tabs>
              <w:overflowPunct w:val="0"/>
              <w:spacing w:line="400" w:lineRule="exact"/>
              <w:ind w:firstLine="420" w:firstLineChars="200"/>
              <w:rPr>
                <w:rFonts w:hint="default"/>
                <w:color w:val="auto"/>
                <w:spacing w:val="-1"/>
                <w:sz w:val="21"/>
                <w:szCs w:val="21"/>
                <w:highlight w:val="none"/>
              </w:rPr>
            </w:pPr>
            <w:r>
              <w:rPr>
                <w:color w:val="auto"/>
                <w:spacing w:val="0"/>
                <w:sz w:val="21"/>
                <w:szCs w:val="21"/>
                <w:highlight w:val="none"/>
              </w:rPr>
              <w:t xml:space="preserve">（3）评标委员会视投标人情况综合比较，投票确定其名次。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pPr>
              <w:pStyle w:val="10"/>
              <w:kinsoku w:val="0"/>
              <w:overflowPunct w:val="0"/>
              <w:spacing w:line="400" w:lineRule="exact"/>
              <w:jc w:val="center"/>
              <w:rPr>
                <w:rFonts w:hint="default"/>
                <w:color w:val="auto"/>
                <w:spacing w:val="-1"/>
                <w:sz w:val="21"/>
                <w:szCs w:val="21"/>
                <w:highlight w:val="none"/>
              </w:rPr>
            </w:pPr>
            <w:r>
              <w:rPr>
                <w:color w:val="auto"/>
                <w:spacing w:val="-1"/>
                <w:sz w:val="21"/>
                <w:szCs w:val="21"/>
                <w:highlight w:val="none"/>
              </w:rPr>
              <w:t>2.1.1</w:t>
            </w:r>
          </w:p>
          <w:p>
            <w:pPr>
              <w:pStyle w:val="10"/>
              <w:tabs>
                <w:tab w:val="left" w:pos="804"/>
              </w:tabs>
              <w:kinsoku w:val="0"/>
              <w:overflowPunct w:val="0"/>
              <w:spacing w:line="400" w:lineRule="exact"/>
              <w:jc w:val="center"/>
              <w:rPr>
                <w:rFonts w:hint="default"/>
                <w:color w:val="auto"/>
                <w:spacing w:val="-1"/>
                <w:sz w:val="21"/>
                <w:szCs w:val="21"/>
                <w:highlight w:val="none"/>
              </w:rPr>
            </w:pPr>
            <w:r>
              <w:rPr>
                <w:color w:val="auto"/>
                <w:spacing w:val="-1"/>
                <w:sz w:val="21"/>
                <w:szCs w:val="21"/>
                <w:highlight w:val="none"/>
              </w:rPr>
              <w:t>2.1.3</w:t>
            </w:r>
          </w:p>
        </w:tc>
        <w:tc>
          <w:tcPr>
            <w:tcW w:w="1134" w:type="dxa"/>
            <w:noWrap w:val="0"/>
            <w:vAlign w:val="center"/>
          </w:tcPr>
          <w:p>
            <w:pPr>
              <w:pStyle w:val="10"/>
              <w:tabs>
                <w:tab w:val="left" w:pos="804"/>
              </w:tabs>
              <w:kinsoku w:val="0"/>
              <w:overflowPunct w:val="0"/>
              <w:spacing w:line="400" w:lineRule="exact"/>
              <w:jc w:val="center"/>
              <w:rPr>
                <w:rFonts w:hint="default"/>
                <w:color w:val="auto"/>
                <w:spacing w:val="-1"/>
                <w:sz w:val="21"/>
                <w:szCs w:val="21"/>
                <w:highlight w:val="none"/>
              </w:rPr>
            </w:pPr>
            <w:r>
              <w:rPr>
                <w:color w:val="auto"/>
                <w:spacing w:val="-1"/>
                <w:sz w:val="21"/>
                <w:szCs w:val="21"/>
                <w:highlight w:val="none"/>
              </w:rPr>
              <w:t>形式评审与响应性评审标准</w:t>
            </w:r>
          </w:p>
        </w:tc>
        <w:tc>
          <w:tcPr>
            <w:tcW w:w="7999" w:type="dxa"/>
            <w:noWrap w:val="0"/>
            <w:vAlign w:val="top"/>
          </w:tcPr>
          <w:p>
            <w:pPr>
              <w:pStyle w:val="10"/>
              <w:tabs>
                <w:tab w:val="left" w:pos="804"/>
              </w:tabs>
              <w:overflowPunct w:val="0"/>
              <w:spacing w:line="400" w:lineRule="exact"/>
              <w:rPr>
                <w:rFonts w:hint="default"/>
                <w:b/>
                <w:color w:val="auto"/>
                <w:spacing w:val="-1"/>
                <w:sz w:val="21"/>
                <w:szCs w:val="21"/>
                <w:highlight w:val="none"/>
              </w:rPr>
            </w:pPr>
            <w:r>
              <w:rPr>
                <w:b/>
                <w:color w:val="auto"/>
                <w:spacing w:val="-1"/>
                <w:sz w:val="21"/>
                <w:szCs w:val="21"/>
                <w:highlight w:val="none"/>
              </w:rPr>
              <w:t>第一个信封（商务及技术文件）评审标准：</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（1）投标文件按照招标文件规定的格式、内容填写，字迹清晰可辩；</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a.投标函按招标文件规定填报了项目名称、标段号（如有）、补遗书编号（如有)、工期、工程质量要求及安全目标；</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b.投标函附录的所有数据均符合招标文件规定；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c.投标文件组成齐全完整，内容均按规定填写。</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（2）投标文件上法定代表人或其委托代理人的签字、投标人的单位章盖章齐全，符合招标文件规定。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（3）投标人按照招标文件的规定提供了投标保证金：</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a.投标保证金金额符合招标文件规定的金额，且投标保证金有效期</w:t>
            </w:r>
            <w:r>
              <w:rPr>
                <w:rFonts w:hint="eastAsia"/>
                <w:color w:val="auto"/>
                <w:spacing w:val="0"/>
                <w:sz w:val="21"/>
                <w:szCs w:val="21"/>
                <w:highlight w:val="none"/>
                <w:lang w:val="en-US" w:eastAsia="zh-CN"/>
              </w:rPr>
              <w:t>不少于</w:t>
            </w:r>
            <w:r>
              <w:rPr>
                <w:color w:val="auto"/>
                <w:spacing w:val="0"/>
                <w:sz w:val="21"/>
                <w:szCs w:val="21"/>
                <w:highlight w:val="none"/>
              </w:rPr>
              <w:t>投标有效期；</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b.若投标保证金采用现金或支票形式提交，投标人应在投标人须知3.4.1 款规定的时间，将投标保证金由投标人的基本账户转入招标人指定账户；</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c.若投标保证金采用银行保函或投标人须知前附表 3.4.1 项规定的其他形式提交，应满足招标文件要求。</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（4）投标人法定代表人授权委托代理人签署投标文件的，需提交授权委托书，且授权人和被授权人均在授权委托书上签名，未使用印章、签名章或其他电子制版签名代替。</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（5）投标人法定代表人亲自签署投标文件的，提供了法定代表人身份证明，且法定代表人在法定代表人身份证明上签名，未使用印章、签名章或其他电子制版签名代替。</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（6）如投标人不具备拟分包工程所需的某专项工程相应资质或投标人如有分包计划，符合招标文件第二章“投标人须知”第 1.11 款规定，且按招标文件第九章“投标文件格式”的要求填写了“拟分包项目情况表”。</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（7）同一投标人未提交两个以上不同的投标文件，但招标文件要求提交备选投标的除外。</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（8）投标文件中未出现有关投标报价的内容。</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（9）投标文件载明的招标项目完成期限未超过招标文件规定的时限。</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（10）投标文件对招标文件的实质性要求和条件作出响应。</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（11）权利义务符合招标文件规定：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a.投标人应接受招标文件规定的风险划分原则，未提出新的风险划分办法；</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b.投标人未增加发包人的责任范围，或减少投标人义务；</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c.投标人未提出不同的工程验收、计量、支付办法；</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d.投标人对合同纠纷、事故处理办法未提出异议；</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e.投标人在投标活动中无欺诈行为；</w:t>
            </w:r>
          </w:p>
          <w:p>
            <w:pPr>
              <w:pStyle w:val="10"/>
              <w:tabs>
                <w:tab w:val="left" w:pos="804"/>
              </w:tabs>
              <w:overflowPunct w:val="0"/>
              <w:spacing w:line="400" w:lineRule="exact"/>
              <w:ind w:firstLine="420" w:firstLineChars="200"/>
              <w:rPr>
                <w:color w:val="auto"/>
                <w:spacing w:val="0"/>
                <w:sz w:val="21"/>
                <w:szCs w:val="21"/>
                <w:highlight w:val="none"/>
              </w:rPr>
            </w:pPr>
            <w:r>
              <w:rPr>
                <w:color w:val="auto"/>
                <w:spacing w:val="0"/>
                <w:sz w:val="21"/>
                <w:szCs w:val="21"/>
                <w:highlight w:val="none"/>
              </w:rPr>
              <w:t>f.投标人未对合同条款有重要保留。</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（1</w:t>
            </w:r>
            <w:r>
              <w:rPr>
                <w:rFonts w:hint="eastAsia"/>
                <w:color w:val="auto"/>
                <w:spacing w:val="0"/>
                <w:sz w:val="21"/>
                <w:szCs w:val="21"/>
                <w:highlight w:val="none"/>
                <w:lang w:val="en-US" w:eastAsia="zh-CN"/>
              </w:rPr>
              <w:t>2</w:t>
            </w:r>
            <w:r>
              <w:rPr>
                <w:color w:val="auto"/>
                <w:spacing w:val="0"/>
                <w:sz w:val="21"/>
                <w:szCs w:val="21"/>
                <w:highlight w:val="none"/>
              </w:rPr>
              <w:t>）投标文件未附有招标人不能接受的条件。</w:t>
            </w:r>
          </w:p>
          <w:p>
            <w:pPr>
              <w:pStyle w:val="10"/>
              <w:tabs>
                <w:tab w:val="left" w:pos="804"/>
              </w:tabs>
              <w:overflowPunct w:val="0"/>
              <w:spacing w:line="400" w:lineRule="exact"/>
              <w:ind w:firstLine="420" w:firstLineChars="200"/>
              <w:rPr>
                <w:rFonts w:hint="default"/>
                <w:color w:val="auto"/>
                <w:spacing w:val="0"/>
                <w:sz w:val="21"/>
                <w:szCs w:val="21"/>
                <w:highlight w:val="none"/>
              </w:rPr>
            </w:pPr>
          </w:p>
          <w:p>
            <w:pPr>
              <w:pStyle w:val="10"/>
              <w:tabs>
                <w:tab w:val="left" w:pos="804"/>
              </w:tabs>
              <w:overflowPunct w:val="0"/>
              <w:spacing w:line="400" w:lineRule="exact"/>
              <w:rPr>
                <w:rFonts w:hint="default"/>
                <w:b/>
                <w:color w:val="auto"/>
                <w:spacing w:val="0"/>
                <w:sz w:val="21"/>
                <w:szCs w:val="21"/>
                <w:highlight w:val="none"/>
              </w:rPr>
            </w:pPr>
            <w:r>
              <w:rPr>
                <w:b/>
                <w:color w:val="auto"/>
                <w:spacing w:val="0"/>
                <w:sz w:val="21"/>
                <w:szCs w:val="21"/>
                <w:highlight w:val="none"/>
              </w:rPr>
              <w:t>第二个信封（报价文件）评审标准：</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（1）投标文件按照招标文件规定的格式、内容填写，字迹清晰可辨：</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a.投标函按招标文件规定填报了项目名称、标段号（如有）、补遗书编号（如有)、投标下浮率、投标总报价（包括大写金额和小写金额)；</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b.投标文件组成齐全完整，内容均按规定填写。</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（2）投标文件上法定代表人或其委托代理人的签字、投标人的单位章盖章齐全，符合招标文件规定。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（3） 投标总报价或调价函中的报价未超过招标文件设定的最高投标限价 (如有)及最高评标限价 (如有) 。</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（4）投标总报价或调价函中报价的大写金额能够确定具体数值。</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 xml:space="preserve">（5）同一投标人未提交两个以上不同的投标报价，但招标文件要求提交备选投标的除外。 </w:t>
            </w:r>
          </w:p>
          <w:p>
            <w:pPr>
              <w:pStyle w:val="10"/>
              <w:tabs>
                <w:tab w:val="left" w:pos="804"/>
              </w:tabs>
              <w:overflowPunct w:val="0"/>
              <w:spacing w:line="400" w:lineRule="exact"/>
              <w:rPr>
                <w:rFonts w:hint="default"/>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pPr>
              <w:pStyle w:val="10"/>
              <w:kinsoku w:val="0"/>
              <w:overflowPunct w:val="0"/>
              <w:spacing w:line="400" w:lineRule="exact"/>
              <w:jc w:val="center"/>
              <w:rPr>
                <w:rFonts w:hint="default" w:ascii="Times New Roman" w:hAnsi="Times New Roman" w:eastAsia="Times New Roman"/>
                <w:color w:val="auto"/>
                <w:spacing w:val="0"/>
                <w:sz w:val="21"/>
                <w:szCs w:val="21"/>
                <w:highlight w:val="none"/>
              </w:rPr>
            </w:pPr>
            <w:r>
              <w:rPr>
                <w:color w:val="auto"/>
                <w:spacing w:val="-1"/>
                <w:sz w:val="21"/>
                <w:szCs w:val="21"/>
                <w:highlight w:val="none"/>
              </w:rPr>
              <w:t>2.1.2</w:t>
            </w:r>
          </w:p>
        </w:tc>
        <w:tc>
          <w:tcPr>
            <w:tcW w:w="1134" w:type="dxa"/>
            <w:noWrap w:val="0"/>
            <w:vAlign w:val="center"/>
          </w:tcPr>
          <w:p>
            <w:pPr>
              <w:pStyle w:val="10"/>
              <w:kinsoku w:val="0"/>
              <w:overflowPunct w:val="0"/>
              <w:spacing w:line="400" w:lineRule="exact"/>
              <w:jc w:val="center"/>
              <w:rPr>
                <w:rFonts w:hint="default" w:ascii="Times New Roman" w:hAnsi="Times New Roman" w:eastAsia="Times New Roman"/>
                <w:color w:val="auto"/>
                <w:spacing w:val="0"/>
                <w:sz w:val="21"/>
                <w:szCs w:val="21"/>
                <w:highlight w:val="none"/>
              </w:rPr>
            </w:pPr>
            <w:r>
              <w:rPr>
                <w:color w:val="auto"/>
                <w:spacing w:val="0"/>
                <w:sz w:val="21"/>
                <w:szCs w:val="21"/>
                <w:highlight w:val="none"/>
              </w:rPr>
              <w:t>资格评审标准</w:t>
            </w:r>
          </w:p>
        </w:tc>
        <w:tc>
          <w:tcPr>
            <w:tcW w:w="7999" w:type="dxa"/>
            <w:noWrap w:val="0"/>
            <w:vAlign w:val="top"/>
          </w:tcPr>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（2）投标人的资质等级符合招标文件规定。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（3）投标人的财务状况应符合招标文件规定。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（4）投标人的类似项目业绩符合招标文件规定。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（5）投标人的信誉符合招标文件规定。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（6）投标人的项目经理和项目总工资格、在岗情况符合符合招标文件规定，并按规定在投标文件中签字确认。</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（7）投标人的其他要求符合招标文件规定（如有）。</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（8）投标人不存在第二章“投标人须知”第1.4.3项或第1.4.4项规定的任何一种情形；</w:t>
            </w:r>
          </w:p>
          <w:p>
            <w:pPr>
              <w:pStyle w:val="10"/>
              <w:tabs>
                <w:tab w:val="left" w:pos="804"/>
              </w:tabs>
              <w:overflowPunct w:val="0"/>
              <w:spacing w:line="400" w:lineRule="exact"/>
              <w:ind w:firstLine="420" w:firstLineChars="200"/>
              <w:rPr>
                <w:rFonts w:hint="default" w:ascii="Times New Roman" w:hAnsi="Times New Roman" w:eastAsia="Times New Roman"/>
                <w:color w:val="auto"/>
                <w:spacing w:val="0"/>
                <w:sz w:val="21"/>
                <w:szCs w:val="21"/>
                <w:highlight w:val="none"/>
              </w:rPr>
            </w:pPr>
            <w:r>
              <w:rPr>
                <w:color w:val="auto"/>
                <w:spacing w:val="0"/>
                <w:sz w:val="21"/>
                <w:szCs w:val="21"/>
                <w:highlight w:val="none"/>
              </w:rPr>
              <w:t>（9）投标人符合第二章“投标人须知”第1.4.5项规定；</w:t>
            </w:r>
          </w:p>
        </w:tc>
      </w:tr>
    </w:tbl>
    <w:p>
      <w:pPr>
        <w:spacing w:line="240" w:lineRule="auto"/>
        <w:rPr>
          <w:rFonts w:ascii="Calibri" w:hAnsi="Calibri" w:eastAsia="宋体"/>
          <w:color w:val="auto"/>
          <w:spacing w:val="0"/>
          <w:sz w:val="21"/>
          <w:szCs w:val="24"/>
          <w:highlight w:val="none"/>
        </w:rPr>
      </w:pPr>
    </w:p>
    <w:p>
      <w:pPr>
        <w:pStyle w:val="2"/>
        <w:spacing w:line="240" w:lineRule="auto"/>
        <w:rPr>
          <w:color w:val="auto"/>
          <w:spacing w:val="0"/>
          <w:highlight w:val="none"/>
        </w:rPr>
      </w:pPr>
    </w:p>
    <w:tbl>
      <w:tblPr>
        <w:tblStyle w:val="7"/>
        <w:tblpPr w:leftFromText="180" w:rightFromText="180" w:vertAnchor="text" w:horzAnchor="page" w:tblpX="1038" w:tblpY="943"/>
        <w:tblOverlap w:val="never"/>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584"/>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34" w:type="dxa"/>
            <w:noWrap w:val="0"/>
            <w:vAlign w:val="center"/>
          </w:tcPr>
          <w:p>
            <w:pPr>
              <w:spacing w:line="400" w:lineRule="exact"/>
              <w:jc w:val="center"/>
              <w:rPr>
                <w:rFonts w:ascii="宋体" w:hAnsi="宋体" w:eastAsia="宋体" w:cs="宋体"/>
                <w:b/>
                <w:color w:val="auto"/>
                <w:spacing w:val="0"/>
                <w:sz w:val="21"/>
                <w:szCs w:val="24"/>
                <w:highlight w:val="none"/>
              </w:rPr>
            </w:pPr>
            <w:r>
              <w:rPr>
                <w:rFonts w:hint="eastAsia" w:ascii="宋体" w:hAnsi="宋体" w:eastAsia="宋体" w:cs="宋体"/>
                <w:b/>
                <w:color w:val="auto"/>
                <w:spacing w:val="0"/>
                <w:sz w:val="21"/>
                <w:szCs w:val="24"/>
                <w:highlight w:val="none"/>
              </w:rPr>
              <w:t>条款号</w:t>
            </w:r>
          </w:p>
        </w:tc>
        <w:tc>
          <w:tcPr>
            <w:tcW w:w="1584" w:type="dxa"/>
            <w:noWrap w:val="0"/>
            <w:vAlign w:val="center"/>
          </w:tcPr>
          <w:p>
            <w:pPr>
              <w:spacing w:line="400" w:lineRule="exact"/>
              <w:jc w:val="center"/>
              <w:rPr>
                <w:rFonts w:ascii="宋体" w:hAnsi="宋体" w:eastAsia="宋体" w:cs="宋体"/>
                <w:b/>
                <w:color w:val="auto"/>
                <w:spacing w:val="0"/>
                <w:sz w:val="21"/>
                <w:szCs w:val="24"/>
                <w:highlight w:val="none"/>
              </w:rPr>
            </w:pPr>
            <w:r>
              <w:rPr>
                <w:rFonts w:ascii="宋体" w:hAnsi="宋体" w:eastAsia="宋体"/>
                <w:b/>
                <w:color w:val="auto"/>
                <w:spacing w:val="0"/>
                <w:sz w:val="21"/>
                <w:szCs w:val="24"/>
                <w:highlight w:val="none"/>
              </w:rPr>
              <w:t>条款内容</w:t>
            </w:r>
          </w:p>
        </w:tc>
        <w:tc>
          <w:tcPr>
            <w:tcW w:w="7641" w:type="dxa"/>
            <w:noWrap w:val="0"/>
            <w:vAlign w:val="center"/>
          </w:tcPr>
          <w:p>
            <w:pPr>
              <w:spacing w:line="400" w:lineRule="exact"/>
              <w:jc w:val="center"/>
              <w:rPr>
                <w:rFonts w:ascii="宋体" w:hAnsi="宋体" w:eastAsia="宋体" w:cs="宋体"/>
                <w:b/>
                <w:color w:val="auto"/>
                <w:spacing w:val="0"/>
                <w:sz w:val="21"/>
                <w:szCs w:val="24"/>
                <w:highlight w:val="none"/>
              </w:rPr>
            </w:pPr>
            <w:r>
              <w:rPr>
                <w:rFonts w:ascii="宋体" w:hAnsi="宋体" w:eastAsia="宋体"/>
                <w:b/>
                <w:color w:val="auto"/>
                <w:spacing w:val="0"/>
                <w:sz w:val="21"/>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noWrap w:val="0"/>
            <w:vAlign w:val="center"/>
          </w:tcPr>
          <w:p>
            <w:pPr>
              <w:pStyle w:val="10"/>
              <w:kinsoku w:val="0"/>
              <w:overflowPunct w:val="0"/>
              <w:spacing w:line="400" w:lineRule="exact"/>
              <w:jc w:val="center"/>
              <w:rPr>
                <w:rFonts w:hint="default"/>
                <w:color w:val="auto"/>
                <w:spacing w:val="0"/>
                <w:sz w:val="21"/>
                <w:szCs w:val="21"/>
                <w:highlight w:val="none"/>
              </w:rPr>
            </w:pPr>
            <w:r>
              <w:rPr>
                <w:color w:val="auto"/>
                <w:spacing w:val="0"/>
                <w:sz w:val="21"/>
                <w:szCs w:val="21"/>
                <w:highlight w:val="none"/>
              </w:rPr>
              <w:t>2.2.1</w:t>
            </w:r>
          </w:p>
        </w:tc>
        <w:tc>
          <w:tcPr>
            <w:tcW w:w="1584" w:type="dxa"/>
            <w:noWrap w:val="0"/>
            <w:vAlign w:val="center"/>
          </w:tcPr>
          <w:p>
            <w:pPr>
              <w:widowControl/>
              <w:spacing w:line="400" w:lineRule="exact"/>
              <w:jc w:val="center"/>
              <w:rPr>
                <w:rFonts w:ascii="宋体" w:hAnsi="宋体" w:eastAsia="宋体"/>
                <w:color w:val="auto"/>
                <w:spacing w:val="0"/>
                <w:sz w:val="21"/>
                <w:szCs w:val="24"/>
                <w:highlight w:val="none"/>
              </w:rPr>
            </w:pPr>
            <w:r>
              <w:rPr>
                <w:rFonts w:hint="eastAsia" w:ascii="宋体" w:hAnsi="宋体" w:eastAsia="宋体" w:cs="宋体"/>
                <w:color w:val="auto"/>
                <w:spacing w:val="0"/>
                <w:kern w:val="0"/>
                <w:sz w:val="21"/>
                <w:szCs w:val="24"/>
                <w:highlight w:val="none"/>
              </w:rPr>
              <w:t>第一个信封评分分值构成 (总100分）</w:t>
            </w:r>
          </w:p>
        </w:tc>
        <w:tc>
          <w:tcPr>
            <w:tcW w:w="7641" w:type="dxa"/>
            <w:noWrap w:val="0"/>
            <w:vAlign w:val="center"/>
          </w:tcPr>
          <w:p>
            <w:pPr>
              <w:widowControl/>
              <w:spacing w:line="400" w:lineRule="exac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施工组织设计（A）：</w:t>
            </w:r>
            <w:r>
              <w:rPr>
                <w:rFonts w:hint="eastAsia" w:ascii="宋体" w:hAnsi="宋体" w:eastAsia="宋体" w:cs="宋体"/>
                <w:color w:val="auto"/>
                <w:spacing w:val="0"/>
                <w:kern w:val="0"/>
                <w:sz w:val="21"/>
                <w:szCs w:val="24"/>
                <w:highlight w:val="none"/>
                <w:u w:val="single"/>
              </w:rPr>
              <w:t xml:space="preserve">35 </w:t>
            </w:r>
            <w:r>
              <w:rPr>
                <w:rFonts w:hint="eastAsia" w:ascii="宋体" w:hAnsi="宋体" w:eastAsia="宋体" w:cs="宋体"/>
                <w:color w:val="auto"/>
                <w:spacing w:val="0"/>
                <w:kern w:val="0"/>
                <w:sz w:val="21"/>
                <w:szCs w:val="24"/>
                <w:highlight w:val="none"/>
              </w:rPr>
              <w:t>分</w:t>
            </w:r>
          </w:p>
          <w:p>
            <w:pPr>
              <w:widowControl/>
              <w:spacing w:line="400" w:lineRule="exac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主要人员（B）：</w:t>
            </w:r>
            <w:r>
              <w:rPr>
                <w:rFonts w:hint="eastAsia" w:ascii="宋体" w:hAnsi="宋体" w:eastAsia="宋体" w:cs="宋体"/>
                <w:color w:val="auto"/>
                <w:spacing w:val="0"/>
                <w:kern w:val="0"/>
                <w:sz w:val="21"/>
                <w:szCs w:val="24"/>
                <w:highlight w:val="none"/>
                <w:u w:val="single"/>
              </w:rPr>
              <w:t>40</w:t>
            </w:r>
            <w:r>
              <w:rPr>
                <w:rFonts w:hint="eastAsia" w:ascii="宋体" w:hAnsi="宋体" w:eastAsia="宋体" w:cs="宋体"/>
                <w:color w:val="auto"/>
                <w:spacing w:val="0"/>
                <w:kern w:val="0"/>
                <w:sz w:val="21"/>
                <w:szCs w:val="24"/>
                <w:highlight w:val="none"/>
              </w:rPr>
              <w:t>分</w:t>
            </w:r>
          </w:p>
          <w:p>
            <w:pPr>
              <w:widowControl/>
              <w:spacing w:line="400" w:lineRule="exac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其他因素（C）</w:t>
            </w:r>
          </w:p>
          <w:p>
            <w:pPr>
              <w:widowControl/>
              <w:spacing w:line="400" w:lineRule="exac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技术能力：</w:t>
            </w:r>
            <w:r>
              <w:rPr>
                <w:rFonts w:hint="eastAsia" w:ascii="宋体" w:hAnsi="宋体" w:eastAsia="宋体" w:cs="宋体"/>
                <w:color w:val="auto"/>
                <w:spacing w:val="0"/>
                <w:kern w:val="0"/>
                <w:sz w:val="21"/>
                <w:szCs w:val="24"/>
                <w:highlight w:val="none"/>
                <w:u w:val="single"/>
              </w:rPr>
              <w:t xml:space="preserve">10 </w:t>
            </w:r>
            <w:r>
              <w:rPr>
                <w:rFonts w:hint="eastAsia" w:ascii="宋体" w:hAnsi="宋体" w:eastAsia="宋体" w:cs="宋体"/>
                <w:color w:val="auto"/>
                <w:spacing w:val="0"/>
                <w:kern w:val="0"/>
                <w:sz w:val="21"/>
                <w:szCs w:val="24"/>
                <w:highlight w:val="none"/>
              </w:rPr>
              <w:t>分</w:t>
            </w:r>
          </w:p>
          <w:p>
            <w:pPr>
              <w:widowControl/>
              <w:spacing w:line="400" w:lineRule="exact"/>
              <w:rPr>
                <w:rFonts w:ascii="宋体" w:hAnsi="宋体" w:eastAsia="宋体"/>
                <w:color w:val="auto"/>
                <w:spacing w:val="0"/>
                <w:sz w:val="21"/>
                <w:szCs w:val="24"/>
                <w:highlight w:val="none"/>
              </w:rPr>
            </w:pPr>
            <w:r>
              <w:rPr>
                <w:rFonts w:hint="eastAsia" w:ascii="宋体" w:hAnsi="宋体" w:eastAsia="宋体" w:cs="宋体"/>
                <w:color w:val="auto"/>
                <w:spacing w:val="0"/>
                <w:kern w:val="0"/>
                <w:sz w:val="21"/>
                <w:szCs w:val="24"/>
                <w:highlight w:val="none"/>
              </w:rPr>
              <w:t>履约信誉：</w:t>
            </w:r>
            <w:r>
              <w:rPr>
                <w:rFonts w:hint="eastAsia" w:ascii="宋体" w:hAnsi="宋体" w:eastAsia="宋体" w:cs="宋体"/>
                <w:color w:val="auto"/>
                <w:spacing w:val="0"/>
                <w:kern w:val="0"/>
                <w:sz w:val="21"/>
                <w:szCs w:val="24"/>
                <w:highlight w:val="none"/>
                <w:u w:val="single"/>
              </w:rPr>
              <w:t xml:space="preserve">15 </w:t>
            </w:r>
            <w:r>
              <w:rPr>
                <w:rFonts w:hint="eastAsia" w:ascii="宋体" w:hAnsi="宋体" w:eastAsia="宋体" w:cs="宋体"/>
                <w:color w:val="auto"/>
                <w:spacing w:val="0"/>
                <w:kern w:val="0"/>
                <w:sz w:val="21"/>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pPr>
              <w:pStyle w:val="10"/>
              <w:kinsoku w:val="0"/>
              <w:overflowPunct w:val="0"/>
              <w:spacing w:line="400" w:lineRule="exact"/>
              <w:jc w:val="center"/>
              <w:rPr>
                <w:rFonts w:hint="default"/>
                <w:color w:val="auto"/>
                <w:spacing w:val="0"/>
                <w:sz w:val="21"/>
                <w:szCs w:val="21"/>
                <w:highlight w:val="none"/>
              </w:rPr>
            </w:pPr>
            <w:r>
              <w:rPr>
                <w:color w:val="auto"/>
                <w:spacing w:val="0"/>
                <w:sz w:val="21"/>
                <w:szCs w:val="21"/>
                <w:highlight w:val="none"/>
              </w:rPr>
              <w:t>2.2.3</w:t>
            </w:r>
          </w:p>
        </w:tc>
        <w:tc>
          <w:tcPr>
            <w:tcW w:w="1584" w:type="dxa"/>
            <w:noWrap w:val="0"/>
            <w:vAlign w:val="center"/>
          </w:tcPr>
          <w:p>
            <w:pPr>
              <w:widowControl/>
              <w:spacing w:line="400" w:lineRule="exact"/>
              <w:jc w:val="center"/>
              <w:rPr>
                <w:rFonts w:ascii="宋体" w:hAnsi="宋体" w:eastAsia="宋体"/>
                <w:color w:val="auto"/>
                <w:spacing w:val="0"/>
                <w:sz w:val="21"/>
                <w:szCs w:val="24"/>
                <w:highlight w:val="none"/>
              </w:rPr>
            </w:pPr>
            <w:r>
              <w:rPr>
                <w:rFonts w:hint="eastAsia" w:ascii="宋体" w:hAnsi="宋体" w:eastAsia="宋体" w:cs="宋体"/>
                <w:color w:val="auto"/>
                <w:spacing w:val="0"/>
                <w:kern w:val="0"/>
                <w:sz w:val="21"/>
                <w:szCs w:val="24"/>
                <w:highlight w:val="none"/>
              </w:rPr>
              <w:t>第二个信封详细评审标准</w:t>
            </w:r>
          </w:p>
        </w:tc>
        <w:tc>
          <w:tcPr>
            <w:tcW w:w="7641" w:type="dxa"/>
            <w:noWrap w:val="0"/>
            <w:vAlign w:val="center"/>
          </w:tcPr>
          <w:p>
            <w:pPr>
              <w:widowControl/>
              <w:spacing w:line="400" w:lineRule="exac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 xml:space="preserve">评标价的评审： </w:t>
            </w:r>
          </w:p>
          <w:p>
            <w:pPr>
              <w:widowControl/>
              <w:spacing w:line="400" w:lineRule="exac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 xml:space="preserve">(1)评标价计算公式： </w:t>
            </w:r>
          </w:p>
          <w:p>
            <w:pPr>
              <w:widowControl/>
              <w:spacing w:line="400" w:lineRule="exac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评标价=投标函文字报价</w:t>
            </w:r>
          </w:p>
          <w:p>
            <w:pPr>
              <w:widowControl/>
              <w:spacing w:line="400" w:lineRule="exact"/>
              <w:ind w:firstLine="420" w:firstLineChars="200"/>
              <w:rPr>
                <w:rFonts w:ascii="宋体" w:hAnsi="宋体" w:eastAsia="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若投标人的评标价小于最高投标限价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34" w:type="dxa"/>
            <w:noWrap w:val="0"/>
            <w:vAlign w:val="center"/>
          </w:tcPr>
          <w:p>
            <w:pPr>
              <w:widowControl/>
              <w:spacing w:line="400" w:lineRule="exact"/>
              <w:jc w:val="center"/>
              <w:rPr>
                <w:rFonts w:ascii="宋体" w:hAnsi="宋体" w:eastAsia="宋体"/>
                <w:color w:val="auto"/>
                <w:spacing w:val="0"/>
                <w:sz w:val="21"/>
                <w:szCs w:val="24"/>
                <w:highlight w:val="none"/>
              </w:rPr>
            </w:pPr>
            <w:r>
              <w:rPr>
                <w:rFonts w:hint="eastAsia" w:ascii="宋体" w:hAnsi="宋体" w:eastAsia="宋体" w:cs="宋体"/>
                <w:color w:val="auto"/>
                <w:spacing w:val="0"/>
                <w:kern w:val="0"/>
                <w:sz w:val="21"/>
                <w:szCs w:val="24"/>
                <w:highlight w:val="none"/>
              </w:rPr>
              <w:t>3.2.4</w:t>
            </w:r>
          </w:p>
        </w:tc>
        <w:tc>
          <w:tcPr>
            <w:tcW w:w="1584" w:type="dxa"/>
            <w:noWrap w:val="0"/>
            <w:vAlign w:val="center"/>
          </w:tcPr>
          <w:p>
            <w:pPr>
              <w:widowControl/>
              <w:spacing w:line="400" w:lineRule="exact"/>
              <w:jc w:val="center"/>
              <w:rPr>
                <w:rFonts w:ascii="宋体" w:hAnsi="宋体" w:eastAsia="宋体"/>
                <w:color w:val="auto"/>
                <w:spacing w:val="0"/>
                <w:sz w:val="21"/>
                <w:szCs w:val="24"/>
                <w:highlight w:val="none"/>
              </w:rPr>
            </w:pPr>
            <w:r>
              <w:rPr>
                <w:rFonts w:hint="eastAsia" w:ascii="宋体" w:hAnsi="宋体" w:eastAsia="宋体" w:cs="宋体"/>
                <w:color w:val="auto"/>
                <w:spacing w:val="0"/>
                <w:kern w:val="0"/>
                <w:sz w:val="21"/>
                <w:szCs w:val="24"/>
                <w:highlight w:val="none"/>
              </w:rPr>
              <w:t>通过第一个信封详细评审的投标人数量</w:t>
            </w:r>
          </w:p>
        </w:tc>
        <w:tc>
          <w:tcPr>
            <w:tcW w:w="7641" w:type="dxa"/>
            <w:noWrap w:val="0"/>
            <w:vAlign w:val="center"/>
          </w:tcPr>
          <w:p>
            <w:pPr>
              <w:widowControl/>
              <w:spacing w:line="400" w:lineRule="exact"/>
              <w:rPr>
                <w:rFonts w:ascii="宋体" w:hAnsi="宋体" w:eastAsia="宋体"/>
                <w:color w:val="auto"/>
                <w:spacing w:val="0"/>
                <w:sz w:val="21"/>
                <w:szCs w:val="24"/>
                <w:highlight w:val="none"/>
              </w:rPr>
            </w:pPr>
            <w:r>
              <w:rPr>
                <w:rFonts w:hint="eastAsia" w:ascii="宋体" w:hAnsi="宋体" w:eastAsia="宋体" w:cs="宋体"/>
                <w:color w:val="auto"/>
                <w:spacing w:val="0"/>
                <w:kern w:val="0"/>
                <w:sz w:val="21"/>
                <w:szCs w:val="24"/>
                <w:highlight w:val="none"/>
              </w:rPr>
              <w:t>按照投标人的商务和技术得分由高到低排序，选择前5名（不少于3名但不足5名时，按全部实际数量）通过详细评审。</w:t>
            </w:r>
          </w:p>
        </w:tc>
      </w:tr>
    </w:tbl>
    <w:p>
      <w:pPr>
        <w:pStyle w:val="11"/>
        <w:spacing w:line="400" w:lineRule="exact"/>
        <w:ind w:firstLine="0"/>
        <w:rPr>
          <w:color w:val="auto"/>
          <w:spacing w:val="0"/>
          <w:sz w:val="21"/>
          <w:szCs w:val="21"/>
          <w:highlight w:val="none"/>
        </w:rPr>
      </w:pPr>
    </w:p>
    <w:p>
      <w:pPr>
        <w:pStyle w:val="11"/>
        <w:spacing w:line="400" w:lineRule="exact"/>
        <w:rPr>
          <w:color w:val="auto"/>
          <w:spacing w:val="0"/>
          <w:sz w:val="21"/>
          <w:szCs w:val="21"/>
          <w:highlight w:val="none"/>
        </w:rPr>
      </w:pPr>
    </w:p>
    <w:tbl>
      <w:tblPr>
        <w:tblStyle w:val="7"/>
        <w:tblW w:w="9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309"/>
        <w:gridCol w:w="713"/>
        <w:gridCol w:w="1224"/>
        <w:gridCol w:w="1036"/>
        <w:gridCol w:w="4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2" w:type="dxa"/>
            <w:gridSpan w:val="6"/>
            <w:noWrap w:val="0"/>
            <w:vAlign w:val="top"/>
          </w:tcPr>
          <w:p>
            <w:pPr>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评分因素与权重分值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条款号</w:t>
            </w:r>
          </w:p>
        </w:tc>
        <w:tc>
          <w:tcPr>
            <w:tcW w:w="1309" w:type="dxa"/>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评分因素</w:t>
            </w:r>
          </w:p>
        </w:tc>
        <w:tc>
          <w:tcPr>
            <w:tcW w:w="713" w:type="dxa"/>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评分因素权重</w:t>
            </w:r>
          </w:p>
        </w:tc>
        <w:tc>
          <w:tcPr>
            <w:tcW w:w="1224" w:type="dxa"/>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各评分因素细分项</w:t>
            </w:r>
          </w:p>
        </w:tc>
        <w:tc>
          <w:tcPr>
            <w:tcW w:w="1036" w:type="dxa"/>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分值</w:t>
            </w:r>
          </w:p>
        </w:tc>
        <w:tc>
          <w:tcPr>
            <w:tcW w:w="4609" w:type="dxa"/>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restar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2.2.2</w:t>
            </w:r>
          </w:p>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(1)</w:t>
            </w:r>
          </w:p>
          <w:p>
            <w:pPr>
              <w:spacing w:line="400" w:lineRule="exact"/>
              <w:jc w:val="center"/>
              <w:rPr>
                <w:rFonts w:ascii="宋体" w:hAnsi="宋体" w:eastAsia="宋体" w:cs="宋体"/>
                <w:color w:val="auto"/>
                <w:spacing w:val="0"/>
                <w:sz w:val="21"/>
                <w:szCs w:val="24"/>
                <w:highlight w:val="none"/>
              </w:rPr>
            </w:pPr>
          </w:p>
        </w:tc>
        <w:tc>
          <w:tcPr>
            <w:tcW w:w="1309" w:type="dxa"/>
            <w:vMerge w:val="restar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施工组织设计</w:t>
            </w:r>
          </w:p>
          <w:p>
            <w:pPr>
              <w:spacing w:line="400" w:lineRule="exact"/>
              <w:jc w:val="center"/>
              <w:rPr>
                <w:rFonts w:ascii="宋体" w:hAnsi="宋体" w:eastAsia="宋体" w:cs="宋体"/>
                <w:color w:val="auto"/>
                <w:spacing w:val="0"/>
                <w:sz w:val="21"/>
                <w:szCs w:val="24"/>
                <w:highlight w:val="none"/>
              </w:rPr>
            </w:pPr>
          </w:p>
        </w:tc>
        <w:tc>
          <w:tcPr>
            <w:tcW w:w="713" w:type="dxa"/>
            <w:vMerge w:val="restar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35分</w:t>
            </w:r>
          </w:p>
        </w:tc>
        <w:tc>
          <w:tcPr>
            <w:tcW w:w="1224" w:type="dxa"/>
            <w:noWrap w:val="0"/>
            <w:vAlign w:val="center"/>
          </w:tcPr>
          <w:p>
            <w:pPr>
              <w:spacing w:before="65" w:line="229" w:lineRule="auto"/>
              <w:ind w:left="201"/>
              <w:rPr>
                <w:rFonts w:ascii="宋体" w:hAnsi="宋体" w:eastAsia="宋体" w:cs="宋体"/>
                <w:color w:val="auto"/>
                <w:spacing w:val="0"/>
                <w:sz w:val="21"/>
                <w:szCs w:val="21"/>
                <w:highlight w:val="none"/>
              </w:rPr>
            </w:pPr>
            <w:r>
              <w:rPr>
                <w:rFonts w:ascii="宋体" w:hAnsi="宋体" w:eastAsia="宋体" w:cs="宋体"/>
                <w:color w:val="auto"/>
                <w:spacing w:val="5"/>
                <w:sz w:val="21"/>
                <w:szCs w:val="21"/>
                <w:highlight w:val="none"/>
              </w:rPr>
              <w:t>总体施</w:t>
            </w:r>
          </w:p>
          <w:p>
            <w:pPr>
              <w:spacing w:before="111" w:line="232" w:lineRule="auto"/>
              <w:ind w:left="198"/>
              <w:rPr>
                <w:rFonts w:ascii="宋体" w:hAnsi="宋体" w:eastAsia="宋体" w:cs="宋体"/>
                <w:color w:val="auto"/>
                <w:spacing w:val="0"/>
                <w:sz w:val="21"/>
                <w:szCs w:val="21"/>
                <w:highlight w:val="none"/>
              </w:rPr>
            </w:pPr>
            <w:r>
              <w:rPr>
                <w:rFonts w:ascii="宋体" w:hAnsi="宋体" w:eastAsia="宋体" w:cs="宋体"/>
                <w:color w:val="auto"/>
                <w:spacing w:val="6"/>
                <w:sz w:val="21"/>
                <w:szCs w:val="21"/>
                <w:highlight w:val="none"/>
              </w:rPr>
              <w:t>工组织</w:t>
            </w:r>
          </w:p>
          <w:p>
            <w:pPr>
              <w:spacing w:before="108" w:line="227" w:lineRule="auto"/>
              <w:ind w:left="196"/>
              <w:rPr>
                <w:rFonts w:ascii="宋体" w:hAnsi="宋体" w:eastAsia="宋体" w:cs="宋体"/>
                <w:color w:val="auto"/>
                <w:spacing w:val="0"/>
                <w:sz w:val="21"/>
                <w:szCs w:val="21"/>
                <w:highlight w:val="none"/>
              </w:rPr>
            </w:pPr>
            <w:r>
              <w:rPr>
                <w:rFonts w:ascii="宋体" w:hAnsi="宋体" w:eastAsia="宋体" w:cs="宋体"/>
                <w:color w:val="auto"/>
                <w:spacing w:val="7"/>
                <w:sz w:val="21"/>
                <w:szCs w:val="21"/>
                <w:highlight w:val="none"/>
              </w:rPr>
              <w:t>布置</w:t>
            </w:r>
            <w:r>
              <w:rPr>
                <w:rFonts w:ascii="宋体" w:hAnsi="宋体" w:eastAsia="宋体" w:cs="宋体"/>
                <w:color w:val="auto"/>
                <w:spacing w:val="6"/>
                <w:sz w:val="21"/>
                <w:szCs w:val="21"/>
                <w:highlight w:val="none"/>
              </w:rPr>
              <w:t>及</w:t>
            </w:r>
          </w:p>
          <w:p>
            <w:pPr>
              <w:spacing w:line="400" w:lineRule="exact"/>
              <w:jc w:val="center"/>
              <w:rPr>
                <w:rFonts w:ascii="宋体" w:hAnsi="宋体" w:eastAsia="宋体" w:cs="宋体"/>
                <w:color w:val="auto"/>
                <w:spacing w:val="0"/>
                <w:sz w:val="21"/>
                <w:szCs w:val="21"/>
                <w:highlight w:val="none"/>
              </w:rPr>
            </w:pPr>
            <w:r>
              <w:rPr>
                <w:rFonts w:ascii="宋体" w:hAnsi="宋体" w:eastAsia="宋体" w:cs="宋体"/>
                <w:color w:val="auto"/>
                <w:spacing w:val="4"/>
                <w:sz w:val="21"/>
                <w:szCs w:val="21"/>
                <w:highlight w:val="none"/>
              </w:rPr>
              <w:t>规划</w:t>
            </w:r>
          </w:p>
        </w:tc>
        <w:tc>
          <w:tcPr>
            <w:tcW w:w="1036" w:type="dxa"/>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u w:val="single"/>
              </w:rPr>
              <w:t>10</w:t>
            </w:r>
            <w:r>
              <w:rPr>
                <w:rFonts w:hint="eastAsia" w:ascii="宋体" w:hAnsi="宋体" w:eastAsia="宋体" w:cs="宋体"/>
                <w:color w:val="auto"/>
                <w:spacing w:val="0"/>
                <w:kern w:val="0"/>
                <w:sz w:val="21"/>
                <w:szCs w:val="24"/>
                <w:highlight w:val="none"/>
              </w:rPr>
              <w:t>分</w:t>
            </w:r>
          </w:p>
        </w:tc>
        <w:tc>
          <w:tcPr>
            <w:tcW w:w="4609" w:type="dxa"/>
            <w:noWrap w:val="0"/>
            <w:vAlign w:val="center"/>
          </w:tcPr>
          <w:p>
            <w:pPr>
              <w:widowControl/>
              <w:spacing w:line="400" w:lineRule="exact"/>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1）对项目的基本情况了解全面、准确，施工总体布置规划、施工进度计划科学合理、可操作性强，按《广东省公路工程施工标准化指南》及《广东省高速公路工程施工安全标准化指南》《公路工程施工安全防护设施技术指南》执行，得8～10分（满分分值的80%～100%）；</w:t>
            </w:r>
          </w:p>
          <w:p>
            <w:pPr>
              <w:widowControl/>
              <w:spacing w:line="400" w:lineRule="exact"/>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（2）满足工程建设需要，施工总体布置规划、施工进度计划基本可行，得6～8分（满分分值的60%～80%）；</w:t>
            </w:r>
          </w:p>
          <w:p>
            <w:pPr>
              <w:widowControl/>
              <w:spacing w:line="400" w:lineRule="exact"/>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（3）一般但不被评定为不响应的,得6分（满分分值的60%）。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continue"/>
            <w:noWrap w:val="0"/>
            <w:vAlign w:val="center"/>
          </w:tcPr>
          <w:p>
            <w:pPr>
              <w:spacing w:line="400" w:lineRule="exact"/>
              <w:jc w:val="center"/>
              <w:rPr>
                <w:rFonts w:ascii="宋体" w:hAnsi="宋体" w:eastAsia="宋体" w:cs="宋体"/>
                <w:color w:val="auto"/>
                <w:spacing w:val="0"/>
                <w:sz w:val="21"/>
                <w:szCs w:val="24"/>
                <w:highlight w:val="none"/>
              </w:rPr>
            </w:pPr>
          </w:p>
        </w:tc>
        <w:tc>
          <w:tcPr>
            <w:tcW w:w="1309" w:type="dxa"/>
            <w:vMerge w:val="continue"/>
            <w:noWrap w:val="0"/>
            <w:vAlign w:val="center"/>
          </w:tcPr>
          <w:p>
            <w:pPr>
              <w:spacing w:line="400" w:lineRule="exact"/>
              <w:jc w:val="center"/>
              <w:rPr>
                <w:rFonts w:ascii="宋体" w:hAnsi="宋体" w:eastAsia="宋体" w:cs="宋体"/>
                <w:color w:val="auto"/>
                <w:spacing w:val="0"/>
                <w:sz w:val="21"/>
                <w:szCs w:val="24"/>
                <w:highlight w:val="none"/>
              </w:rPr>
            </w:pPr>
          </w:p>
        </w:tc>
        <w:tc>
          <w:tcPr>
            <w:tcW w:w="713" w:type="dxa"/>
            <w:vMerge w:val="continue"/>
            <w:noWrap w:val="0"/>
            <w:vAlign w:val="center"/>
          </w:tcPr>
          <w:p>
            <w:pPr>
              <w:widowControl/>
              <w:spacing w:line="400" w:lineRule="exact"/>
              <w:jc w:val="center"/>
              <w:rPr>
                <w:rFonts w:ascii="宋体" w:hAnsi="宋体" w:eastAsia="宋体" w:cs="宋体"/>
                <w:color w:val="auto"/>
                <w:spacing w:val="0"/>
                <w:sz w:val="21"/>
                <w:szCs w:val="24"/>
                <w:highlight w:val="none"/>
              </w:rPr>
            </w:pPr>
          </w:p>
        </w:tc>
        <w:tc>
          <w:tcPr>
            <w:tcW w:w="1224" w:type="dxa"/>
            <w:noWrap w:val="0"/>
            <w:vAlign w:val="center"/>
          </w:tcPr>
          <w:p>
            <w:pPr>
              <w:widowControl/>
              <w:spacing w:line="400" w:lineRule="exact"/>
              <w:jc w:val="center"/>
              <w:rPr>
                <w:rFonts w:ascii="宋体" w:hAnsi="宋体" w:eastAsia="宋体" w:cs="宋体"/>
                <w:color w:val="auto"/>
                <w:spacing w:val="0"/>
                <w:sz w:val="21"/>
                <w:szCs w:val="21"/>
                <w:highlight w:val="none"/>
              </w:rPr>
            </w:pPr>
            <w:r>
              <w:rPr>
                <w:rFonts w:ascii="宋体" w:hAnsi="宋体" w:eastAsia="宋体" w:cs="宋体"/>
                <w:color w:val="auto"/>
                <w:spacing w:val="-14"/>
                <w:sz w:val="21"/>
                <w:szCs w:val="21"/>
                <w:highlight w:val="none"/>
              </w:rPr>
              <w:t>重</w:t>
            </w:r>
            <w:r>
              <w:rPr>
                <w:rFonts w:ascii="宋体" w:hAnsi="宋体" w:eastAsia="宋体" w:cs="宋体"/>
                <w:color w:val="auto"/>
                <w:spacing w:val="-10"/>
                <w:sz w:val="21"/>
                <w:szCs w:val="21"/>
                <w:highlight w:val="none"/>
              </w:rPr>
              <w:t>点、难</w:t>
            </w:r>
            <w:r>
              <w:rPr>
                <w:rFonts w:ascii="宋体" w:hAnsi="宋体" w:eastAsia="宋体" w:cs="宋体"/>
                <w:color w:val="auto"/>
                <w:spacing w:val="7"/>
                <w:sz w:val="21"/>
                <w:szCs w:val="21"/>
                <w:highlight w:val="none"/>
              </w:rPr>
              <w:t>点和关键工程的施工</w:t>
            </w:r>
            <w:r>
              <w:rPr>
                <w:rFonts w:ascii="宋体" w:hAnsi="宋体" w:eastAsia="宋体" w:cs="宋体"/>
                <w:color w:val="auto"/>
                <w:spacing w:val="0"/>
                <w:sz w:val="21"/>
                <w:szCs w:val="21"/>
                <w:highlight w:val="none"/>
              </w:rPr>
              <w:t xml:space="preserve"> </w:t>
            </w:r>
            <w:r>
              <w:rPr>
                <w:rFonts w:ascii="宋体" w:hAnsi="宋体" w:eastAsia="宋体" w:cs="宋体"/>
                <w:color w:val="auto"/>
                <w:spacing w:val="7"/>
                <w:sz w:val="21"/>
                <w:szCs w:val="21"/>
                <w:highlight w:val="none"/>
              </w:rPr>
              <w:t>方案与技术措</w:t>
            </w:r>
            <w:r>
              <w:rPr>
                <w:rFonts w:ascii="宋体" w:hAnsi="宋体" w:eastAsia="宋体" w:cs="宋体"/>
                <w:color w:val="auto"/>
                <w:spacing w:val="1"/>
                <w:sz w:val="21"/>
                <w:szCs w:val="21"/>
                <w:highlight w:val="none"/>
              </w:rPr>
              <w:t>施</w:t>
            </w:r>
          </w:p>
        </w:tc>
        <w:tc>
          <w:tcPr>
            <w:tcW w:w="1036" w:type="dxa"/>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u w:val="single"/>
              </w:rPr>
              <w:t>15</w:t>
            </w:r>
            <w:r>
              <w:rPr>
                <w:rFonts w:hint="eastAsia" w:ascii="宋体" w:hAnsi="宋体" w:eastAsia="宋体" w:cs="宋体"/>
                <w:color w:val="auto"/>
                <w:spacing w:val="0"/>
                <w:kern w:val="0"/>
                <w:sz w:val="21"/>
                <w:szCs w:val="24"/>
                <w:highlight w:val="none"/>
              </w:rPr>
              <w:t>分</w:t>
            </w:r>
          </w:p>
        </w:tc>
        <w:tc>
          <w:tcPr>
            <w:tcW w:w="4609" w:type="dxa"/>
            <w:noWrap w:val="0"/>
            <w:vAlign w:val="center"/>
          </w:tcPr>
          <w:p>
            <w:pPr>
              <w:widowControl/>
              <w:spacing w:line="400" w:lineRule="exact"/>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1）对项目重点、难点和关键工程认识分析透彻，能充分发挥自身优势，积极采用“四新”技术，制定的施工方案与技术措施针对性和可操作性强，重点突出的，按《广东省公路工程施工标准化指南》及《广东省高速公路工程施工安全标准化指南》《公路工程施工安全防护设施技术指南》执行，得12～15分（满分分值的80%～100%）；</w:t>
            </w:r>
          </w:p>
          <w:p>
            <w:pPr>
              <w:widowControl/>
              <w:spacing w:line="400" w:lineRule="exact"/>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（2）对项目重点、难点和关键工程认识基本到位，施工方案与技术措施基本可行，重点较为突出的，得9～12分（满分分值的60%～80%）；</w:t>
            </w:r>
          </w:p>
          <w:p>
            <w:pPr>
              <w:widowControl/>
              <w:spacing w:line="400" w:lineRule="exact"/>
              <w:jc w:val="left"/>
              <w:rPr>
                <w:rFonts w:ascii="宋体" w:hAnsi="宋体" w:eastAsia="宋体" w:cs="宋体"/>
                <w:color w:val="auto"/>
                <w:spacing w:val="0"/>
                <w:sz w:val="24"/>
                <w:szCs w:val="24"/>
                <w:highlight w:val="none"/>
              </w:rPr>
            </w:pPr>
            <w:r>
              <w:rPr>
                <w:rFonts w:hint="eastAsia" w:ascii="宋体" w:hAnsi="宋体" w:eastAsia="宋体" w:cs="宋体"/>
                <w:color w:val="auto"/>
                <w:spacing w:val="0"/>
                <w:sz w:val="21"/>
                <w:szCs w:val="24"/>
                <w:highlight w:val="none"/>
              </w:rPr>
              <w:t>（3）一般但不被评定为不响应的, 得9分（满分分值的60%）。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continue"/>
            <w:noWrap w:val="0"/>
            <w:vAlign w:val="center"/>
          </w:tcPr>
          <w:p>
            <w:pPr>
              <w:spacing w:line="400" w:lineRule="exact"/>
              <w:jc w:val="center"/>
              <w:rPr>
                <w:rFonts w:ascii="宋体" w:hAnsi="宋体" w:eastAsia="宋体" w:cs="宋体"/>
                <w:color w:val="auto"/>
                <w:spacing w:val="0"/>
                <w:sz w:val="21"/>
                <w:szCs w:val="24"/>
                <w:highlight w:val="none"/>
              </w:rPr>
            </w:pPr>
          </w:p>
        </w:tc>
        <w:tc>
          <w:tcPr>
            <w:tcW w:w="1309" w:type="dxa"/>
            <w:vMerge w:val="continue"/>
            <w:noWrap w:val="0"/>
            <w:vAlign w:val="center"/>
          </w:tcPr>
          <w:p>
            <w:pPr>
              <w:spacing w:line="400" w:lineRule="exact"/>
              <w:jc w:val="center"/>
              <w:rPr>
                <w:rFonts w:ascii="宋体" w:hAnsi="宋体" w:eastAsia="宋体" w:cs="宋体"/>
                <w:color w:val="auto"/>
                <w:spacing w:val="0"/>
                <w:sz w:val="21"/>
                <w:szCs w:val="24"/>
                <w:highlight w:val="none"/>
              </w:rPr>
            </w:pPr>
          </w:p>
        </w:tc>
        <w:tc>
          <w:tcPr>
            <w:tcW w:w="713" w:type="dxa"/>
            <w:vMerge w:val="continue"/>
            <w:noWrap w:val="0"/>
            <w:vAlign w:val="center"/>
          </w:tcPr>
          <w:p>
            <w:pPr>
              <w:widowControl/>
              <w:spacing w:line="400" w:lineRule="exact"/>
              <w:jc w:val="center"/>
              <w:rPr>
                <w:rFonts w:ascii="宋体" w:hAnsi="宋体" w:eastAsia="宋体" w:cs="宋体"/>
                <w:color w:val="auto"/>
                <w:spacing w:val="0"/>
                <w:sz w:val="21"/>
                <w:szCs w:val="24"/>
                <w:highlight w:val="none"/>
              </w:rPr>
            </w:pPr>
          </w:p>
        </w:tc>
        <w:tc>
          <w:tcPr>
            <w:tcW w:w="1224" w:type="dxa"/>
            <w:noWrap w:val="0"/>
            <w:vAlign w:val="center"/>
          </w:tcPr>
          <w:p>
            <w:pPr>
              <w:widowControl/>
              <w:spacing w:line="400" w:lineRule="exact"/>
              <w:jc w:val="center"/>
              <w:rPr>
                <w:rFonts w:ascii="宋体" w:hAnsi="宋体" w:eastAsia="宋体" w:cs="宋体"/>
                <w:color w:val="auto"/>
                <w:spacing w:val="0"/>
                <w:sz w:val="21"/>
                <w:szCs w:val="21"/>
                <w:highlight w:val="none"/>
              </w:rPr>
            </w:pPr>
            <w:r>
              <w:rPr>
                <w:rFonts w:ascii="宋体" w:hAnsi="宋体" w:eastAsia="宋体" w:cs="宋体"/>
                <w:color w:val="auto"/>
                <w:spacing w:val="-12"/>
                <w:sz w:val="21"/>
                <w:szCs w:val="21"/>
                <w:highlight w:val="none"/>
              </w:rPr>
              <w:t>工</w:t>
            </w:r>
            <w:r>
              <w:rPr>
                <w:rFonts w:ascii="宋体" w:hAnsi="宋体" w:eastAsia="宋体" w:cs="宋体"/>
                <w:color w:val="auto"/>
                <w:spacing w:val="-11"/>
                <w:sz w:val="21"/>
                <w:szCs w:val="21"/>
                <w:highlight w:val="none"/>
              </w:rPr>
              <w:t>期、质</w:t>
            </w:r>
            <w:r>
              <w:rPr>
                <w:rFonts w:ascii="宋体" w:hAnsi="宋体" w:eastAsia="宋体" w:cs="宋体"/>
                <w:color w:val="auto"/>
                <w:spacing w:val="0"/>
                <w:sz w:val="21"/>
                <w:szCs w:val="21"/>
                <w:highlight w:val="none"/>
              </w:rPr>
              <w:t xml:space="preserve"> </w:t>
            </w:r>
            <w:r>
              <w:rPr>
                <w:rFonts w:ascii="宋体" w:hAnsi="宋体" w:eastAsia="宋体" w:cs="宋体"/>
                <w:color w:val="auto"/>
                <w:spacing w:val="7"/>
                <w:sz w:val="21"/>
                <w:szCs w:val="21"/>
                <w:highlight w:val="none"/>
              </w:rPr>
              <w:t>量、安</w:t>
            </w:r>
            <w:r>
              <w:rPr>
                <w:rFonts w:ascii="宋体" w:hAnsi="宋体" w:eastAsia="宋体" w:cs="宋体"/>
                <w:color w:val="auto"/>
                <w:spacing w:val="-11"/>
                <w:sz w:val="21"/>
                <w:szCs w:val="21"/>
                <w:highlight w:val="none"/>
              </w:rPr>
              <w:t>全、环保</w:t>
            </w:r>
            <w:r>
              <w:rPr>
                <w:rFonts w:ascii="宋体" w:hAnsi="宋体" w:eastAsia="宋体" w:cs="宋体"/>
                <w:color w:val="auto"/>
                <w:spacing w:val="-12"/>
                <w:sz w:val="21"/>
                <w:szCs w:val="21"/>
                <w:highlight w:val="none"/>
              </w:rPr>
              <w:t>水</w:t>
            </w:r>
            <w:r>
              <w:rPr>
                <w:rFonts w:ascii="宋体" w:hAnsi="宋体" w:eastAsia="宋体" w:cs="宋体"/>
                <w:color w:val="auto"/>
                <w:spacing w:val="-10"/>
                <w:sz w:val="21"/>
                <w:szCs w:val="21"/>
                <w:highlight w:val="none"/>
              </w:rPr>
              <w:t>保、文</w:t>
            </w:r>
            <w:r>
              <w:rPr>
                <w:rFonts w:ascii="宋体" w:hAnsi="宋体" w:eastAsia="宋体" w:cs="宋体"/>
                <w:color w:val="auto"/>
                <w:spacing w:val="7"/>
                <w:sz w:val="21"/>
                <w:szCs w:val="21"/>
                <w:highlight w:val="none"/>
              </w:rPr>
              <w:t>明施工</w:t>
            </w:r>
            <w:r>
              <w:rPr>
                <w:rFonts w:ascii="宋体" w:hAnsi="宋体" w:eastAsia="宋体" w:cs="宋体"/>
                <w:color w:val="auto"/>
                <w:spacing w:val="0"/>
                <w:sz w:val="21"/>
                <w:szCs w:val="21"/>
                <w:highlight w:val="none"/>
              </w:rPr>
              <w:t xml:space="preserve"> </w:t>
            </w:r>
            <w:r>
              <w:rPr>
                <w:rFonts w:ascii="宋体" w:hAnsi="宋体" w:eastAsia="宋体" w:cs="宋体"/>
                <w:color w:val="auto"/>
                <w:spacing w:val="7"/>
                <w:sz w:val="21"/>
                <w:szCs w:val="21"/>
                <w:highlight w:val="none"/>
              </w:rPr>
              <w:t>保证措</w:t>
            </w:r>
            <w:r>
              <w:rPr>
                <w:rFonts w:ascii="宋体" w:hAnsi="宋体" w:eastAsia="宋体" w:cs="宋体"/>
                <w:color w:val="auto"/>
                <w:spacing w:val="1"/>
                <w:sz w:val="21"/>
                <w:szCs w:val="21"/>
                <w:highlight w:val="none"/>
              </w:rPr>
              <w:t>施</w:t>
            </w:r>
          </w:p>
        </w:tc>
        <w:tc>
          <w:tcPr>
            <w:tcW w:w="1036" w:type="dxa"/>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u w:val="single"/>
              </w:rPr>
              <w:t>10</w:t>
            </w:r>
            <w:r>
              <w:rPr>
                <w:rFonts w:hint="eastAsia" w:ascii="宋体" w:hAnsi="宋体" w:eastAsia="宋体" w:cs="宋体"/>
                <w:color w:val="auto"/>
                <w:spacing w:val="0"/>
                <w:kern w:val="0"/>
                <w:sz w:val="21"/>
                <w:szCs w:val="24"/>
                <w:highlight w:val="none"/>
              </w:rPr>
              <w:t>分</w:t>
            </w:r>
          </w:p>
        </w:tc>
        <w:tc>
          <w:tcPr>
            <w:tcW w:w="4609" w:type="dxa"/>
            <w:noWrap w:val="0"/>
            <w:vAlign w:val="center"/>
          </w:tcPr>
          <w:p>
            <w:pPr>
              <w:widowControl/>
              <w:spacing w:line="400" w:lineRule="exact"/>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1）能够准确预判分析工期、质量、安全、环保、水保、文明施工目标实现的主要影响因素，拟采取预防保证措施针对性强、科学有效，重点突出的，按《广东省公路工程施工标准化指南》及《广东省高速公路工程施工安全标准化指南》《公路工程施工安全防护设施技术指南》执行，得8～10分（满分分值的80%～100%）；</w:t>
            </w:r>
          </w:p>
          <w:p>
            <w:pPr>
              <w:widowControl/>
              <w:spacing w:line="400" w:lineRule="exact"/>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（2）对工期、质量、安全、环保、水保等风险有一定认识，预防保证措施基本可行，重点较为突出的，得6～8分（满分分值的60%～80%）；</w:t>
            </w:r>
          </w:p>
          <w:p>
            <w:pPr>
              <w:widowControl/>
              <w:spacing w:line="400" w:lineRule="exact"/>
              <w:jc w:val="left"/>
              <w:rPr>
                <w:rFonts w:ascii="宋体" w:hAnsi="宋体" w:eastAsia="宋体" w:cs="宋体"/>
                <w:color w:val="auto"/>
                <w:spacing w:val="0"/>
                <w:sz w:val="24"/>
                <w:szCs w:val="24"/>
                <w:highlight w:val="none"/>
              </w:rPr>
            </w:pPr>
            <w:r>
              <w:rPr>
                <w:rFonts w:hint="eastAsia" w:ascii="宋体" w:hAnsi="宋体" w:eastAsia="宋体" w:cs="宋体"/>
                <w:color w:val="auto"/>
                <w:spacing w:val="0"/>
                <w:sz w:val="21"/>
                <w:szCs w:val="24"/>
                <w:highlight w:val="none"/>
              </w:rPr>
              <w:t>（3）一般但不被评定为不响应的, 得6分（满分分值的60%）。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81" w:type="dxa"/>
            <w:vMerge w:val="restart"/>
            <w:noWrap w:val="0"/>
            <w:vAlign w:val="center"/>
          </w:tcPr>
          <w:p>
            <w:pPr>
              <w:widowControl/>
              <w:spacing w:line="400" w:lineRule="exact"/>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2.2.2 </w:t>
            </w:r>
          </w:p>
          <w:p>
            <w:pPr>
              <w:widowControl/>
              <w:spacing w:line="400" w:lineRule="exact"/>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(2)</w:t>
            </w:r>
          </w:p>
          <w:p>
            <w:pPr>
              <w:spacing w:line="400" w:lineRule="exact"/>
              <w:jc w:val="center"/>
              <w:rPr>
                <w:rFonts w:ascii="宋体" w:hAnsi="宋体" w:eastAsia="宋体" w:cs="宋体"/>
                <w:color w:val="auto"/>
                <w:spacing w:val="0"/>
                <w:sz w:val="21"/>
                <w:szCs w:val="24"/>
                <w:highlight w:val="none"/>
              </w:rPr>
            </w:pPr>
          </w:p>
        </w:tc>
        <w:tc>
          <w:tcPr>
            <w:tcW w:w="1309" w:type="dxa"/>
            <w:vMerge w:val="restart"/>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主要人员</w:t>
            </w:r>
          </w:p>
        </w:tc>
        <w:tc>
          <w:tcPr>
            <w:tcW w:w="713" w:type="dxa"/>
            <w:vMerge w:val="restart"/>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40分</w:t>
            </w:r>
          </w:p>
        </w:tc>
        <w:tc>
          <w:tcPr>
            <w:tcW w:w="1224" w:type="dxa"/>
            <w:noWrap w:val="0"/>
            <w:vAlign w:val="center"/>
          </w:tcPr>
          <w:p>
            <w:pPr>
              <w:widowControl/>
              <w:spacing w:line="400" w:lineRule="exac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项目经理任职资格与业绩</w:t>
            </w:r>
          </w:p>
        </w:tc>
        <w:tc>
          <w:tcPr>
            <w:tcW w:w="1036" w:type="dxa"/>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20分</w:t>
            </w:r>
          </w:p>
        </w:tc>
        <w:tc>
          <w:tcPr>
            <w:tcW w:w="4609" w:type="dxa"/>
            <w:noWrap w:val="0"/>
            <w:vAlign w:val="center"/>
          </w:tcPr>
          <w:p>
            <w:pPr>
              <w:widowControl/>
              <w:spacing w:line="400" w:lineRule="exact"/>
              <w:jc w:val="left"/>
              <w:rPr>
                <w:rFonts w:ascii="Calibri" w:hAnsi="Calibri" w:eastAsia="宋体"/>
                <w:color w:val="auto"/>
                <w:spacing w:val="0"/>
                <w:sz w:val="21"/>
                <w:szCs w:val="24"/>
                <w:highlight w:val="none"/>
              </w:rPr>
            </w:pPr>
            <w:r>
              <w:rPr>
                <w:rFonts w:hint="eastAsia" w:ascii="Calibri" w:hAnsi="Calibri" w:eastAsia="宋体"/>
                <w:color w:val="auto"/>
                <w:spacing w:val="0"/>
                <w:sz w:val="21"/>
                <w:szCs w:val="24"/>
                <w:highlight w:val="none"/>
              </w:rPr>
              <w:t>（1）满足资格审查条件（项目经理和项目总工最低要求）时，得12分；</w:t>
            </w:r>
          </w:p>
          <w:p>
            <w:pPr>
              <w:widowControl/>
              <w:numPr>
                <w:ilvl w:val="0"/>
                <w:numId w:val="2"/>
              </w:numPr>
              <w:spacing w:line="400" w:lineRule="exact"/>
              <w:jc w:val="left"/>
              <w:rPr>
                <w:rFonts w:ascii="Times New Roman" w:hAnsi="Times New Roman" w:eastAsia="宋体"/>
                <w:color w:val="auto"/>
                <w:spacing w:val="0"/>
                <w:sz w:val="21"/>
                <w:szCs w:val="24"/>
                <w:highlight w:val="none"/>
              </w:rPr>
            </w:pPr>
            <w:r>
              <w:rPr>
                <w:rFonts w:hint="eastAsia" w:ascii="Times New Roman" w:hAnsi="Times New Roman" w:eastAsia="宋体"/>
                <w:color w:val="auto"/>
                <w:spacing w:val="0"/>
                <w:sz w:val="21"/>
                <w:szCs w:val="24"/>
                <w:highlight w:val="none"/>
              </w:rPr>
              <w:t>项目经理每担任1个类似工程项目经理（或项目副经理）岗位的加</w:t>
            </w:r>
            <w:r>
              <w:rPr>
                <w:rFonts w:hint="eastAsia" w:ascii="Times New Roman" w:hAnsi="Times New Roman" w:eastAsia="宋体"/>
                <w:color w:val="auto"/>
                <w:spacing w:val="0"/>
                <w:sz w:val="21"/>
                <w:szCs w:val="24"/>
                <w:highlight w:val="none"/>
                <w:lang w:val="en-US" w:eastAsia="zh-CN"/>
              </w:rPr>
              <w:t>4</w:t>
            </w:r>
            <w:r>
              <w:rPr>
                <w:rFonts w:hint="eastAsia" w:ascii="Times New Roman" w:hAnsi="Times New Roman" w:eastAsia="宋体"/>
                <w:color w:val="auto"/>
                <w:spacing w:val="0"/>
                <w:sz w:val="21"/>
                <w:szCs w:val="24"/>
                <w:highlight w:val="none"/>
              </w:rPr>
              <w:t>分，最多加 8分。</w:t>
            </w:r>
          </w:p>
          <w:p>
            <w:pPr>
              <w:widowControl/>
              <w:spacing w:line="400" w:lineRule="exact"/>
              <w:jc w:val="left"/>
              <w:rPr>
                <w:rFonts w:ascii="Calibri" w:hAnsi="Calibri" w:eastAsia="宋体"/>
                <w:color w:val="auto"/>
                <w:spacing w:val="0"/>
                <w:sz w:val="21"/>
                <w:szCs w:val="24"/>
                <w:highlight w:val="none"/>
              </w:rPr>
            </w:pPr>
            <w:r>
              <w:rPr>
                <w:rFonts w:hint="eastAsia" w:ascii="宋体" w:hAnsi="宋体" w:eastAsia="宋体" w:cs="宋体"/>
                <w:color w:val="auto"/>
                <w:spacing w:val="0"/>
                <w:sz w:val="21"/>
                <w:szCs w:val="24"/>
                <w:highlight w:val="none"/>
              </w:rPr>
              <w:t>说明：类似工程指：</w:t>
            </w:r>
            <w:r>
              <w:rPr>
                <w:rFonts w:hint="eastAsia" w:ascii="宋体" w:hAnsi="宋体" w:eastAsia="宋体" w:cs="宋体"/>
                <w:color w:val="auto"/>
                <w:spacing w:val="0"/>
                <w:sz w:val="21"/>
                <w:szCs w:val="24"/>
                <w:highlight w:val="none"/>
                <w:lang w:val="en-US" w:eastAsia="zh-CN"/>
              </w:rPr>
              <w:t>二级或以上等级</w:t>
            </w:r>
            <w:r>
              <w:rPr>
                <w:rFonts w:hint="eastAsia" w:ascii="宋体" w:hAnsi="宋体" w:eastAsia="宋体" w:cs="宋体"/>
                <w:color w:val="auto"/>
                <w:spacing w:val="0"/>
                <w:sz w:val="21"/>
                <w:szCs w:val="24"/>
                <w:highlight w:val="none"/>
              </w:rPr>
              <w:t>公路工程。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981" w:type="dxa"/>
            <w:vMerge w:val="continue"/>
            <w:noWrap w:val="0"/>
            <w:vAlign w:val="center"/>
          </w:tcPr>
          <w:p>
            <w:pPr>
              <w:spacing w:line="400" w:lineRule="exact"/>
              <w:jc w:val="center"/>
              <w:rPr>
                <w:rFonts w:ascii="宋体" w:hAnsi="宋体" w:eastAsia="宋体" w:cs="宋体"/>
                <w:color w:val="auto"/>
                <w:spacing w:val="0"/>
                <w:sz w:val="21"/>
                <w:szCs w:val="24"/>
                <w:highlight w:val="none"/>
              </w:rPr>
            </w:pPr>
          </w:p>
        </w:tc>
        <w:tc>
          <w:tcPr>
            <w:tcW w:w="1309" w:type="dxa"/>
            <w:vMerge w:val="continue"/>
            <w:noWrap w:val="0"/>
            <w:vAlign w:val="center"/>
          </w:tcPr>
          <w:p>
            <w:pPr>
              <w:widowControl/>
              <w:spacing w:line="400" w:lineRule="exact"/>
              <w:jc w:val="left"/>
              <w:rPr>
                <w:rFonts w:ascii="宋体" w:hAnsi="宋体" w:eastAsia="宋体" w:cs="宋体"/>
                <w:color w:val="auto"/>
                <w:spacing w:val="0"/>
                <w:kern w:val="0"/>
                <w:sz w:val="21"/>
                <w:szCs w:val="24"/>
                <w:highlight w:val="none"/>
              </w:rPr>
            </w:pPr>
          </w:p>
        </w:tc>
        <w:tc>
          <w:tcPr>
            <w:tcW w:w="713" w:type="dxa"/>
            <w:vMerge w:val="continue"/>
            <w:noWrap w:val="0"/>
            <w:vAlign w:val="center"/>
          </w:tcPr>
          <w:p>
            <w:pPr>
              <w:widowControl/>
              <w:spacing w:line="400" w:lineRule="exact"/>
              <w:jc w:val="left"/>
              <w:rPr>
                <w:rFonts w:ascii="宋体" w:hAnsi="宋体" w:eastAsia="宋体" w:cs="宋体"/>
                <w:color w:val="auto"/>
                <w:spacing w:val="0"/>
                <w:kern w:val="0"/>
                <w:sz w:val="21"/>
                <w:szCs w:val="24"/>
                <w:highlight w:val="none"/>
              </w:rPr>
            </w:pPr>
          </w:p>
        </w:tc>
        <w:tc>
          <w:tcPr>
            <w:tcW w:w="1224" w:type="dxa"/>
            <w:noWrap w:val="0"/>
            <w:vAlign w:val="center"/>
          </w:tcPr>
          <w:p>
            <w:pPr>
              <w:widowControl/>
              <w:spacing w:line="400" w:lineRule="exac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项目总工任职资格与业绩</w:t>
            </w:r>
          </w:p>
        </w:tc>
        <w:tc>
          <w:tcPr>
            <w:tcW w:w="1036" w:type="dxa"/>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20分</w:t>
            </w:r>
          </w:p>
        </w:tc>
        <w:tc>
          <w:tcPr>
            <w:tcW w:w="4609" w:type="dxa"/>
            <w:noWrap w:val="0"/>
            <w:vAlign w:val="center"/>
          </w:tcPr>
          <w:p>
            <w:pPr>
              <w:widowControl/>
              <w:spacing w:line="400" w:lineRule="exact"/>
              <w:jc w:val="left"/>
              <w:rPr>
                <w:rFonts w:ascii="Calibri" w:hAnsi="Calibri" w:eastAsia="宋体"/>
                <w:color w:val="auto"/>
                <w:spacing w:val="0"/>
                <w:sz w:val="21"/>
                <w:szCs w:val="24"/>
                <w:highlight w:val="none"/>
              </w:rPr>
            </w:pPr>
            <w:r>
              <w:rPr>
                <w:rFonts w:hint="eastAsia" w:ascii="Calibri" w:hAnsi="Calibri" w:eastAsia="宋体"/>
                <w:color w:val="auto"/>
                <w:spacing w:val="0"/>
                <w:sz w:val="21"/>
                <w:szCs w:val="24"/>
                <w:highlight w:val="none"/>
              </w:rPr>
              <w:t>（1）满足资格审查条件（项目经理和项目总工最低要求）时，得12分；</w:t>
            </w:r>
          </w:p>
          <w:p>
            <w:pPr>
              <w:widowControl/>
              <w:spacing w:line="400" w:lineRule="exact"/>
              <w:jc w:val="left"/>
              <w:rPr>
                <w:rFonts w:ascii="Calibri" w:hAnsi="Calibri" w:eastAsia="宋体"/>
                <w:color w:val="auto"/>
                <w:spacing w:val="0"/>
                <w:sz w:val="21"/>
                <w:szCs w:val="24"/>
                <w:highlight w:val="none"/>
              </w:rPr>
            </w:pPr>
            <w:r>
              <w:rPr>
                <w:rFonts w:hint="eastAsia" w:ascii="Calibri" w:hAnsi="Calibri" w:eastAsia="宋体"/>
                <w:color w:val="auto"/>
                <w:spacing w:val="0"/>
                <w:sz w:val="21"/>
                <w:szCs w:val="24"/>
                <w:highlight w:val="none"/>
              </w:rPr>
              <w:t>（2）</w:t>
            </w:r>
            <w:r>
              <w:rPr>
                <w:rFonts w:hint="eastAsia" w:ascii="Times New Roman" w:hAnsi="Times New Roman" w:eastAsia="宋体"/>
                <w:color w:val="auto"/>
                <w:spacing w:val="0"/>
                <w:sz w:val="21"/>
                <w:szCs w:val="24"/>
                <w:highlight w:val="none"/>
              </w:rPr>
              <w:t>项目总工每担任1个类似工程项目总工（或项目副总工）岗位的加</w:t>
            </w:r>
            <w:r>
              <w:rPr>
                <w:rFonts w:hint="eastAsia" w:ascii="Times New Roman" w:hAnsi="Times New Roman" w:eastAsia="宋体"/>
                <w:color w:val="auto"/>
                <w:spacing w:val="0"/>
                <w:sz w:val="21"/>
                <w:szCs w:val="24"/>
                <w:highlight w:val="none"/>
                <w:lang w:val="en-US" w:eastAsia="zh-CN"/>
              </w:rPr>
              <w:t>4</w:t>
            </w:r>
            <w:r>
              <w:rPr>
                <w:rFonts w:hint="eastAsia" w:ascii="Times New Roman" w:hAnsi="Times New Roman" w:eastAsia="宋体"/>
                <w:color w:val="auto"/>
                <w:spacing w:val="0"/>
                <w:sz w:val="21"/>
                <w:szCs w:val="24"/>
                <w:highlight w:val="none"/>
              </w:rPr>
              <w:t>分，最多加8分。</w:t>
            </w:r>
          </w:p>
          <w:p>
            <w:pPr>
              <w:widowControl/>
              <w:spacing w:line="400" w:lineRule="exact"/>
              <w:jc w:val="left"/>
              <w:rPr>
                <w:rFonts w:ascii="Calibri" w:hAnsi="Calibri" w:eastAsia="宋体"/>
                <w:color w:val="auto"/>
                <w:spacing w:val="0"/>
                <w:sz w:val="21"/>
                <w:szCs w:val="24"/>
                <w:highlight w:val="none"/>
              </w:rPr>
            </w:pPr>
            <w:r>
              <w:rPr>
                <w:rFonts w:hint="eastAsia" w:ascii="宋体" w:hAnsi="宋体" w:eastAsia="宋体" w:cs="宋体"/>
                <w:color w:val="auto"/>
                <w:spacing w:val="0"/>
                <w:sz w:val="21"/>
                <w:szCs w:val="24"/>
                <w:highlight w:val="none"/>
              </w:rPr>
              <w:t>说明：类似工程指：</w:t>
            </w:r>
            <w:r>
              <w:rPr>
                <w:rFonts w:hint="eastAsia" w:ascii="宋体" w:hAnsi="宋体" w:eastAsia="宋体" w:cs="宋体"/>
                <w:color w:val="auto"/>
                <w:spacing w:val="0"/>
                <w:sz w:val="21"/>
                <w:szCs w:val="24"/>
                <w:highlight w:val="none"/>
                <w:lang w:val="en-US" w:eastAsia="zh-CN"/>
              </w:rPr>
              <w:t>二级或以上等级</w:t>
            </w:r>
            <w:r>
              <w:rPr>
                <w:rFonts w:hint="eastAsia" w:ascii="宋体" w:hAnsi="宋体" w:eastAsia="宋体" w:cs="宋体"/>
                <w:color w:val="auto"/>
                <w:spacing w:val="0"/>
                <w:sz w:val="21"/>
                <w:szCs w:val="24"/>
                <w:highlight w:val="none"/>
              </w:rPr>
              <w:t>公路工程。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trPr>
        <w:tc>
          <w:tcPr>
            <w:tcW w:w="981" w:type="dxa"/>
            <w:vMerge w:val="restart"/>
            <w:noWrap w:val="0"/>
            <w:vAlign w:val="center"/>
          </w:tcPr>
          <w:p>
            <w:pPr>
              <w:spacing w:line="400" w:lineRule="exact"/>
              <w:ind w:left="90" w:leftChars="36" w:right="113" w:hanging="14" w:hangingChars="7"/>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2.2.2(3)</w:t>
            </w:r>
          </w:p>
        </w:tc>
        <w:tc>
          <w:tcPr>
            <w:tcW w:w="1309" w:type="dxa"/>
            <w:vMerge w:val="restart"/>
            <w:noWrap w:val="0"/>
            <w:vAlign w:val="center"/>
          </w:tcPr>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其他因素</w:t>
            </w:r>
          </w:p>
        </w:tc>
        <w:tc>
          <w:tcPr>
            <w:tcW w:w="713" w:type="dxa"/>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技</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术</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能</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力</w:t>
            </w:r>
          </w:p>
        </w:tc>
        <w:tc>
          <w:tcPr>
            <w:tcW w:w="1224" w:type="dxa"/>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10分</w:t>
            </w:r>
          </w:p>
        </w:tc>
        <w:tc>
          <w:tcPr>
            <w:tcW w:w="5645" w:type="dxa"/>
            <w:gridSpan w:val="2"/>
            <w:noWrap w:val="0"/>
            <w:vAlign w:val="center"/>
          </w:tcPr>
          <w:p>
            <w:pPr>
              <w:spacing w:after="120" w:line="240" w:lineRule="auto"/>
              <w:rPr>
                <w:rFonts w:ascii="Calibri" w:hAnsi="Calibri" w:eastAsia="宋体"/>
                <w:color w:val="auto"/>
                <w:spacing w:val="0"/>
                <w:kern w:val="0"/>
                <w:sz w:val="21"/>
                <w:szCs w:val="21"/>
                <w:highlight w:val="none"/>
              </w:rPr>
            </w:pPr>
            <w:r>
              <w:rPr>
                <w:rFonts w:hint="eastAsia" w:ascii="Calibri" w:hAnsi="Calibri" w:eastAsia="宋体"/>
                <w:color w:val="auto"/>
                <w:spacing w:val="0"/>
                <w:kern w:val="0"/>
                <w:sz w:val="21"/>
                <w:szCs w:val="21"/>
                <w:highlight w:val="none"/>
              </w:rPr>
              <w:t>（1）投标人获得与项目施工有关的国家级工法、专利（发明专利或实用新型专利）、国家级科学技术进步奖、主编或参编过国家标准、鲁班奖、詹天佑奖，每项加5分；</w:t>
            </w:r>
          </w:p>
          <w:p>
            <w:pPr>
              <w:spacing w:after="120" w:line="240" w:lineRule="auto"/>
              <w:rPr>
                <w:rFonts w:ascii="Calibri" w:hAnsi="Calibri" w:eastAsia="宋体"/>
                <w:color w:val="auto"/>
                <w:spacing w:val="0"/>
                <w:kern w:val="0"/>
                <w:sz w:val="21"/>
                <w:szCs w:val="21"/>
                <w:highlight w:val="none"/>
              </w:rPr>
            </w:pPr>
            <w:r>
              <w:rPr>
                <w:rFonts w:hint="eastAsia" w:ascii="Calibri" w:hAnsi="Calibri" w:eastAsia="宋体"/>
                <w:color w:val="auto"/>
                <w:spacing w:val="0"/>
                <w:kern w:val="0"/>
                <w:sz w:val="21"/>
                <w:szCs w:val="21"/>
                <w:highlight w:val="none"/>
              </w:rPr>
              <w:t>（2）投标人获得省级科学技术进步奖，主编或参编过的行业或地方（指省级）标准，每项加3分；</w:t>
            </w:r>
          </w:p>
          <w:p>
            <w:pPr>
              <w:spacing w:after="120" w:line="240" w:lineRule="auto"/>
              <w:rPr>
                <w:rFonts w:ascii="Calibri" w:hAnsi="Calibri" w:eastAsia="宋体"/>
                <w:color w:val="auto"/>
                <w:spacing w:val="0"/>
                <w:kern w:val="0"/>
                <w:sz w:val="20"/>
                <w:szCs w:val="20"/>
                <w:highlight w:val="none"/>
              </w:rPr>
            </w:pPr>
            <w:r>
              <w:rPr>
                <w:rFonts w:hint="eastAsia" w:ascii="Calibri" w:hAnsi="Calibri" w:eastAsia="宋体"/>
                <w:color w:val="auto"/>
                <w:spacing w:val="0"/>
                <w:kern w:val="0"/>
                <w:sz w:val="21"/>
                <w:szCs w:val="21"/>
                <w:highlight w:val="none"/>
              </w:rPr>
              <w:t>注：技术能力加分最高</w:t>
            </w:r>
            <w:r>
              <w:rPr>
                <w:rFonts w:hint="eastAsia" w:ascii="Calibri" w:hAnsi="Calibri" w:eastAsia="宋体"/>
                <w:color w:val="auto"/>
                <w:spacing w:val="0"/>
                <w:kern w:val="0"/>
                <w:sz w:val="21"/>
                <w:szCs w:val="21"/>
                <w:highlight w:val="none"/>
                <w:u w:val="single"/>
              </w:rPr>
              <w:t>10</w:t>
            </w:r>
            <w:r>
              <w:rPr>
                <w:rFonts w:hint="eastAsia" w:ascii="Calibri" w:hAnsi="Calibri" w:eastAsia="宋体"/>
                <w:color w:val="auto"/>
                <w:spacing w:val="0"/>
                <w:kern w:val="0"/>
                <w:sz w:val="21"/>
                <w:szCs w:val="21"/>
                <w:highlight w:val="none"/>
              </w:rPr>
              <w:t>分，同一事项按较高分只计一次。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981" w:type="dxa"/>
            <w:vMerge w:val="continue"/>
            <w:noWrap w:val="0"/>
            <w:vAlign w:val="center"/>
          </w:tcPr>
          <w:p>
            <w:pPr>
              <w:spacing w:line="400" w:lineRule="exact"/>
              <w:ind w:left="90" w:leftChars="36" w:right="113" w:hanging="14" w:hangingChars="7"/>
              <w:jc w:val="center"/>
              <w:rPr>
                <w:rFonts w:ascii="宋体" w:hAnsi="宋体" w:eastAsia="宋体" w:cs="宋体"/>
                <w:color w:val="auto"/>
                <w:spacing w:val="0"/>
                <w:sz w:val="21"/>
                <w:szCs w:val="24"/>
                <w:highlight w:val="none"/>
              </w:rPr>
            </w:pPr>
          </w:p>
        </w:tc>
        <w:tc>
          <w:tcPr>
            <w:tcW w:w="1309" w:type="dxa"/>
            <w:vMerge w:val="continue"/>
            <w:noWrap w:val="0"/>
            <w:vAlign w:val="center"/>
          </w:tcPr>
          <w:p>
            <w:pPr>
              <w:widowControl/>
              <w:spacing w:line="400" w:lineRule="exact"/>
              <w:jc w:val="left"/>
              <w:rPr>
                <w:rFonts w:ascii="宋体" w:hAnsi="宋体" w:eastAsia="宋体" w:cs="宋体"/>
                <w:color w:val="auto"/>
                <w:spacing w:val="0"/>
                <w:kern w:val="0"/>
                <w:sz w:val="21"/>
                <w:szCs w:val="24"/>
                <w:highlight w:val="none"/>
              </w:rPr>
            </w:pPr>
          </w:p>
        </w:tc>
        <w:tc>
          <w:tcPr>
            <w:tcW w:w="713" w:type="dxa"/>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履</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约</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信</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誉</w:t>
            </w:r>
          </w:p>
        </w:tc>
        <w:tc>
          <w:tcPr>
            <w:tcW w:w="1224" w:type="dxa"/>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15分</w:t>
            </w:r>
          </w:p>
        </w:tc>
        <w:tc>
          <w:tcPr>
            <w:tcW w:w="5645" w:type="dxa"/>
            <w:gridSpan w:val="2"/>
            <w:noWrap w:val="0"/>
            <w:vAlign w:val="center"/>
          </w:tcPr>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1.信用等级分值（10 分）</w:t>
            </w:r>
          </w:p>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AA、A、B、C 级单位的信用等级分得分分别为 10、9.5、8.9、7.3分。</w:t>
            </w:r>
          </w:p>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注：信用等级的确定原则遵循投标人须知前附表 10.2 款的规定。</w:t>
            </w:r>
          </w:p>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 履约情况（5分）</w:t>
            </w:r>
          </w:p>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若没出现下述情形得满分；</w:t>
            </w:r>
          </w:p>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若自 2022 年 5月 1 日至投标文件递交截止日止，投标人因公路工程（含附属设施）质量、安全、履约或招标投标问题等原因被：</w:t>
            </w:r>
          </w:p>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（1）交通运输部通报批评的，扣 5 分/次；</w:t>
            </w:r>
          </w:p>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（2）广东省交通运输厅通报批评的，扣 3 分/次；</w:t>
            </w:r>
          </w:p>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（3）招标项目所在地地级以上市交通运输局行政处罚的，扣1.5 分/次。</w:t>
            </w:r>
          </w:p>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（4）广东省交通运输厅正式约谈的，扣0.1 分/次。</w:t>
            </w:r>
          </w:p>
          <w:p>
            <w:pPr>
              <w:widowControl/>
              <w:spacing w:line="400" w:lineRule="exact"/>
              <w:ind w:firstLine="420" w:firstLineChars="20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同一事项同时被多个部门行政处罚或正式约谈只按最高的扣分计算1次。如果扣完本项分值，可以从总分中扣。</w:t>
            </w:r>
          </w:p>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如果扣完本项分值，可以从总分中扣。</w:t>
            </w:r>
          </w:p>
        </w:tc>
      </w:tr>
    </w:tbl>
    <w:p>
      <w:pPr>
        <w:pStyle w:val="11"/>
        <w:spacing w:line="400" w:lineRule="exact"/>
        <w:rPr>
          <w:color w:val="auto"/>
          <w:spacing w:val="0"/>
          <w:sz w:val="21"/>
          <w:szCs w:val="21"/>
          <w:highlight w:val="none"/>
        </w:rPr>
      </w:pPr>
    </w:p>
    <w:p>
      <w:pPr>
        <w:pStyle w:val="11"/>
        <w:spacing w:line="400" w:lineRule="exact"/>
        <w:rPr>
          <w:color w:val="auto"/>
          <w:spacing w:val="0"/>
          <w:sz w:val="21"/>
          <w:szCs w:val="21"/>
          <w:highlight w:val="none"/>
        </w:rPr>
      </w:pP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noWrap w:val="0"/>
            <w:vAlign w:val="top"/>
          </w:tcPr>
          <w:p>
            <w:pPr>
              <w:spacing w:line="400" w:lineRule="exact"/>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top"/>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条款号</w:t>
            </w:r>
          </w:p>
        </w:tc>
        <w:tc>
          <w:tcPr>
            <w:tcW w:w="8000" w:type="dxa"/>
            <w:noWrap w:val="0"/>
            <w:vAlign w:val="top"/>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center"/>
          </w:tcPr>
          <w:p>
            <w:pPr>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1</w:t>
            </w:r>
          </w:p>
        </w:tc>
        <w:tc>
          <w:tcPr>
            <w:tcW w:w="8000" w:type="dxa"/>
            <w:noWrap w:val="0"/>
            <w:vAlign w:val="top"/>
          </w:tcPr>
          <w:p>
            <w:pPr>
              <w:widowControl/>
              <w:spacing w:line="400" w:lineRule="exact"/>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将评标办法原文第 1 条“评标方法”改为“评标方法、组织及工作程序”，原文内容修改如下：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1.评标方法、组织及工作程序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1.1 评标方法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本次评标采用双信封的技术评分最低标价法。评标委员会对满足招标文件实质性要求的投标文件，按照本章第 2.2 款规定对通过初步评审的投标人的施工组织设计、主要人员、其他因素等进行评分，按照得分由高到低排序，对排名在招标文件规定数量</w:t>
            </w:r>
            <w:r>
              <w:rPr>
                <w:rFonts w:hint="eastAsia" w:ascii="宋体" w:hAnsi="宋体" w:eastAsia="宋体" w:cs="宋体"/>
                <w:color w:val="auto"/>
                <w:spacing w:val="0"/>
                <w:sz w:val="21"/>
                <w:szCs w:val="24"/>
                <w:highlight w:val="none"/>
                <w:u w:val="single"/>
              </w:rPr>
              <w:t>前 5 名（不少于 3 名但不足 5 名时，按全部实际数量）</w:t>
            </w:r>
            <w:r>
              <w:rPr>
                <w:rFonts w:hint="eastAsia" w:ascii="宋体" w:hAnsi="宋体" w:eastAsia="宋体" w:cs="宋体"/>
                <w:color w:val="auto"/>
                <w:spacing w:val="0"/>
                <w:sz w:val="21"/>
                <w:szCs w:val="24"/>
                <w:highlight w:val="none"/>
              </w:rPr>
              <w:t xml:space="preserve">的投标人的报价文件进行评审，按照评标价由低到高的顺序推荐中标候选人的评标方法。但投标报价低于其成本的除外。评标价相等时，评标委员会应按照评标办法前附表规定的优先次序推荐中标候选人或确定中标人。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1.2 评标组织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1.2.1 协助工作组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招标人可在评标工作开始前成立协助工作组，选派熟悉招标工作、政治素质高的人员组成，协助评标委员会工作。协助工作组人员的具体数量由招标人视评标工作量确定。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招标人可以协助评标委员会开展下列工作并提供相关信息：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（1）根据招标文件，编制评标使用的相应表格；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（2）对投标报价进行算术性校核 (如采用固化工程量清单，本步骤省略) ；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（3）以评标标准和方法为依据，列出投标文件相对于招标文件的所有偏差，并进行归类汇总；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（4）查询公路建设市场信用信息管理系统，对投标人的资质、业绩、主要人员资历和目前在岗情况、信用等级进行核实。</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招标人不得对投标文件作出任何评价，不得故意遗漏或者片面摘录，不得在评标委员会对所有偏差定性之前透露存有偏差的投标人名称。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1.2.2 评标委员会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评标委员会由招标人按国家、广东省等的有关规定依法组建。评标委员会的主要工作内容包括：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（1）评标委员会开始评标工作之前，首先听取招标人、协助工作组关于工程情况和辅助工作的说明，并认真研读招标文件，获取评标所需的重要信息和数据；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（2）对协助工作组提供的评标工作用表和评标内容进行核查。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（3）按照以下 1.3 款程序进行各项评审工作。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1.3 评审工作程序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（一）第一信封（商务及技术文件）：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l、初步评审：包括形式评审与响应性评审、资格评审；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2、详细评审（评审打分）：评标委员会首先对通过第一信封初步评审的投标文件进行详细评审，对投标人的施工组织设计、主要人员、其他因素等分别评审打分，并按照综合得分由高到低排序，排名在招标文件规定数量</w:t>
            </w:r>
            <w:r>
              <w:rPr>
                <w:rFonts w:hint="eastAsia" w:ascii="宋体" w:hAnsi="宋体" w:eastAsia="宋体" w:cs="宋体"/>
                <w:color w:val="auto"/>
                <w:spacing w:val="0"/>
                <w:kern w:val="0"/>
                <w:sz w:val="21"/>
                <w:szCs w:val="24"/>
                <w:highlight w:val="none"/>
                <w:u w:val="single"/>
              </w:rPr>
              <w:t>前 5 名（不少于3名但不足5名的，按全部实际数量）</w:t>
            </w:r>
            <w:r>
              <w:rPr>
                <w:rFonts w:hint="eastAsia" w:ascii="宋体" w:hAnsi="宋体" w:eastAsia="宋体" w:cs="宋体"/>
                <w:color w:val="auto"/>
                <w:spacing w:val="0"/>
                <w:kern w:val="0"/>
                <w:sz w:val="21"/>
                <w:szCs w:val="24"/>
                <w:highlight w:val="none"/>
              </w:rPr>
              <w:t xml:space="preserve">的投标人，其投标文件第一信封（商务及技术文件）通过详细评审。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（二）第二信封（报价文件）：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1、初步评审：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（1）只有对投标文件第一个信封通过详细评审的投标人的报价文件才能继续参加第二信封报价文件的形式评审与响应性评审。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（2）报价算术性修正(如采用固化工程量清单，本步骤省略)；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2、详细评审：计算评标价。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（三）投标文件相关信息的核查。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（四）投标文件的澄清和说明(如有)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（五）按评标办法规定按照第二信封的评标价由低到高的顺序推荐中标候选人，编写评标报告。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center"/>
          </w:tcPr>
          <w:p>
            <w:pPr>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3.2.2</w:t>
            </w:r>
          </w:p>
        </w:tc>
        <w:tc>
          <w:tcPr>
            <w:tcW w:w="8000" w:type="dxa"/>
            <w:noWrap w:val="0"/>
            <w:vAlign w:val="top"/>
          </w:tcPr>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将评标办法原文第 3.2.2 项修改如下：</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投标人的商务和技术得分分值计算保留小数点后三位，小数点后第四位“四舍五入”。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3.2.3</w:t>
            </w:r>
          </w:p>
        </w:tc>
        <w:tc>
          <w:tcPr>
            <w:tcW w:w="8000" w:type="dxa"/>
            <w:noWrap w:val="0"/>
            <w:vAlign w:val="top"/>
          </w:tcPr>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将评标办法范本原文第 3.2.3 项细化如下：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投标人的商务和技术得分=A+B+C。 </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除履约信誉、技术能力得分外，投标文件各评分因素细分项得分均不应低于其权重分的60%，评分低于权重分值60%的，评标委员会成员应当在评标报告中作出说明。计算投标人技术得分时:首先在评委技术评分中，采用取消同一评委对同一标段各投标人评分总分的差值最大的1名评委评分分值(若有2名或以上评委技术评分总分差值最大值相等时，则取消其中1名评委的所有评分，具体办法如下)，再对各评分因素细分项中取消一个最高、一个最低分后计算其算术平均值的和为投标人的最终技术得分，平均值计算保留小数点后三位，小数点后第四位“四舍五入”。</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 xml:space="preserve">取消其中1名评委所有评分的办法一(依次按照以下流程)：(1)对比上述出现技术评分总分差值最大值相等的评委的次大差值(次大差值＝某一评委技术评分总分的最高分－该评委技术评分总分的次低分)，取消次分差值最大的评委所有评分；  </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 如次分差值仍相同，则按随机抽取的方式选定取消1名评委评分。</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示例:同一评委对 5 名投标人技术评分总分分别为:6.65 (最高分)、5.88、5.11、 4.90(次低分) 、4.55(最低分) ，则其最大差值为 2.1、次大差值为 6.65-4.90=1.75)。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3.4.3</w:t>
            </w:r>
          </w:p>
        </w:tc>
        <w:tc>
          <w:tcPr>
            <w:tcW w:w="8000" w:type="dxa"/>
            <w:noWrap w:val="0"/>
            <w:vAlign w:val="top"/>
          </w:tcPr>
          <w:p>
            <w:pPr>
              <w:widowControl/>
              <w:spacing w:line="400" w:lineRule="exact"/>
              <w:ind w:firstLine="399" w:firstLineChars="190"/>
              <w:jc w:val="left"/>
              <w:rPr>
                <w:rFonts w:ascii="Calibri" w:hAnsi="Calibri" w:eastAsia="宋体"/>
                <w:color w:val="auto"/>
                <w:spacing w:val="0"/>
                <w:sz w:val="21"/>
                <w:szCs w:val="24"/>
                <w:highlight w:val="none"/>
              </w:rPr>
            </w:pPr>
            <w:r>
              <w:rPr>
                <w:rFonts w:hint="eastAsia" w:ascii="宋体" w:hAnsi="宋体" w:eastAsia="宋体" w:cs="宋体"/>
                <w:color w:val="auto"/>
                <w:spacing w:val="0"/>
                <w:kern w:val="0"/>
                <w:sz w:val="21"/>
                <w:szCs w:val="24"/>
                <w:highlight w:val="none"/>
              </w:rPr>
              <w:t>将评标办法原文第 3.4.3 项修改如下：</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Calibri" w:hAnsi="Calibri" w:eastAsia="宋体"/>
                <w:color w:val="auto"/>
                <w:spacing w:val="0"/>
                <w:sz w:val="21"/>
                <w:szCs w:val="24"/>
                <w:highlight w:val="none"/>
              </w:rPr>
              <w:t>投标人的投标下浮率必须≧0.00%（保留两位小数，即 X.XX%），否则其投标文件将被否决</w:t>
            </w:r>
            <w:r>
              <w:rPr>
                <w:rFonts w:hint="eastAsia" w:ascii="宋体" w:hAnsi="宋体" w:eastAsia="宋体" w:cs="宋体"/>
                <w:color w:val="auto"/>
                <w:spacing w:val="0"/>
                <w:sz w:val="21"/>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3.6</w:t>
            </w:r>
          </w:p>
        </w:tc>
        <w:tc>
          <w:tcPr>
            <w:tcW w:w="8000" w:type="dxa"/>
            <w:noWrap w:val="0"/>
            <w:vAlign w:val="top"/>
          </w:tcPr>
          <w:p>
            <w:pPr>
              <w:widowControl/>
              <w:spacing w:line="400" w:lineRule="exact"/>
              <w:ind w:firstLine="399" w:firstLineChars="190"/>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3.6.2项 (2) 目末增加以下条款：</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g.当一家以上投标人评标价相同时，若各投标人工程量清单细目单价也相同， 视为串标 ( 一个标段仅一工作细目报价的除外)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h.广东省实施《中华人民共和国招标投标法》办法第十六条规定的情形。</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增加3.6.3项：</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3.9</w:t>
            </w:r>
          </w:p>
          <w:p>
            <w:pPr>
              <w:widowControl/>
              <w:spacing w:line="400" w:lineRule="exact"/>
              <w:jc w:val="center"/>
              <w:rPr>
                <w:rFonts w:ascii="宋体" w:hAnsi="宋体" w:eastAsia="宋体" w:cs="宋体"/>
                <w:color w:val="auto"/>
                <w:spacing w:val="0"/>
                <w:kern w:val="0"/>
                <w:sz w:val="21"/>
                <w:szCs w:val="24"/>
                <w:highlight w:val="none"/>
              </w:rPr>
            </w:pPr>
          </w:p>
        </w:tc>
        <w:tc>
          <w:tcPr>
            <w:tcW w:w="8000" w:type="dxa"/>
            <w:noWrap w:val="0"/>
            <w:vAlign w:val="top"/>
          </w:tcPr>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增加 3.9.3-3.9.7 项：</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3.9.3 推荐中标候选人方式：</w:t>
            </w:r>
            <w:r>
              <w:rPr>
                <w:rFonts w:hint="eastAsia" w:ascii="宋体" w:hAnsi="宋体" w:eastAsia="宋体" w:cs="宋体"/>
                <w:color w:val="auto"/>
                <w:spacing w:val="0"/>
                <w:sz w:val="21"/>
                <w:szCs w:val="24"/>
                <w:highlight w:val="none"/>
              </w:rPr>
              <w:t>按照</w:t>
            </w:r>
            <w:r>
              <w:rPr>
                <w:rFonts w:hint="eastAsia" w:ascii="宋体" w:hAnsi="宋体" w:eastAsia="宋体" w:cs="宋体"/>
                <w:color w:val="auto"/>
                <w:spacing w:val="0"/>
                <w:sz w:val="21"/>
                <w:szCs w:val="24"/>
                <w:highlight w:val="none"/>
                <w:lang w:val="en-US" w:eastAsia="zh-CN"/>
              </w:rPr>
              <w:t>各标段</w:t>
            </w:r>
            <w:r>
              <w:rPr>
                <w:rFonts w:hint="eastAsia" w:ascii="宋体" w:hAnsi="宋体" w:eastAsia="宋体" w:cs="宋体"/>
                <w:color w:val="auto"/>
                <w:spacing w:val="0"/>
                <w:sz w:val="21"/>
                <w:szCs w:val="24"/>
                <w:highlight w:val="none"/>
              </w:rPr>
              <w:t>评标价由低到高的顺序推荐</w:t>
            </w:r>
            <w:r>
              <w:rPr>
                <w:rFonts w:hint="eastAsia" w:ascii="宋体" w:hAnsi="宋体" w:eastAsia="宋体" w:cs="宋体"/>
                <w:color w:val="auto"/>
                <w:spacing w:val="0"/>
                <w:sz w:val="21"/>
                <w:szCs w:val="24"/>
                <w:highlight w:val="none"/>
                <w:lang w:val="en-US" w:eastAsia="zh-CN"/>
              </w:rPr>
              <w:t>各标段</w:t>
            </w:r>
            <w:r>
              <w:rPr>
                <w:rFonts w:hint="eastAsia" w:ascii="宋体" w:hAnsi="宋体" w:eastAsia="宋体" w:cs="宋体"/>
                <w:color w:val="auto"/>
                <w:spacing w:val="0"/>
                <w:sz w:val="21"/>
                <w:szCs w:val="24"/>
                <w:highlight w:val="none"/>
              </w:rPr>
              <w:t>中标候选人</w:t>
            </w:r>
            <w:r>
              <w:rPr>
                <w:rFonts w:hint="eastAsia" w:ascii="宋体" w:hAnsi="宋体" w:eastAsia="宋体" w:cs="宋体"/>
                <w:color w:val="auto"/>
                <w:spacing w:val="0"/>
                <w:kern w:val="0"/>
                <w:sz w:val="21"/>
                <w:szCs w:val="24"/>
                <w:highlight w:val="none"/>
              </w:rPr>
              <w:t>。</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3.9.4 通过第一个信封商务及技术文件评审的投标人少于 3 个的，评标委员会应 否决全部投标。</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3.9.5 通过第一个信封商务及技术文件评审的投标人在 3 个及以上的，招标人应当按照招标文件规定的程序进行第二个信封报价文件开标；在对报价文件进行评审 后，有效投标不足 3 个的，评标委员会可以否决全部投标。未否决全部投标的，评 标委员会应当在评标报告中阐明理由并推荐中标候选人。</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3.9.6 如果发生无法确定推荐中标候选人的其他意外情况，评标委员会可建议招标人重新招标。</w:t>
            </w:r>
          </w:p>
        </w:tc>
      </w:tr>
    </w:tbl>
    <w:p>
      <w:pPr>
        <w:pStyle w:val="11"/>
        <w:spacing w:line="400" w:lineRule="exact"/>
        <w:rPr>
          <w:color w:val="auto"/>
          <w:spacing w:val="0"/>
          <w:sz w:val="21"/>
          <w:szCs w:val="21"/>
          <w:highlight w:val="none"/>
        </w:rPr>
      </w:pPr>
    </w:p>
    <w:p>
      <w:pPr>
        <w:pStyle w:val="3"/>
        <w:spacing w:before="156" w:beforeLines="50" w:after="0" w:line="400" w:lineRule="exact"/>
        <w:rPr>
          <w:rFonts w:ascii="宋体" w:hAnsi="宋体" w:cs="宋体"/>
          <w:color w:val="auto"/>
          <w:spacing w:val="0"/>
          <w:sz w:val="21"/>
          <w:szCs w:val="21"/>
          <w:highlight w:val="none"/>
        </w:rPr>
      </w:pPr>
      <w:bookmarkStart w:id="1" w:name="_bookmark95"/>
      <w:bookmarkEnd w:id="1"/>
      <w:r>
        <w:rPr>
          <w:rFonts w:hint="eastAsia" w:ascii="宋体" w:hAnsi="宋体" w:cs="宋体"/>
          <w:color w:val="auto"/>
          <w:spacing w:val="0"/>
          <w:sz w:val="21"/>
          <w:szCs w:val="21"/>
          <w:highlight w:val="none"/>
        </w:rPr>
        <w:t>1. 评标方法</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本次评标采用技术评分最低标价法。评标委员</w:t>
      </w:r>
      <w:bookmarkStart w:id="2" w:name="_GoBack"/>
      <w:bookmarkEnd w:id="2"/>
      <w:r>
        <w:rPr>
          <w:rFonts w:hint="eastAsia" w:ascii="宋体" w:hAnsi="宋体" w:eastAsia="宋体" w:cs="宋体"/>
          <w:color w:val="auto"/>
          <w:spacing w:val="0"/>
          <w:sz w:val="21"/>
          <w:szCs w:val="21"/>
          <w:highlight w:val="none"/>
        </w:rPr>
        <w:t>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pPr>
        <w:pStyle w:val="3"/>
        <w:spacing w:before="156" w:beforeLines="50" w:after="0" w:line="400" w:lineRule="exact"/>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2. 评审标准</w:t>
      </w:r>
    </w:p>
    <w:p>
      <w:pPr>
        <w:pStyle w:val="3"/>
        <w:spacing w:before="0" w:after="0" w:line="400" w:lineRule="exact"/>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2.1 初步评审标准</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2.1.1形式评审标准：见评标办法前附表。</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2.1.2资格评审标准：见评标办法前附表。</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2.1.3响应性评审标准：见评标办法前附表。</w:t>
      </w:r>
    </w:p>
    <w:p>
      <w:pPr>
        <w:pStyle w:val="3"/>
        <w:spacing w:before="156" w:beforeLines="50" w:after="0" w:line="400" w:lineRule="exact"/>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2.2 分值构成与评分标准</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2.2.1 第一个信封</w:t>
      </w:r>
      <w:r>
        <w:rPr>
          <w:rFonts w:hint="eastAsia" w:ascii="宋体" w:hAnsi="宋体" w:eastAsia="宋体" w:cs="宋体"/>
          <w:color w:val="auto"/>
          <w:spacing w:val="0"/>
          <w:sz w:val="21"/>
          <w:szCs w:val="21"/>
          <w:highlight w:val="none"/>
        </w:rPr>
        <w:t>评分</w:t>
      </w:r>
      <w:r>
        <w:rPr>
          <w:rFonts w:hint="eastAsia" w:ascii="宋体" w:hAnsi="宋体" w:eastAsia="宋体" w:cs="宋体"/>
          <w:color w:val="auto"/>
          <w:spacing w:val="0"/>
          <w:kern w:val="0"/>
          <w:sz w:val="21"/>
          <w:szCs w:val="21"/>
          <w:highlight w:val="none"/>
        </w:rPr>
        <w:t xml:space="preserve">分值构成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（1）施工组织设计：见评标办法前附表；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（2）主要人员：见</w:t>
      </w:r>
      <w:r>
        <w:rPr>
          <w:rFonts w:hint="eastAsia" w:ascii="宋体" w:hAnsi="宋体" w:eastAsia="宋体" w:cs="宋体"/>
          <w:color w:val="auto"/>
          <w:spacing w:val="0"/>
          <w:sz w:val="21"/>
          <w:szCs w:val="21"/>
          <w:highlight w:val="none"/>
        </w:rPr>
        <w:t>评标</w:t>
      </w:r>
      <w:r>
        <w:rPr>
          <w:rFonts w:hint="eastAsia" w:ascii="宋体" w:hAnsi="宋体" w:eastAsia="宋体" w:cs="宋体"/>
          <w:color w:val="auto"/>
          <w:spacing w:val="0"/>
          <w:kern w:val="0"/>
          <w:sz w:val="21"/>
          <w:szCs w:val="21"/>
          <w:highlight w:val="none"/>
        </w:rPr>
        <w:t xml:space="preserve">办法前附表；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（3）其他因素：见评标办法前附表。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2.2.2 第一个信封</w:t>
      </w:r>
      <w:r>
        <w:rPr>
          <w:rFonts w:hint="eastAsia" w:ascii="宋体" w:hAnsi="宋体" w:eastAsia="宋体" w:cs="宋体"/>
          <w:color w:val="auto"/>
          <w:spacing w:val="0"/>
          <w:sz w:val="21"/>
          <w:szCs w:val="21"/>
          <w:highlight w:val="none"/>
        </w:rPr>
        <w:t>评分</w:t>
      </w:r>
      <w:r>
        <w:rPr>
          <w:rFonts w:hint="eastAsia" w:ascii="宋体" w:hAnsi="宋体" w:eastAsia="宋体" w:cs="宋体"/>
          <w:color w:val="auto"/>
          <w:spacing w:val="0"/>
          <w:kern w:val="0"/>
          <w:sz w:val="21"/>
          <w:szCs w:val="21"/>
          <w:highlight w:val="none"/>
        </w:rPr>
        <w:t xml:space="preserve">评分标准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（1）施工组织设计评分标准：见评标办法前附表；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（2）主要人员评分</w:t>
      </w:r>
      <w:r>
        <w:rPr>
          <w:rFonts w:hint="eastAsia" w:ascii="宋体" w:hAnsi="宋体" w:eastAsia="宋体" w:cs="宋体"/>
          <w:color w:val="auto"/>
          <w:spacing w:val="0"/>
          <w:sz w:val="21"/>
          <w:szCs w:val="21"/>
          <w:highlight w:val="none"/>
        </w:rPr>
        <w:t>标准</w:t>
      </w:r>
      <w:r>
        <w:rPr>
          <w:rFonts w:hint="eastAsia" w:ascii="宋体" w:hAnsi="宋体" w:eastAsia="宋体" w:cs="宋体"/>
          <w:color w:val="auto"/>
          <w:spacing w:val="0"/>
          <w:kern w:val="0"/>
          <w:sz w:val="21"/>
          <w:szCs w:val="21"/>
          <w:highlight w:val="none"/>
        </w:rPr>
        <w:t xml:space="preserve">：见评标办法前附表；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（3）其他因素评分标准：见评标办法前附表。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2.2.3 第二个信封详细评审标准：见评标办法前附表。 </w:t>
      </w:r>
    </w:p>
    <w:p>
      <w:pPr>
        <w:pStyle w:val="3"/>
        <w:spacing w:before="156" w:beforeLines="50" w:after="0" w:line="400" w:lineRule="exact"/>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3. 评标程序</w:t>
      </w:r>
    </w:p>
    <w:p>
      <w:pPr>
        <w:pStyle w:val="3"/>
        <w:spacing w:before="0" w:after="0" w:line="400" w:lineRule="exact"/>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3.1第一个信封初步评审</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3.1.1 评标委员会可以要求投标人提交第二章“投标人须知”第 3.5.1 项至第 3.5.6项规定的有关证明和证件的原件，以便核验。评标委员会依据本章第 2.1 款规定的标准对投标文件第一个信封（商务及技术文件）进行初步评审。有一项不符合评审标准的，评标委员会应否决其投标。</w:t>
      </w:r>
    </w:p>
    <w:p>
      <w:pPr>
        <w:pStyle w:val="3"/>
        <w:spacing w:before="156" w:beforeLines="50" w:after="0" w:line="400" w:lineRule="exact"/>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3.2第一个信封详细评审</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3.2.1 评标委员会按本章第 2.2 款规定的量化因素和分值进行打分，并计算出各投标人的商务和技术得分。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（1）按本章第 2.2.2 项（1）目规定的评审因素和分值对施工组织设计部分计算出得分 A；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（2）按本章第 2.2.2 项（2）目规定的评审因素和分值对主要人员部分计算出得分B；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（3）按本章第 2.2.2 项（3）目规定的评审因素和分值对其他因素部分计算出得分C。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3.2.2 投标人的商务和技术得分分值计算保留小数点后两位，小数点后第三位“四舍五入”。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3.2.3 投标人的商务和技术</w:t>
      </w:r>
      <w:r>
        <w:rPr>
          <w:rFonts w:hint="eastAsia" w:ascii="宋体" w:hAnsi="宋体" w:eastAsia="宋体" w:cs="宋体"/>
          <w:color w:val="auto"/>
          <w:spacing w:val="0"/>
          <w:sz w:val="21"/>
          <w:szCs w:val="21"/>
          <w:highlight w:val="none"/>
        </w:rPr>
        <w:t>得分</w:t>
      </w:r>
      <w:r>
        <w:rPr>
          <w:rFonts w:hint="eastAsia" w:ascii="宋体" w:hAnsi="宋体" w:eastAsia="宋体" w:cs="宋体"/>
          <w:color w:val="auto"/>
          <w:spacing w:val="0"/>
          <w:kern w:val="0"/>
          <w:sz w:val="21"/>
          <w:szCs w:val="21"/>
          <w:highlight w:val="none"/>
        </w:rPr>
        <w:t xml:space="preserve">=A+B+C。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3.2.4 评标委员会按照投标人的商务和技术得分由高到低排序，排名在评标办法前附表规定数量以内的投标人，其投标</w:t>
      </w:r>
      <w:r>
        <w:rPr>
          <w:rFonts w:hint="eastAsia" w:ascii="宋体" w:hAnsi="宋体" w:eastAsia="宋体" w:cs="宋体"/>
          <w:color w:val="auto"/>
          <w:spacing w:val="0"/>
          <w:sz w:val="21"/>
          <w:szCs w:val="21"/>
          <w:highlight w:val="none"/>
        </w:rPr>
        <w:t>文件</w:t>
      </w:r>
      <w:r>
        <w:rPr>
          <w:rFonts w:hint="eastAsia" w:ascii="宋体" w:hAnsi="宋体" w:eastAsia="宋体" w:cs="宋体"/>
          <w:color w:val="auto"/>
          <w:spacing w:val="0"/>
          <w:kern w:val="0"/>
          <w:sz w:val="21"/>
          <w:szCs w:val="21"/>
          <w:highlight w:val="none"/>
        </w:rPr>
        <w:t xml:space="preserve">第一个信封（商务及技术文件）通过详细评审。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3.2.5 通过投标文件第一个信封（商务及技术文件）初步评审的投标人不少于3个且未超过评标办法前附表第 3.2.4 项规定数量的，均通过投标文件第一个信封（商务及技术文件）详细评审，不再对投标人的</w:t>
      </w:r>
      <w:r>
        <w:rPr>
          <w:rFonts w:hint="eastAsia" w:ascii="宋体" w:hAnsi="宋体" w:eastAsia="宋体" w:cs="宋体"/>
          <w:color w:val="auto"/>
          <w:spacing w:val="0"/>
          <w:sz w:val="21"/>
          <w:szCs w:val="21"/>
          <w:highlight w:val="none"/>
        </w:rPr>
        <w:t>商务</w:t>
      </w:r>
      <w:r>
        <w:rPr>
          <w:rFonts w:hint="eastAsia" w:ascii="宋体" w:hAnsi="宋体" w:eastAsia="宋体" w:cs="宋体"/>
          <w:color w:val="auto"/>
          <w:spacing w:val="0"/>
          <w:kern w:val="0"/>
          <w:sz w:val="21"/>
          <w:szCs w:val="21"/>
          <w:highlight w:val="none"/>
        </w:rPr>
        <w:t xml:space="preserve">和技术文件进行评分。 </w:t>
      </w:r>
    </w:p>
    <w:p>
      <w:pPr>
        <w:pStyle w:val="3"/>
        <w:spacing w:before="156" w:beforeLines="50" w:after="0" w:line="400" w:lineRule="exact"/>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3.3第二个信封开标</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第一个信封（商务及技术文件）评审结束后，招标人将按照第二章“投标人须知”第 5.1 款规定的时间和地点对通过投标文件第一个信封（商务及技术文件）评审的投标文件第二个信封（报价文件）进行开标。</w:t>
      </w:r>
    </w:p>
    <w:p>
      <w:pPr>
        <w:pStyle w:val="3"/>
        <w:spacing w:before="156" w:beforeLines="50" w:after="0" w:line="400" w:lineRule="exact"/>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3.4第二个信封初步评审</w:t>
      </w:r>
    </w:p>
    <w:p>
      <w:pPr>
        <w:spacing w:line="400" w:lineRule="exact"/>
        <w:ind w:firstLine="420" w:firstLineChars="200"/>
        <w:rPr>
          <w:rFonts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3.4.1 评标委员会依据本章第 2.1.1 项、第 2.1.3 项规定的评审标准对投标文件第二个信封（报价文件）进行初步评审。有一项不符合评审标准的，评标委员会应否决其投标。</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3.4.2 投标报价有算术错误的，评标委员会按以下原则对投标报价进行修正，修正的价格经投标人书面确认后具有</w:t>
      </w:r>
      <w:r>
        <w:rPr>
          <w:rFonts w:hint="eastAsia" w:ascii="宋体" w:hAnsi="宋体" w:eastAsia="宋体" w:cs="宋体"/>
          <w:color w:val="auto"/>
          <w:spacing w:val="0"/>
          <w:sz w:val="21"/>
          <w:szCs w:val="21"/>
          <w:highlight w:val="none"/>
        </w:rPr>
        <w:t>约束力</w:t>
      </w:r>
      <w:r>
        <w:rPr>
          <w:rFonts w:hint="eastAsia" w:ascii="宋体" w:hAnsi="宋体" w:eastAsia="宋体" w:cs="宋体"/>
          <w:color w:val="auto"/>
          <w:spacing w:val="0"/>
          <w:kern w:val="0"/>
          <w:sz w:val="21"/>
          <w:szCs w:val="21"/>
          <w:highlight w:val="none"/>
        </w:rPr>
        <w:t xml:space="preserve">。投标人不接受修正价格的，评标委员会应否决其投标。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（1）投标文件中的大写金额与小写金额不一致的，以大写金额为准；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（2）总价金额与依据单价计算出的结果不一致的，以单价金额为准修正总价，但单价金额小数点有明显错误的除外;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（3）当单价与数量相乘不等于合价时，以单价计算为准，如果单价有明显的小数点位置差错，应以标出的合价</w:t>
      </w:r>
      <w:r>
        <w:rPr>
          <w:rFonts w:hint="eastAsia" w:ascii="宋体" w:hAnsi="宋体" w:eastAsia="宋体" w:cs="宋体"/>
          <w:color w:val="auto"/>
          <w:spacing w:val="0"/>
          <w:sz w:val="21"/>
          <w:szCs w:val="21"/>
          <w:highlight w:val="none"/>
        </w:rPr>
        <w:t>为准</w:t>
      </w:r>
      <w:r>
        <w:rPr>
          <w:rFonts w:hint="eastAsia" w:ascii="宋体" w:hAnsi="宋体" w:eastAsia="宋体" w:cs="宋体"/>
          <w:color w:val="auto"/>
          <w:spacing w:val="0"/>
          <w:kern w:val="0"/>
          <w:sz w:val="21"/>
          <w:szCs w:val="21"/>
          <w:highlight w:val="none"/>
        </w:rPr>
        <w:t xml:space="preserve">，同时对单价予以修正；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（4）当各子目的合价累计不等于总价时，应以各子目合价累计数为准，修正总价。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3.4.3 工程量清单中的投标报价有其他错误的，评标委员会按以下原则对投标报价进行修正，修正的价格经投标人书面确认后具有约束力。投标人不接受修正价格的，评标委员会应否决其投标。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（1）在招标人</w:t>
      </w:r>
      <w:r>
        <w:rPr>
          <w:rFonts w:hint="eastAsia" w:ascii="宋体" w:hAnsi="宋体" w:eastAsia="宋体" w:cs="宋体"/>
          <w:color w:val="auto"/>
          <w:spacing w:val="0"/>
          <w:sz w:val="21"/>
          <w:szCs w:val="21"/>
          <w:highlight w:val="none"/>
        </w:rPr>
        <w:t>给定</w:t>
      </w:r>
      <w:r>
        <w:rPr>
          <w:rFonts w:hint="eastAsia" w:ascii="宋体" w:hAnsi="宋体" w:eastAsia="宋体" w:cs="宋体"/>
          <w:color w:val="auto"/>
          <w:spacing w:val="0"/>
          <w:kern w:val="0"/>
          <w:sz w:val="21"/>
          <w:szCs w:val="21"/>
          <w:highlight w:val="none"/>
        </w:rPr>
        <w:t>的工程量清单中漏报了某个工程子目的单价、合价或总额价，或所报单价、合价或总额价减少了报价范围，则漏报的工程子目单价、合价和总额价或单价、合价和总额价中减少的报价</w:t>
      </w:r>
      <w:r>
        <w:rPr>
          <w:rFonts w:hint="eastAsia" w:ascii="宋体" w:hAnsi="宋体" w:eastAsia="宋体" w:cs="宋体"/>
          <w:color w:val="auto"/>
          <w:spacing w:val="0"/>
          <w:sz w:val="21"/>
          <w:szCs w:val="21"/>
          <w:highlight w:val="none"/>
        </w:rPr>
        <w:t>内容</w:t>
      </w:r>
      <w:r>
        <w:rPr>
          <w:rFonts w:hint="eastAsia" w:ascii="宋体" w:hAnsi="宋体" w:eastAsia="宋体" w:cs="宋体"/>
          <w:color w:val="auto"/>
          <w:spacing w:val="0"/>
          <w:kern w:val="0"/>
          <w:sz w:val="21"/>
          <w:szCs w:val="21"/>
          <w:highlight w:val="none"/>
        </w:rPr>
        <w:t xml:space="preserve">视为已含入其他工程子目的单价、合价和总额价之中。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（2）在招标人</w:t>
      </w:r>
      <w:r>
        <w:rPr>
          <w:rFonts w:hint="eastAsia" w:ascii="宋体" w:hAnsi="宋体" w:eastAsia="宋体" w:cs="宋体"/>
          <w:color w:val="auto"/>
          <w:spacing w:val="0"/>
          <w:sz w:val="21"/>
          <w:szCs w:val="21"/>
          <w:highlight w:val="none"/>
        </w:rPr>
        <w:t>给定</w:t>
      </w:r>
      <w:r>
        <w:rPr>
          <w:rFonts w:hint="eastAsia" w:ascii="宋体" w:hAnsi="宋体" w:eastAsia="宋体" w:cs="宋体"/>
          <w:color w:val="auto"/>
          <w:spacing w:val="0"/>
          <w:kern w:val="0"/>
          <w:sz w:val="21"/>
          <w:szCs w:val="21"/>
          <w:highlight w:val="none"/>
        </w:rPr>
        <w:t xml:space="preserve">的工程量清单中多报了某个工程子目的单价、合价或总额价，或所报单价、合价或总额价增加了报价范围，则从投标报价中扣除多报的工程子目报价或工程子目报价中增加了报价范围的部分报价。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（3）当单价与数量的乘积与合价（金额）虽然一致，但投标人修改了该子目的工程数量，则其合价按招标人给定的工程数量乘以投标人所报单价予以修正。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3.4.4 修正后的最终投标</w:t>
      </w:r>
      <w:r>
        <w:rPr>
          <w:rFonts w:hint="eastAsia" w:ascii="宋体" w:hAnsi="宋体" w:eastAsia="宋体" w:cs="宋体"/>
          <w:color w:val="auto"/>
          <w:spacing w:val="0"/>
          <w:sz w:val="21"/>
          <w:szCs w:val="21"/>
          <w:highlight w:val="none"/>
        </w:rPr>
        <w:t>报价</w:t>
      </w:r>
      <w:r>
        <w:rPr>
          <w:rFonts w:hint="eastAsia" w:ascii="宋体" w:hAnsi="宋体" w:eastAsia="宋体" w:cs="宋体"/>
          <w:color w:val="auto"/>
          <w:spacing w:val="0"/>
          <w:kern w:val="0"/>
          <w:sz w:val="21"/>
          <w:szCs w:val="21"/>
          <w:highlight w:val="none"/>
        </w:rPr>
        <w:t xml:space="preserve">若超过最高投标限价（如有），评标委员会应否决其投标。 </w:t>
      </w:r>
    </w:p>
    <w:p>
      <w:pPr>
        <w:pStyle w:val="3"/>
        <w:spacing w:before="156" w:beforeLines="50" w:after="0" w:line="400" w:lineRule="exact"/>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3.5第二个信封详细评审</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3.5.1 评标委员会按本章第 2.2 款规定的量化因素和标准进行价格折算，计算出评标价，并编制价格比较一览表。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3.5.2 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 </w:t>
      </w:r>
    </w:p>
    <w:p>
      <w:pPr>
        <w:pStyle w:val="3"/>
        <w:spacing w:before="0" w:after="0" w:line="400" w:lineRule="exact"/>
        <w:rPr>
          <w:rFonts w:ascii="宋体" w:hAnsi="宋体" w:cs="宋体"/>
          <w:color w:val="auto"/>
          <w:spacing w:val="0"/>
          <w:kern w:val="2"/>
          <w:sz w:val="21"/>
          <w:szCs w:val="21"/>
          <w:highlight w:val="none"/>
        </w:rPr>
      </w:pPr>
      <w:r>
        <w:rPr>
          <w:rFonts w:hint="eastAsia" w:ascii="宋体" w:hAnsi="宋体" w:cs="宋体"/>
          <w:color w:val="auto"/>
          <w:spacing w:val="0"/>
          <w:kern w:val="2"/>
          <w:sz w:val="21"/>
          <w:szCs w:val="21"/>
          <w:highlight w:val="none"/>
        </w:rPr>
        <w:t>3.6投标文件相关信息的核查</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3.6.1 在评标过程中，评标委员会应査询交通运输主管部门“公路建设市场信用信息管理系统”，对投标人的资质、业绩、主要人员资历和目前在岗情况、信用等级等信息进行核实。若投标文件载明的信息与交通运输主管部门“公路建设市场信用信息管理系统”公布的信息不符，使得投标人的资格条件不符合招标文件规定的，评标委员会应否决其投标。</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3.6.2评标委员会应对在评标过程中发现的投标人与投标人之间、投标人与招标人之间存在的串通投标的情形进行评审和认定。投标人存在串通投标、弄虚作假、行贿等违法行为的，评标委员会应否决其投标。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（1）有下列情形之一的，属于投标人相互串通投标：</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a.投标人之间协商投标报价等投标文件的实质性内容；</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b.投标人之间约定中标人；</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c.投标人之间约定部分投标人放弃投标或中标；</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d.属于同一集团、协会、商会等组织成员的投标人按照该组织要求协同投标；</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e.投标人之间为谋取中标或排斥特定投标人而采取的其他联合行动。</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（2）有下列情形之一的，视为投标人相互串通投标：</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a.不同投标人的投标文件由同一单位或个人编制；</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b.不同投标人委托同一单位或个人办理投标事宜；</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c.不同投标人的投标文件载明的项目管理成员为同一人；</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d.不同投标人的投标文件异常一致或投标报价呈规律性差异；</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e.不同投标人的投标文件相互混装；</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f.不同投标人的投标保证金从同一单位或个人的账户转出。</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（3）有下列情形之一的，属于招标人与投标人串通投标：</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a.招标人在开标前开启投标文件并将有关信息泄露给其他投标人；</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b.招标人直接或间接向投标人泄露标底、评标委员会成员等信息；</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c.招标人明示或暗示投标人压低或抬高投标报价；</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d.招标人授意投标人撤換、修改投标文件；</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e.招标人明示或暗示投标人为特定投标人中标提供方便；</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f.招标人与投标人为谋求特定投标人中标而采取的其他串通行为。</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（4）投标人有下列情形之一的，属于弄虚作假的行为：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a.使用通过受让或租借等方式获取的资格、资质证书投标；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b.使用伪造、变造的许可证件；</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c.提供虚假的财务状况或业绩；</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d.提供虚假的项目负责人或主要技术人员简历、劳动关系证明；</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e.提供虚假的信用状况；</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f.具他弄虚作假的行为。</w:t>
      </w:r>
    </w:p>
    <w:p>
      <w:pPr>
        <w:pStyle w:val="3"/>
        <w:spacing w:before="156" w:beforeLines="50" w:after="0" w:line="400" w:lineRule="exact"/>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3.7投标文件的澄清和说明</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3.7.2 澄清和说明不得超出投标文件的范围或改变招标文件的实质性内容（算术性错误修正的除外）。投标人的书面澄清、说明属于投标文件的组成部分。</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3.7.3 评标委员会不得暗示或诱导投标人作出澄清、说明，对投标人提交的澄清、说明有疑问的，可以要求投标人进一步澄清或说明，直至满足评标委员会的要求。</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3.7.4 凡超出招标文件规定的或给发包人带来未曾要求的利益的变化、偏差或其他因素在评标时不予考虑。</w:t>
      </w:r>
    </w:p>
    <w:p>
      <w:pPr>
        <w:pStyle w:val="3"/>
        <w:spacing w:before="156" w:beforeLines="50" w:after="0" w:line="400" w:lineRule="exact"/>
        <w:rPr>
          <w:rFonts w:ascii="宋体" w:hAnsi="宋体" w:cs="宋体"/>
          <w:b w:val="0"/>
          <w:color w:val="auto"/>
          <w:spacing w:val="0"/>
          <w:sz w:val="21"/>
          <w:szCs w:val="21"/>
          <w:highlight w:val="none"/>
        </w:rPr>
      </w:pPr>
      <w:r>
        <w:rPr>
          <w:rFonts w:hint="eastAsia" w:ascii="宋体" w:hAnsi="宋体" w:cs="宋体"/>
          <w:color w:val="auto"/>
          <w:spacing w:val="0"/>
          <w:sz w:val="21"/>
          <w:szCs w:val="21"/>
          <w:highlight w:val="none"/>
        </w:rPr>
        <w:t>3.8不得否决投标的情形</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投标文件存在第二章“投标人须知”第1.12.3项所列情形的，均视为细微偏差，评标委员会不得否决投标人的投标， 应按照第二章“投标人须知”第1.12.4项规定的原则处理。</w:t>
      </w:r>
    </w:p>
    <w:p>
      <w:pPr>
        <w:pStyle w:val="3"/>
        <w:spacing w:before="156" w:beforeLines="50" w:after="0" w:line="400" w:lineRule="exact"/>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3.9评标结果</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3.9.1除第二章“投标人须知”前附表授权直接确定中标人外，评标委员会按照得分由高到低的顺序推荐中标候选人，并标明排序。</w:t>
      </w:r>
    </w:p>
    <w:p>
      <w:pPr>
        <w:ind w:firstLine="420" w:firstLineChars="200"/>
        <w:rPr>
          <w:rFonts w:hint="eastAsia"/>
          <w:lang w:eastAsia="zh-CN"/>
        </w:rPr>
      </w:pPr>
      <w:r>
        <w:rPr>
          <w:rFonts w:hint="eastAsia" w:ascii="宋体" w:hAnsi="宋体" w:eastAsia="宋体" w:cs="宋体"/>
          <w:color w:val="auto"/>
          <w:spacing w:val="0"/>
          <w:sz w:val="21"/>
          <w:szCs w:val="21"/>
          <w:highlight w:val="none"/>
        </w:rPr>
        <w:t>3.9.2 评标委员会完成评标后，应向招标人提交书面评标报告。</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DAC78"/>
    <w:multiLevelType w:val="singleLevel"/>
    <w:tmpl w:val="B70DAC78"/>
    <w:lvl w:ilvl="0" w:tentative="0">
      <w:start w:val="1"/>
      <w:numFmt w:val="decimal"/>
      <w:suff w:val="nothing"/>
      <w:lvlText w:val="（%1）"/>
      <w:lvlJc w:val="left"/>
    </w:lvl>
  </w:abstractNum>
  <w:abstractNum w:abstractNumId="1">
    <w:nsid w:val="5278F217"/>
    <w:multiLevelType w:val="singleLevel"/>
    <w:tmpl w:val="5278F21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hNmIyMzY1ZmNmNWJkZDdhYzBlYmRjZDNjZWMxMmUifQ=="/>
  </w:docVars>
  <w:rsids>
    <w:rsidRoot w:val="00000000"/>
    <w:rsid w:val="01C761D7"/>
    <w:rsid w:val="0CC83E81"/>
    <w:rsid w:val="0F291CE2"/>
    <w:rsid w:val="1636736C"/>
    <w:rsid w:val="2EBC05C2"/>
    <w:rsid w:val="3B3B4AFB"/>
    <w:rsid w:val="40DC1F38"/>
    <w:rsid w:val="63D4113F"/>
    <w:rsid w:val="68E73AB5"/>
    <w:rsid w:val="6D4132E8"/>
    <w:rsid w:val="6E071DE1"/>
    <w:rsid w:val="7B2F3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rPr>
  </w:style>
  <w:style w:type="paragraph" w:styleId="4">
    <w:name w:val="Body Text"/>
    <w:basedOn w:val="1"/>
    <w:next w:val="5"/>
    <w:qFormat/>
    <w:uiPriority w:val="0"/>
    <w:pPr>
      <w:spacing w:after="120"/>
    </w:pPr>
    <w:rPr>
      <w:kern w:val="0"/>
      <w:sz w:val="20"/>
      <w:szCs w:val="20"/>
    </w:rPr>
  </w:style>
  <w:style w:type="paragraph" w:styleId="5">
    <w:name w:val="Body Text 2"/>
    <w:basedOn w:val="1"/>
    <w:qFormat/>
    <w:uiPriority w:val="0"/>
    <w:rPr>
      <w:rFonts w:ascii="宋体" w:hAnsi="宋体"/>
      <w:color w:val="51585D"/>
      <w:kern w:val="0"/>
      <w:sz w:val="2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customStyle="1" w:styleId="9">
    <w:name w:val="纯文本1"/>
    <w:basedOn w:val="1"/>
    <w:qFormat/>
    <w:uiPriority w:val="0"/>
    <w:rPr>
      <w:rFonts w:ascii="宋体" w:hAnsi="Times New Roman"/>
      <w:sz w:val="24"/>
    </w:rPr>
  </w:style>
  <w:style w:type="paragraph" w:customStyle="1" w:styleId="10">
    <w:name w:val="Table Paragraph"/>
    <w:basedOn w:val="1"/>
    <w:qFormat/>
    <w:uiPriority w:val="0"/>
    <w:pPr>
      <w:autoSpaceDE w:val="0"/>
      <w:autoSpaceDN w:val="0"/>
      <w:jc w:val="left"/>
    </w:pPr>
    <w:rPr>
      <w:rFonts w:hint="eastAsia" w:ascii="宋体" w:hAnsi="宋体"/>
      <w:kern w:val="0"/>
      <w:sz w:val="22"/>
      <w:szCs w:val="22"/>
    </w:rPr>
  </w:style>
  <w:style w:type="paragraph" w:customStyle="1" w:styleId="11">
    <w:name w:val="正文正"/>
    <w:basedOn w:val="1"/>
    <w:qFormat/>
    <w:uiPriority w:val="99"/>
    <w:pPr>
      <w:spacing w:line="560" w:lineRule="exact"/>
      <w:ind w:firstLine="561"/>
    </w:pPr>
    <w:rPr>
      <w:rFonts w:ascii="Times New Roman" w:hAnsi="Times New Roman"/>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9246</Words>
  <Characters>9762</Characters>
  <Lines>0</Lines>
  <Paragraphs>0</Paragraphs>
  <TotalTime>2</TotalTime>
  <ScaleCrop>false</ScaleCrop>
  <LinksUpToDate>false</LinksUpToDate>
  <CharactersWithSpaces>9982</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2023-05-24T02:10:00Z</dcterms:created>
  <dc:creator>admin</dc:creator>
  <cp:lastModifiedBy>Zzy。</cp:lastModifiedBy>
  <dcterms:modified xsi:type="dcterms:W3CDTF">2023-09-06T01:29:44Z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AD953A8AED8749378F256BD01966325A_12</vt:lpwstr>
  </property>
</Properties>
</file>