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rPr>
          <w:rFonts w:ascii="宋体" w:hAnsi="宋体" w:cs="宋体"/>
          <w:color w:val="auto"/>
          <w:sz w:val="52"/>
          <w:szCs w:val="52"/>
          <w:highlight w:val="none"/>
        </w:rPr>
      </w:pPr>
    </w:p>
    <w:p>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小楼镇庙潭村市级美丽乡村建设工程施工总承包</w:t>
      </w:r>
    </w:p>
    <w:p>
      <w:pPr>
        <w:spacing w:line="360" w:lineRule="auto"/>
        <w:ind w:left="359" w:leftChars="171"/>
        <w:jc w:val="center"/>
        <w:rPr>
          <w:rFonts w:ascii="宋体" w:hAnsi="宋体" w:cs="宋体"/>
          <w:color w:val="auto"/>
          <w:sz w:val="52"/>
          <w:szCs w:val="52"/>
          <w:highlight w:val="none"/>
        </w:rPr>
      </w:pPr>
    </w:p>
    <w:p>
      <w:pPr>
        <w:pStyle w:val="7"/>
        <w:rPr>
          <w:rFonts w:ascii="宋体" w:hAnsi="宋体" w:cs="宋体"/>
          <w:color w:val="auto"/>
          <w:sz w:val="52"/>
          <w:szCs w:val="52"/>
          <w:highlight w:val="none"/>
        </w:rPr>
      </w:pPr>
    </w:p>
    <w:p>
      <w:pPr>
        <w:pStyle w:val="7"/>
        <w:rPr>
          <w:color w:val="auto"/>
          <w:highlight w:val="none"/>
        </w:rPr>
      </w:pPr>
    </w:p>
    <w:p>
      <w:pPr>
        <w:rPr>
          <w:color w:val="auto"/>
          <w:highlight w:val="none"/>
        </w:rPr>
      </w:pPr>
    </w:p>
    <w:p>
      <w:pPr>
        <w:rPr>
          <w:color w:val="auto"/>
          <w:highlight w:val="none"/>
        </w:rPr>
      </w:pP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pStyle w:val="7"/>
        <w:ind w:left="0" w:leftChars="0" w:firstLine="0" w:firstLineChars="0"/>
        <w:jc w:val="both"/>
        <w:rPr>
          <w:color w:val="auto"/>
          <w:highlight w:val="none"/>
        </w:rPr>
      </w:pPr>
    </w:p>
    <w:p>
      <w:pPr>
        <w:rPr>
          <w:color w:val="auto"/>
          <w:highlight w:val="none"/>
        </w:rPr>
      </w:pPr>
    </w:p>
    <w:p>
      <w:pPr>
        <w:pStyle w:val="6"/>
        <w:rPr>
          <w:color w:val="auto"/>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ascii="宋体" w:hAnsi="宋体" w:cs="宋体"/>
          <w:color w:val="auto"/>
          <w:sz w:val="30"/>
          <w:szCs w:val="30"/>
          <w:highlight w:val="none"/>
          <w:lang w:eastAsia="zh-CN"/>
        </w:rPr>
        <w:t>广州市增城区小楼镇人民政府</w:t>
      </w:r>
    </w:p>
    <w:p>
      <w:pPr>
        <w:spacing w:line="360" w:lineRule="auto"/>
        <w:ind w:firstLine="945"/>
        <w:rPr>
          <w:rFonts w:hint="eastAsia" w:eastAsia="宋体"/>
          <w:color w:val="auto"/>
          <w:sz w:val="30"/>
          <w:szCs w:val="30"/>
          <w:highlight w:val="none"/>
          <w:u w:val="single"/>
          <w:lang w:eastAsia="zh-CN"/>
        </w:rPr>
      </w:pPr>
      <w:r>
        <w:rPr>
          <w:rFonts w:hint="eastAsia"/>
          <w:color w:val="auto"/>
          <w:sz w:val="30"/>
          <w:szCs w:val="30"/>
          <w:highlight w:val="none"/>
        </w:rPr>
        <w:t>招标代理单位：</w:t>
      </w:r>
      <w:r>
        <w:rPr>
          <w:rFonts w:hint="eastAsia" w:ascii="宋体" w:hAnsi="宋体" w:cs="宋体"/>
          <w:color w:val="auto"/>
          <w:sz w:val="30"/>
          <w:szCs w:val="30"/>
          <w:highlight w:val="none"/>
          <w:lang w:eastAsia="zh-CN"/>
        </w:rPr>
        <w:t>广州佳皓咨询服务有限公司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2023</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u w:val="single"/>
          <w:lang w:val="en-US" w:eastAsia="zh-CN"/>
        </w:rPr>
        <w:t>8</w:t>
      </w:r>
      <w:r>
        <w:rPr>
          <w:rFonts w:hint="eastAsia"/>
          <w:color w:val="auto"/>
          <w:sz w:val="32"/>
          <w:highlight w:val="none"/>
          <w:u w:val="single"/>
        </w:rPr>
        <w:t xml:space="preserve"> </w:t>
      </w:r>
      <w:r>
        <w:rPr>
          <w:rFonts w:hint="eastAsia"/>
          <w:color w:val="auto"/>
          <w:sz w:val="32"/>
          <w:highlight w:val="none"/>
        </w:rPr>
        <w:t>月</w:t>
      </w:r>
    </w:p>
    <w:p>
      <w:pPr>
        <w:jc w:val="center"/>
        <w:rPr>
          <w:rFonts w:ascii="宋体" w:hAnsi="宋体"/>
          <w:b/>
          <w:caps/>
          <w:color w:val="auto"/>
          <w:kern w:val="0"/>
          <w:highlight w:val="none"/>
        </w:rPr>
      </w:pPr>
      <w:r>
        <w:rPr>
          <w:rStyle w:val="42"/>
          <w:b/>
          <w:bCs/>
          <w:color w:val="auto"/>
          <w:highlight w:val="none"/>
        </w:rPr>
        <w:br w:type="page"/>
      </w:r>
      <w:r>
        <w:rPr>
          <w:rStyle w:val="42"/>
          <w:rFonts w:hint="eastAsia"/>
          <w:b/>
          <w:bCs/>
          <w:color w:val="auto"/>
          <w:sz w:val="28"/>
          <w:szCs w:val="28"/>
          <w:highlight w:val="none"/>
        </w:rPr>
        <w:t>目录</w:t>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2"/>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2"/>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2"/>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2"/>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2"/>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2"/>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2"/>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2"/>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2"/>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2"/>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2"/>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2"/>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2"/>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2"/>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2"/>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2"/>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2"/>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2"/>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2"/>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2"/>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2"/>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p>
    <w:p>
      <w:pPr>
        <w:pStyle w:val="5"/>
        <w:rPr>
          <w:color w:val="auto"/>
          <w:highlight w:val="none"/>
        </w:rPr>
      </w:pPr>
    </w:p>
    <w:p>
      <w:pPr>
        <w:pStyle w:val="5"/>
        <w:rPr>
          <w:color w:val="auto"/>
          <w:highlight w:val="none"/>
        </w:rPr>
      </w:pPr>
    </w:p>
    <w:p>
      <w:pPr>
        <w:rPr>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7"/>
        <w:rPr>
          <w:color w:val="auto"/>
          <w:highlight w:val="none"/>
        </w:rPr>
      </w:pPr>
      <w:bookmarkStart w:id="2" w:name="_Toc21525490"/>
      <w:bookmarkStart w:id="3" w:name="_Toc2272546"/>
      <w:r>
        <w:rPr>
          <w:rFonts w:hint="eastAsia"/>
          <w:color w:val="auto"/>
          <w:highlight w:val="none"/>
        </w:rPr>
        <w:t>一、投标须知前附表</w:t>
      </w:r>
      <w:bookmarkEnd w:id="2"/>
      <w:bookmarkEnd w:id="3"/>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广州市增城区小楼镇人民政府</w:t>
            </w: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广州佳皓咨询服务有限公司</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广州市图鉴城市规划勘测设计有限公司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小楼镇庙潭村市级美丽乡村建设工程施工总承包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eastAsia="宋体" w:cs="宋体"/>
                <w:color w:val="auto"/>
                <w:szCs w:val="21"/>
                <w:highlight w:val="none"/>
                <w:u w:val="single"/>
                <w:lang w:val="en-US" w:eastAsia="zh-CN"/>
              </w:rPr>
              <w:t>项目位于</w:t>
            </w:r>
            <w:r>
              <w:rPr>
                <w:rFonts w:hint="eastAsia" w:ascii="宋体" w:hAnsi="宋体" w:cs="宋体"/>
                <w:color w:val="auto"/>
                <w:szCs w:val="21"/>
                <w:highlight w:val="none"/>
                <w:u w:val="single"/>
                <w:lang w:val="en-US" w:eastAsia="zh-CN"/>
              </w:rPr>
              <w:t>增城区小楼镇庙潭村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2023年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日计划开工，施工总期：</w:t>
            </w:r>
            <w:r>
              <w:rPr>
                <w:rFonts w:hint="eastAsia" w:ascii="宋体" w:hAnsi="宋体"/>
                <w:color w:val="auto"/>
                <w:szCs w:val="21"/>
                <w:highlight w:val="none"/>
                <w:u w:val="single"/>
                <w:lang w:val="en-US" w:eastAsia="zh-CN"/>
              </w:rPr>
              <w:t>70</w:t>
            </w:r>
            <w:r>
              <w:rPr>
                <w:rFonts w:hint="eastAsia" w:ascii="宋体" w:hAnsi="宋体"/>
                <w:color w:val="auto"/>
                <w:szCs w:val="21"/>
                <w:highlight w:val="none"/>
                <w:u w:val="single"/>
              </w:rPr>
              <w:t xml:space="preserve">日历天。 </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eastAsia="宋体" w:cs="宋体"/>
                <w:color w:val="auto"/>
                <w:szCs w:val="21"/>
                <w:highlight w:val="none"/>
                <w:u w:val="single"/>
                <w:lang w:val="en-US" w:eastAsia="zh-CN"/>
              </w:rPr>
              <w:t>由市、区、镇财政资金安排解决</w:t>
            </w:r>
            <w:r>
              <w:rPr>
                <w:rFonts w:hint="eastAsia" w:ascii="宋体" w:hAnsi="宋体" w:eastAsia="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4" w:name="EBdfd7e3fe86a241738f1c1d356c309534"/>
            <w:r>
              <w:rPr>
                <w:rFonts w:hint="eastAsia" w:ascii="宋体" w:hAnsi="宋体" w:cs="宋体"/>
                <w:color w:val="auto"/>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5" w:name="EB638049d390fa45cfa3556d92c0ccd421"/>
            <w:r>
              <w:rPr>
                <w:rFonts w:hint="eastAsia" w:ascii="宋体" w:hAnsi="宋体" w:cs="宋体"/>
                <w:color w:val="auto"/>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eastAsia="宋体"/>
                <w:color w:val="auto"/>
                <w:highlight w:val="none"/>
                <w:lang w:val="en-US" w:eastAsia="zh-CN"/>
              </w:rPr>
            </w:pPr>
            <w:r>
              <w:rPr>
                <w:rFonts w:hint="eastAsia" w:ascii="宋体" w:hAnsi="宋体" w:cs="宋体"/>
                <w:color w:val="auto"/>
                <w:kern w:val="0"/>
                <w:szCs w:val="21"/>
                <w:highlight w:val="none"/>
                <w:lang w:val="zh-CN"/>
              </w:rPr>
              <w:sym w:font="Wingdings" w:char="00FE"/>
            </w:r>
            <w:r>
              <w:rPr>
                <w:rFonts w:hint="eastAsia" w:ascii="宋体" w:hAnsi="宋体" w:cs="宋体"/>
                <w:color w:val="auto"/>
                <w:kern w:val="0"/>
                <w:szCs w:val="21"/>
                <w:highlight w:val="none"/>
                <w:lang w:val="zh-CN"/>
              </w:rPr>
              <w:t>不</w:t>
            </w:r>
            <w:r>
              <w:rPr>
                <w:rFonts w:hint="eastAsia" w:ascii="宋体" w:hAnsi="宋体" w:cs="宋体"/>
                <w:color w:val="auto"/>
                <w:kern w:val="0"/>
                <w:szCs w:val="21"/>
                <w:highlight w:val="none"/>
                <w:lang w:val="en-US" w:eastAsia="zh-CN"/>
              </w:rPr>
              <w:t>收取</w:t>
            </w:r>
            <w:r>
              <w:rPr>
                <w:rFonts w:hint="eastAsia" w:ascii="宋体" w:hAnsi="宋体" w:cs="宋体"/>
                <w:color w:val="auto"/>
                <w:kern w:val="0"/>
                <w:szCs w:val="21"/>
                <w:highlight w:val="none"/>
                <w:lang w:val="zh-CN"/>
              </w:rPr>
              <w:t>：</w:t>
            </w:r>
            <w:r>
              <w:rPr>
                <w:rFonts w:hint="eastAsia" w:ascii="宋体" w:hAnsi="宋体"/>
                <w:color w:val="auto"/>
                <w:szCs w:val="21"/>
              </w:rPr>
              <w:t>响应《广州市建设国际一流营商环境标杆城市助力产业高质量发展行动方案》，本项目不收取投标保证金。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时间：自发布招标公告之日起具备现场踏勘条件；</w:t>
            </w:r>
          </w:p>
          <w:p>
            <w:pPr>
              <w:rPr>
                <w:rFonts w:ascii="宋体" w:hAnsi="宋体"/>
                <w:color w:val="auto"/>
                <w:szCs w:val="21"/>
                <w:highlight w:val="none"/>
              </w:rPr>
            </w:pPr>
            <w:r>
              <w:rPr>
                <w:rFonts w:hint="eastAsia" w:ascii="宋体" w:hAnsi="宋体" w:cs="宋体"/>
                <w:color w:val="auto"/>
                <w:szCs w:val="21"/>
                <w:highlight w:val="none"/>
                <w:u w:val="single"/>
              </w:rPr>
              <w:t>方式：招标人不集中组织，由投标人自行踏勘；</w:t>
            </w:r>
            <w:r>
              <w:rPr>
                <w:rFonts w:ascii="宋体" w:hAnsi="宋体"/>
                <w:color w:val="auto"/>
                <w:szCs w:val="21"/>
                <w:highlight w:val="none"/>
              </w:rPr>
              <w:t xml:space="preserve"> </w:t>
            </w:r>
          </w:p>
          <w:p>
            <w:pPr>
              <w:rPr>
                <w:rFonts w:ascii="宋体" w:hAnsi="宋体"/>
                <w:color w:val="auto"/>
                <w:szCs w:val="21"/>
                <w:highlight w:val="none"/>
              </w:rPr>
            </w:pPr>
            <w:r>
              <w:rPr>
                <w:rFonts w:hint="eastAsia" w:ascii="宋体" w:hAnsi="宋体" w:cs="宋体"/>
                <w:color w:val="auto"/>
                <w:szCs w:val="21"/>
                <w:highlight w:val="none"/>
                <w:u w:val="single"/>
              </w:rPr>
              <w:t>现场详细地点：详见招标公告</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s="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w:t>
            </w:r>
            <w:r>
              <w:rPr>
                <w:rFonts w:hint="eastAsia" w:ascii="宋体" w:hAnsi="宋体"/>
                <w:color w:val="auto"/>
                <w:szCs w:val="21"/>
                <w:highlight w:val="none"/>
              </w:rPr>
              <w:t>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r>
              <w:rPr>
                <w:rFonts w:hint="eastAsia" w:ascii="宋体" w:hAnsi="宋体" w:cs="宋体"/>
                <w:b/>
                <w:bCs/>
                <w:color w:val="auto"/>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widowControl/>
              <w:jc w:val="left"/>
              <w:rPr>
                <w:rFonts w:ascii="仿宋" w:hAnsi="仿宋" w:eastAsia="仿宋" w:cs="宋体"/>
                <w:bCs/>
                <w:color w:val="auto"/>
                <w:kern w:val="0"/>
                <w:sz w:val="22"/>
                <w:highlight w:val="none"/>
              </w:rPr>
            </w:pPr>
            <w:r>
              <w:rPr>
                <w:rFonts w:hint="eastAsia" w:ascii="宋体" w:hAnsi="宋体"/>
                <w:color w:val="auto"/>
                <w:szCs w:val="21"/>
                <w:highlight w:val="none"/>
              </w:rPr>
              <w:t>1、开标开始时间：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Cs w:val="21"/>
                <w:highlight w:val="none"/>
              </w:rPr>
              <w:t>（与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增城交易部开标  室</w:t>
            </w:r>
            <w:r>
              <w:rPr>
                <w:rFonts w:hint="eastAsia" w:ascii="宋体" w:hAnsi="宋体" w:cs="宋体"/>
                <w:color w:val="auto"/>
                <w:szCs w:val="21"/>
                <w:highlight w:val="none"/>
              </w:rPr>
              <w:t xml:space="preserve"> 。</w:t>
            </w:r>
            <w:r>
              <w:rPr>
                <w:rFonts w:hint="eastAsia" w:ascii="仿宋" w:hAnsi="仿宋" w:eastAsia="仿宋" w:cs="宋体"/>
                <w:b/>
                <w:bCs/>
                <w:color w:val="auto"/>
                <w:kern w:val="0"/>
                <w:sz w:val="22"/>
                <w:highlight w:val="none"/>
              </w:rPr>
              <w:t>投标人也可选择参加在线开标，具体按照交易平台相关指南进行操作。详见：</w:t>
            </w:r>
            <w:r>
              <w:rPr>
                <w:rFonts w:hint="eastAsia" w:ascii="仿宋" w:hAnsi="仿宋" w:eastAsia="仿宋" w:cs="宋体"/>
                <w:b/>
                <w:bCs/>
                <w:color w:val="auto"/>
                <w:kern w:val="0"/>
                <w:sz w:val="22"/>
                <w:highlight w:val="none"/>
                <w:u w:val="single"/>
              </w:rPr>
              <w:t xml:space="preserve">        </w:t>
            </w:r>
            <w:r>
              <w:rPr>
                <w:rFonts w:hint="eastAsia" w:ascii="仿宋" w:hAnsi="仿宋" w:eastAsia="仿宋" w:cs="宋体"/>
                <w:b/>
                <w:bCs/>
                <w:color w:val="auto"/>
                <w:kern w:val="0"/>
                <w:sz w:val="22"/>
                <w:highlight w:val="none"/>
              </w:rPr>
              <w:t>。</w:t>
            </w:r>
          </w:p>
          <w:p>
            <w:pPr>
              <w:rPr>
                <w:rFonts w:ascii="宋体" w:hAnsi="宋体"/>
                <w:color w:val="auto"/>
                <w:highlight w:val="none"/>
              </w:rPr>
            </w:pPr>
            <w:r>
              <w:rPr>
                <w:rFonts w:hint="eastAsia" w:ascii="宋体" w:hAnsi="宋体"/>
                <w:color w:val="auto"/>
                <w:szCs w:val="21"/>
                <w:highlight w:val="none"/>
              </w:rPr>
              <w:t>2、递交投标文件备用光盘时间：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Cs w:val="21"/>
                <w:highlight w:val="none"/>
              </w:rPr>
              <w:t>至</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Cs w:val="21"/>
                <w:highlight w:val="none"/>
              </w:rPr>
              <w:t>；递交地点：</w:t>
            </w:r>
            <w:r>
              <w:rPr>
                <w:rFonts w:hint="eastAsia" w:ascii="宋体" w:hAnsi="宋体" w:cs="宋体"/>
                <w:color w:val="auto"/>
                <w:szCs w:val="21"/>
                <w:highlight w:val="none"/>
                <w:u w:val="single"/>
              </w:rPr>
              <w:t>增城交易部开标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color w:val="auto"/>
                <w:szCs w:val="21"/>
                <w:highlight w:val="none"/>
                <w:u w:val="singl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办法七（适合综合评分法四，技术标与经济标同时开启）</w:t>
            </w:r>
          </w:p>
          <w:p>
            <w:pPr>
              <w:pStyle w:val="5"/>
              <w:ind w:firstLine="0"/>
              <w:rPr>
                <w:rFonts w:ascii="宋体" w:hAnsi="宋体" w:cs="宋体"/>
                <w:color w:val="auto"/>
                <w:szCs w:val="21"/>
                <w:highlight w:val="none"/>
                <w:u w:val="single"/>
              </w:rPr>
            </w:pPr>
            <w:r>
              <w:rPr>
                <w:rFonts w:hint="eastAsia" w:ascii="宋体" w:hAnsi="宋体" w:cs="宋体"/>
                <w:color w:val="auto"/>
                <w:szCs w:val="21"/>
                <w:highlight w:val="none"/>
                <w:u w:val="single"/>
              </w:rPr>
              <w:t>投标人总得分=技术得分（100分）×技术得分权重（20%）＋经济得分（满分100分）×经济得分权重（80%）。</w:t>
            </w:r>
          </w:p>
          <w:p>
            <w:pPr>
              <w:pStyle w:val="5"/>
              <w:ind w:firstLine="0"/>
              <w:rPr>
                <w:rFonts w:ascii="宋体" w:hAnsi="宋体"/>
                <w:color w:val="auto"/>
                <w:szCs w:val="21"/>
                <w:highlight w:val="none"/>
              </w:rPr>
            </w:pPr>
            <w:r>
              <w:rPr>
                <w:rFonts w:hint="eastAsia" w:ascii="宋体" w:hAnsi="宋体" w:cs="宋体"/>
                <w:color w:val="auto"/>
                <w:szCs w:val="21"/>
                <w:highlight w:val="none"/>
              </w:rPr>
              <w:t>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p>
            <w:pPr>
              <w:pStyle w:val="5"/>
              <w:spacing w:after="0"/>
              <w:ind w:firstLine="0"/>
              <w:rPr>
                <w:rFonts w:ascii="宋体" w:hAnsi="宋体"/>
                <w:color w:val="auto"/>
                <w:highlight w:val="none"/>
              </w:rPr>
            </w:pPr>
            <w:r>
              <w:rPr>
                <w:rFonts w:hint="eastAsia" w:ascii="宋体" w:hAnsi="宋体" w:cs="宋体"/>
                <w:color w:val="auto"/>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本项目最高投标限价人民币</w:t>
            </w:r>
            <w:r>
              <w:rPr>
                <w:rFonts w:hint="eastAsia" w:ascii="宋体" w:hAnsi="宋体"/>
                <w:color w:val="auto"/>
                <w:szCs w:val="21"/>
                <w:highlight w:val="none"/>
                <w:u w:val="single"/>
                <w:lang w:val="en-US" w:eastAsia="zh-CN"/>
              </w:rPr>
              <w:t>6204304.58</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 xml:space="preserve"> 361,083.71 </w:t>
            </w:r>
            <w:r>
              <w:rPr>
                <w:rFonts w:hint="eastAsia" w:ascii="宋体" w:hAnsi="宋体"/>
                <w:color w:val="auto"/>
                <w:szCs w:val="21"/>
                <w:highlight w:val="none"/>
              </w:rPr>
              <w:t>元，暂列金额为</w:t>
            </w:r>
          </w:p>
          <w:p>
            <w:pPr>
              <w:rPr>
                <w:rFonts w:ascii="宋体" w:hAnsi="宋体"/>
                <w:color w:val="auto"/>
                <w:szCs w:val="21"/>
                <w:highlight w:val="none"/>
              </w:rPr>
            </w:pPr>
            <w:r>
              <w:rPr>
                <w:rFonts w:hint="eastAsia" w:ascii="宋体" w:hAnsi="宋体"/>
                <w:color w:val="auto"/>
                <w:szCs w:val="21"/>
                <w:highlight w:val="none"/>
                <w:u w:val="single"/>
                <w:lang w:val="en-US" w:eastAsia="zh-CN"/>
              </w:rPr>
              <w:t xml:space="preserve">  0 </w:t>
            </w:r>
            <w:r>
              <w:rPr>
                <w:rFonts w:hint="eastAsia" w:ascii="宋体" w:hAnsi="宋体"/>
                <w:color w:val="auto"/>
                <w:szCs w:val="21"/>
                <w:highlight w:val="none"/>
                <w:u w:val="single"/>
              </w:rPr>
              <w:t>元</w:t>
            </w:r>
            <w:r>
              <w:rPr>
                <w:rFonts w:hint="eastAsia" w:ascii="宋体" w:hAnsi="宋体"/>
                <w:color w:val="auto"/>
                <w:szCs w:val="21"/>
                <w:highlight w:val="none"/>
              </w:rPr>
              <w:t>，暂估价为</w:t>
            </w:r>
            <w:r>
              <w:rPr>
                <w:rFonts w:hint="eastAsia" w:ascii="宋体" w:hAnsi="宋体"/>
                <w:color w:val="auto"/>
                <w:szCs w:val="21"/>
                <w:highlight w:val="none"/>
                <w:u w:val="single"/>
                <w:lang w:val="en-US" w:eastAsia="zh-CN"/>
              </w:rPr>
              <w:t>359,717.70</w:t>
            </w:r>
            <w:r>
              <w:rPr>
                <w:rFonts w:hint="eastAsia" w:ascii="宋体" w:hAnsi="宋体"/>
                <w:color w:val="auto"/>
                <w:szCs w:val="21"/>
                <w:highlight w:val="none"/>
                <w:u w:val="single"/>
              </w:rPr>
              <w:t>元</w:t>
            </w:r>
            <w:r>
              <w:rPr>
                <w:rFonts w:hint="eastAsia" w:ascii="宋体" w:hAnsi="宋体"/>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5894089.35</w:t>
            </w:r>
            <w:r>
              <w:rPr>
                <w:rFonts w:hint="eastAsia" w:ascii="宋体" w:hAnsi="宋体"/>
                <w:color w:val="auto"/>
                <w:szCs w:val="21"/>
                <w:highlight w:val="none"/>
              </w:rPr>
              <w:t>元</w:t>
            </w:r>
            <w:r>
              <w:rPr>
                <w:rFonts w:hint="eastAsia" w:ascii="宋体" w:hAnsi="宋体" w:cs="宋体"/>
                <w:color w:val="auto"/>
                <w:szCs w:val="21"/>
                <w:highlight w:val="none"/>
                <w:u w:val="single"/>
              </w:rPr>
              <w:t>(最高投标限价的95%设置为工程成本警戒价)</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A3"/>
            </w: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rPr>
                <w:rFonts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w:t>
            </w: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kern w:val="0"/>
                <w:szCs w:val="21"/>
                <w:highlight w:val="none"/>
                <w:u w:val="single"/>
                <w:lang w:val="zh-CN"/>
              </w:rPr>
              <w:t>广州交易集团有限公司（广州公共资源交易中心）网站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ascii="宋体" w:hAnsi="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其他费用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b/>
                <w:color w:val="auto"/>
                <w:szCs w:val="21"/>
                <w:highlight w:val="none"/>
                <w:u w:val="single"/>
              </w:rPr>
              <w:t>交易服务费：根据广州市政府相关文件的规定，向广州交易集团有限公司（广州公共资源交易中心）交纳交易服务费。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cs="宋体"/>
                <w:b/>
                <w:color w:val="auto"/>
                <w:highlight w:val="none"/>
                <w:u w:val="single"/>
              </w:rPr>
            </w:pPr>
            <w:r>
              <w:rPr>
                <w:rFonts w:hint="eastAsia" w:ascii="宋体" w:cs="宋体"/>
                <w:color w:val="auto"/>
                <w:szCs w:val="21"/>
                <w:highlight w:val="none"/>
              </w:rPr>
              <w:t>签字或盖章要求</w:t>
            </w:r>
          </w:p>
        </w:tc>
        <w:tc>
          <w:tcPr>
            <w:tcW w:w="6009" w:type="dxa"/>
            <w:tcBorders>
              <w:top w:val="single" w:color="auto" w:sz="4" w:space="0"/>
              <w:left w:val="single" w:color="auto" w:sz="4" w:space="0"/>
              <w:bottom w:val="double" w:color="auto" w:sz="4" w:space="0"/>
              <w:right w:val="double" w:color="auto" w:sz="4" w:space="0"/>
            </w:tcBorders>
            <w:vAlign w:val="center"/>
          </w:tcPr>
          <w:p>
            <w:pPr>
              <w:rPr>
                <w:rFonts w:hint="eastAsia" w:ascii="宋体" w:hAnsi="宋体" w:cs="宋体"/>
                <w:b/>
                <w:color w:val="auto"/>
                <w:szCs w:val="21"/>
                <w:highlight w:val="none"/>
                <w:u w:val="single"/>
              </w:rPr>
            </w:pPr>
            <w:r>
              <w:rPr>
                <w:rFonts w:hint="eastAsia" w:ascii="宋体" w:cs="宋体"/>
                <w:color w:val="auto"/>
                <w:szCs w:val="21"/>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rPr>
          <w:color w:val="auto"/>
          <w:highlight w:val="none"/>
        </w:rPr>
      </w:pPr>
      <w:bookmarkStart w:id="6" w:name="_Toc21525491"/>
      <w:bookmarkStart w:id="7" w:name="_Toc2272547"/>
    </w:p>
    <w:p>
      <w:pPr>
        <w:pStyle w:val="7"/>
        <w:rPr>
          <w:color w:val="auto"/>
          <w:highlight w:val="none"/>
        </w:rPr>
      </w:pPr>
      <w:r>
        <w:rPr>
          <w:rFonts w:hint="eastAsia"/>
          <w:color w:val="auto"/>
          <w:highlight w:val="none"/>
        </w:rPr>
        <w:t>二、投标须知修改表</w:t>
      </w:r>
      <w:bookmarkEnd w:id="6"/>
      <w:bookmarkEnd w:id="7"/>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2.5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hint="eastAsia" w:ascii="宋体" w:hAnsi="宋体" w:cs="宋体"/>
          <w:b/>
          <w:color w:val="auto"/>
          <w:szCs w:val="21"/>
          <w:highlight w:val="none"/>
          <w:u w:val="single"/>
        </w:rPr>
        <w:t>2.5</w:t>
      </w:r>
      <w:r>
        <w:rPr>
          <w:rFonts w:hint="eastAsia" w:ascii="宋体" w:hAnsi="宋体" w:cs="宋体"/>
          <w:color w:val="auto"/>
          <w:szCs w:val="21"/>
          <w:highlight w:val="none"/>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 w:val="24"/>
          <w:highlight w:val="none"/>
          <w:u w:val="single"/>
        </w:rPr>
      </w:pPr>
      <w:r>
        <w:rPr>
          <w:rFonts w:hint="eastAsia"/>
          <w:b/>
          <w:color w:val="auto"/>
          <w:szCs w:val="21"/>
          <w:highlight w:val="none"/>
        </w:rPr>
        <w:t>原文：</w:t>
      </w:r>
      <w:r>
        <w:rPr>
          <w:rFonts w:hint="eastAsia" w:ascii="宋体" w:hAnsi="宋体" w:cs="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投标须知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开标、评标及定标办法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技术条件（工程建设标准）（另册）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注：招标人应在技术条件（工程建设标准）中明确施工现场建筑垃圾源头减量的具体要求和建筑垃圾综合利用产品的使用要求。</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5"/>
        <w:spacing w:after="0"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5"/>
        <w:spacing w:after="0"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5"/>
        <w:spacing w:after="0" w:line="360" w:lineRule="auto"/>
        <w:ind w:left="-2"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第八章  最高投标限价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8.1 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在广州交易集团有限公司（广州公共资源交易中心）网站“项目答疑纪要”专区公开发布。答疑纪要一经在广州交易集团有限公司（广州公共资源交易中心）网站发布，视作已发放给所有投标人。</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发布时间作为送达时间。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在广州交易集团有限公司（广州公共资源交易中心）网站“项目答疑纪要”专区公开发布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最后发布的内容为准。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Cs/>
          <w:color w:val="auto"/>
          <w:szCs w:val="21"/>
          <w:highlight w:val="none"/>
        </w:rPr>
        <w:t>11.2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11.2投标文件技术标部分主要包括下列内容: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（9）拟委派项目负责人的建造师注册证书（取自平台内上传件）；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r>
        <w:rPr>
          <w:rFonts w:hint="eastAsia" w:ascii="仿宋" w:hAnsi="仿宋" w:eastAsia="仿宋" w:cs="宋体"/>
          <w:bCs/>
          <w:color w:val="auto"/>
          <w:kern w:val="0"/>
          <w:sz w:val="22"/>
        </w:rPr>
        <w:t>（</w:t>
      </w:r>
      <w:r>
        <w:rPr>
          <w:rFonts w:hint="eastAsia" w:ascii="仿宋" w:hAnsi="仿宋" w:eastAsia="仿宋" w:cs="宋体"/>
          <w:b/>
          <w:bCs/>
          <w:color w:val="auto"/>
          <w:kern w:val="0"/>
          <w:sz w:val="22"/>
        </w:rPr>
        <w:t>投标人在编制</w:t>
      </w:r>
      <w:r>
        <w:rPr>
          <w:rFonts w:ascii="仿宋" w:hAnsi="仿宋" w:eastAsia="仿宋" w:cs="宋体"/>
          <w:b/>
          <w:bCs/>
          <w:color w:val="auto"/>
          <w:kern w:val="0"/>
          <w:sz w:val="22"/>
        </w:rPr>
        <w:t>施工组织设计或施工方案</w:t>
      </w:r>
      <w:r>
        <w:rPr>
          <w:rFonts w:hint="eastAsia" w:ascii="仿宋" w:hAnsi="仿宋" w:eastAsia="仿宋" w:cs="宋体"/>
          <w:b/>
          <w:bCs/>
          <w:color w:val="auto"/>
          <w:kern w:val="0"/>
          <w:sz w:val="22"/>
        </w:rPr>
        <w:t>时应按照招标人提出的施工现场建筑垃圾源头减量的具体要求以及建筑垃圾综合利用产品的使用要求提供相应措施。</w:t>
      </w:r>
      <w:r>
        <w:rPr>
          <w:rFonts w:hint="eastAsia" w:ascii="仿宋" w:hAnsi="仿宋" w:eastAsia="仿宋" w:cs="宋体"/>
          <w:bCs/>
          <w:color w:val="auto"/>
          <w:kern w:val="0"/>
          <w:sz w:val="22"/>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11.2.6按照招标文件要求填写的《参与编制技术标投标文件人员名单》。</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技术标投标书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（须按本工程招标公告附件一格式）</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w:t>
      </w:r>
      <w:r>
        <w:rPr>
          <w:rFonts w:hint="eastAsia" w:ascii="宋体" w:hAnsi="宋体" w:cs="宋体"/>
          <w:bCs/>
          <w:color w:val="auto"/>
          <w:szCs w:val="21"/>
          <w:highlight w:val="none"/>
          <w:u w:val="single"/>
        </w:rPr>
        <w:t>职称证书；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建造师注册证书</w:t>
      </w:r>
      <w:r>
        <w:rPr>
          <w:rFonts w:hint="eastAsia" w:ascii="宋体" w:hAnsi="宋体" w:cs="宋体"/>
          <w:bCs/>
          <w:color w:val="auto"/>
          <w:szCs w:val="21"/>
          <w:highlight w:val="none"/>
        </w:rPr>
        <w:t xml:space="preserve">（提供证书扫描件）；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11.2.3《施工</w:t>
      </w:r>
      <w:r>
        <w:rPr>
          <w:rFonts w:hint="eastAsia" w:ascii="宋体" w:hAnsi="宋体" w:cs="宋体"/>
          <w:bCs/>
          <w:color w:val="auto"/>
          <w:szCs w:val="21"/>
          <w:highlight w:val="none"/>
          <w:u w:val="single"/>
          <w:lang w:val="zh-CN"/>
        </w:rPr>
        <w:t>项目管理团队人员信息表</w:t>
      </w:r>
      <w:r>
        <w:rPr>
          <w:rFonts w:hint="eastAsia" w:ascii="宋体" w:hAnsi="宋体" w:cs="宋体"/>
          <w:bCs/>
          <w:color w:val="auto"/>
          <w:szCs w:val="21"/>
          <w:highlight w:val="none"/>
          <w:u w:val="single"/>
        </w:rPr>
        <w:t>》（格式见第四章）</w:t>
      </w:r>
      <w:r>
        <w:rPr>
          <w:rFonts w:hint="eastAsia" w:ascii="宋体" w:hAnsi="宋体" w:cs="宋体"/>
          <w:bCs/>
          <w:color w:val="auto"/>
          <w:szCs w:val="21"/>
          <w:highlight w:val="none"/>
          <w:u w:val="single"/>
          <w:lang w:val="zh-CN"/>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5按照招标文件要求填写的《参与编制技术标投标文件人员名单》（格式见第四章）。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6</w:t>
      </w:r>
      <w:r>
        <w:rPr>
          <w:rFonts w:ascii="宋体" w:hAnsi="宋体" w:cs="宋体"/>
          <w:bCs/>
          <w:color w:val="auto"/>
          <w:szCs w:val="21"/>
          <w:highlight w:val="none"/>
          <w:u w:val="single"/>
        </w:rPr>
        <w:t>投标保证金缴纳证明资料</w:t>
      </w:r>
      <w:r>
        <w:rPr>
          <w:rFonts w:hint="eastAsia" w:ascii="宋体" w:hAnsi="宋体" w:cs="宋体"/>
          <w:bCs/>
          <w:i w:val="0"/>
          <w:iCs w:val="0"/>
          <w:color w:val="auto"/>
          <w:szCs w:val="21"/>
          <w:highlight w:val="none"/>
          <w:u w:val="single"/>
        </w:rPr>
        <w:t>（</w:t>
      </w:r>
      <w:r>
        <w:rPr>
          <w:rFonts w:hint="eastAsia" w:ascii="宋体" w:hAnsi="宋体"/>
          <w:i w:val="0"/>
          <w:iCs w:val="0"/>
          <w:color w:val="auto"/>
          <w:szCs w:val="21"/>
          <w:u w:val="single"/>
        </w:rPr>
        <w:t>本项目不收取投标保证金。</w:t>
      </w:r>
      <w:r>
        <w:rPr>
          <w:rFonts w:hint="eastAsia" w:ascii="宋体" w:hAnsi="宋体" w:cs="宋体"/>
          <w:bCs/>
          <w:i w:val="0"/>
          <w:iCs w:val="0"/>
          <w:color w:val="auto"/>
          <w:szCs w:val="21"/>
          <w:highlight w:val="none"/>
          <w:u w:val="single"/>
        </w:rPr>
        <w:t>）</w:t>
      </w:r>
      <w:r>
        <w:rPr>
          <w:rFonts w:hint="eastAsia"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7</w:t>
      </w:r>
      <w:r>
        <w:rPr>
          <w:rFonts w:ascii="宋体" w:hAnsi="宋体" w:cs="宋体"/>
          <w:bCs/>
          <w:color w:val="auto"/>
          <w:szCs w:val="21"/>
          <w:highlight w:val="none"/>
          <w:u w:val="single"/>
        </w:rPr>
        <w:t>投标人认为应提供的其他资料。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11.3.1 经济投标文件(按招标文件的要求填写)。</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经济标投标书</w:t>
      </w:r>
      <w:r>
        <w:rPr>
          <w:rFonts w:hint="eastAsia" w:ascii="宋体" w:hAnsi="宋体" w:cs="宋体"/>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rPr>
        <w:t>的要求填写)。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highlight w:val="none"/>
        </w:rPr>
        <w:t>11.3.2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11.3.2</w:t>
      </w:r>
      <w:r>
        <w:rPr>
          <w:rFonts w:hint="eastAsia" w:ascii="宋体" w:hAnsi="宋体" w:cs="宋体"/>
          <w:color w:val="auto"/>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spacing w:line="360" w:lineRule="auto"/>
        <w:ind w:firstLine="470" w:firstLineChars="224"/>
        <w:rPr>
          <w:color w:val="auto"/>
          <w:highlight w:val="none"/>
        </w:rPr>
      </w:pPr>
      <w:r>
        <w:rPr>
          <w:rFonts w:hint="eastAsia" w:ascii="宋体" w:hAnsi="宋体" w:cs="宋体"/>
          <w:color w:val="auto"/>
          <w:szCs w:val="21"/>
          <w:highlight w:val="none"/>
          <w:u w:val="single"/>
        </w:rPr>
        <w:t>（3）</w:t>
      </w:r>
      <w:r>
        <w:rPr>
          <w:color w:val="auto"/>
          <w:highlight w:val="none"/>
          <w:u w:val="single"/>
        </w:rPr>
        <w:t>工程量</w:t>
      </w:r>
      <w:r>
        <w:rPr>
          <w:rFonts w:hint="eastAsia" w:ascii="宋体" w:hAnsi="宋体"/>
          <w:color w:val="auto"/>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color w:val="auto"/>
          <w:szCs w:val="21"/>
          <w:highlight w:val="none"/>
          <w:u w:val="singl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ascii="宋体" w:hAnsi="宋体" w:cs="宋体"/>
          <w:color w:val="auto"/>
          <w:szCs w:val="21"/>
          <w:highlight w:val="none"/>
        </w:rPr>
        <w:t>11.3.5</w:t>
      </w:r>
      <w:r>
        <w:rPr>
          <w:rFonts w:hint="eastAsia" w:ascii="宋体" w:hAnsi="宋体" w:cs="宋体"/>
          <w:color w:val="auto"/>
          <w:szCs w:val="21"/>
          <w:highlight w:val="none"/>
          <w:u w:val="single"/>
        </w:rPr>
        <w:t>《对投标文件编制的承诺》及《投标文件编制情况》（格式见第四章）。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kern w:val="0"/>
          <w:szCs w:val="21"/>
          <w:highlight w:val="none"/>
        </w:rPr>
        <w:t>12.2、12.3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b/>
          <w:color w:val="auto"/>
          <w:szCs w:val="21"/>
          <w:highlight w:val="non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b/>
          <w:color w:val="auto"/>
          <w:szCs w:val="21"/>
          <w:highlight w:val="none"/>
        </w:rPr>
        <w:t xml:space="preserve">。    </w:t>
      </w:r>
    </w:p>
    <w:p>
      <w:pPr>
        <w:pStyle w:val="5"/>
        <w:spacing w:after="0" w:line="360" w:lineRule="auto"/>
        <w:ind w:firstLine="422" w:firstLineChars="200"/>
        <w:jc w:val="left"/>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详见：广州交易集团有限公司（广州公共资源交易中心）网站。</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13.1</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 xml:space="preserve">13.4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auto"/>
          <w:szCs w:val="21"/>
          <w:highlight w:val="none"/>
          <w:u w:val="single"/>
        </w:rPr>
        <w:t>城乡</w:t>
      </w:r>
      <w:r>
        <w:rPr>
          <w:rFonts w:hint="eastAsia" w:ascii="宋体" w:hAnsi="宋体" w:cs="宋体"/>
          <w:color w:val="auto"/>
          <w:szCs w:val="21"/>
          <w:highlight w:val="none"/>
          <w:u w:val="single"/>
        </w:rPr>
        <w:t>建设局施工同期《建设工程地方材料综合价格》、广州市造价管理站施工同期《广州地区建设工程材料综合价格》调整。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13.5.1中标的投标文件工程量清单中已有相同项目的适用综合单价，则沿用</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13.5.2</w:t>
      </w:r>
      <w:r>
        <w:rPr>
          <w:rFonts w:hint="eastAsia" w:ascii="宋体" w:hAnsi="宋体" w:cs="宋体"/>
          <w:bCs/>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w:t>
      </w:r>
      <w:r>
        <w:rPr>
          <w:rFonts w:hint="eastAsia" w:ascii="宋体" w:hAnsi="宋体" w:cs="宋体"/>
          <w:strike/>
          <w:color w:val="auto"/>
          <w:szCs w:val="21"/>
          <w:highlight w:val="none"/>
        </w:rPr>
        <w:t>（是否退还投标保证金由招标人在招标文件中规定）</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hint="eastAsia"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16.5投标人如存在下列情况之一的，将被拒绝在半年内参与招标人后续工程投标（</w:t>
      </w:r>
      <w:r>
        <w:rPr>
          <w:rFonts w:hint="eastAsia" w:ascii="宋体" w:hAnsi="宋体" w:cs="宋体"/>
          <w:color w:val="auto"/>
          <w:szCs w:val="21"/>
          <w:highlight w:val="none"/>
          <w:u w:val="single"/>
        </w:rPr>
        <w:t>注：拒绝投标时限由招标人视严重程度确定，最低三个月起，自招标人发出通知之日起计</w:t>
      </w:r>
      <w:r>
        <w:rPr>
          <w:rFonts w:hint="eastAsia" w:ascii="宋体" w:hAnsi="宋体" w:cs="宋体"/>
          <w:color w:val="auto"/>
          <w:szCs w:val="21"/>
          <w:highlight w:val="none"/>
        </w:rPr>
        <w:t>）：</w:t>
      </w:r>
      <w:r>
        <w:rPr>
          <w:rFonts w:hint="eastAsia" w:ascii="宋体" w:hAnsi="宋体" w:cs="宋体"/>
          <w:b/>
          <w:bCs/>
          <w:color w:val="auto"/>
          <w:szCs w:val="21"/>
          <w:highlight w:val="none"/>
          <w:u w:val="single"/>
          <w:lang w:val="en-US" w:eastAsia="zh-CN"/>
        </w:rPr>
        <w:t>详见招标公告。</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条款号：16.5.3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16.5.3按招标文件要求免于提供投标保证金的投标人存在16.4条款所列情形的。</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17.1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18、19</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b/>
          <w:bCs/>
          <w:color w:val="auto"/>
          <w:sz w:val="24"/>
          <w:highlight w:val="none"/>
        </w:rPr>
      </w:pPr>
      <w:r>
        <w:rPr>
          <w:rFonts w:hint="eastAsia"/>
          <w:b/>
          <w:color w:val="auto"/>
          <w:szCs w:val="21"/>
          <w:highlight w:val="none"/>
        </w:rPr>
        <w:t>原文：</w:t>
      </w:r>
      <w:r>
        <w:rPr>
          <w:rFonts w:hint="eastAsia" w:ascii="宋体" w:hAnsi="宋体" w:cs="宋体"/>
          <w:b/>
          <w:color w:val="auto"/>
          <w:szCs w:val="21"/>
          <w:highlight w:val="none"/>
        </w:rPr>
        <w:t>18．投标文件的密封和标记</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18.2 未按要求加密的投标文件，</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pStyle w:val="5"/>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color w:val="auto"/>
          <w:sz w:val="24"/>
          <w:szCs w:val="24"/>
          <w:highlight w:val="none"/>
          <w:u w:val="single"/>
        </w:rPr>
        <w:t xml:space="preserve">        </w:t>
      </w:r>
      <w:r>
        <w:rPr>
          <w:rFonts w:hint="eastAsia" w:ascii="宋体" w:hAnsi="宋体" w:cs="宋体"/>
          <w:bCs/>
          <w:color w:val="auto"/>
          <w:szCs w:val="21"/>
          <w:highlight w:val="none"/>
        </w:rPr>
        <w:t>交易平台递交电子投标文件。</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19.2投标人完成电子投标文件上传后，</w:t>
      </w:r>
      <w:r>
        <w:rPr>
          <w:color w:val="auto"/>
          <w:sz w:val="24"/>
          <w:szCs w:val="24"/>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r>
        <w:rPr>
          <w:rFonts w:hint="eastAsia" w:ascii="宋体" w:hAnsi="宋体"/>
          <w:color w:val="auto"/>
          <w:sz w:val="24"/>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bCs/>
          <w:color w:val="auto"/>
          <w:sz w:val="24"/>
          <w:highlight w:val="none"/>
        </w:rPr>
        <w:t>，</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spacing w:line="360" w:lineRule="auto"/>
        <w:ind w:firstLine="420" w:firstLineChars="200"/>
        <w:rPr>
          <w:rFonts w:ascii="宋体"/>
          <w:color w:val="auto"/>
          <w:sz w:val="24"/>
          <w:highlight w:val="none"/>
        </w:rPr>
      </w:pPr>
      <w:r>
        <w:rPr>
          <w:rFonts w:hint="eastAsia" w:ascii="宋体" w:hAnsi="宋体" w:cs="宋体"/>
          <w:bCs/>
          <w:color w:val="auto"/>
          <w:szCs w:val="21"/>
          <w:highlight w:val="none"/>
        </w:rPr>
        <w:t>19.4 投标截止前，招标人拒绝接收符合条件的投标文件，投标人可向招标投标监督机构投诉</w:t>
      </w:r>
      <w:r>
        <w:rPr>
          <w:rFonts w:hint="eastAsia"/>
          <w:color w:val="auto"/>
          <w:sz w:val="24"/>
          <w:szCs w:val="24"/>
          <w:highlight w:val="none"/>
        </w:rPr>
        <w:t>。</w:t>
      </w:r>
    </w:p>
    <w:p>
      <w:pPr>
        <w:spacing w:line="360" w:lineRule="auto"/>
        <w:ind w:firstLine="420" w:firstLineChars="200"/>
        <w:rPr>
          <w:rFonts w:ascii="宋体" w:hAnsi="宋体"/>
          <w:color w:val="auto"/>
          <w:sz w:val="24"/>
          <w:highlight w:val="none"/>
        </w:rPr>
      </w:pPr>
      <w:r>
        <w:rPr>
          <w:rFonts w:hint="eastAsia" w:ascii="宋体" w:hAnsi="宋体" w:cs="宋体"/>
          <w:bCs/>
          <w:color w:val="auto"/>
          <w:szCs w:val="21"/>
          <w:highlight w:val="none"/>
        </w:rPr>
        <w:t>19.5如技术标和经济标先后分别开启，</w:t>
      </w:r>
      <w:r>
        <w:rPr>
          <w:color w:val="auto"/>
          <w:sz w:val="24"/>
          <w:szCs w:val="24"/>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pPr>
        <w:pStyle w:val="5"/>
        <w:spacing w:after="0"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广州交易集团有限公司（广州公共资源交易中心） </w:t>
      </w:r>
      <w:r>
        <w:rPr>
          <w:rFonts w:hint="eastAsia" w:ascii="宋体" w:hAnsi="宋体" w:cs="宋体"/>
          <w:color w:val="auto"/>
          <w:szCs w:val="21"/>
          <w:highlight w:val="none"/>
        </w:rPr>
        <w:t>交易平台将予以拒收。</w:t>
      </w:r>
    </w:p>
    <w:p>
      <w:pPr>
        <w:pBdr>
          <w:bottom w:val="single" w:color="auto" w:sz="6" w:space="1"/>
        </w:pBdr>
        <w:spacing w:line="360" w:lineRule="auto"/>
        <w:ind w:firstLine="415" w:firstLineChars="198"/>
        <w:rPr>
          <w:color w:val="auto"/>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21.1 本须知前附表第17项规定的投标截止时间后送达的电子投标文件，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27.1招标人将在</w:t>
      </w:r>
      <w:r>
        <w:rPr>
          <w:color w:val="auto"/>
          <w:sz w:val="24"/>
          <w:szCs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spacing w:line="360" w:lineRule="auto"/>
        <w:ind w:firstLine="422" w:firstLineChars="200"/>
        <w:rPr>
          <w:rFonts w:ascii="宋体" w:hAnsi="宋体"/>
          <w:b/>
          <w:bCs/>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kern w:val="0"/>
          <w:szCs w:val="21"/>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Cs w:val="21"/>
          <w:highlight w:val="none"/>
        </w:rPr>
        <w:t>公示中标候选人，公示期为三天。</w:t>
      </w:r>
      <w:r>
        <w:rPr>
          <w:rFonts w:hint="eastAsia" w:ascii="宋体" w:hAnsi="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Fonts w:ascii="宋体" w:hAnsi="宋体"/>
          <w:b/>
          <w:bCs/>
          <w:color w:val="auto"/>
          <w:szCs w:val="21"/>
          <w:highlight w:val="none"/>
          <w:u w:val="single"/>
        </w:rPr>
      </w:pPr>
      <w:r>
        <w:rPr>
          <w:rFonts w:hint="eastAsia" w:ascii="宋体" w:hAnsi="宋体"/>
          <w:b/>
          <w:bCs/>
          <w:color w:val="auto"/>
          <w:szCs w:val="21"/>
          <w:highlight w:val="none"/>
          <w:u w:val="single"/>
        </w:rPr>
        <w:t>1.具体操作详见“广州交易集团有限公司（广州公共资源交易中心）门户网站首页-&gt;服务指南-&gt;系统帮助-&gt;操作手册-&gt;发起及受理异议操作指引”。</w:t>
      </w:r>
    </w:p>
    <w:p>
      <w:pPr>
        <w:pBdr>
          <w:bottom w:val="single" w:color="auto" w:sz="6" w:space="1"/>
        </w:pBdr>
        <w:spacing w:line="360" w:lineRule="auto"/>
        <w:ind w:firstLine="422" w:firstLineChars="200"/>
        <w:rPr>
          <w:color w:val="auto"/>
          <w:szCs w:val="21"/>
          <w:highlight w:val="none"/>
        </w:rPr>
      </w:pPr>
      <w:r>
        <w:rPr>
          <w:rFonts w:hint="eastAsia" w:ascii="宋体" w:hAnsi="宋体"/>
          <w:b/>
          <w:bCs/>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29.1 在申请支付预付款前，中标人应按本须知前附表第20项的规定向招标人提交履约担保。</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在申请支付预付款前，中标人未按上款的规定提交履约担保，招标人将不予支付预付款</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30.1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30.1</w:t>
      </w:r>
      <w:r>
        <w:rPr>
          <w:b/>
          <w:color w:val="auto"/>
          <w:szCs w:val="21"/>
          <w:highlight w:val="none"/>
        </w:rPr>
        <w:t xml:space="preserve"> </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31.1根据广州市政府相关文件的规定，向广州交易集团有限公司（广州公共资源交易中心）交纳交易服务费。</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32.3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现文：</w:t>
      </w:r>
      <w:r>
        <w:rPr>
          <w:rFonts w:hint="eastAsia" w:ascii="宋体" w:hAnsi="宋体" w:cs="宋体"/>
          <w:color w:val="auto"/>
          <w:kern w:val="0"/>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33 </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33. 投标人信誉的要求</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存在下列情形之一的，招标人可以限制其投标</w:t>
      </w:r>
      <w:r>
        <w:rPr>
          <w:rFonts w:hint="eastAsia" w:ascii="宋体" w:hAnsi="宋体" w:cs="宋体"/>
          <w:color w:val="auto"/>
          <w:kern w:val="0"/>
          <w:szCs w:val="21"/>
          <w:highlight w:val="none"/>
          <w:u w:val="single"/>
        </w:rPr>
        <w:t>（根据招标公告《投标人声明（一）》评审）</w:t>
      </w:r>
      <w:r>
        <w:rPr>
          <w:rFonts w:hint="eastAsia" w:ascii="宋体" w:hAnsi="宋体" w:cs="宋体"/>
          <w:color w:val="auto"/>
          <w:kern w:val="0"/>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1525492"/>
      <w:bookmarkStart w:id="9" w:name="_Toc2272548"/>
      <w:r>
        <w:rPr>
          <w:rFonts w:hint="eastAsia"/>
          <w:color w:val="auto"/>
          <w:highlight w:val="none"/>
        </w:rPr>
        <w:t>三、投标须知通用条款</w:t>
      </w:r>
      <w:bookmarkEnd w:id="8"/>
      <w:bookmarkEnd w:id="9"/>
    </w:p>
    <w:p>
      <w:pPr>
        <w:pStyle w:val="8"/>
        <w:spacing w:before="156" w:after="156"/>
        <w:rPr>
          <w:color w:val="auto"/>
          <w:highlight w:val="none"/>
        </w:rPr>
      </w:pPr>
      <w:bookmarkStart w:id="10" w:name="_Toc2272549"/>
      <w:bookmarkStart w:id="11" w:name="_Toc21525493"/>
      <w:r>
        <w:rPr>
          <w:rFonts w:hint="eastAsia"/>
          <w:color w:val="auto"/>
          <w:highlight w:val="none"/>
        </w:rPr>
        <w:t>（一）总则</w:t>
      </w:r>
      <w:bookmarkEnd w:id="10"/>
      <w:bookmarkEnd w:id="11"/>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2" w:name="_Toc2272550"/>
      <w:bookmarkStart w:id="13" w:name="_Toc21525494"/>
      <w:r>
        <w:rPr>
          <w:rFonts w:hint="eastAsia"/>
          <w:color w:val="auto"/>
          <w:highlight w:val="none"/>
        </w:rPr>
        <w:t>（二）招标文件</w:t>
      </w:r>
      <w:bookmarkEnd w:id="12"/>
      <w:bookmarkEnd w:id="1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5"/>
        <w:spacing w:after="0" w:line="360" w:lineRule="auto"/>
        <w:ind w:left="-2"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pStyle w:val="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pStyle w:val="5"/>
        <w:spacing w:after="0" w:line="360" w:lineRule="auto"/>
        <w:ind w:firstLine="480" w:firstLineChars="200"/>
        <w:rPr>
          <w:rFonts w:hint="eastAsia" w:ascii="宋体" w:hAnsi="宋体" w:cs="宋体"/>
          <w:color w:val="auto"/>
          <w:sz w:val="24"/>
          <w:szCs w:val="24"/>
          <w:highlight w:val="none"/>
        </w:rPr>
      </w:pPr>
      <w:r>
        <w:rPr>
          <w:rFonts w:hint="eastAsia" w:ascii="宋体" w:hAnsi="宋体"/>
          <w:color w:val="auto"/>
          <w:sz w:val="24"/>
          <w:highlight w:val="none"/>
          <w:u w:val="single"/>
        </w:rPr>
        <w:t>注：招标人应在技术条件（工程建设标准）中明确施工现场建筑垃圾源头减量的具体要求和建筑垃圾综合利用产品的使用要求</w:t>
      </w:r>
      <w:r>
        <w:rPr>
          <w:rFonts w:hint="eastAsia" w:ascii="宋体" w:hAnsi="宋体"/>
          <w:color w:val="auto"/>
          <w:sz w:val="24"/>
          <w:highlight w:val="none"/>
          <w:u w:val="single"/>
          <w:lang w:eastAsia="zh-CN"/>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8.1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8.2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s="宋体"/>
          <w:color w:val="auto"/>
          <w:szCs w:val="21"/>
          <w:highlight w:val="none"/>
        </w:rPr>
      </w:pPr>
      <w:r>
        <w:rPr>
          <w:rFonts w:hint="eastAsia" w:ascii="宋体"/>
          <w:color w:val="auto"/>
          <w:sz w:val="24"/>
          <w:highlight w:val="none"/>
          <w:u w:val="single"/>
        </w:rPr>
        <w:t>8.4若招标答疑纪要与招标文件有矛盾时，以广州交易集团有限公司（广州公共资源交易中心）交易平台最后发布的答疑纪要为准。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9.2招标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9.4招标文件的澄清或修改在广州交易集团有限公司（广州公共资源交易中心）网站“项目答疑纪要”专区公开发布。当招标文件的澄清、修改、补充等在同一内容的表述不一致时，以广州交易集团有限公司（广州公共资源交易中心）交易平台最后发布的内容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4" w:name="_Toc21525495"/>
      <w:bookmarkStart w:id="15" w:name="_Toc2272551"/>
      <w:r>
        <w:rPr>
          <w:rFonts w:hint="eastAsia"/>
          <w:color w:val="auto"/>
          <w:highlight w:val="none"/>
        </w:rPr>
        <w:t>（三）投标文件的编制</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11.2投标文件技术标部分主要包括下列内容:</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11.2.1 技术标投标书(按招标文件第四章附件一的要求填写)；</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11.2.2 资格审查文件：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（1）投标人声明（须按本工程招标公告附件一格式）；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（2）法定代表人证明书、法定代表人签字或盖章的本投标文件授权委托证明书；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（3）企业营业执照（提供证书扫描件）；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（4）企业资质证书（提供证书扫描件）；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（5）建筑施工企业安全生产许可证（提供证书扫描件）；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（6）项目负责人（按网上投标登记时选择拟投标的项目负责人）；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（7）专职安全员（按网上投标登记时选择拟投标的专职安全员）；</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（8）拟委托技术负责人的职称证书；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（9）拟委派项目负责人的建造师注册证书（提供证书扫描件）；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（10）项目负责人安全生产考核合格证明或在有效期内的安全考核合格证书（B类）或建筑施工企业项目负责人安全生产考核合格证书（提供证书扫描件）；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（11）专职安全员须具有在有效期内的安全生产考核合格证（C类）或建筑施工企业专职安全生产管理人员安全生产考核合格证书（C3）（提供证书扫描件）；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11.2.3《施工</w:t>
      </w:r>
      <w:r>
        <w:rPr>
          <w:rFonts w:hint="eastAsia" w:ascii="宋体" w:hAnsi="宋体" w:cs="宋体"/>
          <w:color w:val="auto"/>
          <w:sz w:val="24"/>
          <w:szCs w:val="24"/>
          <w:highlight w:val="none"/>
          <w:u w:val="single"/>
          <w:lang w:val="zh-CN"/>
        </w:rPr>
        <w:t>项目管理团队人员信息表</w:t>
      </w:r>
      <w:r>
        <w:rPr>
          <w:rFonts w:hint="eastAsia" w:ascii="宋体" w:hAnsi="宋体" w:cs="宋体"/>
          <w:color w:val="auto"/>
          <w:sz w:val="24"/>
          <w:szCs w:val="24"/>
          <w:highlight w:val="none"/>
          <w:u w:val="single"/>
        </w:rPr>
        <w:t>》（格式见第四章）</w:t>
      </w:r>
      <w:r>
        <w:rPr>
          <w:rFonts w:hint="eastAsia" w:ascii="宋体" w:hAnsi="宋体" w:cs="宋体"/>
          <w:color w:val="auto"/>
          <w:sz w:val="24"/>
          <w:szCs w:val="24"/>
          <w:highlight w:val="none"/>
          <w:u w:val="single"/>
          <w:lang w:val="zh-CN"/>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zh-CN"/>
        </w:rPr>
        <w:t>11.2.4企业技术标得分证明材料（按《技术标详细审查评分表》要求提交，格式见第四章，无规定格式要求的，格式自拟）</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11.2.5《响应招标文件所附施工组织设计要点的承诺书》（格式见第四章）。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11.2.6按照招标文件要求填写的《参与编制技术标投标文件人员名单》（格式见第四章）。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11.2.7投标人认为应提供的其他资料。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经济标投标书</w:t>
      </w:r>
      <w:r>
        <w:rPr>
          <w:rFonts w:hint="eastAsia" w:ascii="宋体" w:hAnsi="宋体" w:cs="宋体"/>
          <w:color w:val="auto"/>
          <w:sz w:val="24"/>
          <w:szCs w:val="24"/>
          <w:highlight w:val="none"/>
        </w:rPr>
        <w:t>(按招标文件</w:t>
      </w:r>
      <w:r>
        <w:rPr>
          <w:rFonts w:hint="eastAsia" w:ascii="宋体" w:hAnsi="宋体" w:cs="宋体"/>
          <w:bCs/>
          <w:color w:val="auto"/>
          <w:sz w:val="24"/>
          <w:szCs w:val="24"/>
          <w:highlight w:val="none"/>
          <w:u w:val="single"/>
        </w:rPr>
        <w:t>第四章附件一</w:t>
      </w:r>
      <w:r>
        <w:rPr>
          <w:rFonts w:hint="eastAsia" w:ascii="宋体" w:hAnsi="宋体" w:cs="宋体"/>
          <w:color w:val="auto"/>
          <w:sz w:val="24"/>
          <w:szCs w:val="24"/>
          <w:highlight w:val="none"/>
        </w:rPr>
        <w:t>的要求填写)。</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（1）投标总价封面、扉页；</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（2）总说明</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4"/>
        <w:ind w:left="0" w:leftChars="0" w:firstLine="480"/>
        <w:rPr>
          <w:color w:val="auto"/>
          <w:highlight w:val="none"/>
          <w:u w:val="single"/>
        </w:rPr>
      </w:pPr>
      <w:r>
        <w:rPr>
          <w:rFonts w:hint="eastAsia" w:ascii="宋体" w:hAnsi="宋体"/>
          <w:color w:val="auto"/>
          <w:sz w:val="24"/>
          <w:szCs w:val="22"/>
          <w:highlight w:val="none"/>
          <w:u w:val="single"/>
        </w:rPr>
        <w:t>11.3.5</w:t>
      </w:r>
      <w:r>
        <w:rPr>
          <w:rFonts w:hint="eastAsia" w:ascii="宋体" w:hAnsi="宋体" w:cs="宋体"/>
          <w:color w:val="auto"/>
          <w:sz w:val="24"/>
          <w:highlight w:val="none"/>
          <w:u w:val="single"/>
        </w:rPr>
        <w:t>《对投标文件编制的承诺》及《投标文件编制情况》（格式见第四章）</w:t>
      </w:r>
      <w:r>
        <w:rPr>
          <w:rFonts w:hint="eastAsia" w:ascii="宋体" w:hAnsi="宋体" w:cs="宋体"/>
          <w:color w:val="auto"/>
          <w:szCs w:val="21"/>
          <w:highlight w:val="none"/>
          <w:u w:val="singl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pPr>
        <w:pStyle w:val="5"/>
        <w:spacing w:after="0"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 xml:space="preserve">。 </w:t>
      </w:r>
      <w:r>
        <w:rPr>
          <w:rFonts w:hint="eastAsia" w:ascii="宋体" w:hAnsi="宋体"/>
          <w:color w:val="auto"/>
          <w:sz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13.1本工程的投标报价采用投标须知前附表第12项所规定的方式。投标报价（含单价及总价）精确到“分”。</w:t>
      </w:r>
      <w:r>
        <w:rPr>
          <w:rFonts w:hint="eastAsia" w:ascii="宋体" w:hAnsi="宋体"/>
          <w:color w:val="auto"/>
          <w:sz w:val="24"/>
          <w:highlight w:val="none"/>
          <w:u w:val="single"/>
        </w:rPr>
        <w:t>投标文件中的大写金额和小写金额不一致的，以大写金额为准。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dstrike w:val="0"/>
          <w:color w:val="auto"/>
          <w:sz w:val="24"/>
          <w:highlight w:val="none"/>
        </w:rPr>
        <w:t>，但需要相应的延长投标保证金的有效期，在延长的投标有效期内，本须知第</w:t>
      </w:r>
      <w:r>
        <w:rPr>
          <w:rFonts w:ascii="宋体" w:hAnsi="宋体"/>
          <w:strike/>
          <w:dstrike w:val="0"/>
          <w:color w:val="auto"/>
          <w:sz w:val="24"/>
          <w:highlight w:val="none"/>
        </w:rPr>
        <w:t>16</w:t>
      </w:r>
      <w:r>
        <w:rPr>
          <w:rFonts w:hint="eastAsia" w:ascii="宋体" w:hAnsi="宋体"/>
          <w:strike/>
          <w:dstrike w:val="0"/>
          <w:color w:val="auto"/>
          <w:sz w:val="24"/>
          <w:highlight w:val="none"/>
        </w:rPr>
        <w:t>条关于投标保证金的退还与不予退还的规定仍然适用</w:t>
      </w:r>
      <w:r>
        <w:rPr>
          <w:rFonts w:hint="eastAsia" w:ascii="宋体" w:hAnsi="宋体"/>
          <w:color w:val="auto"/>
          <w:sz w:val="24"/>
          <w:highlight w:val="non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strike/>
          <w:dstrike w:val="0"/>
          <w:color w:val="auto"/>
          <w:sz w:val="24"/>
          <w:highlight w:val="none"/>
        </w:rPr>
      </w:pPr>
      <w:r>
        <w:rPr>
          <w:rFonts w:ascii="宋体" w:hAnsi="宋体"/>
          <w:strike/>
          <w:dstrike w:val="0"/>
          <w:color w:val="auto"/>
          <w:sz w:val="24"/>
          <w:highlight w:val="none"/>
        </w:rPr>
        <w:t>16.1</w:t>
      </w:r>
      <w:r>
        <w:rPr>
          <w:rFonts w:hint="eastAsia" w:ascii="宋体" w:hAnsi="宋体"/>
          <w:strike/>
          <w:dstrike w:val="0"/>
          <w:color w:val="auto"/>
          <w:sz w:val="24"/>
          <w:highlight w:val="none"/>
        </w:rPr>
        <w:t>投标人应按投标须知前附表第</w:t>
      </w:r>
      <w:r>
        <w:rPr>
          <w:rFonts w:ascii="宋体" w:hAnsi="宋体"/>
          <w:strike/>
          <w:dstrike w:val="0"/>
          <w:color w:val="auto"/>
          <w:sz w:val="24"/>
          <w:highlight w:val="none"/>
        </w:rPr>
        <w:t>14</w:t>
      </w:r>
      <w:r>
        <w:rPr>
          <w:rFonts w:hint="eastAsia" w:ascii="宋体" w:hAnsi="宋体"/>
          <w:strike/>
          <w:dstrike w:val="0"/>
          <w:color w:val="auto"/>
          <w:sz w:val="24"/>
          <w:highlight w:val="none"/>
        </w:rPr>
        <w:t>项所述金额和时间递交</w:t>
      </w:r>
      <w:r>
        <w:rPr>
          <w:rFonts w:hint="eastAsia" w:ascii="宋体" w:hAnsi="宋体"/>
          <w:bCs/>
          <w:strike/>
          <w:dstrike w:val="0"/>
          <w:color w:val="auto"/>
          <w:sz w:val="24"/>
          <w:highlight w:val="none"/>
        </w:rPr>
        <w:t>投标保证金</w:t>
      </w:r>
      <w:r>
        <w:rPr>
          <w:rFonts w:hint="eastAsia" w:ascii="宋体" w:hAnsi="宋体"/>
          <w:strike/>
          <w:dstrike w:val="0"/>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strike/>
          <w:dstrike w:val="0"/>
          <w:color w:val="auto"/>
          <w:sz w:val="24"/>
          <w:highlight w:val="none"/>
        </w:rPr>
        <w:t>16.4如有下列情况之一的，招标人可以不予退还投标保证金</w:t>
      </w:r>
      <w:r>
        <w:rPr>
          <w:rFonts w:hint="eastAsia" w:ascii="宋体" w:hAnsi="宋体"/>
          <w:strike/>
          <w:color w:val="auto"/>
          <w:sz w:val="24"/>
          <w:highlight w:val="none"/>
        </w:rPr>
        <w:t>（是否退还投标保证金由招标人在招标文件中规定）</w:t>
      </w:r>
      <w:r>
        <w:rPr>
          <w:rFonts w:hint="eastAsia" w:ascii="宋体" w:hAnsi="宋体"/>
          <w:color w:val="auto"/>
          <w:sz w:val="24"/>
          <w:highlight w:val="none"/>
        </w:rPr>
        <w:t>：</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16.4.1因投标人原因造成投标文件未解密的；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16.4.2投标人在投标有效期内撤销投标文件；</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16.4.3中标人未能在规定期限内按要求提交履约担保；</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16.4.4中标人未能在规定期限内签署合同协议。</w:t>
      </w:r>
    </w:p>
    <w:p>
      <w:pPr>
        <w:spacing w:line="360" w:lineRule="auto"/>
        <w:ind w:firstLine="480" w:firstLineChars="200"/>
        <w:rPr>
          <w:rFonts w:hint="default" w:ascii="宋体" w:hAnsi="宋体" w:eastAsia="宋体"/>
          <w:b/>
          <w:bCs/>
          <w:strike/>
          <w:dstrike w:val="0"/>
          <w:color w:val="auto"/>
          <w:sz w:val="24"/>
          <w:highlight w:val="none"/>
          <w:u w:val="none"/>
          <w:lang w:val="en-US" w:eastAsia="zh-CN"/>
        </w:rPr>
      </w:pPr>
      <w:r>
        <w:rPr>
          <w:rFonts w:hint="eastAsia" w:ascii="宋体" w:hAnsi="宋体"/>
          <w:strike/>
          <w:dstrike w:val="0"/>
          <w:color w:val="auto"/>
          <w:sz w:val="24"/>
          <w:highlight w:val="none"/>
          <w:u w:val="none"/>
        </w:rPr>
        <w:t>16.5投标人如存在下列情况之一的，将被拒绝在半年内参与招标人后续工程投标</w:t>
      </w:r>
      <w:r>
        <w:rPr>
          <w:rFonts w:hint="eastAsia" w:ascii="宋体" w:hAnsi="宋体" w:cs="宋体"/>
          <w:strike/>
          <w:dstrike w:val="0"/>
          <w:color w:val="auto"/>
          <w:sz w:val="24"/>
          <w:highlight w:val="none"/>
          <w:u w:val="none"/>
        </w:rPr>
        <w:t>（注：拒绝投标时限由招标人视严重程度确定，最低三个月起，自招标人发出通知之日起计）</w:t>
      </w:r>
      <w:r>
        <w:rPr>
          <w:rFonts w:hint="eastAsia" w:ascii="宋体" w:hAnsi="宋体"/>
          <w:strike/>
          <w:dstrike w:val="0"/>
          <w:color w:val="auto"/>
          <w:sz w:val="24"/>
          <w:highlight w:val="none"/>
          <w:u w:val="none"/>
        </w:rPr>
        <w:t>：</w:t>
      </w:r>
      <w:r>
        <w:rPr>
          <w:rFonts w:hint="eastAsia" w:ascii="宋体" w:hAnsi="宋体"/>
          <w:b/>
          <w:bCs/>
          <w:strike/>
          <w:dstrike w:val="0"/>
          <w:color w:val="auto"/>
          <w:sz w:val="24"/>
          <w:highlight w:val="none"/>
          <w:u w:val="none"/>
          <w:lang w:val="en-US" w:eastAsia="zh-CN"/>
        </w:rPr>
        <w:t>详见招标公告。</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16.5.1投标人存在16.4条款所列情形且投标人提交的保函、担保或保证保险无法兑付的；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16.5.3按招标文件要求免于提供投标保证金的投标人存在16.4条款所列情形的。</w:t>
      </w:r>
    </w:p>
    <w:p>
      <w:pPr>
        <w:spacing w:line="360" w:lineRule="auto"/>
        <w:ind w:firstLine="480" w:firstLineChars="200"/>
        <w:rPr>
          <w:rFonts w:ascii="宋体"/>
          <w:strike/>
          <w:dstrike w:val="0"/>
          <w:color w:val="auto"/>
          <w:sz w:val="24"/>
          <w:highlight w:val="none"/>
          <w:u w:val="none"/>
        </w:rPr>
      </w:pPr>
      <w:r>
        <w:rPr>
          <w:rFonts w:hint="eastAsia" w:ascii="宋体" w:hAnsi="宋体"/>
          <w:strike/>
          <w:dstrike w:val="0"/>
          <w:color w:val="auto"/>
          <w:sz w:val="24"/>
          <w:highlight w:val="none"/>
          <w:u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olor w:val="auto"/>
          <w:sz w:val="24"/>
          <w:highlight w:val="none"/>
        </w:rPr>
        <w:t>。</w:t>
      </w:r>
    </w:p>
    <w:p>
      <w:pPr>
        <w:pStyle w:val="8"/>
        <w:spacing w:before="156" w:after="156"/>
        <w:rPr>
          <w:color w:val="auto"/>
          <w:highlight w:val="none"/>
        </w:rPr>
      </w:pPr>
      <w:bookmarkStart w:id="16" w:name="_Toc2272552"/>
      <w:bookmarkStart w:id="17" w:name="_Toc21525496"/>
      <w:r>
        <w:rPr>
          <w:rFonts w:hint="eastAsia"/>
          <w:color w:val="auto"/>
          <w:highlight w:val="none"/>
        </w:rPr>
        <w:t>（四）投标文件的提交</w:t>
      </w:r>
      <w:bookmarkEnd w:id="16"/>
      <w:bookmarkEnd w:id="17"/>
    </w:p>
    <w:p>
      <w:pPr>
        <w:pStyle w:val="5"/>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18.1递交的电子投标文件（不含备用光盘）必须进行加密。按照交易平台关于全流程电子化项目的相关指南进行操作。详见：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s="宋体"/>
          <w:color w:val="auto"/>
          <w:szCs w:val="21"/>
          <w:highlight w:val="none"/>
        </w:rPr>
        <w:t>。</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18.2 未按要求加密的投标文件，</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交易平台递交电子投标文件。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19.2投标人完成电子投标文件上传后</w:t>
      </w:r>
      <w:r>
        <w:rPr>
          <w:rFonts w:hint="eastAsia" w:ascii="宋体" w:hAnsi="宋体" w:cs="宋体"/>
          <w:bCs/>
          <w:color w:val="auto"/>
          <w:szCs w:val="21"/>
          <w:highlight w:val="none"/>
        </w:rPr>
        <w:t>，</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s="宋体"/>
          <w:bCs/>
          <w:color w:val="auto"/>
          <w:szCs w:val="21"/>
          <w:highlight w:val="none"/>
        </w:rPr>
        <w:t>，</w:t>
      </w:r>
      <w:r>
        <w:rPr>
          <w:rFonts w:hint="eastAsia" w:ascii="宋体" w:hAnsi="宋体"/>
          <w:color w:val="auto"/>
          <w:sz w:val="24"/>
          <w:highlight w:val="none"/>
          <w:u w:val="single"/>
        </w:rPr>
        <w:t xml:space="preserve">广州交易集团有限公司（广州公共资源交易中心） </w:t>
      </w:r>
      <w:r>
        <w:rPr>
          <w:rFonts w:hint="eastAsia" w:ascii="宋体" w:hAnsi="宋体"/>
          <w:color w:val="auto"/>
          <w:sz w:val="24"/>
          <w:highlight w:val="none"/>
        </w:rPr>
        <w:t>交易平台将予以拒收。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 本须知前附表第17项规定的投标截止时间后送达的电子投标文件，</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8" w:name="_Toc2272553"/>
      <w:bookmarkStart w:id="19" w:name="_Toc21525497"/>
      <w:r>
        <w:rPr>
          <w:rFonts w:hint="eastAsia"/>
          <w:color w:val="auto"/>
          <w:highlight w:val="none"/>
        </w:rPr>
        <w:t>（五）开标、评标、定标及合同签定</w:t>
      </w:r>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b/>
          <w:bCs/>
          <w:color w:val="auto"/>
          <w:sz w:val="24"/>
          <w:highlight w:val="none"/>
          <w:u w:val="single"/>
        </w:rPr>
      </w:pPr>
      <w:r>
        <w:rPr>
          <w:rFonts w:hint="eastAsia" w:ascii="宋体" w:hAnsi="宋体"/>
          <w:color w:val="auto"/>
          <w:sz w:val="24"/>
          <w:highlight w:val="none"/>
          <w:u w:val="single"/>
        </w:rPr>
        <w:t>27.1招标人将在广州交易集团有限公司（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color w:val="auto"/>
          <w:sz w:val="24"/>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1.具体操作详见“广州交易集团有限公司（广州公共资源交易中心）门户网站首页-&gt;服务指南-&gt;系统帮助-&gt;操作手册-&gt;发起及受理异议操作指引”。</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27.4在产生中标候选人后，招标人将中标候选人的投标文件商务部分文件的所有内容（包括人员、业绩、奖项等资料）在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和广东省招标投标监管网公开。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w:t>
      </w:r>
      <w:r>
        <w:rPr>
          <w:rFonts w:hint="eastAsia" w:ascii="宋体" w:hAnsi="宋体"/>
          <w:strike/>
          <w:dstrike w:val="0"/>
          <w:color w:val="auto"/>
          <w:sz w:val="24"/>
          <w:highlight w:val="none"/>
        </w:rPr>
        <w:t>原中标人给招标人造成的损失超过投标保证金数额的，还应当对超过部分予以赔偿。</w:t>
      </w:r>
      <w:r>
        <w:rPr>
          <w:rFonts w:hint="eastAsia" w:ascii="宋体" w:hAnsi="宋体"/>
          <w:color w:val="auto"/>
          <w:sz w:val="24"/>
          <w:highlight w:val="none"/>
        </w:rPr>
        <w:t>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30.1</w:t>
      </w:r>
      <w:r>
        <w:rPr>
          <w:rFonts w:hint="eastAsia" w:ascii="宋体" w:hAnsi="宋体"/>
          <w:color w:val="auto"/>
          <w:sz w:val="24"/>
          <w:highlight w:val="none"/>
          <w:u w:val="single"/>
        </w:rPr>
        <w:t>合同自发包人、承包人双方法定代表人或委托代理人签字并加盖公章之日起生效。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31.1根据广州市政府相关文件的规定，向广州交易集团有限公司（广州公共资源交易中心）交纳交易服务费。</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color w:val="auto"/>
          <w:highlight w:val="none"/>
        </w:rPr>
      </w:pPr>
      <w:r>
        <w:rPr>
          <w:rFonts w:hint="eastAsia" w:ascii="宋体"/>
          <w:color w:val="auto"/>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bookmarkStart w:id="20" w:name="_Toc2272554"/>
      <w:bookmarkStart w:id="21" w:name="_Toc21525498"/>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33. 投标人信誉的要求</w:t>
      </w:r>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存在下列情形之一的，招标人可以限制其投标（根据招标公告《投标人声明（一）》评审）</w:t>
      </w:r>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（1）被住房城乡建设行政主管部门在全国建筑市场监管一体化工作平台列入建筑市场主体“黑名单”；</w:t>
      </w:r>
    </w:p>
    <w:p>
      <w:pPr>
        <w:pStyle w:val="5"/>
        <w:spacing w:after="0" w:line="360" w:lineRule="auto"/>
        <w:ind w:firstLineChars="200"/>
        <w:rPr>
          <w:color w:val="auto"/>
          <w:highlight w:val="none"/>
        </w:rPr>
      </w:pPr>
      <w:r>
        <w:rPr>
          <w:rFonts w:hint="eastAsia" w:ascii="宋体" w:hAnsi="宋体" w:eastAsia="宋体" w:cs="Times New Roman"/>
          <w:color w:val="auto"/>
          <w:kern w:val="2"/>
          <w:sz w:val="24"/>
          <w:szCs w:val="22"/>
          <w:highlight w:val="none"/>
          <w:u w:val="single"/>
          <w:lang w:val="en-US" w:eastAsia="zh-CN" w:bidi="ar-SA"/>
        </w:rPr>
        <w:t>（2）被发改委、人力资源社会保障、质检总局等有关部门、单位在“信用中国”网站中列入联合惩戒失信黑名单；</w:t>
      </w:r>
    </w:p>
    <w:p>
      <w:pPr>
        <w:rPr>
          <w:color w:val="auto"/>
          <w:highlight w:val="none"/>
        </w:rPr>
      </w:pPr>
      <w:r>
        <w:rPr>
          <w:color w:val="auto"/>
          <w:highlight w:val="none"/>
        </w:rPr>
        <w:br w:type="page"/>
      </w:r>
    </w:p>
    <w:p>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0"/>
      <w:bookmarkEnd w:id="21"/>
    </w:p>
    <w:p>
      <w:pPr>
        <w:pStyle w:val="7"/>
        <w:rPr>
          <w:color w:val="auto"/>
          <w:highlight w:val="none"/>
        </w:rPr>
      </w:pPr>
      <w:bookmarkStart w:id="22" w:name="_Toc2272555"/>
      <w:bookmarkStart w:id="23" w:name="_Toc21525499"/>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5"/>
        <w:spacing w:after="0" w:line="360" w:lineRule="auto"/>
        <w:rPr>
          <w:b/>
          <w:color w:val="auto"/>
          <w:szCs w:val="21"/>
          <w:highlight w:val="none"/>
        </w:rPr>
      </w:pPr>
      <w:r>
        <w:rPr>
          <w:rFonts w:hint="eastAsia"/>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auto"/>
          <w:szCs w:val="21"/>
          <w:highlight w:val="none"/>
        </w:rPr>
        <w:t>http://zfcj.gz.gov.cn/</w:t>
      </w:r>
      <w:r>
        <w:rPr>
          <w:rFonts w:hint="eastAsia"/>
          <w:b/>
          <w:color w:val="auto"/>
          <w:szCs w:val="21"/>
          <w:highlight w:val="none"/>
        </w:rPr>
        <w:t>）下载GZZB2018-3范本查阅。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color w:val="auto"/>
          <w:szCs w:val="21"/>
          <w:highlight w:val="none"/>
        </w:rPr>
      </w:pPr>
      <w:r>
        <w:rPr>
          <w:rFonts w:hint="eastAsia" w:ascii="宋体" w:hAnsi="宋体" w:cs="宋体"/>
          <w:color w:val="auto"/>
          <w:szCs w:val="21"/>
          <w:highlight w:val="none"/>
        </w:rPr>
        <w:t>应的评标办法供评标时使用。</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36.5.1在投标截止时间后一小时内，投标人通过交易平台对已递交的电子投标文件进行解密。投标人完成解密后，再由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39.3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rFonts w:ascii="宋体" w:hAnsi="宋体"/>
          <w:color w:val="auto"/>
          <w:sz w:val="24"/>
          <w:szCs w:val="24"/>
          <w:highlight w:val="none"/>
        </w:rPr>
      </w:pPr>
      <w:r>
        <w:rPr>
          <w:rFonts w:hint="eastAsia"/>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szCs w:val="21"/>
          <w:highlight w:val="none"/>
          <w:u w:val="single"/>
        </w:rPr>
        <w:t>39.3</w:t>
      </w:r>
      <w:r>
        <w:rPr>
          <w:rFonts w:hint="eastAsia"/>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b/>
          <w:bCs/>
          <w:color w:val="auto"/>
          <w:szCs w:val="21"/>
          <w:highlight w:val="none"/>
          <w:u w:val="single"/>
        </w:rPr>
        <w:t>或经核查发现委派的项目负责人已在其他在建项目中任职的，</w:t>
      </w:r>
      <w:r>
        <w:rPr>
          <w:rFonts w:hint="eastAsia"/>
          <w:bCs/>
          <w:color w:val="auto"/>
          <w:szCs w:val="21"/>
          <w:highlight w:val="none"/>
          <w:u w:val="single"/>
        </w:rPr>
        <w:t>招标人可以确定排名第二的中标候选人为中标人。</w:t>
      </w:r>
    </w:p>
    <w:p>
      <w:pPr>
        <w:pStyle w:val="5"/>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42"/>
          <w:rFonts w:ascii="宋体" w:hAnsi="宋体" w:cs="宋体"/>
          <w:color w:val="auto"/>
          <w:highlight w:val="none"/>
        </w:rPr>
      </w:pPr>
      <w:r>
        <w:rPr>
          <w:rFonts w:hint="eastAsia" w:ascii="宋体" w:hAnsi="宋体" w:cs="宋体"/>
          <w:b/>
          <w:color w:val="auto"/>
          <w:szCs w:val="21"/>
          <w:highlight w:val="none"/>
        </w:rPr>
        <w:t>原文：</w:t>
      </w:r>
      <w:r>
        <w:rPr>
          <w:rStyle w:val="42"/>
          <w:rFonts w:hint="eastAsia" w:ascii="宋体" w:hAnsi="宋体" w:cs="宋体"/>
          <w:color w:val="auto"/>
          <w:highlight w:val="none"/>
        </w:rPr>
        <w:t>可选</w:t>
      </w:r>
      <w:r>
        <w:rPr>
          <w:rFonts w:hint="eastAsia" w:ascii="宋体" w:hAnsi="宋体" w:cs="宋体"/>
          <w:color w:val="auto"/>
          <w:szCs w:val="21"/>
          <w:highlight w:val="none"/>
        </w:rPr>
        <w:t>办法</w:t>
      </w:r>
      <w:r>
        <w:rPr>
          <w:rStyle w:val="42"/>
          <w:rFonts w:hint="eastAsia" w:ascii="宋体" w:hAnsi="宋体" w:cs="宋体"/>
          <w:color w:val="auto"/>
          <w:highlight w:val="none"/>
        </w:rPr>
        <w:t>一（适合</w:t>
      </w:r>
      <w:r>
        <w:rPr>
          <w:rStyle w:val="42"/>
          <w:rFonts w:hint="eastAsia" w:ascii="宋体" w:hAnsi="宋体" w:cs="宋体"/>
          <w:color w:val="auto"/>
          <w:kern w:val="0"/>
          <w:highlight w:val="none"/>
        </w:rPr>
        <w:t>综合评分法一</w:t>
      </w:r>
      <w:r>
        <w:rPr>
          <w:rStyle w:val="42"/>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w:t>
      </w:r>
      <w:r>
        <w:rPr>
          <w:rFonts w:hint="eastAsia" w:ascii="宋体" w:hAnsi="宋体" w:cs="宋体"/>
          <w:color w:val="auto"/>
          <w:szCs w:val="21"/>
          <w:highlight w:val="none"/>
        </w:rPr>
        <w:t>办法</w:t>
      </w:r>
      <w:r>
        <w:rPr>
          <w:rStyle w:val="42"/>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2"/>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41.2.1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b/>
          <w:bCs/>
          <w:color w:val="auto"/>
          <w:szCs w:val="21"/>
          <w:highlight w:val="none"/>
        </w:rPr>
        <w:t>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48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Cs w:val="21"/>
          <w:highlight w:val="none"/>
        </w:rPr>
        <w:t>4</w:t>
      </w:r>
      <w:r>
        <w:rPr>
          <w:rFonts w:hint="eastAsia" w:ascii="宋体" w:hAnsi="宋体" w:cs="宋体"/>
          <w:color w:val="auto"/>
          <w:szCs w:val="21"/>
          <w:highlight w:val="none"/>
        </w:rPr>
        <w:t>1.2.2开标前，首先由招标人随机抽取确定该工程计算评标参考价的等分点值X。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b/>
          <w:bCs/>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w:t>
      </w:r>
    </w:p>
    <w:p>
      <w:pPr>
        <w:pBdr>
          <w:bottom w:val="single" w:color="auto" w:sz="6" w:space="1"/>
        </w:pBdr>
        <w:spacing w:line="48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80" w:lineRule="auto"/>
        <w:ind w:firstLine="470" w:firstLineChars="224"/>
        <w:rPr>
          <w:color w:val="auto"/>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44.1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jc w:val="left"/>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color w:val="auto"/>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45.1</w:t>
      </w:r>
      <w:r>
        <w:rPr>
          <w:rFonts w:hint="eastAsia" w:ascii="宋体" w:hAnsi="宋体" w:cs="宋体"/>
          <w:color w:val="auto"/>
          <w:szCs w:val="21"/>
          <w:highlight w:val="none"/>
          <w:u w:val="single"/>
        </w:rPr>
        <w:t>若所有通过技术标有效性审查的投标人的投标价均大于等于最高投标限价*D%（D的取值为100）的（具体金额为：</w:t>
      </w:r>
      <w:r>
        <w:rPr>
          <w:rFonts w:hint="eastAsia" w:ascii="宋体" w:hAnsi="宋体"/>
          <w:color w:val="auto"/>
          <w:szCs w:val="21"/>
          <w:highlight w:val="none"/>
          <w:u w:val="single"/>
          <w:lang w:val="en-US" w:eastAsia="zh-CN"/>
        </w:rPr>
        <w:t>6204304.58</w:t>
      </w:r>
      <w:r>
        <w:rPr>
          <w:rFonts w:hint="eastAsia" w:ascii="宋体" w:hAnsi="宋体" w:cs="宋体"/>
          <w:color w:val="auto"/>
          <w:szCs w:val="21"/>
          <w:highlight w:val="none"/>
          <w:u w:val="single"/>
        </w:rPr>
        <w:t>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45.2  </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hAns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 xml:space="preserve"> </w:t>
      </w:r>
      <w:r>
        <w:rPr>
          <w:rFonts w:hint="eastAsia" w:ascii="宋体" w:hAnsi="宋体" w:cs="宋体"/>
          <w:color w:val="auto"/>
          <w:szCs w:val="21"/>
          <w:highlight w:val="none"/>
        </w:rPr>
        <w:t>45.2按方法    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仿宋"/>
          <w:color w:val="auto"/>
          <w:szCs w:val="21"/>
          <w:highlight w:val="none"/>
          <w:u w:val="single"/>
        </w:rPr>
        <w:t>通过技术标有效性审查且经济报价在[工程成本警戒价, 招标控制价]区间的投标人的技术标得分</w:t>
      </w:r>
      <w:r>
        <w:rPr>
          <w:rFonts w:hint="eastAsia" w:ascii="宋体" w:hAnsi="宋体" w:cs="仿宋"/>
          <w:color w:val="auto"/>
          <w:szCs w:val="21"/>
          <w:highlight w:val="none"/>
        </w:rPr>
        <w:t>前</w:t>
      </w:r>
      <w:r>
        <w:rPr>
          <w:rFonts w:ascii="宋体" w:hAnsi="宋体" w:cs="仿宋"/>
          <w:color w:val="auto"/>
          <w:szCs w:val="21"/>
          <w:highlight w:val="none"/>
        </w:rPr>
        <w:t>N</w:t>
      </w:r>
      <w:r>
        <w:rPr>
          <w:rFonts w:hint="eastAsia" w:ascii="宋体" w:hAnsi="宋体" w:cs="仿宋"/>
          <w:color w:val="auto"/>
          <w:szCs w:val="21"/>
          <w:highlight w:val="none"/>
        </w:rPr>
        <w:t>名（N＝5；当N不足5名时，取满足前述条件的投标人个数）</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技术标得分相同的的投标人，由评标委员会采用记名投票方式，确定投标人的排序。</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45.3</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w:t>
      </w:r>
      <w:r>
        <w:rPr>
          <w:rFonts w:hint="eastAsia" w:ascii="宋体" w:hAnsi="宋体" w:cs="宋体"/>
          <w:color w:val="auto"/>
          <w:highlight w:val="none"/>
          <w:u w:val="single"/>
        </w:rPr>
        <w:t>5.4计算通过技术标有效性审查的投标人总得分。投标人总得分=技术得分（100分）×技术得分权重（20%）＋经济得分（满分100分）×经济得分权重（80%）。技术、经济得分权重按投标须知前附表</w:t>
      </w:r>
      <w:r>
        <w:rPr>
          <w:rFonts w:hint="eastAsia" w:ascii="宋体" w:hAnsi="宋体" w:cs="宋体"/>
          <w:color w:val="auto"/>
          <w:szCs w:val="21"/>
          <w:highlight w:val="none"/>
        </w:rPr>
        <w:t>的规定执行。总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条款号：46.1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w:t>
      </w:r>
      <w:r>
        <w:rPr>
          <w:rFonts w:hint="eastAsia" w:ascii="宋体" w:hAnsi="宋体" w:cs="宋体"/>
          <w:color w:val="auto"/>
          <w:szCs w:val="21"/>
          <w:highlight w:val="none"/>
          <w:u w:val="single"/>
        </w:rPr>
        <w:t>按步骤45.4确定的投标人排序</w:t>
      </w:r>
      <w:r>
        <w:rPr>
          <w:rFonts w:hint="eastAsia" w:ascii="宋体" w:hAnsi="宋体" w:cs="宋体"/>
          <w:color w:val="auto"/>
          <w:szCs w:val="21"/>
          <w:highlight w:val="none"/>
        </w:rPr>
        <w:t>，推荐前3名依次为第一中标候选人至第三中标候选人,并编制评标报告。</w:t>
      </w: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附表一：《资格审查表》   附表二：《技术标有效性审查表》  附表三：《经济标有效性审查表》  附表四：《技术标详细审查评分表》  附表五《经济标评分表》</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24" w:name="_Toc21525500"/>
      <w:bookmarkStart w:id="25" w:name="_Toc2272556"/>
      <w:r>
        <w:rPr>
          <w:rFonts w:hint="eastAsia"/>
          <w:color w:val="auto"/>
          <w:highlight w:val="none"/>
        </w:rPr>
        <w:t>二、开标、评标及定标办法</w:t>
      </w:r>
      <w:r>
        <w:rPr>
          <w:rFonts w:hint="eastAsia"/>
          <w:color w:val="auto"/>
          <w:szCs w:val="30"/>
          <w:highlight w:val="none"/>
        </w:rPr>
        <w:t>通用条款</w:t>
      </w:r>
      <w:bookmarkEnd w:id="24"/>
      <w:bookmarkEnd w:id="25"/>
    </w:p>
    <w:p>
      <w:pPr>
        <w:pStyle w:val="8"/>
        <w:spacing w:before="156" w:after="156"/>
        <w:ind w:firstLine="540" w:firstLineChars="200"/>
        <w:rPr>
          <w:color w:val="auto"/>
          <w:highlight w:val="none"/>
        </w:rPr>
      </w:pPr>
      <w:bookmarkStart w:id="26" w:name="_Toc2272557"/>
      <w:bookmarkStart w:id="27" w:name="_Toc21525501"/>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36.</w:t>
      </w:r>
      <w:r>
        <w:rPr>
          <w:rFonts w:hint="eastAsia" w:ascii="宋体" w:hAnsi="宋体"/>
          <w:color w:val="auto"/>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36.5.1在投标截止时间后一小时内，投标人通过交易平台对已递交的电子投标文件进行解密。投标人完成解密后，再由招标人或招标代理机构进行解密。解密完成后，公布招标项目名称、投标人名称、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中两人以上（含两人）的成员以书面形式提出动议，</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对投标文件含义不明确、对同类问题表述不一致、有明显文字和计算错误的内容以及细微偏差的内容</w:t>
      </w:r>
      <w:r>
        <w:rPr>
          <w:rFonts w:hint="eastAsia" w:ascii="宋体" w:hAnsi="宋体" w:cs="宋体"/>
          <w:color w:val="auto"/>
          <w:sz w:val="24"/>
          <w:szCs w:val="24"/>
          <w:highlight w:val="none"/>
        </w:rPr>
        <w:t>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28" w:name="_Toc2272558"/>
      <w:bookmarkStart w:id="29" w:name="_Toc21525502"/>
      <w:r>
        <w:rPr>
          <w:rFonts w:hint="eastAsia"/>
          <w:color w:val="auto"/>
          <w:highlight w:val="none"/>
        </w:rPr>
        <w:t>（二）开标评标办法程序和细则</w:t>
      </w:r>
      <w:bookmarkEnd w:id="28"/>
      <w:bookmarkEnd w:id="29"/>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8"/>
        <w:spacing w:before="156" w:after="156"/>
        <w:ind w:firstLine="540" w:firstLineChars="200"/>
        <w:rPr>
          <w:color w:val="auto"/>
          <w:highlight w:val="none"/>
        </w:rPr>
      </w:pPr>
      <w:bookmarkStart w:id="30" w:name="_Toc21525509"/>
      <w:bookmarkStart w:id="31" w:name="_Toc2272564"/>
      <w:r>
        <w:rPr>
          <w:rFonts w:hint="eastAsia"/>
          <w:color w:val="auto"/>
          <w:highlight w:val="none"/>
        </w:rPr>
        <w:t>可选办法七（适合综合评分法四，技术标与经济标同时开启）</w:t>
      </w:r>
      <w:bookmarkEnd w:id="30"/>
      <w:bookmarkEnd w:id="31"/>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41.1开标由招标人或招标代理主持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 xml:space="preserve">41.2.1投标截止期前，各投标人递交投标文件（包括技术标投标文件、经济标投标文件）至广州交易集团有限公司（广州公共资源交易中心）交易平台。有关投标文件提交的事项详见第一章投标须知。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w:t>
      </w:r>
      <w:r>
        <w:rPr>
          <w:rFonts w:hint="eastAsia" w:ascii="宋体"/>
          <w:strike/>
          <w:dstrike w:val="0"/>
          <w:color w:val="auto"/>
          <w:sz w:val="24"/>
          <w:szCs w:val="24"/>
          <w:highlight w:val="none"/>
        </w:rPr>
        <w:t>d、投标保证金；</w:t>
      </w:r>
      <w:r>
        <w:rPr>
          <w:rFonts w:hint="eastAsia" w:ascii="宋体"/>
          <w:color w:val="auto"/>
          <w:sz w:val="24"/>
          <w:szCs w:val="24"/>
          <w:highlight w:val="none"/>
        </w:rPr>
        <w:t>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rPr>
        <w:t>或招标代理机构</w:t>
      </w:r>
      <w:r>
        <w:rPr>
          <w:rFonts w:hint="eastAsia" w:ascii="宋体"/>
          <w:color w:val="auto"/>
          <w:sz w:val="24"/>
          <w:szCs w:val="24"/>
          <w:highlight w:val="none"/>
        </w:rPr>
        <w:t>对开标过程进行记录，并存档备查，投标人在</w:t>
      </w:r>
      <w:r>
        <w:rPr>
          <w:rFonts w:hint="eastAsia" w:ascii="宋体"/>
          <w:color w:val="auto"/>
          <w:sz w:val="24"/>
          <w:szCs w:val="24"/>
          <w:highlight w:val="none"/>
          <w:u w:val="single"/>
        </w:rPr>
        <w:t>开标记录上</w:t>
      </w:r>
      <w:r>
        <w:rPr>
          <w:rFonts w:hint="eastAsia" w:ascii="宋体"/>
          <w:color w:val="auto"/>
          <w:sz w:val="24"/>
          <w:szCs w:val="24"/>
          <w:highlight w:val="none"/>
        </w:rPr>
        <w:t>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42.2评标委员会的组成：方式 一 。</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方式一：评标委员会为综合评标委员会，负责评标工作。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color w:val="auto"/>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45.1若所有通过技术标有效性审查的投标人的投标价均大于等于最高投标限价*D%（D的取值为100）的（具体金额为：</w:t>
      </w:r>
      <w:r>
        <w:rPr>
          <w:rFonts w:hint="eastAsia" w:ascii="宋体"/>
          <w:color w:val="auto"/>
          <w:sz w:val="24"/>
          <w:szCs w:val="24"/>
          <w:highlight w:val="none"/>
          <w:u w:val="single"/>
          <w:lang w:val="en-US" w:eastAsia="zh-CN"/>
        </w:rPr>
        <w:t>6204304.58</w:t>
      </w:r>
      <w:r>
        <w:rPr>
          <w:rFonts w:hint="eastAsia" w:ascii="宋体"/>
          <w:color w:val="auto"/>
          <w:sz w:val="24"/>
          <w:szCs w:val="24"/>
          <w:highlight w:val="none"/>
          <w:u w:val="single"/>
        </w:rPr>
        <w:t>元），则本项目招标失败，由招标人依法重新招标。</w:t>
      </w:r>
    </w:p>
    <w:p>
      <w:pPr>
        <w:pStyle w:val="5"/>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u w:val="single"/>
        </w:rPr>
        <w:t>45.2按方法</w:t>
      </w:r>
      <w:r>
        <w:rPr>
          <w:rFonts w:hint="eastAsia" w:ascii="宋体" w:hAnsi="宋体" w:cs="宋体"/>
          <w:b/>
          <w:bCs/>
          <w:color w:val="auto"/>
          <w:sz w:val="24"/>
          <w:szCs w:val="24"/>
          <w:highlight w:val="none"/>
          <w:u w:val="single"/>
        </w:rPr>
        <w:t>一</w:t>
      </w:r>
      <w:r>
        <w:rPr>
          <w:rFonts w:hint="eastAsia" w:ascii="宋体" w:hAnsi="宋体" w:cs="宋体"/>
          <w:color w:val="auto"/>
          <w:sz w:val="24"/>
          <w:szCs w:val="24"/>
          <w:highlight w:val="none"/>
          <w:u w:val="single"/>
        </w:rPr>
        <w:t>计算评标参考价：</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评标参考价=Σ（投标人的投标报价*报价权重）。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其中：报价权重的计算方法为：将N名投标人按技术分由高至低进行排序，第一名投标人的权重为（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），第二名投标人的权重为（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），以此类推，最后一名投标人的权重为（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45.4计算通过技术标有效性审查的投标人总得分。投标人总得分=技术得分（100分）×技术得分权重（20%）＋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w:t>
      </w:r>
      <w:r>
        <w:rPr>
          <w:rFonts w:hint="eastAsia" w:ascii="宋体" w:hAnsi="宋体"/>
          <w:color w:val="auto"/>
          <w:sz w:val="24"/>
          <w:szCs w:val="24"/>
          <w:highlight w:val="none"/>
          <w:u w:val="single"/>
        </w:rPr>
        <w:t>投标人排序</w:t>
      </w:r>
      <w:r>
        <w:rPr>
          <w:rFonts w:hint="eastAsia" w:ascii="宋体" w:hAnsi="宋体"/>
          <w:color w:val="auto"/>
          <w:sz w:val="24"/>
          <w:szCs w:val="24"/>
          <w:highlight w:val="none"/>
        </w:rPr>
        <w:t>，推荐前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widowControl/>
        <w:jc w:val="left"/>
        <w:rPr>
          <w:rFonts w:ascii="宋体" w:hAnsi="宋体"/>
          <w:color w:val="auto"/>
          <w:szCs w:val="21"/>
          <w:highlight w:val="none"/>
        </w:rPr>
      </w:pPr>
      <w:r>
        <w:rPr>
          <w:rFonts w:ascii="宋体" w:hAnsi="宋体"/>
          <w:color w:val="auto"/>
          <w:szCs w:val="21"/>
          <w:highlight w:val="none"/>
        </w:rPr>
        <w:br w:type="page"/>
      </w:r>
    </w:p>
    <w:p>
      <w:pPr>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使用有效期内的注册建造师注册证书在广州市住建行业信用管理平台内上传件</w:t>
            </w:r>
            <w:r>
              <w:rPr>
                <w:rFonts w:hint="eastAsia" w:ascii="宋体" w:hAnsi="宋体" w:cs="宋体"/>
                <w:color w:val="auto"/>
                <w:szCs w:val="21"/>
                <w:highlight w:val="none"/>
              </w:rPr>
              <w:br w:type="textWrapping"/>
            </w:r>
            <w:r>
              <w:rPr>
                <w:rFonts w:hint="eastAsia" w:ascii="宋体" w:hAnsi="宋体"/>
                <w:color w:val="auto"/>
                <w:szCs w:val="21"/>
                <w:highlight w:val="none"/>
              </w:rPr>
              <w:t>（注：打印建造师电子证书后，应在个人签名处手写本人签名再上传广州市住建行业信用管理平台，上传件未手写签名或与签名图像笔迹不一致的，该电子证书无效。）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拟委派技术负责人职称证书扫描件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bCs/>
                <w:color w:val="auto"/>
                <w:highlight w:val="none"/>
                <w:u w:val="single"/>
              </w:rPr>
              <w:t>专职安全员的安全生产考核合格证（C类）或建筑施工企业专职安全生产管理人员安全生产考核合格证（C3）在广州市住建行业信用管理平台内上传件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投标登记前，投标人须在广州交易集团有限公司（广州公共资源交易中心）办理企业信息登记及拟担任本工程项目负责人、专职安全员须是本企业信息登记信息中的在册人员。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olor w:val="auto"/>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w:t>
      </w:r>
      <w:r>
        <w:rPr>
          <w:rFonts w:hint="eastAsia" w:ascii="宋体" w:hAnsi="宋体"/>
          <w:color w:val="auto"/>
          <w:szCs w:val="21"/>
          <w:highlight w:val="none"/>
        </w:rPr>
        <w:t>资格审查文件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和计算错误的，应当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后再判定投标人是否通过资格审查</w:t>
      </w:r>
      <w:r>
        <w:rPr>
          <w:rFonts w:ascii="宋体" w:hAnsi="宋体"/>
          <w:color w:val="auto"/>
          <w:szCs w:val="21"/>
          <w:highlight w:val="none"/>
        </w:rPr>
        <w:t>，不得直接</w:t>
      </w:r>
      <w:r>
        <w:rPr>
          <w:rFonts w:hint="eastAsia" w:ascii="宋体" w:hAnsi="宋体"/>
          <w:color w:val="auto"/>
          <w:szCs w:val="21"/>
          <w:highlight w:val="none"/>
        </w:rPr>
        <w:t>认定其不通过资格审查。</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color w:val="auto"/>
          <w:sz w:val="36"/>
          <w:szCs w:val="36"/>
          <w:highlight w:val="none"/>
        </w:rPr>
      </w:pPr>
      <w:r>
        <w:rPr>
          <w:rFonts w:hint="eastAsia"/>
          <w:color w:val="auto"/>
          <w:szCs w:val="21"/>
          <w:highlight w:val="none"/>
        </w:rPr>
        <w:t>附表二</w:t>
      </w:r>
      <w:r>
        <w:rPr>
          <w:rFonts w:hint="eastAsia"/>
          <w:b/>
          <w:color w:val="auto"/>
          <w:sz w:val="36"/>
          <w:szCs w:val="36"/>
          <w:highlight w:val="none"/>
        </w:rPr>
        <w:t xml:space="preserve">                             技术标有效性审查表</w:t>
      </w:r>
    </w:p>
    <w:p>
      <w:pPr>
        <w:rPr>
          <w:color w:val="auto"/>
          <w:szCs w:val="21"/>
          <w:highlight w:val="none"/>
        </w:rPr>
      </w:pPr>
      <w:r>
        <w:rPr>
          <w:rFonts w:hint="eastAsia"/>
          <w:color w:val="auto"/>
          <w:szCs w:val="21"/>
          <w:highlight w:val="none"/>
        </w:rPr>
        <w:t>工程名称：</w:t>
      </w:r>
    </w:p>
    <w:tbl>
      <w:tblPr>
        <w:tblStyle w:val="35"/>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318"/>
        <w:gridCol w:w="1583"/>
        <w:gridCol w:w="1534"/>
        <w:gridCol w:w="1650"/>
        <w:gridCol w:w="17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31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s="宋体"/>
                <w:color w:val="auto"/>
                <w:szCs w:val="21"/>
                <w:highlight w:val="none"/>
              </w:rPr>
              <w:t>填写，或主要内容不全，或关键字迹模糊、无法辨认的；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5"/>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44"/>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24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72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pStyle w:val="5"/>
        <w:spacing w:after="0"/>
        <w:ind w:firstLine="459"/>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pStyle w:val="5"/>
        <w:spacing w:after="0"/>
        <w:ind w:firstLine="459"/>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pStyle w:val="5"/>
        <w:spacing w:after="0"/>
        <w:ind w:firstLine="459"/>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pStyle w:val="5"/>
        <w:spacing w:after="0"/>
        <w:ind w:firstLine="459"/>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tabs>
          <w:tab w:val="center" w:pos="7288"/>
          <w:tab w:val="left" w:pos="9931"/>
        </w:tabs>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p>
      <w:pPr>
        <w:rPr>
          <w:rFonts w:ascii="宋体" w:hAnsi="宋体"/>
          <w:color w:val="auto"/>
          <w:highlight w:val="none"/>
        </w:rPr>
      </w:pPr>
      <w:r>
        <w:rPr>
          <w:rFonts w:hint="eastAsia" w:ascii="宋体" w:hAnsi="宋体"/>
          <w:color w:val="auto"/>
          <w:highlight w:val="none"/>
        </w:rPr>
        <w:t>工程名称：</w:t>
      </w:r>
    </w:p>
    <w:tbl>
      <w:tblPr>
        <w:tblStyle w:val="35"/>
        <w:tblW w:w="1485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521"/>
        <w:gridCol w:w="776"/>
        <w:gridCol w:w="1151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1046" w:type="dxa"/>
            <w:tcBorders>
              <w:top w:val="single" w:color="auto" w:sz="8" w:space="0"/>
              <w:left w:val="single" w:color="auto" w:sz="8" w:space="0"/>
              <w:bottom w:val="single" w:color="auto" w:sz="4" w:space="0"/>
              <w:right w:val="single" w:color="auto" w:sz="4" w:space="0"/>
            </w:tcBorders>
            <w:vAlign w:val="center"/>
          </w:tcPr>
          <w:p>
            <w:pPr>
              <w:rPr>
                <w:color w:val="auto"/>
                <w:szCs w:val="21"/>
              </w:rPr>
            </w:pPr>
            <w:r>
              <w:rPr>
                <w:rFonts w:hint="eastAsia"/>
                <w:color w:val="auto"/>
                <w:szCs w:val="21"/>
              </w:rPr>
              <w:t>评分项目</w:t>
            </w:r>
          </w:p>
        </w:tc>
        <w:tc>
          <w:tcPr>
            <w:tcW w:w="1521" w:type="dxa"/>
            <w:tcBorders>
              <w:top w:val="single" w:color="auto" w:sz="8"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评分内容</w:t>
            </w:r>
          </w:p>
        </w:tc>
        <w:tc>
          <w:tcPr>
            <w:tcW w:w="776" w:type="dxa"/>
            <w:tcBorders>
              <w:top w:val="single" w:color="auto" w:sz="8"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分值</w:t>
            </w:r>
          </w:p>
        </w:tc>
        <w:tc>
          <w:tcPr>
            <w:tcW w:w="11513" w:type="dxa"/>
            <w:tcBorders>
              <w:top w:val="single" w:color="auto" w:sz="8"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6" w:type="dxa"/>
            <w:vMerge w:val="restart"/>
            <w:tcBorders>
              <w:top w:val="single" w:color="auto" w:sz="4" w:space="0"/>
              <w:left w:val="single" w:color="auto" w:sz="8" w:space="0"/>
              <w:bottom w:val="single" w:color="auto" w:sz="4" w:space="0"/>
              <w:right w:val="single" w:color="auto" w:sz="4" w:space="0"/>
            </w:tcBorders>
            <w:vAlign w:val="center"/>
          </w:tcPr>
          <w:p>
            <w:pPr>
              <w:rPr>
                <w:color w:val="auto"/>
                <w:szCs w:val="21"/>
              </w:rPr>
            </w:pPr>
            <w:r>
              <w:rPr>
                <w:rFonts w:hint="eastAsia"/>
                <w:bCs/>
                <w:color w:val="auto"/>
                <w:szCs w:val="21"/>
              </w:rPr>
              <w:t>一、</w:t>
            </w:r>
            <w:r>
              <w:rPr>
                <w:rFonts w:hint="eastAsia"/>
                <w:color w:val="auto"/>
                <w:szCs w:val="21"/>
              </w:rPr>
              <w:t>投标人项目管理机构能力（14分）</w:t>
            </w: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技术负责人</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4分</w:t>
            </w:r>
          </w:p>
        </w:tc>
        <w:tc>
          <w:tcPr>
            <w:tcW w:w="11513" w:type="dxa"/>
            <w:tcBorders>
              <w:top w:val="single" w:color="auto" w:sz="4" w:space="0"/>
              <w:left w:val="single" w:color="auto" w:sz="4" w:space="0"/>
              <w:bottom w:val="single" w:color="auto" w:sz="4" w:space="0"/>
              <w:right w:val="single" w:color="auto" w:sz="4" w:space="0"/>
            </w:tcBorders>
            <w:vAlign w:val="center"/>
          </w:tcPr>
          <w:p>
            <w:pPr>
              <w:numPr>
                <w:ilvl w:val="0"/>
                <w:numId w:val="3"/>
              </w:numPr>
              <w:rPr>
                <w:color w:val="auto"/>
                <w:szCs w:val="21"/>
              </w:rPr>
            </w:pPr>
            <w:r>
              <w:rPr>
                <w:rFonts w:hint="eastAsia"/>
                <w:color w:val="auto"/>
                <w:szCs w:val="21"/>
              </w:rPr>
              <w:t>拟委派的技术负责人具有市政类专业中级工程师技术职称得2分；具有高级工程师技术职称得4分。</w:t>
            </w:r>
          </w:p>
          <w:p>
            <w:pPr>
              <w:rPr>
                <w:color w:val="auto"/>
                <w:szCs w:val="21"/>
              </w:rPr>
            </w:pPr>
            <w:r>
              <w:rPr>
                <w:rFonts w:hint="eastAsia"/>
                <w:color w:val="auto"/>
                <w:szCs w:val="21"/>
              </w:rPr>
              <w:t>注：不符合上述条件的不得分，本项最高得4分。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046" w:type="dxa"/>
            <w:vMerge w:val="continue"/>
            <w:tcBorders>
              <w:top w:val="single" w:color="auto" w:sz="4" w:space="0"/>
              <w:left w:val="single" w:color="auto" w:sz="8" w:space="0"/>
              <w:bottom w:val="single" w:color="auto" w:sz="4" w:space="0"/>
              <w:right w:val="single" w:color="auto" w:sz="4" w:space="0"/>
            </w:tcBorders>
            <w:vAlign w:val="center"/>
          </w:tcPr>
          <w:p>
            <w:pPr>
              <w:rPr>
                <w:color w:val="auto"/>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质量负责人</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3分</w:t>
            </w:r>
          </w:p>
        </w:tc>
        <w:tc>
          <w:tcPr>
            <w:tcW w:w="11513" w:type="dxa"/>
            <w:tcBorders>
              <w:top w:val="single" w:color="auto" w:sz="4" w:space="0"/>
              <w:left w:val="single" w:color="auto" w:sz="4" w:space="0"/>
              <w:bottom w:val="single" w:color="auto" w:sz="4" w:space="0"/>
              <w:right w:val="single" w:color="auto" w:sz="4" w:space="0"/>
            </w:tcBorders>
            <w:vAlign w:val="center"/>
          </w:tcPr>
          <w:p>
            <w:pPr>
              <w:numPr>
                <w:ilvl w:val="0"/>
                <w:numId w:val="4"/>
              </w:numPr>
              <w:rPr>
                <w:color w:val="auto"/>
                <w:szCs w:val="21"/>
              </w:rPr>
            </w:pPr>
            <w:r>
              <w:rPr>
                <w:rFonts w:hint="eastAsia"/>
                <w:color w:val="auto"/>
                <w:szCs w:val="21"/>
              </w:rPr>
              <w:t>拟委派的质量负责人具有工程类专业中级工程师得1.5分；具有高级工程技术职称得3分。</w:t>
            </w:r>
          </w:p>
          <w:p>
            <w:pPr>
              <w:rPr>
                <w:color w:val="auto"/>
                <w:szCs w:val="21"/>
              </w:rPr>
            </w:pPr>
            <w:r>
              <w:rPr>
                <w:rFonts w:hint="eastAsia"/>
                <w:color w:val="auto"/>
                <w:szCs w:val="21"/>
              </w:rPr>
              <w:t>注：不符合上述条件的不得分，本项最高得3分。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046" w:type="dxa"/>
            <w:vMerge w:val="continue"/>
            <w:tcBorders>
              <w:top w:val="single" w:color="auto" w:sz="4" w:space="0"/>
              <w:left w:val="single" w:color="auto" w:sz="8" w:space="0"/>
              <w:bottom w:val="single" w:color="auto" w:sz="4" w:space="0"/>
              <w:right w:val="single" w:color="auto" w:sz="4" w:space="0"/>
            </w:tcBorders>
            <w:vAlign w:val="center"/>
          </w:tcPr>
          <w:p>
            <w:pPr>
              <w:rPr>
                <w:color w:val="auto"/>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安全负责人</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4分</w:t>
            </w:r>
          </w:p>
        </w:tc>
        <w:tc>
          <w:tcPr>
            <w:tcW w:w="11513"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安全负责人具有在有效期内的安全考核合格证书（C类）或建筑施工企业专职安全生产管理人员安全生产考核合格证书（C3）得2分；具有工程类高级工程师职称得2分；具有工程类工程师职称得1分；本项最高得4分。</w:t>
            </w:r>
          </w:p>
          <w:p>
            <w:pPr>
              <w:rPr>
                <w:color w:val="auto"/>
                <w:szCs w:val="21"/>
              </w:rPr>
            </w:pPr>
            <w:r>
              <w:rPr>
                <w:rFonts w:hint="eastAsia"/>
                <w:color w:val="auto"/>
                <w:szCs w:val="21"/>
              </w:rPr>
              <w:t>注：安全负责人与指招标公告专职安全员不同一人；不符合上述条件的不得分，本项最高得4分。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046" w:type="dxa"/>
            <w:vMerge w:val="continue"/>
            <w:tcBorders>
              <w:top w:val="single" w:color="auto" w:sz="4" w:space="0"/>
              <w:left w:val="single" w:color="auto" w:sz="8" w:space="0"/>
              <w:bottom w:val="single" w:color="auto" w:sz="4" w:space="0"/>
              <w:right w:val="single" w:color="auto" w:sz="4" w:space="0"/>
            </w:tcBorders>
            <w:vAlign w:val="center"/>
          </w:tcPr>
          <w:p>
            <w:pPr>
              <w:rPr>
                <w:color w:val="auto"/>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造价负责人</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3分</w:t>
            </w:r>
          </w:p>
        </w:tc>
        <w:tc>
          <w:tcPr>
            <w:tcW w:w="11513"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1、拟委派的造价负责人具有注册造价工程师资格且在有效期内得1分；具有工程造价类中级工程师职称得1分；具有工程造价类高级工程师职称得2分。</w:t>
            </w:r>
          </w:p>
          <w:p>
            <w:pPr>
              <w:rPr>
                <w:color w:val="auto"/>
                <w:szCs w:val="21"/>
              </w:rPr>
            </w:pPr>
            <w:r>
              <w:rPr>
                <w:rFonts w:hint="eastAsia"/>
                <w:color w:val="auto"/>
                <w:szCs w:val="21"/>
              </w:rPr>
              <w:t>注：不符合上述条件的不得分，本项最高得3分。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046" w:type="dxa"/>
            <w:vMerge w:val="restart"/>
            <w:tcBorders>
              <w:top w:val="single" w:color="auto" w:sz="4" w:space="0"/>
              <w:left w:val="single" w:color="auto" w:sz="8" w:space="0"/>
              <w:bottom w:val="single" w:color="auto" w:sz="4" w:space="0"/>
              <w:right w:val="single" w:color="auto" w:sz="4" w:space="0"/>
            </w:tcBorders>
            <w:vAlign w:val="center"/>
          </w:tcPr>
          <w:p>
            <w:pPr>
              <w:rPr>
                <w:color w:val="auto"/>
                <w:szCs w:val="21"/>
              </w:rPr>
            </w:pPr>
            <w:r>
              <w:rPr>
                <w:rFonts w:hint="eastAsia"/>
                <w:color w:val="auto"/>
                <w:szCs w:val="21"/>
              </w:rPr>
              <w:t>二、企业资信（6分）</w:t>
            </w: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企业业绩</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1.8分</w:t>
            </w:r>
          </w:p>
        </w:tc>
        <w:tc>
          <w:tcPr>
            <w:tcW w:w="11513"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投标人自2020年1月1日至今完成过质量合格的类似工程业绩，每项</w:t>
            </w:r>
            <w:r>
              <w:rPr>
                <w:rFonts w:hint="eastAsia"/>
                <w:bCs/>
                <w:color w:val="auto"/>
                <w:szCs w:val="21"/>
              </w:rPr>
              <w:t>得0.1分；本</w:t>
            </w:r>
            <w:r>
              <w:rPr>
                <w:rFonts w:hint="eastAsia"/>
                <w:color w:val="auto"/>
                <w:szCs w:val="21"/>
              </w:rPr>
              <w:t>项最高得1.8分。</w:t>
            </w:r>
          </w:p>
          <w:p>
            <w:pPr>
              <w:rPr>
                <w:color w:val="auto"/>
                <w:szCs w:val="21"/>
              </w:rPr>
            </w:pPr>
            <w:r>
              <w:rPr>
                <w:rFonts w:hint="eastAsia"/>
                <w:color w:val="auto"/>
                <w:szCs w:val="21"/>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1046" w:type="dxa"/>
            <w:vMerge w:val="continue"/>
            <w:tcBorders>
              <w:left w:val="single" w:color="auto" w:sz="8" w:space="0"/>
              <w:right w:val="single" w:color="auto" w:sz="4" w:space="0"/>
            </w:tcBorders>
            <w:vAlign w:val="center"/>
          </w:tcPr>
          <w:p>
            <w:pPr>
              <w:rPr>
                <w:color w:val="auto"/>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工程奖项</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1.6分</w:t>
            </w:r>
          </w:p>
        </w:tc>
        <w:tc>
          <w:tcPr>
            <w:tcW w:w="11513"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1"/>
              </w:rPr>
            </w:pPr>
            <w:r>
              <w:rPr>
                <w:rFonts w:hint="eastAsia"/>
                <w:color w:val="auto"/>
                <w:szCs w:val="21"/>
              </w:rPr>
              <w:t>投标人完成过的市政类工程自2020年1月1日至今，承建获得过市级或以上工程质量奖项的，每项得0.2分；相同项目按最高级别奖项只计一次得分。本项最高得1.6分。</w:t>
            </w:r>
          </w:p>
          <w:p>
            <w:pPr>
              <w:pStyle w:val="34"/>
              <w:ind w:left="0" w:leftChars="0" w:firstLine="0" w:firstLineChars="0"/>
              <w:rPr>
                <w:color w:val="auto"/>
              </w:rPr>
            </w:pPr>
            <w:r>
              <w:rPr>
                <w:rFonts w:hint="eastAsia"/>
                <w:color w:val="auto"/>
              </w:rPr>
              <w:t>注：不含参建类奖项。</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046" w:type="dxa"/>
            <w:vMerge w:val="continue"/>
            <w:tcBorders>
              <w:left w:val="single" w:color="auto" w:sz="8" w:space="0"/>
              <w:right w:val="single" w:color="auto" w:sz="4" w:space="0"/>
            </w:tcBorders>
            <w:vAlign w:val="center"/>
          </w:tcPr>
          <w:p>
            <w:pPr>
              <w:rPr>
                <w:color w:val="auto"/>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第三方评价</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1.2分</w:t>
            </w:r>
          </w:p>
        </w:tc>
        <w:tc>
          <w:tcPr>
            <w:tcW w:w="11513"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w:t>
            </w:r>
            <w:r>
              <w:rPr>
                <w:color w:val="auto"/>
                <w:szCs w:val="21"/>
              </w:rPr>
              <w:t>投标人自201</w:t>
            </w:r>
            <w:r>
              <w:rPr>
                <w:rFonts w:hint="eastAsia"/>
                <w:color w:val="auto"/>
                <w:szCs w:val="21"/>
              </w:rPr>
              <w:t>4</w:t>
            </w:r>
            <w:r>
              <w:rPr>
                <w:color w:val="auto"/>
                <w:szCs w:val="21"/>
              </w:rPr>
              <w:t>年至最新评审年度（含202</w:t>
            </w:r>
            <w:r>
              <w:rPr>
                <w:rFonts w:hint="eastAsia"/>
                <w:color w:val="auto"/>
                <w:szCs w:val="21"/>
              </w:rPr>
              <w:t>2</w:t>
            </w:r>
            <w:r>
              <w:rPr>
                <w:color w:val="auto"/>
                <w:szCs w:val="21"/>
              </w:rPr>
              <w:t>年度）进行横向比较，连续获得税务部门评定为“纳税信用A级纳税人”称号：</w:t>
            </w:r>
          </w:p>
          <w:p>
            <w:pPr>
              <w:rPr>
                <w:color w:val="auto"/>
                <w:szCs w:val="21"/>
              </w:rPr>
            </w:pPr>
            <w:r>
              <w:rPr>
                <w:color w:val="auto"/>
                <w:szCs w:val="21"/>
              </w:rPr>
              <w:t>（1）按企业连续获得年份由高至低排序，第1-2名，得</w:t>
            </w:r>
            <w:r>
              <w:rPr>
                <w:rFonts w:hint="eastAsia"/>
                <w:color w:val="auto"/>
                <w:szCs w:val="21"/>
              </w:rPr>
              <w:t>0.6</w:t>
            </w:r>
            <w:r>
              <w:rPr>
                <w:color w:val="auto"/>
                <w:szCs w:val="21"/>
              </w:rPr>
              <w:t>分；</w:t>
            </w:r>
          </w:p>
          <w:p>
            <w:pPr>
              <w:rPr>
                <w:color w:val="auto"/>
                <w:szCs w:val="21"/>
              </w:rPr>
            </w:pPr>
            <w:r>
              <w:rPr>
                <w:color w:val="auto"/>
                <w:szCs w:val="21"/>
              </w:rPr>
              <w:t>（2）按企业连续获得年限由高至低排序，第3-4名，得</w:t>
            </w:r>
            <w:r>
              <w:rPr>
                <w:rFonts w:hint="eastAsia"/>
                <w:color w:val="auto"/>
                <w:szCs w:val="21"/>
              </w:rPr>
              <w:t>0.3</w:t>
            </w:r>
            <w:r>
              <w:rPr>
                <w:color w:val="auto"/>
                <w:szCs w:val="21"/>
              </w:rPr>
              <w:t>分；</w:t>
            </w:r>
          </w:p>
          <w:p>
            <w:pPr>
              <w:rPr>
                <w:color w:val="auto"/>
                <w:szCs w:val="21"/>
              </w:rPr>
            </w:pPr>
            <w:r>
              <w:rPr>
                <w:color w:val="auto"/>
                <w:szCs w:val="21"/>
              </w:rPr>
              <w:t>（3）按企业连续获得年限由高至低排序，第5-6名，得</w:t>
            </w:r>
            <w:r>
              <w:rPr>
                <w:rFonts w:hint="eastAsia"/>
                <w:color w:val="auto"/>
                <w:szCs w:val="21"/>
              </w:rPr>
              <w:t>0.1</w:t>
            </w:r>
            <w:r>
              <w:rPr>
                <w:color w:val="auto"/>
                <w:szCs w:val="21"/>
              </w:rPr>
              <w:t>分；</w:t>
            </w:r>
          </w:p>
          <w:p>
            <w:pPr>
              <w:rPr>
                <w:color w:val="auto"/>
                <w:szCs w:val="21"/>
              </w:rPr>
            </w:pPr>
            <w:r>
              <w:rPr>
                <w:color w:val="auto"/>
                <w:szCs w:val="21"/>
              </w:rPr>
              <w:t>注：若排名相同则占用下一名次(如：第一名的连续年份相同的投标人有N个，则该N个投标人并列为第一名，下一名按第N+1名计算，依此类推)</w:t>
            </w:r>
            <w:r>
              <w:rPr>
                <w:rFonts w:hint="eastAsia"/>
                <w:color w:val="auto"/>
                <w:szCs w:val="21"/>
              </w:rPr>
              <w:t>；</w:t>
            </w:r>
            <w:r>
              <w:rPr>
                <w:color w:val="auto"/>
                <w:szCs w:val="21"/>
              </w:rPr>
              <w:t>评定年度不连续获得者或不符合上述条件的不得分，本项最多得</w:t>
            </w:r>
            <w:r>
              <w:rPr>
                <w:rFonts w:hint="eastAsia"/>
                <w:color w:val="auto"/>
                <w:szCs w:val="21"/>
                <w:lang w:val="en-US" w:eastAsia="zh-CN"/>
              </w:rPr>
              <w:t>0.6</w:t>
            </w:r>
            <w:r>
              <w:rPr>
                <w:color w:val="auto"/>
                <w:szCs w:val="21"/>
              </w:rPr>
              <w:t>分。</w:t>
            </w:r>
          </w:p>
          <w:p>
            <w:pPr>
              <w:rPr>
                <w:color w:val="auto"/>
                <w:szCs w:val="21"/>
              </w:rPr>
            </w:pPr>
            <w:r>
              <w:rPr>
                <w:rFonts w:hint="eastAsia"/>
                <w:color w:val="auto"/>
                <w:szCs w:val="21"/>
              </w:rPr>
              <w:t>2.投标人自2020年1月1日至今，获得过国家级市政行业信用评价AAA级的，得0.6分；获得过省级市政行业信用评价AAA级的，得0.3分；获得过市级市政行业信用评价AAA级，得0.1分；其他不得分。按最高得分计算一次，不满足以上条件的不得分，本小项最高得0.6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1046" w:type="dxa"/>
            <w:vMerge w:val="continue"/>
            <w:tcBorders>
              <w:top w:val="single" w:color="auto" w:sz="4" w:space="0"/>
              <w:left w:val="single" w:color="auto" w:sz="8" w:space="0"/>
              <w:bottom w:val="single" w:color="auto" w:sz="4" w:space="0"/>
              <w:right w:val="single" w:color="auto" w:sz="4" w:space="0"/>
            </w:tcBorders>
            <w:vAlign w:val="center"/>
          </w:tcPr>
          <w:p>
            <w:pPr>
              <w:rPr>
                <w:color w:val="auto"/>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工程研发能力</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1.4分</w:t>
            </w:r>
          </w:p>
        </w:tc>
        <w:tc>
          <w:tcPr>
            <w:tcW w:w="11513"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1.投标人自2020年1月1日至今作为主要完成单位或独立完成单位获得市政工程类国家级工法证书奖项的得1分，本小项最多得1分；获得市政工程类省级工法证书奖项的得0.5分，本小项最多得0.5分；相同工法按最高级别奖项只计一次得分；本项最高1分。</w:t>
            </w:r>
          </w:p>
          <w:p>
            <w:pPr>
              <w:pStyle w:val="34"/>
              <w:ind w:left="0" w:leftChars="0" w:firstLine="0" w:firstLineChars="0"/>
              <w:rPr>
                <w:color w:val="auto"/>
              </w:rPr>
            </w:pPr>
            <w:r>
              <w:rPr>
                <w:rFonts w:hint="eastAsia" w:ascii="宋体" w:hAnsi="宋体"/>
                <w:bCs/>
                <w:color w:val="auto"/>
                <w:szCs w:val="21"/>
              </w:rPr>
              <w:t>2.投标人自2020年1月1日至今获得省级或以上市政行业协会颁发的“科学技术奖”，每项得0.1分；本项目最高得0.4分。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567" w:type="dxa"/>
            <w:gridSpan w:val="2"/>
            <w:tcBorders>
              <w:top w:val="single" w:color="auto" w:sz="4" w:space="0"/>
              <w:left w:val="single" w:color="auto" w:sz="8" w:space="0"/>
              <w:bottom w:val="single" w:color="auto" w:sz="4" w:space="0"/>
              <w:right w:val="single" w:color="auto" w:sz="4" w:space="0"/>
            </w:tcBorders>
            <w:vAlign w:val="center"/>
          </w:tcPr>
          <w:p>
            <w:pPr>
              <w:rPr>
                <w:color w:val="auto"/>
                <w:szCs w:val="21"/>
              </w:rPr>
            </w:pPr>
            <w:r>
              <w:rPr>
                <w:rFonts w:hint="eastAsia"/>
                <w:color w:val="auto"/>
                <w:szCs w:val="21"/>
              </w:rPr>
              <w:t>合计（一+二）</w:t>
            </w:r>
          </w:p>
        </w:tc>
        <w:tc>
          <w:tcPr>
            <w:tcW w:w="776" w:type="dxa"/>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20</w:t>
            </w:r>
          </w:p>
        </w:tc>
        <w:tc>
          <w:tcPr>
            <w:tcW w:w="11513" w:type="dxa"/>
            <w:tcBorders>
              <w:top w:val="single" w:color="auto" w:sz="4" w:space="0"/>
              <w:left w:val="single" w:color="auto" w:sz="4" w:space="0"/>
              <w:bottom w:val="single" w:color="auto" w:sz="4" w:space="0"/>
              <w:right w:val="single" w:color="auto" w:sz="4" w:space="0"/>
            </w:tcBorders>
            <w:vAlign w:val="center"/>
          </w:tcPr>
          <w:p>
            <w:pPr>
              <w:rPr>
                <w:color w:val="auto"/>
                <w:szCs w:val="21"/>
              </w:rPr>
            </w:pPr>
          </w:p>
        </w:tc>
      </w:tr>
    </w:tbl>
    <w:p>
      <w:pPr>
        <w:rPr>
          <w:color w:val="auto"/>
          <w:szCs w:val="21"/>
        </w:rPr>
      </w:pPr>
      <w:r>
        <w:rPr>
          <w:rFonts w:hint="eastAsia"/>
          <w:color w:val="auto"/>
          <w:szCs w:val="21"/>
        </w:rPr>
        <w:t>备注：</w:t>
      </w:r>
    </w:p>
    <w:p>
      <w:pPr>
        <w:rPr>
          <w:b/>
          <w:color w:val="auto"/>
          <w:szCs w:val="21"/>
        </w:rPr>
      </w:pPr>
      <w:r>
        <w:rPr>
          <w:rFonts w:hint="eastAsia"/>
          <w:b/>
          <w:color w:val="auto"/>
          <w:szCs w:val="21"/>
        </w:rPr>
        <w:t>1、企业业绩：</w:t>
      </w:r>
    </w:p>
    <w:p>
      <w:pPr>
        <w:rPr>
          <w:color w:val="auto"/>
          <w:szCs w:val="21"/>
        </w:rPr>
      </w:pPr>
      <w:r>
        <w:rPr>
          <w:rFonts w:hint="eastAsia"/>
          <w:color w:val="auto"/>
          <w:szCs w:val="21"/>
        </w:rPr>
        <w:t>类似工程业绩是指单项工程中标价大于或等于400万元的市政类施工总承包业绩；投标人需业绩的中标通知书或免招标的相关证明、施工合同（不含补充合同）、竣工验收证明文件；竣工验收证明文件。业绩金额以业绩中标通知书为准，若中标通知书没有显示中标金额或免招标的，以施工合同（不含补充合同）为准。不符合上述条件或未提供上述资料的不得分。</w:t>
      </w:r>
    </w:p>
    <w:p>
      <w:pPr>
        <w:rPr>
          <w:b/>
          <w:color w:val="auto"/>
          <w:szCs w:val="21"/>
        </w:rPr>
      </w:pPr>
      <w:r>
        <w:rPr>
          <w:b/>
          <w:color w:val="auto"/>
          <w:szCs w:val="21"/>
        </w:rPr>
        <w:t>2</w:t>
      </w:r>
      <w:r>
        <w:rPr>
          <w:rFonts w:hint="eastAsia"/>
          <w:b/>
          <w:color w:val="auto"/>
          <w:szCs w:val="21"/>
        </w:rPr>
        <w:t>、企业获奖：</w:t>
      </w:r>
    </w:p>
    <w:p>
      <w:pPr>
        <w:rPr>
          <w:color w:val="auto"/>
          <w:szCs w:val="21"/>
        </w:rPr>
      </w:pPr>
      <w:r>
        <w:rPr>
          <w:rFonts w:hint="eastAsia"/>
          <w:color w:val="auto"/>
          <w:szCs w:val="21"/>
        </w:rPr>
        <w:t>奖项须为市政类工程获得的质量奖项，不含安全文明、绿色施工、技术创新QC成果、科技进步、参建及技术应用类奖项。需提供奖项证书，时间以奖项证书发证时间为准。国家级奖项包括：中国建设工程鲁班奖、国家优质工程（金质奖）、国家优质工程（银质奖）、国家优质工程奖、中国土木工程詹天佑奖、全国市政金杯示范工程奖；省、市级奖项包括：省级、市级（含副省级）建设行政主管部门或行业协会颁发的工程质量奖项。同一项目只按最高等级计一次得分，获奖单位名称须与投标人单位名称一致。若颁发机构为行业协会，还需提供该组织在中国社会组织政务服务平台（网址：https://chinanpo.mca.gov.cn/）“全国社会组织信用信息公示平台”栏查询结果截图，证明其有登记备案，否则不得分。上述证明材料均需加盖公章，不按要求提供或不齐全均不得分。</w:t>
      </w:r>
    </w:p>
    <w:p>
      <w:pPr>
        <w:rPr>
          <w:b/>
          <w:color w:val="auto"/>
          <w:szCs w:val="21"/>
        </w:rPr>
      </w:pPr>
      <w:r>
        <w:rPr>
          <w:b/>
          <w:color w:val="auto"/>
          <w:szCs w:val="21"/>
        </w:rPr>
        <w:t>3</w:t>
      </w:r>
      <w:r>
        <w:rPr>
          <w:rFonts w:hint="eastAsia"/>
          <w:b/>
          <w:color w:val="auto"/>
          <w:szCs w:val="21"/>
        </w:rPr>
        <w:t>、工程研发能力：</w:t>
      </w:r>
    </w:p>
    <w:p>
      <w:pPr>
        <w:rPr>
          <w:color w:val="auto"/>
          <w:szCs w:val="21"/>
        </w:rPr>
      </w:pPr>
      <w:r>
        <w:rPr>
          <w:rFonts w:hint="eastAsia"/>
          <w:color w:val="auto"/>
          <w:szCs w:val="21"/>
        </w:rPr>
        <w:t>1.省级以上工法(不含水利、公路、水运、电力、铁路行业）；投标人须提供经建设行政主管部门或行业协会认定的工法证书扫描件，时间以发证时间为准。证书上应可反映其为市政类工法，若无法反映，需提供建设职能部门（或行业协会）出具的鉴定证书扫描件，并且在鉴定证书中需能反映该工法的研究背景项目为市政类项目，无法证明该工法为市政类项目获得的工法不得分。相同工法按最高级别奖项只计一次得分。获奖时间以发证时间为准。发证单位非政府部门的须同时提供该发证单位在“中国社会组织公共服务平台”网站（http://www.chinanpo.gov.cn）查询截图。</w:t>
      </w:r>
    </w:p>
    <w:p>
      <w:pPr>
        <w:pStyle w:val="34"/>
        <w:ind w:left="0" w:leftChars="0" w:firstLine="0" w:firstLineChars="0"/>
        <w:rPr>
          <w:color w:val="auto"/>
        </w:rPr>
      </w:pPr>
      <w:r>
        <w:rPr>
          <w:rFonts w:hint="eastAsia"/>
          <w:color w:val="auto"/>
        </w:rPr>
        <w:t>2.</w:t>
      </w:r>
      <w:r>
        <w:rPr>
          <w:rFonts w:hint="eastAsia" w:ascii="宋体" w:hAnsi="宋体" w:cs="宋体"/>
          <w:color w:val="auto"/>
          <w:sz w:val="24"/>
        </w:rPr>
        <w:t xml:space="preserve"> </w:t>
      </w:r>
      <w:r>
        <w:rPr>
          <w:rFonts w:hint="eastAsia" w:ascii="宋体" w:hAnsi="宋体"/>
          <w:bCs/>
          <w:color w:val="auto"/>
          <w:szCs w:val="21"/>
        </w:rPr>
        <w:t>省级以上市政行业协会颁发“科学技术奖</w:t>
      </w:r>
      <w:r>
        <w:rPr>
          <w:rFonts w:hint="eastAsia" w:ascii="宋体" w:hAnsi="宋体" w:cs="宋体"/>
          <w:color w:val="auto"/>
          <w:szCs w:val="21"/>
        </w:rPr>
        <w:t>”需提供获奖证书扫描件或网站发布的获奖企业名单公示文件及网页信息截图。时间以证书颁发日期为准，只计算投标人自身（不含投标人的子公司或分公司），获奖单位名称须与投标人单位名称一致；若颁发机构为行业协会，还需提供该组织在中国社会组织政务服务平台（网址：https://chinanpo.mca.gov.cn/）“全国社会组织信用信息公示平台”栏查询结果截图，</w:t>
      </w:r>
      <w:r>
        <w:rPr>
          <w:rFonts w:hint="eastAsia" w:ascii="宋体" w:hAnsi="宋体" w:cs="宋体"/>
          <w:bCs/>
          <w:color w:val="auto"/>
          <w:szCs w:val="21"/>
        </w:rPr>
        <w:t>证明其有登记备案，否则不得分。上述证明材料均需加盖公章，不按要求提供或不齐全均不得分。</w:t>
      </w:r>
    </w:p>
    <w:p>
      <w:pPr>
        <w:rPr>
          <w:b/>
          <w:color w:val="auto"/>
          <w:szCs w:val="21"/>
        </w:rPr>
      </w:pPr>
      <w:r>
        <w:rPr>
          <w:rFonts w:hint="eastAsia"/>
          <w:b/>
          <w:color w:val="auto"/>
          <w:szCs w:val="21"/>
        </w:rPr>
        <w:t>4、第三</w:t>
      </w:r>
      <w:r>
        <w:rPr>
          <w:b/>
          <w:color w:val="auto"/>
          <w:szCs w:val="21"/>
        </w:rPr>
        <w:t>方评价</w:t>
      </w:r>
      <w:r>
        <w:rPr>
          <w:rFonts w:hint="eastAsia"/>
          <w:b/>
          <w:color w:val="auto"/>
          <w:szCs w:val="21"/>
        </w:rPr>
        <w:t>：</w:t>
      </w:r>
    </w:p>
    <w:p>
      <w:pPr>
        <w:rPr>
          <w:color w:val="auto"/>
          <w:szCs w:val="21"/>
        </w:rPr>
      </w:pPr>
      <w:r>
        <w:rPr>
          <w:rFonts w:hint="eastAsia"/>
          <w:color w:val="auto"/>
          <w:szCs w:val="21"/>
        </w:rPr>
        <w:t>投标人须提供国家税务总局（（http://www.chinatax.gov.cn/index.html））或国家税务总局各省级税务局官网“纳税信用A级纳税人名单公布栏”查询结果（查询结果不包括子公司、分公司和分支机构）的网页截图或税务局颁发的证明资料扫描件并加盖投标人电子印章。提供的资料不齐全或不符合上述条件的不得分。</w:t>
      </w:r>
    </w:p>
    <w:p>
      <w:pPr>
        <w:rPr>
          <w:color w:val="auto"/>
          <w:szCs w:val="21"/>
        </w:rPr>
      </w:pPr>
      <w:r>
        <w:rPr>
          <w:rFonts w:hint="eastAsia"/>
          <w:color w:val="auto"/>
          <w:szCs w:val="21"/>
        </w:rPr>
        <w:t>（2）市政行业信用评价AAA证书，获奖证书必须在有效期内，投标人须提供获奖证书扫描件；发证单位非政府部门的须同时提供该发证单位在“中国社会组织公共服务平台”网站（http://www.chinanpo.gov.cn）查询截图。不符合上述条件或未提供上述资料的不得分。</w:t>
      </w:r>
    </w:p>
    <w:p>
      <w:pPr>
        <w:rPr>
          <w:b/>
          <w:color w:val="auto"/>
          <w:szCs w:val="21"/>
        </w:rPr>
      </w:pPr>
      <w:r>
        <w:rPr>
          <w:b/>
          <w:color w:val="auto"/>
          <w:szCs w:val="21"/>
        </w:rPr>
        <w:t>5</w:t>
      </w:r>
      <w:r>
        <w:rPr>
          <w:rFonts w:hint="eastAsia"/>
          <w:b/>
          <w:color w:val="auto"/>
          <w:szCs w:val="21"/>
        </w:rPr>
        <w:t>、项目管理机构能力：</w:t>
      </w:r>
    </w:p>
    <w:p>
      <w:pPr>
        <w:rPr>
          <w:color w:val="auto"/>
          <w:szCs w:val="21"/>
        </w:rPr>
      </w:pPr>
      <w:r>
        <w:rPr>
          <w:rFonts w:hint="eastAsia"/>
          <w:color w:val="auto"/>
          <w:szCs w:val="21"/>
        </w:rPr>
        <w:t>（1）项目管理机构人员的岗位不能相互兼任，项目管理机构人员仅指投标人自身人员，不含子母公司人员。</w:t>
      </w:r>
    </w:p>
    <w:p>
      <w:pPr>
        <w:rPr>
          <w:color w:val="auto"/>
          <w:szCs w:val="21"/>
        </w:rPr>
      </w:pPr>
      <w:r>
        <w:rPr>
          <w:rFonts w:hint="eastAsia"/>
          <w:color w:val="auto"/>
          <w:szCs w:val="21"/>
        </w:rPr>
        <w:t>（2）投标人须提供相应职称证书和注册证书（如有）扫描件</w:t>
      </w:r>
      <w:r>
        <w:rPr>
          <w:rFonts w:hint="eastAsia"/>
          <w:color w:val="auto"/>
          <w:szCs w:val="21"/>
          <w:lang w:val="zh-TW"/>
        </w:rPr>
        <w:t>为准，</w:t>
      </w:r>
      <w:r>
        <w:rPr>
          <w:rFonts w:hint="eastAsia"/>
          <w:color w:val="auto"/>
          <w:szCs w:val="21"/>
        </w:rPr>
        <w:t>提供离投标截止时间最近1个月（时间为：2022年</w:t>
      </w:r>
      <w:r>
        <w:rPr>
          <w:rFonts w:hint="eastAsia"/>
          <w:color w:val="auto"/>
          <w:szCs w:val="21"/>
          <w:lang w:val="en-US" w:eastAsia="zh-CN"/>
        </w:rPr>
        <w:t>8</w:t>
      </w:r>
      <w:bookmarkStart w:id="45" w:name="_GoBack"/>
      <w:bookmarkEnd w:id="45"/>
      <w:r>
        <w:rPr>
          <w:rFonts w:hint="eastAsia"/>
          <w:color w:val="auto"/>
          <w:szCs w:val="21"/>
        </w:rPr>
        <w:t>月）在本单位交纳的社保证明文件，以加盖社会保险基金管理中心印章的《投保单》或《社会保险参保人员证明》资料为准（如疫情地区有特殊情况请提供相关政策文件证明）。不符合上述条件或未提供上述资料的不得分。</w:t>
      </w:r>
    </w:p>
    <w:p>
      <w:pPr>
        <w:rPr>
          <w:b/>
          <w:color w:val="auto"/>
          <w:szCs w:val="21"/>
        </w:rPr>
      </w:pPr>
      <w:r>
        <w:rPr>
          <w:b/>
          <w:color w:val="auto"/>
          <w:szCs w:val="21"/>
        </w:rPr>
        <w:t>6</w:t>
      </w:r>
      <w:r>
        <w:rPr>
          <w:rFonts w:hint="eastAsia"/>
          <w:b/>
          <w:color w:val="auto"/>
          <w:szCs w:val="21"/>
        </w:rPr>
        <w:t>、投标人得分为各评委评分去掉一个最高分和一个最低分后的算术平均值（若分数出现小数点时，保留小数点后二位，第三位小数四舍五入）。</w:t>
      </w:r>
    </w:p>
    <w:p>
      <w:pPr>
        <w:rPr>
          <w:color w:val="auto"/>
          <w:szCs w:val="21"/>
          <w:lang w:val="zh-TW"/>
        </w:rPr>
      </w:pPr>
    </w:p>
    <w:p>
      <w:pPr>
        <w:rPr>
          <w:color w:val="auto"/>
          <w:szCs w:val="21"/>
        </w:rPr>
      </w:pPr>
      <w:r>
        <w:rPr>
          <w:rFonts w:hint="eastAsia"/>
          <w:color w:val="auto"/>
          <w:szCs w:val="21"/>
          <w:lang w:val="zh-TW"/>
        </w:rPr>
        <w:t xml:space="preserve">评委签名：                                                                             </w:t>
      </w:r>
      <w:r>
        <w:rPr>
          <w:rFonts w:hint="eastAsia"/>
          <w:color w:val="auto"/>
          <w:szCs w:val="21"/>
        </w:rPr>
        <w:t xml:space="preserve">      日期：     年   月   日</w:t>
      </w:r>
    </w:p>
    <w:p>
      <w:pP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highlight w:val="none"/>
        </w:rPr>
      </w:pPr>
      <w:r>
        <w:rPr>
          <w:rFonts w:hint="eastAsia"/>
          <w:color w:val="auto"/>
          <w:szCs w:val="21"/>
          <w:highlight w:val="none"/>
        </w:rPr>
        <w:t>评委签名：</w:t>
      </w:r>
      <w:r>
        <w:rPr>
          <w:b/>
          <w:color w:val="auto"/>
          <w:sz w:val="36"/>
          <w:szCs w:val="36"/>
          <w:highlight w:val="none"/>
        </w:rPr>
        <w:br w:type="page"/>
      </w:r>
    </w:p>
    <w:p>
      <w:pPr>
        <w:rPr>
          <w:rFonts w:ascii="宋体" w:hAnsi="宋体" w:cs="宋体"/>
          <w:b/>
          <w:color w:val="auto"/>
          <w:szCs w:val="21"/>
          <w:highlight w:val="none"/>
        </w:rPr>
      </w:pP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5"/>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rPr>
          <w:color w:val="auto"/>
          <w:highlight w:val="none"/>
        </w:rPr>
      </w:pPr>
      <w:bookmarkStart w:id="32" w:name="_Toc21525511"/>
      <w:bookmarkStart w:id="33"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32"/>
      <w:bookmarkEnd w:id="33"/>
    </w:p>
    <w:p>
      <w:pPr>
        <w:jc w:val="center"/>
        <w:rPr>
          <w:rFonts w:ascii="宋体"/>
          <w:b/>
          <w:color w:val="auto"/>
          <w:sz w:val="32"/>
          <w:szCs w:val="32"/>
          <w:highlight w:val="none"/>
        </w:rPr>
      </w:pPr>
      <w:r>
        <w:rPr>
          <w:rFonts w:hint="eastAsia" w:ascii="宋体" w:hAnsi="宋体" w:cs="宋体"/>
          <w:color w:val="auto"/>
          <w:sz w:val="32"/>
          <w:szCs w:val="32"/>
          <w:highlight w:val="none"/>
          <w:u w:val="single"/>
        </w:rPr>
        <w:t>另册</w:t>
      </w:r>
      <w:r>
        <w:rPr>
          <w:rFonts w:hint="eastAsia" w:ascii="宋体" w:hAnsi="宋体"/>
          <w:color w:val="auto"/>
          <w:sz w:val="32"/>
          <w:szCs w:val="32"/>
          <w:highlight w:val="none"/>
        </w:rPr>
        <w:t>。</w:t>
      </w:r>
    </w:p>
    <w:p>
      <w:pPr>
        <w:widowControl/>
        <w:jc w:val="left"/>
        <w:rPr>
          <w:color w:val="auto"/>
          <w:sz w:val="24"/>
          <w:szCs w:val="24"/>
          <w:highlight w:val="none"/>
        </w:rPr>
      </w:pPr>
      <w:r>
        <w:rPr>
          <w:color w:val="auto"/>
          <w:sz w:val="24"/>
          <w:szCs w:val="24"/>
          <w:highlight w:val="none"/>
        </w:rPr>
        <w:br w:type="page"/>
      </w:r>
    </w:p>
    <w:p>
      <w:pPr>
        <w:pStyle w:val="3"/>
        <w:rPr>
          <w:color w:val="auto"/>
          <w:highlight w:val="none"/>
        </w:rPr>
      </w:pPr>
      <w:bookmarkStart w:id="34" w:name="_Toc2272567"/>
      <w:bookmarkStart w:id="35" w:name="_Toc21525512"/>
      <w:r>
        <w:rPr>
          <w:rFonts w:hint="eastAsia"/>
          <w:color w:val="auto"/>
          <w:highlight w:val="none"/>
        </w:rPr>
        <w:t>第四章</w:t>
      </w:r>
      <w:r>
        <w:rPr>
          <w:color w:val="auto"/>
          <w:highlight w:val="none"/>
        </w:rPr>
        <w:t xml:space="preserve">  </w:t>
      </w:r>
      <w:r>
        <w:rPr>
          <w:rFonts w:hint="eastAsia"/>
          <w:color w:val="auto"/>
          <w:highlight w:val="none"/>
        </w:rPr>
        <w:t>投标文件格式</w:t>
      </w:r>
      <w:bookmarkEnd w:id="34"/>
      <w:bookmarkEnd w:id="35"/>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color w:val="auto"/>
          <w:szCs w:val="21"/>
          <w:highlight w:val="none"/>
        </w:rPr>
      </w:pPr>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5"/>
        <w:spacing w:after="0" w:line="360" w:lineRule="auto"/>
        <w:ind w:left="-2" w:leftChars="-1" w:firstLine="367" w:firstLineChars="175"/>
        <w:jc w:val="left"/>
        <w:rPr>
          <w:rFonts w:ascii="宋体" w:hAnsi="宋体" w:cs="宋体"/>
          <w:color w:val="auto"/>
          <w:szCs w:val="21"/>
          <w:highlight w:val="none"/>
        </w:rPr>
      </w:pPr>
      <w:r>
        <w:rPr>
          <w:rFonts w:hint="eastAsia" w:ascii="宋体" w:hAnsi="宋体" w:cs="宋体"/>
          <w:color w:val="auto"/>
          <w:szCs w:val="21"/>
          <w:highlight w:val="none"/>
        </w:rPr>
        <w:t>附件四</w:t>
      </w:r>
    </w:p>
    <w:p>
      <w:pPr>
        <w:autoSpaceDE w:val="0"/>
        <w:autoSpaceDN w:val="0"/>
        <w:adjustRightInd w:val="0"/>
        <w:spacing w:line="360" w:lineRule="auto"/>
        <w:jc w:val="center"/>
        <w:rPr>
          <w:rFonts w:ascii="宋体" w:hAnsi="宋体" w:cs="宋体"/>
          <w:b/>
          <w:bCs/>
          <w:color w:val="auto"/>
          <w:sz w:val="36"/>
          <w:szCs w:val="36"/>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vAlign w:val="center"/>
          </w:tcPr>
          <w:p>
            <w:pPr>
              <w:adjustRightInd w:val="0"/>
              <w:snapToGrid w:val="0"/>
              <w:ind w:left="-63" w:leftChars="-30" w:right="-63" w:rightChars="-30"/>
              <w:jc w:val="center"/>
              <w:rPr>
                <w:rFonts w:ascii="宋体" w:hAnsi="宋体"/>
                <w:color w:val="auto"/>
                <w:highlight w:val="none"/>
              </w:rPr>
            </w:pPr>
            <w:r>
              <w:rPr>
                <w:rStyle w:val="112"/>
                <w:rFonts w:hint="default" w:ascii="宋体" w:hAnsi="宋体" w:eastAsia="宋体" w:cs="宋体"/>
                <w:color w:val="auto"/>
                <w:sz w:val="21"/>
                <w:szCs w:val="21"/>
                <w:highlight w:val="none"/>
              </w:rPr>
              <w:t>岗位</w:t>
            </w:r>
          </w:p>
        </w:tc>
        <w:tc>
          <w:tcPr>
            <w:tcW w:w="1462"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rPr>
            </w:pPr>
            <w:r>
              <w:rPr>
                <w:rStyle w:val="112"/>
                <w:rFonts w:hint="default" w:ascii="宋体" w:hAnsi="宋体" w:eastAsia="宋体" w:cs="宋体"/>
                <w:color w:val="auto"/>
                <w:sz w:val="21"/>
                <w:szCs w:val="21"/>
                <w:highlight w:val="none"/>
              </w:rPr>
              <w:t>职称</w:t>
            </w:r>
          </w:p>
        </w:tc>
        <w:tc>
          <w:tcPr>
            <w:tcW w:w="2783"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rPr>
            </w:pPr>
            <w:r>
              <w:rPr>
                <w:rStyle w:val="112"/>
                <w:rFonts w:hint="default" w:ascii="宋体" w:hAnsi="宋体" w:eastAsia="宋体" w:cs="宋体"/>
                <w:color w:val="auto"/>
                <w:sz w:val="21"/>
                <w:szCs w:val="21"/>
                <w:highlight w:val="none"/>
              </w:rPr>
              <w:t>职称证书或资格证书编号</w:t>
            </w:r>
          </w:p>
        </w:tc>
        <w:tc>
          <w:tcPr>
            <w:tcW w:w="858"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rPr>
            </w:pPr>
            <w:r>
              <w:rPr>
                <w:rStyle w:val="112"/>
                <w:rFonts w:hint="default"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bl>
    <w:p>
      <w:pPr>
        <w:autoSpaceDE w:val="0"/>
        <w:autoSpaceDN w:val="0"/>
        <w:adjustRightInd w:val="0"/>
        <w:rPr>
          <w:rFonts w:ascii="宋体" w:hAnsi="宋体" w:cs="宋体"/>
          <w:b/>
          <w:color w:val="auto"/>
          <w:szCs w:val="21"/>
          <w:highlight w:val="none"/>
        </w:rPr>
      </w:pPr>
      <w:r>
        <w:rPr>
          <w:rStyle w:val="112"/>
          <w:rFonts w:hint="default" w:ascii="宋体" w:hAnsi="宋体" w:eastAsia="宋体" w:cs="宋体"/>
          <w:color w:val="auto"/>
          <w:sz w:val="21"/>
          <w:szCs w:val="21"/>
          <w:highlight w:val="none"/>
        </w:rPr>
        <w:t>备注：</w:t>
      </w:r>
      <w:r>
        <w:rPr>
          <w:rStyle w:val="112"/>
          <w:rFonts w:hint="default" w:ascii="宋体" w:hAnsi="宋体" w:eastAsia="宋体" w:cs="宋体"/>
          <w:color w:val="auto"/>
          <w:sz w:val="21"/>
          <w:szCs w:val="21"/>
          <w:highlight w:val="none"/>
        </w:rPr>
        <w:br w:type="textWrapping"/>
      </w:r>
      <w:r>
        <w:rPr>
          <w:rStyle w:val="112"/>
          <w:rFonts w:hint="default" w:ascii="宋体" w:hAnsi="宋体" w:eastAsia="宋体" w:cs="宋体"/>
          <w:color w:val="auto"/>
          <w:sz w:val="21"/>
          <w:szCs w:val="21"/>
          <w:highlight w:val="none"/>
        </w:rPr>
        <w:t>1、“岗位”要求（除项目负责人、专职安全员外）由投标人根据项目管理需要结合自身实力在本表中明确。以上项目管理团队人员信息将由交易系统提取后供各相关单位在履约时比对、查核。</w:t>
      </w:r>
      <w:r>
        <w:rPr>
          <w:rStyle w:val="112"/>
          <w:rFonts w:hint="default" w:ascii="宋体" w:hAnsi="宋体" w:eastAsia="宋体" w:cs="宋体"/>
          <w:color w:val="auto"/>
          <w:sz w:val="21"/>
          <w:szCs w:val="21"/>
          <w:highlight w:val="none"/>
        </w:rPr>
        <w:br w:type="textWrapping"/>
      </w:r>
      <w:r>
        <w:rPr>
          <w:rStyle w:val="112"/>
          <w:rFonts w:hint="default" w:ascii="宋体" w:hAnsi="宋体" w:eastAsia="宋体" w:cs="宋体"/>
          <w:color w:val="auto"/>
          <w:sz w:val="21"/>
          <w:szCs w:val="21"/>
          <w:highlight w:val="none"/>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2"/>
          <w:rFonts w:hint="default" w:ascii="宋体" w:hAnsi="宋体" w:eastAsia="宋体" w:cs="宋体"/>
          <w:color w:val="auto"/>
          <w:sz w:val="21"/>
          <w:szCs w:val="21"/>
          <w:highlight w:val="none"/>
        </w:rPr>
        <w:br w:type="textWrapping"/>
      </w:r>
      <w:r>
        <w:rPr>
          <w:rStyle w:val="112"/>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pStyle w:val="2"/>
        <w:jc w:val="left"/>
        <w:rPr>
          <w:rFonts w:hint="eastAsia"/>
          <w:color w:val="auto"/>
          <w:highlight w:val="none"/>
        </w:rPr>
      </w:pPr>
      <w:r>
        <w:rPr>
          <w:color w:val="auto"/>
          <w:sz w:val="24"/>
          <w:szCs w:val="24"/>
          <w:highlight w:val="none"/>
        </w:rPr>
        <w:br w:type="page"/>
      </w:r>
      <w:bookmarkStart w:id="36" w:name="_Toc21525513"/>
      <w:bookmarkStart w:id="37" w:name="_Toc2272568"/>
      <w:r>
        <w:rPr>
          <w:rFonts w:hint="eastAsia"/>
          <w:color w:val="auto"/>
          <w:highlight w:val="none"/>
        </w:rPr>
        <w:t>附件五：</w:t>
      </w:r>
    </w:p>
    <w:p>
      <w:pPr>
        <w:autoSpaceDE w:val="0"/>
        <w:autoSpaceDN w:val="0"/>
        <w:adjustRightInd w:val="0"/>
        <w:jc w:val="center"/>
        <w:outlineLvl w:val="1"/>
        <w:rPr>
          <w:rFonts w:hint="eastAsia" w:ascii="宋体" w:hAnsi="宋体" w:cs="宋体"/>
          <w:b/>
          <w:bCs/>
          <w:color w:val="auto"/>
          <w:sz w:val="36"/>
          <w:szCs w:val="36"/>
          <w:highlight w:val="none"/>
          <w:lang w:val="zh-CN"/>
        </w:rPr>
      </w:pPr>
    </w:p>
    <w:p>
      <w:pPr>
        <w:autoSpaceDE w:val="0"/>
        <w:autoSpaceDN w:val="0"/>
        <w:adjustRightInd w:val="0"/>
        <w:jc w:val="center"/>
        <w:outlineLvl w:val="1"/>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响应招标文件所附施工组织设计要点的承诺书</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rPr>
          <w:color w:val="auto"/>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hint="eastAsia" w:ascii="黑体" w:hAnsi="黑体" w:eastAsia="黑体" w:cs="华文仿宋"/>
          <w:color w:val="auto"/>
          <w:sz w:val="32"/>
          <w:szCs w:val="32"/>
          <w:highlight w:val="none"/>
        </w:rPr>
      </w:pPr>
    </w:p>
    <w:p>
      <w:pPr>
        <w:pStyle w:val="2"/>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中小企业声明函</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本企业郑重声明，根据《关于印发中小企业划型标准规定的通知》（工信部联企业〔2011〕300号）的规定，本企业具体情况如下：</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本企业属于建筑业行业；营业收入为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万元，资产总额为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万元，属于</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（中型企业、小型企业、微型企业）；</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依据《政府采购促进中小企业发展管理办法》的规定，本企业不属于大企业的分支机构，不存在控股股东为大企业的情形，也不存在与大企业的负责人为同一人的情形。 </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本企业对上述声明内容的真实性负责。如有虚假，将依法承担相应责任。 </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pStyle w:val="2"/>
        <w:spacing w:line="560" w:lineRule="exact"/>
        <w:ind w:firstLine="4800" w:firstLineChars="15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企业名称（盖章）：</w:t>
      </w:r>
    </w:p>
    <w:p>
      <w:pPr>
        <w:pStyle w:val="2"/>
        <w:spacing w:line="560" w:lineRule="exact"/>
        <w:ind w:firstLine="5120" w:firstLineChars="16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日 期：</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注：</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1、营业收入、资产总额填报上一年度数据，无上一年度数据的新成立企业可不填报。</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2、《中小企业声明函》须按照本函格式填写，否则评标委员会有权视其为非中小企业，不享受免于提交投标保证金的优惠政策。</w:t>
      </w:r>
    </w:p>
    <w:p>
      <w:pPr>
        <w:pStyle w:val="2"/>
        <w:spacing w:line="560" w:lineRule="exact"/>
        <w:ind w:firstLine="640" w:firstLineChars="200"/>
        <w:rPr>
          <w:rFonts w:ascii="Times New Roman" w:hAnsi="Times New Roman"/>
          <w:color w:val="auto"/>
          <w:highlight w:val="none"/>
        </w:rPr>
      </w:pPr>
      <w:r>
        <w:rPr>
          <w:rFonts w:hint="eastAsia" w:ascii="仿宋_GB2312" w:hAnsi="Times New Roman" w:eastAsia="仿宋_GB2312"/>
          <w:color w:val="auto"/>
          <w:sz w:val="32"/>
          <w:szCs w:val="32"/>
          <w:highlight w:val="none"/>
        </w:rPr>
        <w:t>3、招标人、招标代理机构将按有关规定公开《中小企业声明函》。</w:t>
      </w:r>
    </w:p>
    <w:p>
      <w:pPr>
        <w:widowControl/>
        <w:jc w:val="left"/>
        <w:rPr>
          <w:color w:val="auto"/>
          <w:highlight w:val="none"/>
        </w:rPr>
      </w:pPr>
      <w:r>
        <w:rPr>
          <w:color w:val="auto"/>
          <w:highlight w:val="none"/>
        </w:rPr>
        <w:br w:type="page"/>
      </w:r>
      <w:r>
        <w:rPr>
          <w:rFonts w:hint="eastAsia"/>
          <w:color w:val="auto"/>
          <w:highlight w:val="none"/>
        </w:rPr>
        <w:t>附件六：</w:t>
      </w:r>
    </w:p>
    <w:p>
      <w:pPr>
        <w:pStyle w:val="2"/>
        <w:spacing w:line="560" w:lineRule="exact"/>
        <w:ind w:firstLine="640" w:firstLineChars="200"/>
        <w:jc w:val="center"/>
        <w:rPr>
          <w:rFonts w:ascii="仿宋_GB2312" w:hAnsi="Times New Roman" w:eastAsia="仿宋_GB2312"/>
          <w:color w:val="auto"/>
          <w:sz w:val="32"/>
          <w:szCs w:val="32"/>
          <w:highlight w:val="none"/>
        </w:rPr>
      </w:pPr>
      <w:r>
        <w:rPr>
          <w:rFonts w:hint="eastAsia" w:ascii="黑体" w:hAnsi="黑体" w:eastAsia="黑体" w:cs="华文仿宋"/>
          <w:color w:val="auto"/>
          <w:sz w:val="32"/>
          <w:szCs w:val="32"/>
          <w:highlight w:val="none"/>
        </w:rPr>
        <w:t>关于投标保证金的承诺</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本招标项目招标人及招标监管机构：</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本公司就参加</w:t>
      </w:r>
      <w:r>
        <w:rPr>
          <w:rFonts w:hint="eastAsia" w:ascii="仿宋_GB2312" w:eastAsia="仿宋_GB2312"/>
          <w:color w:val="auto"/>
          <w:sz w:val="32"/>
          <w:szCs w:val="32"/>
          <w:highlight w:val="none"/>
          <w:u w:val="single"/>
        </w:rPr>
        <w:t xml:space="preserve">      （招标项目名称）     </w:t>
      </w:r>
      <w:r>
        <w:rPr>
          <w:rFonts w:hint="eastAsia" w:ascii="仿宋_GB2312" w:eastAsia="仿宋_GB2312"/>
          <w:color w:val="auto"/>
          <w:sz w:val="32"/>
          <w:szCs w:val="32"/>
          <w:highlight w:val="none"/>
        </w:rPr>
        <w:t>项目的投标工作，作出郑重声明：</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auto"/>
          <w:kern w:val="0"/>
          <w:sz w:val="32"/>
          <w:szCs w:val="32"/>
          <w:highlight w:val="none"/>
        </w:rPr>
        <w:t>一旦发生符合招标文件规定的不予退还投标保证金情形的，将</w:t>
      </w:r>
      <w:r>
        <w:rPr>
          <w:rFonts w:hint="eastAsia" w:ascii="仿宋_GB2312" w:eastAsia="仿宋_GB2312"/>
          <w:color w:val="auto"/>
          <w:sz w:val="32"/>
          <w:szCs w:val="32"/>
          <w:highlight w:val="none"/>
        </w:rPr>
        <w:t>按照招标人的要求，在规定的时间内向招标人足额补交投标保证金。</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特此承诺。</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4160" w:firstLineChars="13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投标人：  （盖章）</w:t>
      </w:r>
    </w:p>
    <w:p>
      <w:pPr>
        <w:jc w:val="center"/>
        <w:rPr>
          <w:color w:val="auto"/>
          <w:szCs w:val="21"/>
          <w:highlight w:val="none"/>
        </w:rPr>
      </w:pPr>
      <w:r>
        <w:rPr>
          <w:rFonts w:hint="eastAsia" w:ascii="仿宋_GB2312" w:eastAsia="仿宋_GB2312"/>
          <w:color w:val="auto"/>
          <w:sz w:val="32"/>
          <w:szCs w:val="32"/>
          <w:highlight w:val="none"/>
        </w:rPr>
        <w:t xml:space="preserve">        日  期：</w:t>
      </w:r>
    </w:p>
    <w:p>
      <w:pPr>
        <w:pStyle w:val="34"/>
        <w:ind w:left="420" w:firstLine="420"/>
        <w:rPr>
          <w:rFonts w:ascii="Times New Roman" w:hAnsi="Times New Roman"/>
          <w:color w:val="auto"/>
          <w:highlight w:val="none"/>
        </w:rPr>
      </w:pPr>
    </w:p>
    <w:p>
      <w:pPr>
        <w:tabs>
          <w:tab w:val="left" w:pos="720"/>
        </w:tabs>
        <w:snapToGrid w:val="0"/>
        <w:spacing w:line="360" w:lineRule="auto"/>
        <w:rPr>
          <w:rStyle w:val="59"/>
          <w:color w:val="auto"/>
          <w:highlight w:val="none"/>
        </w:rPr>
      </w:pPr>
    </w:p>
    <w:p>
      <w:pPr>
        <w:tabs>
          <w:tab w:val="left" w:pos="720"/>
        </w:tabs>
        <w:snapToGrid w:val="0"/>
        <w:spacing w:line="360" w:lineRule="auto"/>
        <w:rPr>
          <w:rStyle w:val="59"/>
          <w:color w:val="auto"/>
          <w:highlight w:val="none"/>
        </w:rPr>
      </w:pPr>
    </w:p>
    <w:p>
      <w:pPr>
        <w:tabs>
          <w:tab w:val="left" w:pos="720"/>
        </w:tabs>
        <w:snapToGrid w:val="0"/>
        <w:spacing w:line="360" w:lineRule="auto"/>
        <w:jc w:val="center"/>
        <w:rPr>
          <w:rStyle w:val="59"/>
          <w:color w:val="auto"/>
          <w:highlight w:val="none"/>
        </w:rPr>
      </w:pPr>
      <w:r>
        <w:rPr>
          <w:rStyle w:val="59"/>
          <w:rFonts w:hint="eastAsia"/>
          <w:color w:val="auto"/>
          <w:highlight w:val="none"/>
        </w:rPr>
        <w:t>第五章</w:t>
      </w:r>
      <w:r>
        <w:rPr>
          <w:rStyle w:val="59"/>
          <w:color w:val="auto"/>
          <w:highlight w:val="none"/>
        </w:rPr>
        <w:t xml:space="preserve">  </w:t>
      </w:r>
      <w:r>
        <w:rPr>
          <w:rStyle w:val="59"/>
          <w:rFonts w:hint="eastAsia"/>
          <w:color w:val="auto"/>
          <w:highlight w:val="none"/>
        </w:rPr>
        <w:t>技术条件（工程建设标准）</w:t>
      </w:r>
      <w:bookmarkEnd w:id="36"/>
      <w:bookmarkEnd w:id="37"/>
    </w:p>
    <w:p>
      <w:pPr>
        <w:rPr>
          <w:rFonts w:ascii="宋体" w:hAnsi="宋体" w:cs="宋体"/>
          <w:b/>
          <w:color w:val="auto"/>
          <w:sz w:val="24"/>
          <w:szCs w:val="24"/>
          <w:highlight w:val="none"/>
        </w:rPr>
      </w:pPr>
      <w:bookmarkStart w:id="38" w:name="_Toc21525514"/>
      <w:bookmarkStart w:id="39" w:name="_Toc2272569"/>
      <w:r>
        <w:rPr>
          <w:rFonts w:hint="eastAsia" w:ascii="宋体" w:hAnsi="宋体" w:cs="宋体"/>
          <w:b/>
          <w:color w:val="auto"/>
          <w:sz w:val="24"/>
          <w:szCs w:val="24"/>
          <w:highlight w:val="none"/>
        </w:rPr>
        <w:t>1.标准</w:t>
      </w:r>
    </w:p>
    <w:p>
      <w:pPr>
        <w:rPr>
          <w:rFonts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40" w:name="_Hlt531956504"/>
      <w:r>
        <w:rPr>
          <w:rFonts w:hint="eastAsia" w:ascii="宋体" w:hAnsi="宋体" w:cs="宋体"/>
          <w:color w:val="auto"/>
          <w:sz w:val="24"/>
          <w:szCs w:val="24"/>
          <w:highlight w:val="none"/>
        </w:rPr>
        <w:t>安全生产目标：杜绝本项目施工人员重大伤亡事故。</w:t>
      </w:r>
      <w:bookmarkEnd w:id="40"/>
    </w:p>
    <w:p>
      <w:pPr>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pStyle w:val="3"/>
        <w:rPr>
          <w:color w:val="auto"/>
          <w:highlight w:val="none"/>
        </w:rPr>
      </w:pPr>
    </w:p>
    <w:p>
      <w:pPr>
        <w:pStyle w:val="5"/>
        <w:rPr>
          <w:color w:val="auto"/>
          <w:highlight w:val="none"/>
        </w:rPr>
      </w:pPr>
    </w:p>
    <w:p>
      <w:pPr>
        <w:pStyle w:val="3"/>
        <w:rPr>
          <w:color w:val="auto"/>
          <w:highlight w:val="none"/>
        </w:rPr>
      </w:pPr>
    </w:p>
    <w:p>
      <w:pPr>
        <w:pStyle w:val="3"/>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38"/>
      <w:bookmarkEnd w:id="39"/>
    </w:p>
    <w:p>
      <w:pPr>
        <w:jc w:val="both"/>
        <w:rPr>
          <w:rFonts w:ascii="宋体"/>
          <w:b/>
          <w:color w:val="auto"/>
          <w:sz w:val="24"/>
          <w:szCs w:val="24"/>
          <w:highlight w:val="none"/>
        </w:rPr>
      </w:pPr>
      <w:r>
        <w:rPr>
          <w:rFonts w:hint="eastAsia" w:ascii="宋体" w:hAnsi="宋体"/>
          <w:color w:val="auto"/>
          <w:sz w:val="24"/>
          <w:szCs w:val="24"/>
          <w:highlight w:val="none"/>
        </w:rPr>
        <w:t>注：另册。</w:t>
      </w:r>
    </w:p>
    <w:p>
      <w:pPr>
        <w:pStyle w:val="3"/>
        <w:rPr>
          <w:color w:val="auto"/>
          <w:highlight w:val="none"/>
        </w:rPr>
      </w:pPr>
      <w:r>
        <w:rPr>
          <w:color w:val="auto"/>
          <w:sz w:val="24"/>
          <w:szCs w:val="24"/>
          <w:highlight w:val="none"/>
        </w:rPr>
        <w:br w:type="page"/>
      </w:r>
      <w:bookmarkStart w:id="41" w:name="_Toc2272570"/>
      <w:bookmarkStart w:id="42" w:name="_Toc21525515"/>
      <w:r>
        <w:rPr>
          <w:rFonts w:hint="eastAsia"/>
          <w:color w:val="auto"/>
          <w:highlight w:val="none"/>
        </w:rPr>
        <w:t>第七章</w:t>
      </w:r>
      <w:r>
        <w:rPr>
          <w:color w:val="auto"/>
          <w:highlight w:val="none"/>
        </w:rPr>
        <w:t xml:space="preserve">  </w:t>
      </w:r>
      <w:r>
        <w:rPr>
          <w:rFonts w:hint="eastAsia"/>
          <w:color w:val="auto"/>
          <w:highlight w:val="none"/>
        </w:rPr>
        <w:t>工程量清单</w:t>
      </w:r>
      <w:bookmarkEnd w:id="41"/>
      <w:bookmarkEnd w:id="42"/>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43" w:name="_Toc21525516"/>
      <w:bookmarkStart w:id="44"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43"/>
      <w:bookmarkEnd w:id="44"/>
    </w:p>
    <w:p>
      <w:pPr>
        <w:spacing w:line="360" w:lineRule="auto"/>
        <w:ind w:firstLine="480"/>
        <w:rPr>
          <w:rFonts w:hint="eastAsia" w:ascii="宋体" w:hAnsi="宋体" w:cs="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s="宋体"/>
          <w:color w:val="auto"/>
          <w:sz w:val="24"/>
          <w:szCs w:val="24"/>
          <w:highlight w:val="none"/>
        </w:rPr>
        <w:t>具体详见本项目公告附件最高投标限价公布函。</w:t>
      </w:r>
    </w:p>
    <w:p>
      <w:pPr>
        <w:pStyle w:val="2"/>
        <w:rPr>
          <w:rFonts w:hint="eastAsia"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rPr>
          <w:color w:val="auto"/>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0"/>
      </w:rPr>
    </w:pPr>
    <w:r>
      <w:rPr>
        <w:rStyle w:val="40"/>
      </w:rPr>
      <w:fldChar w:fldCharType="begin"/>
    </w:r>
    <w:r>
      <w:rPr>
        <w:rStyle w:val="40"/>
      </w:rPr>
      <w:instrText xml:space="preserve">PAGE  </w:instrText>
    </w:r>
    <w:r>
      <w:rPr>
        <w:rStyle w:val="40"/>
      </w:rPr>
      <w:fldChar w:fldCharType="separate"/>
    </w:r>
    <w:r>
      <w:rPr>
        <w:rStyle w:val="40"/>
      </w:rPr>
      <w:t>52</w:t>
    </w:r>
    <w:r>
      <w:rPr>
        <w:rStyle w:val="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0"/>
      </w:rPr>
      <w:fldChar w:fldCharType="begin"/>
    </w:r>
    <w:r>
      <w:rPr>
        <w:rStyle w:val="40"/>
      </w:rPr>
      <w:instrText xml:space="preserve"> PAGE </w:instrText>
    </w:r>
    <w:r>
      <w:rPr>
        <w:rStyle w:val="40"/>
      </w:rPr>
      <w:fldChar w:fldCharType="separate"/>
    </w:r>
    <w:r>
      <w:rPr>
        <w:rStyle w:val="40"/>
      </w:rPr>
      <w:t>51</w:t>
    </w:r>
    <w:r>
      <w:rPr>
        <w:rStyle w:val="4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54</w:t>
    </w:r>
    <w: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0"/>
      </w:rPr>
      <w:instrText xml:space="preserve"> PAGE </w:instrText>
    </w:r>
    <w:r>
      <w:fldChar w:fldCharType="separate"/>
    </w:r>
    <w:r>
      <w:rPr>
        <w:rStyle w:val="40"/>
      </w:rPr>
      <w:t>53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63</w:t>
    </w:r>
    <w:r>
      <w:rPr>
        <w:rStyle w:val="40"/>
      </w:rP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74A9D"/>
    <w:multiLevelType w:val="singleLevel"/>
    <w:tmpl w:val="C5E74A9D"/>
    <w:lvl w:ilvl="0" w:tentative="0">
      <w:start w:val="1"/>
      <w:numFmt w:val="decimal"/>
      <w:suff w:val="nothing"/>
      <w:lvlText w:val="%1、"/>
      <w:lvlJc w:val="left"/>
    </w:lvl>
  </w:abstractNum>
  <w:abstractNum w:abstractNumId="1">
    <w:nsid w:val="D101521B"/>
    <w:multiLevelType w:val="singleLevel"/>
    <w:tmpl w:val="D101521B"/>
    <w:lvl w:ilvl="0" w:tentative="0">
      <w:start w:val="1"/>
      <w:numFmt w:val="decimal"/>
      <w:suff w:val="nothing"/>
      <w:lvlText w:val="%1、"/>
      <w:lvlJc w:val="left"/>
    </w:lvl>
  </w:abstractNum>
  <w:abstractNum w:abstractNumId="2">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IwOTljZGM0YjRiZTY5MDI3ZjMxNDQ1YzdjODczMzUifQ=="/>
  </w:docVars>
  <w:rsids>
    <w:rsidRoot w:val="007B41BE"/>
    <w:rsid w:val="00005FB2"/>
    <w:rsid w:val="000200EE"/>
    <w:rsid w:val="000275BD"/>
    <w:rsid w:val="000575F8"/>
    <w:rsid w:val="000C1007"/>
    <w:rsid w:val="000C11E0"/>
    <w:rsid w:val="000C2710"/>
    <w:rsid w:val="000D396E"/>
    <w:rsid w:val="00107AD1"/>
    <w:rsid w:val="00181CAA"/>
    <w:rsid w:val="001A444A"/>
    <w:rsid w:val="002837D0"/>
    <w:rsid w:val="0029300C"/>
    <w:rsid w:val="002B7895"/>
    <w:rsid w:val="00336AA3"/>
    <w:rsid w:val="004370EC"/>
    <w:rsid w:val="004424B8"/>
    <w:rsid w:val="00446E4A"/>
    <w:rsid w:val="004B295D"/>
    <w:rsid w:val="004C7716"/>
    <w:rsid w:val="005539A0"/>
    <w:rsid w:val="005866FB"/>
    <w:rsid w:val="005C212B"/>
    <w:rsid w:val="006036EF"/>
    <w:rsid w:val="00673B83"/>
    <w:rsid w:val="00680BFD"/>
    <w:rsid w:val="006B6B0D"/>
    <w:rsid w:val="006F3576"/>
    <w:rsid w:val="0073229B"/>
    <w:rsid w:val="00780EC8"/>
    <w:rsid w:val="007B41BE"/>
    <w:rsid w:val="007D6D06"/>
    <w:rsid w:val="0083530B"/>
    <w:rsid w:val="00835C9E"/>
    <w:rsid w:val="0084442D"/>
    <w:rsid w:val="0088089D"/>
    <w:rsid w:val="008919F1"/>
    <w:rsid w:val="008D2515"/>
    <w:rsid w:val="008E4AD1"/>
    <w:rsid w:val="009179DE"/>
    <w:rsid w:val="00920E49"/>
    <w:rsid w:val="009747E9"/>
    <w:rsid w:val="00991949"/>
    <w:rsid w:val="009A0469"/>
    <w:rsid w:val="009A704D"/>
    <w:rsid w:val="009B2C9A"/>
    <w:rsid w:val="00A0387A"/>
    <w:rsid w:val="00A0619D"/>
    <w:rsid w:val="00A20AF3"/>
    <w:rsid w:val="00A2579D"/>
    <w:rsid w:val="00A50D34"/>
    <w:rsid w:val="00A64E29"/>
    <w:rsid w:val="00AD3DEE"/>
    <w:rsid w:val="00AD6716"/>
    <w:rsid w:val="00B2435C"/>
    <w:rsid w:val="00B83A92"/>
    <w:rsid w:val="00BB2F60"/>
    <w:rsid w:val="00BC7B91"/>
    <w:rsid w:val="00BE1732"/>
    <w:rsid w:val="00BE216D"/>
    <w:rsid w:val="00BF4229"/>
    <w:rsid w:val="00C267C0"/>
    <w:rsid w:val="00C32C1E"/>
    <w:rsid w:val="00C35453"/>
    <w:rsid w:val="00C408D3"/>
    <w:rsid w:val="00C5365F"/>
    <w:rsid w:val="00C81F53"/>
    <w:rsid w:val="00C82C8A"/>
    <w:rsid w:val="00C86E4E"/>
    <w:rsid w:val="00CD156B"/>
    <w:rsid w:val="00CE6D2E"/>
    <w:rsid w:val="00D75B45"/>
    <w:rsid w:val="00D84E64"/>
    <w:rsid w:val="00DB706E"/>
    <w:rsid w:val="00E22EAB"/>
    <w:rsid w:val="00E457F6"/>
    <w:rsid w:val="00E638F3"/>
    <w:rsid w:val="00E9778C"/>
    <w:rsid w:val="00EB0EF4"/>
    <w:rsid w:val="00EB6530"/>
    <w:rsid w:val="00EC014E"/>
    <w:rsid w:val="00F3100E"/>
    <w:rsid w:val="00F40301"/>
    <w:rsid w:val="00F96F91"/>
    <w:rsid w:val="00FA5926"/>
    <w:rsid w:val="00FC5596"/>
    <w:rsid w:val="01A324E9"/>
    <w:rsid w:val="01C53F3E"/>
    <w:rsid w:val="01D152A8"/>
    <w:rsid w:val="0243688C"/>
    <w:rsid w:val="025A529E"/>
    <w:rsid w:val="02FE2D03"/>
    <w:rsid w:val="03124864"/>
    <w:rsid w:val="03184F30"/>
    <w:rsid w:val="036F4693"/>
    <w:rsid w:val="04262463"/>
    <w:rsid w:val="045066FF"/>
    <w:rsid w:val="04B56FD0"/>
    <w:rsid w:val="05935ABA"/>
    <w:rsid w:val="06327B5B"/>
    <w:rsid w:val="06391F63"/>
    <w:rsid w:val="0694453D"/>
    <w:rsid w:val="06A05249"/>
    <w:rsid w:val="072F44E3"/>
    <w:rsid w:val="073B1CC1"/>
    <w:rsid w:val="07B30216"/>
    <w:rsid w:val="07CC4C61"/>
    <w:rsid w:val="08777DF5"/>
    <w:rsid w:val="08EF0C8C"/>
    <w:rsid w:val="08FD31F7"/>
    <w:rsid w:val="090B5543"/>
    <w:rsid w:val="09AD5B81"/>
    <w:rsid w:val="09D771D4"/>
    <w:rsid w:val="09F33618"/>
    <w:rsid w:val="0A5615D2"/>
    <w:rsid w:val="0AC73CE9"/>
    <w:rsid w:val="0B194835"/>
    <w:rsid w:val="0BA555DC"/>
    <w:rsid w:val="0BFF553A"/>
    <w:rsid w:val="0C163FA6"/>
    <w:rsid w:val="0D407BD1"/>
    <w:rsid w:val="0D5E54A5"/>
    <w:rsid w:val="0D6B30D4"/>
    <w:rsid w:val="0F511424"/>
    <w:rsid w:val="0F7E4AB5"/>
    <w:rsid w:val="0FAC68BB"/>
    <w:rsid w:val="0FEF45D8"/>
    <w:rsid w:val="104135F9"/>
    <w:rsid w:val="105015B9"/>
    <w:rsid w:val="10930611"/>
    <w:rsid w:val="10990EC7"/>
    <w:rsid w:val="10AA09E6"/>
    <w:rsid w:val="114C494B"/>
    <w:rsid w:val="11E8746F"/>
    <w:rsid w:val="11F31941"/>
    <w:rsid w:val="12CB0A5B"/>
    <w:rsid w:val="13375D52"/>
    <w:rsid w:val="13E51F6C"/>
    <w:rsid w:val="13E72709"/>
    <w:rsid w:val="14D34591"/>
    <w:rsid w:val="154D4C74"/>
    <w:rsid w:val="15A47E68"/>
    <w:rsid w:val="16861D19"/>
    <w:rsid w:val="173F18BE"/>
    <w:rsid w:val="18151F96"/>
    <w:rsid w:val="181C07FE"/>
    <w:rsid w:val="187354C1"/>
    <w:rsid w:val="189237DC"/>
    <w:rsid w:val="18A254CF"/>
    <w:rsid w:val="190621F2"/>
    <w:rsid w:val="1A2F4635"/>
    <w:rsid w:val="1A531F7F"/>
    <w:rsid w:val="1A98475D"/>
    <w:rsid w:val="1AD03189"/>
    <w:rsid w:val="1AFC3630"/>
    <w:rsid w:val="1B257D65"/>
    <w:rsid w:val="1B862A01"/>
    <w:rsid w:val="1C3754F0"/>
    <w:rsid w:val="1C817B9F"/>
    <w:rsid w:val="1D946687"/>
    <w:rsid w:val="1E203761"/>
    <w:rsid w:val="1E486D96"/>
    <w:rsid w:val="1EA91761"/>
    <w:rsid w:val="1EBA5A37"/>
    <w:rsid w:val="1F647BA2"/>
    <w:rsid w:val="1FF540F7"/>
    <w:rsid w:val="1FF92163"/>
    <w:rsid w:val="20216DCB"/>
    <w:rsid w:val="202C50C6"/>
    <w:rsid w:val="20BB73F7"/>
    <w:rsid w:val="20EA0012"/>
    <w:rsid w:val="20EB0C9B"/>
    <w:rsid w:val="20EB1AE8"/>
    <w:rsid w:val="20F461FB"/>
    <w:rsid w:val="212A1126"/>
    <w:rsid w:val="228D3CB5"/>
    <w:rsid w:val="22AD0709"/>
    <w:rsid w:val="23141450"/>
    <w:rsid w:val="24A972CC"/>
    <w:rsid w:val="269C22EB"/>
    <w:rsid w:val="27AC1B6A"/>
    <w:rsid w:val="28530A3B"/>
    <w:rsid w:val="28790229"/>
    <w:rsid w:val="289F315B"/>
    <w:rsid w:val="29466BCF"/>
    <w:rsid w:val="2A880A7B"/>
    <w:rsid w:val="2ABB54F4"/>
    <w:rsid w:val="2AE676B4"/>
    <w:rsid w:val="2C0D164C"/>
    <w:rsid w:val="2DC4660F"/>
    <w:rsid w:val="30997F39"/>
    <w:rsid w:val="30AC62B5"/>
    <w:rsid w:val="30CB388B"/>
    <w:rsid w:val="310A17BD"/>
    <w:rsid w:val="31682B17"/>
    <w:rsid w:val="31C174D6"/>
    <w:rsid w:val="32184F44"/>
    <w:rsid w:val="32BF3509"/>
    <w:rsid w:val="339B6959"/>
    <w:rsid w:val="33BA702B"/>
    <w:rsid w:val="33CB137D"/>
    <w:rsid w:val="33F5184C"/>
    <w:rsid w:val="3457257C"/>
    <w:rsid w:val="34755858"/>
    <w:rsid w:val="35501486"/>
    <w:rsid w:val="35BB7673"/>
    <w:rsid w:val="361600A4"/>
    <w:rsid w:val="36FA484C"/>
    <w:rsid w:val="37465954"/>
    <w:rsid w:val="375D203C"/>
    <w:rsid w:val="37FA01D4"/>
    <w:rsid w:val="38026A6F"/>
    <w:rsid w:val="38660B51"/>
    <w:rsid w:val="386C44C8"/>
    <w:rsid w:val="38FB5AD3"/>
    <w:rsid w:val="390239BE"/>
    <w:rsid w:val="39C15447"/>
    <w:rsid w:val="39F308E8"/>
    <w:rsid w:val="39FF6BA3"/>
    <w:rsid w:val="3A4B56FC"/>
    <w:rsid w:val="3A566F31"/>
    <w:rsid w:val="3A8B1EF5"/>
    <w:rsid w:val="3A8D1903"/>
    <w:rsid w:val="3B0B1AD8"/>
    <w:rsid w:val="3B817F46"/>
    <w:rsid w:val="3C0435A9"/>
    <w:rsid w:val="3C6D13A1"/>
    <w:rsid w:val="3C6E7851"/>
    <w:rsid w:val="3CB17B91"/>
    <w:rsid w:val="3D60411F"/>
    <w:rsid w:val="3F6C2C90"/>
    <w:rsid w:val="3FC7088B"/>
    <w:rsid w:val="3FD413D2"/>
    <w:rsid w:val="41CF635B"/>
    <w:rsid w:val="41E657FF"/>
    <w:rsid w:val="42A21DA3"/>
    <w:rsid w:val="42BB330B"/>
    <w:rsid w:val="433E7706"/>
    <w:rsid w:val="43CC4A3F"/>
    <w:rsid w:val="43FE7235"/>
    <w:rsid w:val="447555F4"/>
    <w:rsid w:val="447C0411"/>
    <w:rsid w:val="44C82124"/>
    <w:rsid w:val="450D5A45"/>
    <w:rsid w:val="45675EB9"/>
    <w:rsid w:val="45C65BB7"/>
    <w:rsid w:val="46B567EC"/>
    <w:rsid w:val="4789207B"/>
    <w:rsid w:val="47BC16D6"/>
    <w:rsid w:val="47ED366A"/>
    <w:rsid w:val="481A7151"/>
    <w:rsid w:val="48523C0A"/>
    <w:rsid w:val="493058B4"/>
    <w:rsid w:val="4B3F6B82"/>
    <w:rsid w:val="4B6B7860"/>
    <w:rsid w:val="4BFE3359"/>
    <w:rsid w:val="4C066B29"/>
    <w:rsid w:val="4C3719B2"/>
    <w:rsid w:val="4C902A8D"/>
    <w:rsid w:val="4C96649F"/>
    <w:rsid w:val="4CC414CF"/>
    <w:rsid w:val="4CC87B94"/>
    <w:rsid w:val="4CCC0113"/>
    <w:rsid w:val="4D2866B7"/>
    <w:rsid w:val="4D882C0D"/>
    <w:rsid w:val="4DBC0187"/>
    <w:rsid w:val="4E6C325B"/>
    <w:rsid w:val="4E8F6564"/>
    <w:rsid w:val="4ED65279"/>
    <w:rsid w:val="4F962978"/>
    <w:rsid w:val="502244A5"/>
    <w:rsid w:val="50760543"/>
    <w:rsid w:val="50AC709C"/>
    <w:rsid w:val="51BB4DAA"/>
    <w:rsid w:val="52592E98"/>
    <w:rsid w:val="53672172"/>
    <w:rsid w:val="53C11B84"/>
    <w:rsid w:val="53F92C98"/>
    <w:rsid w:val="548C6339"/>
    <w:rsid w:val="54AE09CE"/>
    <w:rsid w:val="54B40BE7"/>
    <w:rsid w:val="55995214"/>
    <w:rsid w:val="55DC535C"/>
    <w:rsid w:val="56AE4214"/>
    <w:rsid w:val="573354B6"/>
    <w:rsid w:val="57452F9B"/>
    <w:rsid w:val="57920D10"/>
    <w:rsid w:val="57E02CC4"/>
    <w:rsid w:val="58223237"/>
    <w:rsid w:val="5864233E"/>
    <w:rsid w:val="58F51A81"/>
    <w:rsid w:val="590D059C"/>
    <w:rsid w:val="592B15DF"/>
    <w:rsid w:val="593E6324"/>
    <w:rsid w:val="59C9560C"/>
    <w:rsid w:val="59E2645B"/>
    <w:rsid w:val="5A755E33"/>
    <w:rsid w:val="5AE07983"/>
    <w:rsid w:val="5B215ACE"/>
    <w:rsid w:val="5BA66C84"/>
    <w:rsid w:val="5BC04CA0"/>
    <w:rsid w:val="5C193C6F"/>
    <w:rsid w:val="5CA95D7B"/>
    <w:rsid w:val="5CDF456F"/>
    <w:rsid w:val="5D572C78"/>
    <w:rsid w:val="5DD714A4"/>
    <w:rsid w:val="5E6D347A"/>
    <w:rsid w:val="5ECB5FF5"/>
    <w:rsid w:val="5F0F299B"/>
    <w:rsid w:val="5F4B72E8"/>
    <w:rsid w:val="5FEF5F56"/>
    <w:rsid w:val="607D63EF"/>
    <w:rsid w:val="61856700"/>
    <w:rsid w:val="618E445E"/>
    <w:rsid w:val="620F7EF6"/>
    <w:rsid w:val="62832486"/>
    <w:rsid w:val="638A67B2"/>
    <w:rsid w:val="638B442C"/>
    <w:rsid w:val="63C01BA2"/>
    <w:rsid w:val="63C10880"/>
    <w:rsid w:val="644C1739"/>
    <w:rsid w:val="648150B9"/>
    <w:rsid w:val="64FB758F"/>
    <w:rsid w:val="64FD03AC"/>
    <w:rsid w:val="653505E7"/>
    <w:rsid w:val="65755678"/>
    <w:rsid w:val="65890C8C"/>
    <w:rsid w:val="65E77799"/>
    <w:rsid w:val="66BE34B8"/>
    <w:rsid w:val="677772D0"/>
    <w:rsid w:val="6777770A"/>
    <w:rsid w:val="68403A64"/>
    <w:rsid w:val="68E029FD"/>
    <w:rsid w:val="69147527"/>
    <w:rsid w:val="69703036"/>
    <w:rsid w:val="699A2DE5"/>
    <w:rsid w:val="69AC0C58"/>
    <w:rsid w:val="69B813AB"/>
    <w:rsid w:val="69FA40E3"/>
    <w:rsid w:val="6B036428"/>
    <w:rsid w:val="6B040620"/>
    <w:rsid w:val="6B407C0E"/>
    <w:rsid w:val="6B804DE4"/>
    <w:rsid w:val="6BC46986"/>
    <w:rsid w:val="6C7621DF"/>
    <w:rsid w:val="6C787452"/>
    <w:rsid w:val="6C7D39C9"/>
    <w:rsid w:val="6CEF4F0F"/>
    <w:rsid w:val="6D473178"/>
    <w:rsid w:val="6D824924"/>
    <w:rsid w:val="6DAB59DE"/>
    <w:rsid w:val="6EAF3BF9"/>
    <w:rsid w:val="6F3D48CD"/>
    <w:rsid w:val="6F9220A7"/>
    <w:rsid w:val="6F9D106B"/>
    <w:rsid w:val="6F9F1217"/>
    <w:rsid w:val="6FD146E6"/>
    <w:rsid w:val="702751BC"/>
    <w:rsid w:val="70803C45"/>
    <w:rsid w:val="708A2F7E"/>
    <w:rsid w:val="70AF7646"/>
    <w:rsid w:val="70E06CE3"/>
    <w:rsid w:val="71533DB0"/>
    <w:rsid w:val="71CC34BB"/>
    <w:rsid w:val="723F4C97"/>
    <w:rsid w:val="739909A9"/>
    <w:rsid w:val="73BC4877"/>
    <w:rsid w:val="73CC483B"/>
    <w:rsid w:val="74550B7F"/>
    <w:rsid w:val="74660147"/>
    <w:rsid w:val="747857C5"/>
    <w:rsid w:val="74BC2D43"/>
    <w:rsid w:val="74D57DC3"/>
    <w:rsid w:val="75091C36"/>
    <w:rsid w:val="754D4AAC"/>
    <w:rsid w:val="754E44BD"/>
    <w:rsid w:val="75866B39"/>
    <w:rsid w:val="76117735"/>
    <w:rsid w:val="761F5CF5"/>
    <w:rsid w:val="762A5C33"/>
    <w:rsid w:val="76305A01"/>
    <w:rsid w:val="769748A4"/>
    <w:rsid w:val="76F579B0"/>
    <w:rsid w:val="77302EC9"/>
    <w:rsid w:val="77862AE9"/>
    <w:rsid w:val="780E4FF0"/>
    <w:rsid w:val="783B609A"/>
    <w:rsid w:val="7A637111"/>
    <w:rsid w:val="7A9554CF"/>
    <w:rsid w:val="7AAC32D3"/>
    <w:rsid w:val="7ADC31A8"/>
    <w:rsid w:val="7AF33058"/>
    <w:rsid w:val="7B012F78"/>
    <w:rsid w:val="7BFC5316"/>
    <w:rsid w:val="7C4319B2"/>
    <w:rsid w:val="7CBD6A8F"/>
    <w:rsid w:val="7CC47394"/>
    <w:rsid w:val="7CFF4621"/>
    <w:rsid w:val="7D5F768E"/>
    <w:rsid w:val="7E97060A"/>
    <w:rsid w:val="7EF002A6"/>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9"/>
    <w:qFormat/>
    <w:uiPriority w:val="0"/>
    <w:pPr>
      <w:keepNext/>
      <w:keepLines/>
      <w:spacing w:after="120" w:line="360" w:lineRule="auto"/>
      <w:outlineLvl w:val="0"/>
    </w:pPr>
    <w:rPr>
      <w:kern w:val="44"/>
      <w:sz w:val="28"/>
      <w:szCs w:val="28"/>
    </w:rPr>
  </w:style>
  <w:style w:type="paragraph" w:styleId="7">
    <w:name w:val="heading 2"/>
    <w:basedOn w:val="1"/>
    <w:next w:val="1"/>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1"/>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2"/>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0"/>
    <w:qFormat/>
    <w:uiPriority w:val="0"/>
    <w:rPr>
      <w:rFonts w:ascii="宋体" w:hAnsi="Courier New"/>
      <w:szCs w:val="20"/>
    </w:rPr>
  </w:style>
  <w:style w:type="paragraph" w:styleId="4">
    <w:name w:val="Title"/>
    <w:basedOn w:val="1"/>
    <w:link w:val="68"/>
    <w:qFormat/>
    <w:uiPriority w:val="0"/>
    <w:pPr>
      <w:spacing w:before="120" w:after="60"/>
      <w:jc w:val="center"/>
    </w:pPr>
    <w:rPr>
      <w:rFonts w:ascii="Arial" w:hAnsi="Arial"/>
      <w:b/>
      <w:sz w:val="44"/>
      <w:szCs w:val="20"/>
    </w:rPr>
  </w:style>
  <w:style w:type="paragraph" w:styleId="5">
    <w:name w:val="Body Text First Indent"/>
    <w:basedOn w:val="6"/>
    <w:link w:val="72"/>
    <w:qFormat/>
    <w:uiPriority w:val="0"/>
    <w:pPr>
      <w:ind w:firstLine="420"/>
    </w:pPr>
  </w:style>
  <w:style w:type="paragraph" w:styleId="6">
    <w:name w:val="Body Text"/>
    <w:basedOn w:val="1"/>
    <w:next w:val="1"/>
    <w:link w:val="70"/>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8"/>
    <w:qFormat/>
    <w:uiPriority w:val="0"/>
    <w:pPr>
      <w:shd w:val="clear" w:color="auto" w:fill="000080"/>
    </w:pPr>
    <w:rPr>
      <w:rFonts w:ascii="Times New Roman" w:hAnsi="Times New Roman"/>
      <w:szCs w:val="20"/>
    </w:rPr>
  </w:style>
  <w:style w:type="paragraph" w:styleId="17">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6"/>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Normal (Web)"/>
    <w:basedOn w:val="1"/>
    <w:qFormat/>
    <w:uiPriority w:val="0"/>
    <w:pPr>
      <w:spacing w:before="100" w:beforeAutospacing="1" w:after="100" w:afterAutospacing="1"/>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108"/>
    <w:qFormat/>
    <w:uiPriority w:val="0"/>
    <w:rPr>
      <w:b/>
      <w:bCs/>
    </w:rPr>
  </w:style>
  <w:style w:type="paragraph" w:styleId="34">
    <w:name w:val="Body Text First Indent 2"/>
    <w:basedOn w:val="1"/>
    <w:qFormat/>
    <w:uiPriority w:val="0"/>
    <w:pPr>
      <w:spacing w:after="120"/>
      <w:ind w:left="200" w:leftChars="200" w:firstLine="200" w:firstLineChars="200"/>
    </w:pPr>
    <w:rPr>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Char"/>
    <w:link w:val="8"/>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Char"/>
    <w:link w:val="25"/>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Char"/>
    <w:link w:val="24"/>
    <w:qFormat/>
    <w:uiPriority w:val="0"/>
    <w:rPr>
      <w:rFonts w:ascii="Calibri" w:hAnsi="Calibri" w:eastAsia="宋体" w:cs="Times New Roman"/>
      <w:sz w:val="18"/>
      <w:szCs w:val="18"/>
    </w:rPr>
  </w:style>
  <w:style w:type="character" w:customStyle="1" w:styleId="59">
    <w:name w:val="标题 1 Char"/>
    <w:link w:val="3"/>
    <w:qFormat/>
    <w:uiPriority w:val="0"/>
    <w:rPr>
      <w:rFonts w:ascii="Arial" w:hAnsi="Arial" w:eastAsia="宋体"/>
      <w:b/>
      <w:kern w:val="44"/>
      <w:sz w:val="28"/>
      <w:szCs w:val="28"/>
    </w:rPr>
  </w:style>
  <w:style w:type="character" w:customStyle="1" w:styleId="60">
    <w:name w:val="标题 2 Char"/>
    <w:link w:val="7"/>
    <w:qFormat/>
    <w:uiPriority w:val="0"/>
    <w:rPr>
      <w:rFonts w:ascii="Arial" w:hAnsi="Arial" w:eastAsia="宋体" w:cs="Times New Roman"/>
      <w:b/>
      <w:color w:val="000000"/>
      <w:sz w:val="24"/>
      <w:szCs w:val="24"/>
    </w:rPr>
  </w:style>
  <w:style w:type="character" w:customStyle="1" w:styleId="61">
    <w:name w:val="标题 4 Char"/>
    <w:link w:val="9"/>
    <w:qFormat/>
    <w:uiPriority w:val="0"/>
    <w:rPr>
      <w:rFonts w:ascii="Arial" w:hAnsi="Arial" w:eastAsia="宋体" w:cs="Times New Roman"/>
      <w:color w:val="000000"/>
      <w:szCs w:val="21"/>
    </w:rPr>
  </w:style>
  <w:style w:type="character" w:customStyle="1" w:styleId="62">
    <w:name w:val="标题 5 Char"/>
    <w:link w:val="11"/>
    <w:qFormat/>
    <w:uiPriority w:val="0"/>
    <w:rPr>
      <w:rFonts w:ascii="Arial" w:hAnsi="Arial" w:eastAsia="宋体" w:cs="Times New Roman"/>
      <w:color w:val="000000"/>
      <w:szCs w:val="21"/>
    </w:rPr>
  </w:style>
  <w:style w:type="character" w:customStyle="1" w:styleId="63">
    <w:name w:val="标题 6 Char"/>
    <w:link w:val="12"/>
    <w:qFormat/>
    <w:uiPriority w:val="0"/>
    <w:rPr>
      <w:rFonts w:ascii="Arial" w:hAnsi="Arial" w:eastAsia="黑体" w:cs="Times New Roman"/>
      <w:b/>
      <w:bCs/>
      <w:sz w:val="24"/>
      <w:szCs w:val="24"/>
    </w:rPr>
  </w:style>
  <w:style w:type="character" w:customStyle="1" w:styleId="64">
    <w:name w:val="标题 7 Char"/>
    <w:link w:val="13"/>
    <w:qFormat/>
    <w:uiPriority w:val="0"/>
    <w:rPr>
      <w:rFonts w:ascii="Times New Roman" w:hAnsi="Times New Roman" w:eastAsia="宋体" w:cs="Times New Roman"/>
      <w:b/>
      <w:sz w:val="24"/>
      <w:szCs w:val="20"/>
    </w:rPr>
  </w:style>
  <w:style w:type="character" w:customStyle="1" w:styleId="65">
    <w:name w:val="标题 8 Char"/>
    <w:link w:val="14"/>
    <w:qFormat/>
    <w:uiPriority w:val="0"/>
    <w:rPr>
      <w:rFonts w:ascii="Arial" w:hAnsi="Arial" w:eastAsia="黑体" w:cs="Times New Roman"/>
      <w:sz w:val="24"/>
      <w:szCs w:val="20"/>
    </w:rPr>
  </w:style>
  <w:style w:type="character" w:customStyle="1" w:styleId="66">
    <w:name w:val="标题 9 Char"/>
    <w:link w:val="15"/>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4"/>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6"/>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5"/>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8"/>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6"/>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2"/>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10"/>
    <w:qFormat/>
    <w:uiPriority w:val="0"/>
    <w:pPr>
      <w:ind w:firstLine="0"/>
    </w:pPr>
    <w:rPr>
      <w:rFonts w:ascii="仿宋_GB2312" w:eastAsia="仿宋_GB2312"/>
      <w:sz w:val="30"/>
      <w:szCs w:val="24"/>
    </w:rPr>
  </w:style>
  <w:style w:type="paragraph" w:customStyle="1" w:styleId="95">
    <w:name w:val="Char Char Char1 Char"/>
    <w:basedOn w:val="16"/>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3"/>
    <w:qFormat/>
    <w:uiPriority w:val="0"/>
    <w:rPr>
      <w:rFonts w:ascii="Times New Roman" w:hAnsi="Times New Roman" w:eastAsia="宋体" w:cs="Times New Roman"/>
      <w:sz w:val="18"/>
      <w:szCs w:val="18"/>
    </w:rPr>
  </w:style>
  <w:style w:type="paragraph" w:customStyle="1" w:styleId="102">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7"/>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2">
    <w:name w:val="font11"/>
    <w:qFormat/>
    <w:uiPriority w:val="0"/>
    <w:rPr>
      <w:rFonts w:hint="eastAsia" w:ascii="仿宋" w:hAnsi="仿宋" w:eastAsia="仿宋" w:cs="仿宋"/>
      <w:color w:val="000000"/>
      <w:sz w:val="28"/>
      <w:szCs w:val="28"/>
      <w:u w:val="none"/>
    </w:rPr>
  </w:style>
  <w:style w:type="paragraph" w:customStyle="1" w:styleId="113">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5">
    <w:name w:val="正文 New New"/>
    <w:qFormat/>
    <w:uiPriority w:val="0"/>
    <w:pPr>
      <w:widowControl w:val="0"/>
      <w:jc w:val="both"/>
    </w:pPr>
    <w:rPr>
      <w:rFonts w:ascii="Calibri" w:hAnsi="Calibri" w:eastAsia="楷体_GB2312" w:cs="Times New Roman"/>
      <w:lang w:val="en-US" w:eastAsia="zh-CN" w:bidi="ar-SA"/>
    </w:rPr>
  </w:style>
  <w:style w:type="character" w:customStyle="1" w:styleId="116">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7">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8">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19">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0">
    <w:name w:val="Plain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44255</Words>
  <Characters>46631</Characters>
  <Lines>373</Lines>
  <Paragraphs>105</Paragraphs>
  <TotalTime>2</TotalTime>
  <ScaleCrop>false</ScaleCrop>
  <LinksUpToDate>false</LinksUpToDate>
  <CharactersWithSpaces>48659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2023-04-10T15:53:00Z</dcterms:created>
  <dc:creator>管理员</dc:creator>
  <cp:lastModifiedBy>Administrator</cp:lastModifiedBy>
  <dcterms:modified xsi:type="dcterms:W3CDTF">2023-09-01T09:26:03Z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370295C86D9C48D1AA8A8E896F6AE751_13</vt:lpwstr>
  </property>
</Properties>
</file>