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2"/>
        <w:rPr>
          <w:rFonts w:ascii="宋体" w:hAnsi="宋体" w:cs="宋体"/>
          <w:b/>
          <w:bCs/>
          <w:sz w:val="28"/>
          <w:szCs w:val="27"/>
        </w:rPr>
      </w:pPr>
      <w:bookmarkStart w:id="0" w:name="_Toc142166611"/>
      <w:r>
        <w:rPr>
          <w:rFonts w:hint="eastAsia" w:ascii="宋体" w:hAnsi="宋体" w:cs="宋体"/>
          <w:b/>
          <w:bCs/>
          <w:sz w:val="28"/>
          <w:szCs w:val="27"/>
        </w:rPr>
        <w:t>附件：危险性较大的分部分项工程安全管理措施</w:t>
      </w:r>
      <w:bookmarkEnd w:id="0"/>
    </w:p>
    <w:p>
      <w:pPr>
        <w:autoSpaceDE w:val="0"/>
        <w:autoSpaceDN w:val="0"/>
        <w:adjustRightInd w:val="0"/>
        <w:spacing w:line="440" w:lineRule="exact"/>
        <w:ind w:firstLine="480" w:firstLineChars="200"/>
        <w:jc w:val="left"/>
        <w:rPr>
          <w:rFonts w:ascii="宋体" w:hAnsi="宋体" w:cs="宋体"/>
          <w:snapToGrid w:val="0"/>
          <w:spacing w:val="4"/>
          <w:kern w:val="0"/>
          <w:sz w:val="24"/>
          <w:szCs w:val="24"/>
        </w:rPr>
      </w:pPr>
      <w:r>
        <w:rPr>
          <w:rFonts w:hint="eastAsia" w:ascii="宋体" w:hAnsi="宋体" w:cs="宋体"/>
          <w:sz w:val="24"/>
          <w:szCs w:val="28"/>
        </w:rPr>
        <w:t>1</w:t>
      </w:r>
      <w:r>
        <w:rPr>
          <w:rFonts w:ascii="宋体" w:hAnsi="宋体" w:cs="宋体"/>
          <w:sz w:val="24"/>
          <w:szCs w:val="28"/>
        </w:rPr>
        <w:t>.</w:t>
      </w:r>
      <w:r>
        <w:rPr>
          <w:rFonts w:hint="eastAsia" w:ascii="宋体" w:hAnsi="宋体" w:cs="宋体"/>
          <w:sz w:val="24"/>
          <w:szCs w:val="28"/>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pPr>
        <w:autoSpaceDE w:val="0"/>
        <w:autoSpaceDN w:val="0"/>
        <w:adjustRightInd w:val="0"/>
        <w:spacing w:line="440" w:lineRule="exact"/>
        <w:ind w:firstLine="496" w:firstLineChars="200"/>
        <w:jc w:val="left"/>
        <w:rPr>
          <w:rFonts w:ascii="宋体" w:hAnsi="宋体" w:cs="宋体"/>
          <w:snapToGrid w:val="0"/>
          <w:spacing w:val="4"/>
          <w:kern w:val="0"/>
          <w:sz w:val="24"/>
          <w:szCs w:val="24"/>
        </w:rPr>
      </w:pPr>
      <w:r>
        <w:rPr>
          <w:rFonts w:ascii="宋体" w:hAnsi="宋体" w:cs="宋体"/>
          <w:snapToGrid w:val="0"/>
          <w:spacing w:val="4"/>
          <w:kern w:val="0"/>
          <w:sz w:val="24"/>
          <w:szCs w:val="24"/>
        </w:rPr>
        <w:t>2.</w:t>
      </w:r>
      <w:r>
        <w:rPr>
          <w:rFonts w:hint="eastAsia" w:ascii="宋体" w:hAnsi="宋体" w:cs="宋体"/>
          <w:sz w:val="24"/>
          <w:szCs w:val="28"/>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s="宋体"/>
          <w:sz w:val="24"/>
          <w:szCs w:val="36"/>
        </w:rPr>
        <w:t>√”标识。</w:t>
      </w:r>
    </w:p>
    <w:p>
      <w:pPr>
        <w:autoSpaceDE w:val="0"/>
        <w:autoSpaceDN w:val="0"/>
        <w:adjustRightInd w:val="0"/>
        <w:spacing w:line="440" w:lineRule="exact"/>
        <w:ind w:firstLine="496" w:firstLineChars="200"/>
        <w:jc w:val="left"/>
        <w:rPr>
          <w:rFonts w:ascii="宋体" w:hAnsi="宋体" w:cs="宋体"/>
          <w:snapToGrid w:val="0"/>
          <w:spacing w:val="4"/>
          <w:kern w:val="0"/>
          <w:sz w:val="24"/>
          <w:szCs w:val="24"/>
        </w:rPr>
      </w:pPr>
      <w:r>
        <w:rPr>
          <w:rFonts w:hint="eastAsia" w:ascii="宋体" w:hAnsi="宋体" w:cs="宋体"/>
          <w:snapToGrid w:val="0"/>
          <w:spacing w:val="4"/>
          <w:kern w:val="0"/>
          <w:sz w:val="24"/>
          <w:szCs w:val="24"/>
        </w:rPr>
        <w:t>（1）</w:t>
      </w:r>
      <w:r>
        <w:rPr>
          <w:rFonts w:hint="eastAsia" w:ascii="宋体" w:hAnsi="宋体" w:cs="宋体"/>
          <w:sz w:val="24"/>
          <w:szCs w:val="28"/>
        </w:rPr>
        <w:t>投标单位同意招标人在清单中标识的该项请在对应项打“</w:t>
      </w:r>
      <w:r>
        <w:rPr>
          <w:rFonts w:hint="eastAsia" w:ascii="宋体" w:hAnsi="宋体" w:cs="宋体"/>
          <w:sz w:val="24"/>
          <w:szCs w:val="36"/>
        </w:rPr>
        <w:t>√”标识，并在投标文件中提供相应的安全管理措施。</w:t>
      </w:r>
    </w:p>
    <w:p>
      <w:pPr>
        <w:autoSpaceDE w:val="0"/>
        <w:autoSpaceDN w:val="0"/>
        <w:adjustRightInd w:val="0"/>
        <w:spacing w:line="440" w:lineRule="exact"/>
        <w:ind w:firstLine="496" w:firstLineChars="200"/>
        <w:jc w:val="left"/>
        <w:rPr>
          <w:rFonts w:ascii="宋体" w:hAnsi="宋体" w:cs="宋体"/>
          <w:snapToGrid w:val="0"/>
          <w:spacing w:val="4"/>
          <w:kern w:val="0"/>
          <w:sz w:val="24"/>
          <w:szCs w:val="24"/>
        </w:rPr>
      </w:pPr>
      <w:r>
        <w:rPr>
          <w:rFonts w:hint="eastAsia" w:ascii="宋体" w:hAnsi="宋体" w:cs="宋体"/>
          <w:snapToGrid w:val="0"/>
          <w:spacing w:val="4"/>
          <w:kern w:val="0"/>
          <w:sz w:val="24"/>
          <w:szCs w:val="24"/>
        </w:rPr>
        <w:t>（2）</w:t>
      </w:r>
      <w:r>
        <w:rPr>
          <w:rFonts w:hint="eastAsia" w:ascii="宋体" w:hAnsi="宋体" w:cs="宋体"/>
          <w:sz w:val="24"/>
          <w:szCs w:val="28"/>
        </w:rPr>
        <w:t>投标单位对清单中认为需要补充的该项请在对应项打“</w:t>
      </w:r>
      <w:r>
        <w:rPr>
          <w:rFonts w:hint="eastAsia" w:ascii="宋体" w:hAnsi="宋体" w:cs="宋体"/>
          <w:sz w:val="24"/>
          <w:szCs w:val="36"/>
        </w:rPr>
        <w:t>√”标识，并在投标文件中提供相应的安全管理措施。</w:t>
      </w:r>
    </w:p>
    <w:p>
      <w:pPr>
        <w:autoSpaceDE w:val="0"/>
        <w:autoSpaceDN w:val="0"/>
        <w:adjustRightInd w:val="0"/>
        <w:spacing w:line="440" w:lineRule="exact"/>
        <w:ind w:firstLine="496" w:firstLineChars="200"/>
        <w:jc w:val="left"/>
        <w:rPr>
          <w:rFonts w:ascii="宋体" w:hAnsi="宋体" w:cs="宋体"/>
          <w:snapToGrid w:val="0"/>
          <w:spacing w:val="4"/>
          <w:kern w:val="0"/>
          <w:sz w:val="24"/>
          <w:szCs w:val="24"/>
        </w:rPr>
      </w:pPr>
      <w:r>
        <w:rPr>
          <w:rFonts w:hint="eastAsia" w:ascii="宋体" w:hAnsi="宋体" w:cs="宋体"/>
          <w:snapToGrid w:val="0"/>
          <w:spacing w:val="4"/>
          <w:kern w:val="0"/>
          <w:sz w:val="24"/>
          <w:szCs w:val="24"/>
        </w:rPr>
        <w:t>（3）</w:t>
      </w:r>
      <w:r>
        <w:rPr>
          <w:rFonts w:hint="eastAsia" w:ascii="宋体" w:hAnsi="宋体" w:cs="宋体"/>
          <w:sz w:val="24"/>
          <w:szCs w:val="36"/>
        </w:rPr>
        <w:t>投标单位不同意招标人</w:t>
      </w:r>
      <w:r>
        <w:rPr>
          <w:rFonts w:hint="eastAsia" w:ascii="宋体" w:hAnsi="宋体" w:cs="宋体"/>
          <w:sz w:val="24"/>
          <w:szCs w:val="28"/>
        </w:rPr>
        <w:t>在清单中标识的该项</w:t>
      </w:r>
      <w:r>
        <w:rPr>
          <w:rFonts w:hint="eastAsia" w:ascii="宋体" w:hAnsi="宋体" w:cs="宋体"/>
          <w:sz w:val="24"/>
          <w:szCs w:val="36"/>
        </w:rPr>
        <w:t>请在对应项打“×”标识，并在备注栏填上相关说明。</w:t>
      </w:r>
    </w:p>
    <w:p>
      <w:pPr>
        <w:autoSpaceDE w:val="0"/>
        <w:autoSpaceDN w:val="0"/>
        <w:adjustRightInd w:val="0"/>
        <w:spacing w:line="440" w:lineRule="exact"/>
        <w:ind w:firstLine="496" w:firstLineChars="200"/>
        <w:jc w:val="left"/>
        <w:rPr>
          <w:rFonts w:ascii="宋体" w:hAnsi="宋体" w:cs="宋体"/>
          <w:snapToGrid w:val="0"/>
          <w:spacing w:val="4"/>
          <w:kern w:val="0"/>
          <w:sz w:val="24"/>
          <w:szCs w:val="24"/>
        </w:rPr>
      </w:pPr>
      <w:r>
        <w:rPr>
          <w:rFonts w:hint="eastAsia" w:ascii="宋体" w:hAnsi="宋体" w:cs="宋体"/>
          <w:snapToGrid w:val="0"/>
          <w:spacing w:val="4"/>
          <w:kern w:val="0"/>
          <w:sz w:val="24"/>
          <w:szCs w:val="24"/>
        </w:rPr>
        <w:t>3</w:t>
      </w:r>
      <w:r>
        <w:rPr>
          <w:rFonts w:ascii="宋体" w:hAnsi="宋体" w:cs="宋体"/>
          <w:snapToGrid w:val="0"/>
          <w:spacing w:val="4"/>
          <w:kern w:val="0"/>
          <w:sz w:val="24"/>
          <w:szCs w:val="24"/>
        </w:rPr>
        <w:t>.</w:t>
      </w:r>
      <w:r>
        <w:rPr>
          <w:rFonts w:hint="eastAsia" w:ascii="宋体" w:hAnsi="宋体" w:cs="宋体"/>
          <w:sz w:val="24"/>
          <w:szCs w:val="28"/>
        </w:rPr>
        <w:t>投标单位应当在投标时根据招标人提供的下述第5点清单，在投标文件中编制专项施工方案。</w:t>
      </w:r>
    </w:p>
    <w:p>
      <w:pPr>
        <w:autoSpaceDE w:val="0"/>
        <w:autoSpaceDN w:val="0"/>
        <w:adjustRightInd w:val="0"/>
        <w:spacing w:line="440" w:lineRule="exact"/>
        <w:ind w:firstLine="496" w:firstLineChars="200"/>
        <w:jc w:val="left"/>
        <w:rPr>
          <w:rFonts w:ascii="宋体" w:hAnsi="宋体" w:cs="宋体"/>
          <w:snapToGrid w:val="0"/>
          <w:spacing w:val="4"/>
          <w:kern w:val="0"/>
          <w:sz w:val="24"/>
          <w:szCs w:val="24"/>
        </w:rPr>
      </w:pPr>
      <w:r>
        <w:rPr>
          <w:rFonts w:hint="eastAsia" w:ascii="宋体" w:hAnsi="宋体" w:cs="宋体"/>
          <w:snapToGrid w:val="0"/>
          <w:spacing w:val="4"/>
          <w:kern w:val="0"/>
          <w:sz w:val="24"/>
          <w:szCs w:val="24"/>
        </w:rPr>
        <w:t>4</w:t>
      </w:r>
      <w:r>
        <w:rPr>
          <w:rFonts w:ascii="宋体" w:hAnsi="宋体" w:cs="宋体"/>
          <w:snapToGrid w:val="0"/>
          <w:spacing w:val="4"/>
          <w:kern w:val="0"/>
          <w:sz w:val="24"/>
          <w:szCs w:val="24"/>
        </w:rPr>
        <w:t>.</w:t>
      </w:r>
      <w:r>
        <w:rPr>
          <w:rFonts w:hint="eastAsia" w:ascii="宋体" w:hAnsi="宋体" w:cs="宋体"/>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autoSpaceDE w:val="0"/>
        <w:autoSpaceDN w:val="0"/>
        <w:adjustRightInd w:val="0"/>
        <w:spacing w:line="440" w:lineRule="exact"/>
        <w:ind w:firstLine="496" w:firstLineChars="200"/>
        <w:jc w:val="left"/>
        <w:rPr>
          <w:rFonts w:ascii="宋体" w:hAnsi="宋体" w:cs="宋体"/>
          <w:snapToGrid w:val="0"/>
          <w:spacing w:val="4"/>
          <w:kern w:val="0"/>
          <w:sz w:val="24"/>
          <w:szCs w:val="24"/>
        </w:rPr>
      </w:pPr>
      <w:r>
        <w:rPr>
          <w:rFonts w:ascii="宋体" w:hAnsi="宋体" w:cs="宋体"/>
          <w:snapToGrid w:val="0"/>
          <w:spacing w:val="4"/>
          <w:kern w:val="0"/>
          <w:sz w:val="24"/>
          <w:szCs w:val="24"/>
        </w:rPr>
        <w:t>5.</w:t>
      </w:r>
      <w:r>
        <w:rPr>
          <w:rFonts w:hint="eastAsia" w:ascii="宋体" w:hAnsi="宋体" w:cs="宋体"/>
          <w:sz w:val="24"/>
          <w:szCs w:val="28"/>
        </w:rPr>
        <w:t>危险性较大的分部分项工程清单及超过一定规模的危险性较大的分部分项工程清单：</w:t>
      </w:r>
    </w:p>
    <w:p>
      <w:pPr>
        <w:widowControl/>
        <w:jc w:val="left"/>
        <w:rPr>
          <w:rFonts w:ascii="宋体" w:hAnsi="宋体" w:cs="宋体"/>
          <w:sz w:val="24"/>
          <w:szCs w:val="28"/>
        </w:rPr>
      </w:pPr>
      <w:r>
        <w:rPr>
          <w:rFonts w:hint="eastAsia" w:ascii="宋体" w:hAnsi="宋体" w:cs="宋体"/>
          <w:sz w:val="24"/>
          <w:szCs w:val="28"/>
        </w:rP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7"/>
        <w:gridCol w:w="1383"/>
        <w:gridCol w:w="138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shd w:val="clear" w:color="auto" w:fill="D8D8D8"/>
            <w:vAlign w:val="center"/>
          </w:tcPr>
          <w:p>
            <w:pPr>
              <w:spacing w:line="276" w:lineRule="auto"/>
              <w:jc w:val="center"/>
              <w:rPr>
                <w:rFonts w:ascii="宋体" w:hAnsi="宋体" w:cs="宋体"/>
                <w:b/>
                <w:szCs w:val="21"/>
              </w:rPr>
            </w:pPr>
            <w:r>
              <w:rPr>
                <w:rFonts w:hint="eastAsia" w:ascii="宋体" w:hAnsi="宋体" w:cs="宋体"/>
                <w:b/>
                <w:szCs w:val="21"/>
              </w:rPr>
              <w:t>危险性较大的分部分项工程清单</w:t>
            </w:r>
          </w:p>
        </w:tc>
        <w:tc>
          <w:tcPr>
            <w:tcW w:w="793" w:type="pct"/>
            <w:tcBorders>
              <w:top w:val="single" w:color="auto" w:sz="4" w:space="0"/>
              <w:left w:val="nil"/>
              <w:bottom w:val="single" w:color="auto" w:sz="4" w:space="0"/>
              <w:right w:val="single" w:color="auto" w:sz="4" w:space="0"/>
            </w:tcBorders>
            <w:shd w:val="clear" w:color="auto" w:fill="D8D8D8"/>
            <w:vAlign w:val="center"/>
          </w:tcPr>
          <w:p>
            <w:pPr>
              <w:spacing w:line="276" w:lineRule="auto"/>
              <w:jc w:val="center"/>
              <w:rPr>
                <w:rFonts w:ascii="宋体" w:hAnsi="宋体" w:cs="宋体"/>
                <w:b/>
                <w:szCs w:val="21"/>
              </w:rPr>
            </w:pPr>
            <w:r>
              <w:rPr>
                <w:rFonts w:hint="eastAsia" w:ascii="宋体" w:hAnsi="宋体" w:cs="宋体"/>
                <w:b/>
                <w:szCs w:val="21"/>
              </w:rPr>
              <w:t>招标人</w:t>
            </w:r>
          </w:p>
        </w:tc>
        <w:tc>
          <w:tcPr>
            <w:tcW w:w="793" w:type="pct"/>
            <w:tcBorders>
              <w:top w:val="single" w:color="auto" w:sz="4" w:space="0"/>
              <w:left w:val="nil"/>
              <w:bottom w:val="single" w:color="auto" w:sz="4" w:space="0"/>
              <w:right w:val="single" w:color="auto" w:sz="4" w:space="0"/>
            </w:tcBorders>
            <w:shd w:val="clear" w:color="auto" w:fill="D8D8D8"/>
            <w:vAlign w:val="center"/>
          </w:tcPr>
          <w:p>
            <w:pPr>
              <w:spacing w:line="276" w:lineRule="auto"/>
              <w:jc w:val="center"/>
              <w:rPr>
                <w:rFonts w:ascii="宋体" w:hAnsi="宋体" w:cs="宋体"/>
                <w:b/>
                <w:szCs w:val="21"/>
              </w:rPr>
            </w:pPr>
            <w:r>
              <w:rPr>
                <w:rFonts w:hint="eastAsia" w:ascii="宋体" w:hAnsi="宋体" w:cs="宋体"/>
                <w:b/>
                <w:szCs w:val="21"/>
              </w:rPr>
              <w:t>投标单位</w:t>
            </w:r>
          </w:p>
        </w:tc>
        <w:tc>
          <w:tcPr>
            <w:tcW w:w="623" w:type="pct"/>
            <w:tcBorders>
              <w:top w:val="single" w:color="auto" w:sz="4" w:space="0"/>
              <w:left w:val="nil"/>
              <w:bottom w:val="single" w:color="auto" w:sz="4" w:space="0"/>
              <w:right w:val="single" w:color="auto" w:sz="4" w:space="0"/>
            </w:tcBorders>
            <w:shd w:val="clear" w:color="auto" w:fill="D8D8D8"/>
            <w:vAlign w:val="center"/>
          </w:tcPr>
          <w:p>
            <w:pPr>
              <w:spacing w:line="276" w:lineRule="auto"/>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szCs w:val="21"/>
              </w:rPr>
            </w:pPr>
            <w:r>
              <w:rPr>
                <w:rFonts w:hint="eastAsia" w:ascii="宋体" w:hAnsi="宋体" w:cs="宋体"/>
                <w:b/>
                <w:szCs w:val="21"/>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（一）开挖深度超过3m（含3m）的基坑（槽）的土方开挖、支护、降水工程。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r>
              <w:rPr>
                <w:rFonts w:hint="eastAsia" w:ascii="宋体" w:hAnsi="宋体" w:cs="宋体"/>
                <w:sz w:val="24"/>
                <w:szCs w:val="36"/>
              </w:rPr>
              <w:t>√</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b/>
                <w:szCs w:val="21"/>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（一）各类工具式模板工程：包括滑模、爬模、飞模、隧道模等工程。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Cs w:val="21"/>
              </w:rPr>
            </w:pPr>
            <w:r>
              <w:rPr>
                <w:rFonts w:hint="eastAsia" w:ascii="宋体" w:hAnsi="宋体" w:cs="宋体"/>
                <w:szCs w:val="21"/>
              </w:rPr>
              <w:t>（三）承重支撑体系：用于钢结构安装等满堂支撑体系。</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r>
              <w:rPr>
                <w:rFonts w:hint="eastAsia" w:ascii="宋体" w:hAnsi="宋体" w:cs="宋体"/>
                <w:sz w:val="24"/>
                <w:szCs w:val="36"/>
              </w:rPr>
              <w:t>√</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b/>
                <w:szCs w:val="21"/>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Cs w:val="21"/>
              </w:rPr>
            </w:pPr>
            <w:r>
              <w:rPr>
                <w:rFonts w:hint="eastAsia" w:ascii="宋体" w:hAnsi="宋体" w:cs="宋体"/>
                <w:szCs w:val="21"/>
              </w:rPr>
              <w:t>（一）采用非常规起重设备、方法，且单件起吊重量在10kN及以上的起重吊装工程。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r>
              <w:rPr>
                <w:rFonts w:hint="eastAsia" w:ascii="宋体" w:hAnsi="宋体" w:cs="宋体"/>
                <w:sz w:val="24"/>
                <w:szCs w:val="36"/>
              </w:rPr>
              <w:t>√</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（二）采用起重机械进行安装的工程。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（三）起重机械安装和拆卸工程。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b/>
                <w:szCs w:val="21"/>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（一）搭设高度24m及以上的落地式钢管脚手架工程（包括采光井、电梯井脚手架）。</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（二）附着式升降脚手架工程。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r>
              <w:rPr>
                <w:rFonts w:hint="eastAsia" w:ascii="宋体" w:hAnsi="宋体" w:cs="宋体"/>
                <w:sz w:val="24"/>
                <w:szCs w:val="36"/>
              </w:rPr>
              <w:t>√</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（三）悬挑式脚手架工程。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（四）高处作业吊篮。</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（五）卸料平台、操作平台工程。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r>
              <w:rPr>
                <w:rFonts w:hint="eastAsia" w:ascii="宋体" w:hAnsi="宋体" w:cs="宋体"/>
                <w:sz w:val="24"/>
                <w:szCs w:val="36"/>
              </w:rPr>
              <w:t>√</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（六）异型脚手架工程。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b/>
                <w:szCs w:val="21"/>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可能影响行人、交通、电力设施、通讯设施或其它建、构筑物安全的拆除工程。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r>
              <w:rPr>
                <w:rFonts w:hint="eastAsia" w:ascii="宋体" w:hAnsi="宋体" w:cs="宋体"/>
                <w:sz w:val="24"/>
                <w:szCs w:val="36"/>
              </w:rPr>
              <w:t>√</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b/>
                <w:szCs w:val="21"/>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采用矿山法、盾构法、顶管法施工的隧道、洞室工程。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b/>
                <w:szCs w:val="21"/>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（一）建筑幕墙安装工程。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r>
              <w:rPr>
                <w:rFonts w:hint="eastAsia" w:ascii="宋体" w:hAnsi="宋体" w:cs="宋体"/>
                <w:sz w:val="24"/>
                <w:szCs w:val="36"/>
              </w:rPr>
              <w:t>√</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（二）钢结构、网架和索膜结构安装工程。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r>
              <w:rPr>
                <w:rFonts w:hint="eastAsia" w:ascii="宋体" w:hAnsi="宋体" w:cs="宋体"/>
                <w:sz w:val="24"/>
                <w:szCs w:val="36"/>
              </w:rPr>
              <w:t>√</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（三）人工挖孔桩工程。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（四）水下作业工程。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（五）装配式建筑混凝土预制构件安装工程。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r>
              <w:rPr>
                <w:rFonts w:hint="eastAsia" w:ascii="宋体" w:hAnsi="宋体" w:cs="宋体"/>
                <w:sz w:val="24"/>
                <w:szCs w:val="36"/>
              </w:rPr>
              <w:t>√</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shd w:val="clear" w:color="auto" w:fill="D8D8D8"/>
            <w:vAlign w:val="center"/>
          </w:tcPr>
          <w:p>
            <w:pPr>
              <w:spacing w:line="276" w:lineRule="auto"/>
              <w:jc w:val="center"/>
              <w:rPr>
                <w:rFonts w:ascii="宋体" w:hAnsi="宋体" w:cs="宋体"/>
                <w:b/>
                <w:szCs w:val="21"/>
              </w:rPr>
            </w:pPr>
            <w:r>
              <w:rPr>
                <w:rFonts w:hint="eastAsia" w:ascii="宋体" w:hAnsi="宋体" w:cs="宋体"/>
                <w:b/>
                <w:szCs w:val="21"/>
              </w:rPr>
              <w:t>超过一定规模的危险性较大的分部分项工程清单</w:t>
            </w:r>
          </w:p>
        </w:tc>
        <w:tc>
          <w:tcPr>
            <w:tcW w:w="793" w:type="pct"/>
            <w:tcBorders>
              <w:top w:val="single" w:color="auto" w:sz="4" w:space="0"/>
              <w:left w:val="nil"/>
              <w:bottom w:val="single" w:color="auto" w:sz="4" w:space="0"/>
              <w:right w:val="single" w:color="auto" w:sz="4" w:space="0"/>
            </w:tcBorders>
            <w:shd w:val="clear" w:color="auto" w:fill="D8D8D8"/>
            <w:vAlign w:val="center"/>
          </w:tcPr>
          <w:p>
            <w:pPr>
              <w:spacing w:line="276" w:lineRule="auto"/>
              <w:jc w:val="center"/>
              <w:rPr>
                <w:rFonts w:ascii="宋体" w:hAnsi="宋体" w:cs="宋体"/>
                <w:b/>
                <w:szCs w:val="21"/>
              </w:rPr>
            </w:pPr>
            <w:r>
              <w:rPr>
                <w:rFonts w:hint="eastAsia" w:ascii="宋体" w:hAnsi="宋体" w:cs="宋体"/>
                <w:b/>
                <w:szCs w:val="21"/>
              </w:rPr>
              <w:t>招标人</w:t>
            </w:r>
          </w:p>
        </w:tc>
        <w:tc>
          <w:tcPr>
            <w:tcW w:w="793" w:type="pct"/>
            <w:tcBorders>
              <w:top w:val="single" w:color="auto" w:sz="4" w:space="0"/>
              <w:left w:val="nil"/>
              <w:bottom w:val="single" w:color="auto" w:sz="4" w:space="0"/>
              <w:right w:val="single" w:color="auto" w:sz="4" w:space="0"/>
            </w:tcBorders>
            <w:shd w:val="clear" w:color="auto" w:fill="D8D8D8"/>
            <w:vAlign w:val="center"/>
          </w:tcPr>
          <w:p>
            <w:pPr>
              <w:spacing w:line="276" w:lineRule="auto"/>
              <w:jc w:val="center"/>
              <w:rPr>
                <w:rFonts w:ascii="宋体" w:hAnsi="宋体" w:cs="宋体"/>
                <w:b/>
                <w:szCs w:val="21"/>
              </w:rPr>
            </w:pPr>
            <w:r>
              <w:rPr>
                <w:rFonts w:hint="eastAsia" w:ascii="宋体" w:hAnsi="宋体" w:cs="宋体"/>
                <w:b/>
                <w:szCs w:val="21"/>
              </w:rPr>
              <w:t>投标单位</w:t>
            </w:r>
          </w:p>
        </w:tc>
        <w:tc>
          <w:tcPr>
            <w:tcW w:w="623" w:type="pct"/>
            <w:tcBorders>
              <w:top w:val="single" w:color="auto" w:sz="4" w:space="0"/>
              <w:left w:val="nil"/>
              <w:bottom w:val="single" w:color="auto" w:sz="4" w:space="0"/>
              <w:right w:val="single" w:color="auto" w:sz="4" w:space="0"/>
            </w:tcBorders>
            <w:shd w:val="clear" w:color="auto" w:fill="D8D8D8"/>
            <w:vAlign w:val="center"/>
          </w:tcPr>
          <w:p>
            <w:pPr>
              <w:spacing w:line="276" w:lineRule="auto"/>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szCs w:val="21"/>
              </w:rPr>
            </w:pPr>
            <w:r>
              <w:rPr>
                <w:rFonts w:hint="eastAsia" w:ascii="宋体" w:hAnsi="宋体" w:cs="宋体"/>
                <w:b/>
                <w:szCs w:val="21"/>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开挖深度超过5m（含5m）的基坑（槽）的土方开挖、支护、降水工程。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r>
              <w:rPr>
                <w:rFonts w:hint="eastAsia" w:ascii="宋体" w:hAnsi="宋体" w:cs="宋体"/>
                <w:sz w:val="24"/>
                <w:szCs w:val="36"/>
              </w:rPr>
              <w:t>√</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b/>
                <w:szCs w:val="21"/>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（一）各类工具式模板工程：包括滑模、爬模、飞模、隧道模等工程。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（三）承重支撑体系：用于钢结构安装等满堂支撑体系，承受单点集中荷载7kN及以上。</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b/>
                <w:szCs w:val="21"/>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（一）采用非常规起重设备、方法，且单件起吊重量在100kN及以上的起重吊装工程。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bookmarkStart w:id="1" w:name="_GoBack"/>
            <w:bookmarkEnd w:id="1"/>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szCs w:val="21"/>
              </w:rPr>
            </w:pPr>
            <w:r>
              <w:rPr>
                <w:rFonts w:hint="eastAsia" w:ascii="宋体" w:hAnsi="宋体" w:cs="宋体"/>
                <w:b/>
                <w:szCs w:val="21"/>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（一）搭设高度50m及以上的落地式钢管脚手架工程。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（二）提升高度在150m及以上的附着式升降脚手架工程或附着式升降操作平台工程。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（三）分段架体搭设高度20m及以上的悬挑式脚手架工程。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szCs w:val="21"/>
              </w:rPr>
            </w:pPr>
            <w:r>
              <w:rPr>
                <w:rFonts w:hint="eastAsia" w:ascii="宋体" w:hAnsi="宋体" w:cs="宋体"/>
                <w:b/>
                <w:szCs w:val="21"/>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（二）文物保护建筑、优秀历史建筑或历史文化风貌区影响范围内的拆除工程。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szCs w:val="21"/>
              </w:rPr>
            </w:pPr>
            <w:r>
              <w:rPr>
                <w:rFonts w:hint="eastAsia" w:ascii="宋体" w:hAnsi="宋体" w:cs="宋体"/>
                <w:b/>
                <w:szCs w:val="21"/>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采用矿山法、盾构法、顶管法施工的隧道、洞室工程。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
                <w:szCs w:val="21"/>
              </w:rPr>
            </w:pPr>
            <w:r>
              <w:rPr>
                <w:rFonts w:hint="eastAsia" w:ascii="宋体" w:hAnsi="宋体" w:cs="宋体"/>
                <w:b/>
                <w:szCs w:val="21"/>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（一）施工高度50m及以上的建筑幕墙安装工程。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（二）跨度36m及以上的钢结构安装工程，或跨度60m及以上的网架和索膜结构安装工程。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（三）开挖深度16m及以上的人工挖孔桩工程。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（四）水下作业工程。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（五）重量1000kN及以上的大型结构整体顶升、平移、转体等施工工艺。</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91" w:type="pct"/>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b/>
                <w:szCs w:val="21"/>
              </w:rPr>
            </w:pPr>
          </w:p>
        </w:tc>
        <w:tc>
          <w:tcPr>
            <w:tcW w:w="79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c>
          <w:tcPr>
            <w:tcW w:w="623" w:type="pct"/>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cs="宋体"/>
                <w:szCs w:val="21"/>
              </w:rPr>
            </w:pPr>
          </w:p>
        </w:tc>
      </w:tr>
    </w:tbl>
    <w:p>
      <w:pPr>
        <w:topLinePunct/>
        <w:adjustRightInd w:val="0"/>
        <w:snapToGrid w:val="0"/>
        <w:spacing w:line="276" w:lineRule="auto"/>
        <w:ind w:firstLine="691" w:firstLineChars="279"/>
        <w:jc w:val="right"/>
        <w:rPr>
          <w:rFonts w:ascii="宋体" w:hAnsi="宋体" w:cs="宋体"/>
          <w:snapToGrid w:val="0"/>
          <w:spacing w:val="4"/>
          <w:kern w:val="0"/>
          <w:sz w:val="24"/>
          <w:szCs w:val="24"/>
        </w:rPr>
      </w:pPr>
    </w:p>
    <w:p>
      <w:pPr>
        <w:topLinePunct/>
        <w:adjustRightInd w:val="0"/>
        <w:snapToGrid w:val="0"/>
        <w:spacing w:line="276" w:lineRule="auto"/>
        <w:ind w:firstLine="691" w:firstLineChars="279"/>
        <w:jc w:val="right"/>
        <w:rPr>
          <w:rFonts w:ascii="宋体" w:hAnsi="宋体" w:cs="宋体"/>
          <w:snapToGrid w:val="0"/>
          <w:spacing w:val="4"/>
          <w:kern w:val="0"/>
          <w:sz w:val="24"/>
          <w:szCs w:val="24"/>
        </w:rPr>
      </w:pPr>
      <w:r>
        <w:rPr>
          <w:rFonts w:hint="eastAsia" w:ascii="宋体" w:hAnsi="宋体" w:cs="宋体"/>
          <w:snapToGrid w:val="0"/>
          <w:spacing w:val="4"/>
          <w:kern w:val="0"/>
          <w:sz w:val="24"/>
          <w:szCs w:val="24"/>
        </w:rPr>
        <w:t xml:space="preserve">投 标 人： </w:t>
      </w:r>
      <w:r>
        <w:rPr>
          <w:rFonts w:ascii="宋体" w:hAnsi="宋体" w:cs="宋体"/>
          <w:snapToGrid w:val="0"/>
          <w:spacing w:val="4"/>
          <w:kern w:val="0"/>
          <w:sz w:val="24"/>
          <w:szCs w:val="24"/>
        </w:rPr>
        <w:t xml:space="preserve">             </w:t>
      </w:r>
      <w:r>
        <w:rPr>
          <w:rFonts w:hint="eastAsia" w:ascii="宋体" w:hAnsi="宋体" w:cs="宋体"/>
          <w:snapToGrid w:val="0"/>
          <w:spacing w:val="4"/>
          <w:kern w:val="0"/>
          <w:sz w:val="24"/>
          <w:szCs w:val="24"/>
        </w:rPr>
        <w:t xml:space="preserve">    （盖章）</w:t>
      </w:r>
    </w:p>
    <w:p>
      <w:pPr>
        <w:wordWrap w:val="0"/>
        <w:topLinePunct/>
        <w:adjustRightInd w:val="0"/>
        <w:snapToGrid w:val="0"/>
        <w:spacing w:line="276" w:lineRule="auto"/>
        <w:ind w:firstLine="691" w:firstLineChars="279"/>
        <w:jc w:val="right"/>
        <w:rPr>
          <w:rFonts w:ascii="宋体" w:hAnsi="宋体" w:cs="宋体"/>
          <w:snapToGrid w:val="0"/>
          <w:spacing w:val="4"/>
          <w:kern w:val="0"/>
          <w:sz w:val="24"/>
          <w:szCs w:val="24"/>
        </w:rPr>
      </w:pPr>
      <w:r>
        <w:rPr>
          <w:rFonts w:hint="eastAsia" w:ascii="宋体" w:hAnsi="宋体" w:cs="宋体"/>
          <w:snapToGrid w:val="0"/>
          <w:spacing w:val="4"/>
          <w:kern w:val="0"/>
          <w:sz w:val="24"/>
          <w:szCs w:val="24"/>
        </w:rPr>
        <w:t xml:space="preserve">法定代表人或授权代理人（签字或盖章）： </w:t>
      </w:r>
      <w:r>
        <w:rPr>
          <w:rFonts w:ascii="宋体" w:hAnsi="宋体" w:cs="宋体"/>
          <w:snapToGrid w:val="0"/>
          <w:spacing w:val="4"/>
          <w:kern w:val="0"/>
          <w:sz w:val="24"/>
          <w:szCs w:val="24"/>
        </w:rPr>
        <w:t xml:space="preserve">           </w:t>
      </w:r>
    </w:p>
    <w:p>
      <w:pPr>
        <w:autoSpaceDE w:val="0"/>
        <w:autoSpaceDN w:val="0"/>
        <w:adjustRightInd w:val="0"/>
        <w:spacing w:line="276" w:lineRule="auto"/>
        <w:ind w:firstLine="691" w:firstLineChars="279"/>
        <w:jc w:val="right"/>
        <w:rPr>
          <w:rFonts w:ascii="宋体" w:hAnsi="宋体" w:cs="宋体"/>
          <w:bCs/>
          <w:sz w:val="24"/>
          <w:szCs w:val="24"/>
        </w:rPr>
      </w:pPr>
      <w:r>
        <w:rPr>
          <w:rFonts w:hint="eastAsia" w:ascii="宋体" w:hAnsi="宋体" w:cs="宋体"/>
          <w:snapToGrid w:val="0"/>
          <w:spacing w:val="4"/>
          <w:kern w:val="0"/>
          <w:sz w:val="24"/>
          <w:szCs w:val="24"/>
        </w:rPr>
        <w:t>日    期：    年    月    日</w:t>
      </w:r>
    </w:p>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YWI0NmE4MGE3MjRkMzY2YTJkMGM1YTgxNzkxMzQifQ=="/>
  </w:docVars>
  <w:rsids>
    <w:rsidRoot w:val="07B55807"/>
    <w:rsid w:val="000F6298"/>
    <w:rsid w:val="002002B4"/>
    <w:rsid w:val="002B6F4B"/>
    <w:rsid w:val="003D10EB"/>
    <w:rsid w:val="00A1688E"/>
    <w:rsid w:val="00B1412F"/>
    <w:rsid w:val="07307234"/>
    <w:rsid w:val="07B55807"/>
    <w:rsid w:val="16BB45AA"/>
    <w:rsid w:val="18DC496A"/>
    <w:rsid w:val="761E4260"/>
    <w:rsid w:val="76AD6609"/>
    <w:rsid w:val="791F0AFE"/>
    <w:rsid w:val="7BFF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字符"/>
    <w:basedOn w:val="7"/>
    <w:link w:val="5"/>
    <w:qFormat/>
    <w:uiPriority w:val="0"/>
    <w:rPr>
      <w:rFonts w:ascii="Times New Roman" w:hAnsi="Times New Roman" w:eastAsia="宋体" w:cs="Times New Roman"/>
      <w:kern w:val="2"/>
      <w:sz w:val="18"/>
      <w:szCs w:val="18"/>
    </w:rPr>
  </w:style>
  <w:style w:type="character" w:customStyle="1" w:styleId="10">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12</TotalTime>
  <Pages>4</Pages>
  <Words>2042</Words>
  <Characters>2124</Characters>
  <DocSecurity>0</DocSecurity>
  <Lines>17</Lines>
  <Paragraphs>4</Paragraphs>
  <ScaleCrop>false</ScaleCrop>
  <LinksUpToDate>false</LinksUpToDate>
  <CharactersWithSpaces>2172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2023-08-15T09:39:00Z</dcterms:created>
  <dcterms:modified xsi:type="dcterms:W3CDTF">2023-08-24T07:26:25Z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E67D872A0ABD4D8ABB1A1521B6F288A4</vt:lpwstr>
  </property>
</Properties>
</file>