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0" w:firstLineChars="0"/>
        <w:jc w:val="center"/>
        <w:rPr>
          <w:b/>
          <w:bCs/>
          <w:color w:val="auto"/>
          <w:sz w:val="32"/>
          <w:szCs w:val="48"/>
          <w:highlight w:val="none"/>
        </w:rPr>
      </w:pPr>
      <w:bookmarkStart w:id="9" w:name="_GoBack"/>
      <w:bookmarkEnd w:id="9"/>
      <w:bookmarkStart w:id="0" w:name="_Toc13400"/>
      <w:bookmarkStart w:id="1" w:name="_Toc12543019"/>
      <w:bookmarkStart w:id="2" w:name="_Toc12543291"/>
      <w:bookmarkStart w:id="3" w:name="_Toc503235805"/>
      <w:bookmarkStart w:id="4" w:name="_Toc126845618"/>
      <w:r>
        <w:rPr>
          <w:b/>
          <w:bCs/>
          <w:color w:val="auto"/>
          <w:sz w:val="32"/>
          <w:szCs w:val="48"/>
          <w:highlight w:val="none"/>
        </w:rPr>
        <w:t>评标办法（</w:t>
      </w:r>
      <w:r>
        <w:rPr>
          <w:rFonts w:hint="eastAsia"/>
          <w:b/>
          <w:bCs/>
          <w:color w:val="auto"/>
          <w:sz w:val="32"/>
          <w:szCs w:val="48"/>
          <w:highlight w:val="none"/>
        </w:rPr>
        <w:t>双信封的</w:t>
      </w:r>
      <w:r>
        <w:rPr>
          <w:b/>
          <w:bCs/>
          <w:color w:val="auto"/>
          <w:sz w:val="32"/>
          <w:szCs w:val="48"/>
          <w:highlight w:val="none"/>
        </w:rPr>
        <w:t>综合评</w:t>
      </w:r>
      <w:r>
        <w:rPr>
          <w:rFonts w:hint="eastAsia"/>
          <w:b/>
          <w:bCs/>
          <w:color w:val="auto"/>
          <w:sz w:val="32"/>
          <w:szCs w:val="48"/>
          <w:highlight w:val="none"/>
        </w:rPr>
        <w:t>分</w:t>
      </w:r>
      <w:r>
        <w:rPr>
          <w:b/>
          <w:bCs/>
          <w:color w:val="auto"/>
          <w:sz w:val="32"/>
          <w:szCs w:val="48"/>
          <w:highlight w:val="none"/>
        </w:rPr>
        <w:t>法）</w:t>
      </w:r>
      <w:bookmarkEnd w:id="0"/>
      <w:bookmarkEnd w:id="1"/>
      <w:bookmarkEnd w:id="2"/>
      <w:bookmarkEnd w:id="3"/>
      <w:bookmarkEnd w:id="4"/>
    </w:p>
    <w:p>
      <w:pPr>
        <w:pStyle w:val="3"/>
        <w:spacing w:before="0" w:after="120"/>
        <w:rPr>
          <w:rFonts w:hint="default" w:ascii="宋体" w:eastAsia="宋体"/>
          <w:b/>
          <w:bCs w:val="0"/>
          <w:color w:val="auto"/>
          <w:sz w:val="24"/>
          <w:szCs w:val="24"/>
          <w:highlight w:val="none"/>
          <w:lang w:eastAsia="zh-CN"/>
        </w:rPr>
      </w:pPr>
      <w:bookmarkStart w:id="5" w:name="_Toc503235806"/>
      <w:bookmarkStart w:id="6" w:name="_Toc15704"/>
      <w:bookmarkStart w:id="7" w:name="_Toc12542907"/>
      <w:bookmarkStart w:id="8" w:name="_Toc12543020"/>
      <w:r>
        <w:rPr>
          <w:rFonts w:ascii="宋体" w:eastAsia="宋体"/>
          <w:b/>
          <w:bCs w:val="0"/>
          <w:color w:val="auto"/>
          <w:sz w:val="24"/>
          <w:szCs w:val="24"/>
          <w:highlight w:val="none"/>
        </w:rPr>
        <w:t>评标办法前附表</w:t>
      </w:r>
      <w:bookmarkEnd w:id="5"/>
      <w:bookmarkEnd w:id="6"/>
      <w:bookmarkEnd w:id="7"/>
      <w:bookmarkEnd w:id="8"/>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blHeader/>
        </w:trPr>
        <w:tc>
          <w:tcPr>
            <w:tcW w:w="2269" w:type="dxa"/>
            <w:gridSpan w:val="2"/>
            <w:tcBorders>
              <w:top w:val="single" w:color="auto" w:sz="4" w:space="0"/>
              <w:bottom w:val="single" w:color="auto" w:sz="4" w:space="0"/>
              <w:right w:val="single" w:color="auto" w:sz="4" w:space="0"/>
            </w:tcBorders>
            <w:vAlign w:val="center"/>
          </w:tcPr>
          <w:p>
            <w:pPr>
              <w:spacing w:line="276" w:lineRule="auto"/>
              <w:ind w:firstLine="0" w:firstLineChars="0"/>
              <w:jc w:val="center"/>
              <w:rPr>
                <w:b/>
                <w:color w:val="auto"/>
                <w:sz w:val="21"/>
                <w:szCs w:val="21"/>
                <w:highlight w:val="none"/>
              </w:rPr>
            </w:pPr>
            <w:r>
              <w:rPr>
                <w:b/>
                <w:color w:val="auto"/>
                <w:sz w:val="21"/>
                <w:szCs w:val="21"/>
                <w:highlight w:val="none"/>
              </w:rPr>
              <w:t>条款号</w:t>
            </w:r>
          </w:p>
        </w:tc>
        <w:tc>
          <w:tcPr>
            <w:tcW w:w="6622" w:type="dxa"/>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jc w:val="center"/>
              <w:rPr>
                <w:b/>
                <w:color w:val="auto"/>
                <w:spacing w:val="4"/>
                <w:sz w:val="21"/>
                <w:szCs w:val="21"/>
                <w:highlight w:val="none"/>
              </w:rPr>
            </w:pPr>
            <w:r>
              <w:rPr>
                <w:b/>
                <w:color w:val="auto"/>
                <w:spacing w:val="4"/>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276" w:lineRule="auto"/>
              <w:ind w:firstLine="0" w:firstLineChars="0"/>
              <w:jc w:val="center"/>
              <w:rPr>
                <w:color w:val="auto"/>
                <w:sz w:val="21"/>
                <w:szCs w:val="21"/>
                <w:highlight w:val="none"/>
              </w:rPr>
            </w:pPr>
            <w:r>
              <w:rPr>
                <w:color w:val="auto"/>
                <w:sz w:val="21"/>
                <w:szCs w:val="21"/>
                <w:highlight w:val="none"/>
              </w:rPr>
              <w:t>1</w:t>
            </w:r>
          </w:p>
        </w:tc>
        <w:tc>
          <w:tcPr>
            <w:tcW w:w="1280" w:type="dxa"/>
            <w:tcBorders>
              <w:top w:val="single" w:color="auto" w:sz="4" w:space="0"/>
              <w:bottom w:val="single" w:color="auto" w:sz="4" w:space="0"/>
              <w:right w:val="single" w:color="auto" w:sz="4" w:space="0"/>
            </w:tcBorders>
            <w:vAlign w:val="center"/>
          </w:tcPr>
          <w:p>
            <w:pPr>
              <w:spacing w:line="276" w:lineRule="auto"/>
              <w:ind w:firstLine="0" w:firstLineChars="0"/>
              <w:jc w:val="center"/>
              <w:rPr>
                <w:color w:val="auto"/>
                <w:sz w:val="21"/>
                <w:szCs w:val="21"/>
                <w:highlight w:val="none"/>
              </w:rPr>
            </w:pPr>
            <w:r>
              <w:rPr>
                <w:color w:val="auto"/>
                <w:sz w:val="21"/>
                <w:szCs w:val="21"/>
                <w:highlight w:val="none"/>
              </w:rPr>
              <w:t>评标方法</w:t>
            </w:r>
          </w:p>
        </w:tc>
        <w:tc>
          <w:tcPr>
            <w:tcW w:w="6622" w:type="dxa"/>
            <w:tcBorders>
              <w:top w:val="single" w:color="auto" w:sz="4" w:space="0"/>
              <w:left w:val="single" w:color="auto" w:sz="4" w:space="0"/>
              <w:right w:val="single" w:color="auto" w:sz="4" w:space="0"/>
            </w:tcBorders>
            <w:vAlign w:val="center"/>
          </w:tcPr>
          <w:p>
            <w:pPr>
              <w:spacing w:line="276" w:lineRule="auto"/>
              <w:ind w:firstLine="0" w:firstLineChars="0"/>
              <w:rPr>
                <w:color w:val="auto"/>
                <w:sz w:val="21"/>
                <w:szCs w:val="21"/>
                <w:highlight w:val="none"/>
              </w:rPr>
            </w:pPr>
            <w:r>
              <w:rPr>
                <w:color w:val="auto"/>
                <w:sz w:val="21"/>
                <w:szCs w:val="21"/>
                <w:highlight w:val="none"/>
              </w:rPr>
              <w:t>综合评分相等时，评标委员会依次按照以下优先顺序推荐中标候选人或确定中标人：</w:t>
            </w:r>
          </w:p>
          <w:p>
            <w:pPr>
              <w:autoSpaceDE w:val="0"/>
              <w:autoSpaceDN w:val="0"/>
              <w:adjustRightInd w:val="0"/>
              <w:spacing w:line="276" w:lineRule="auto"/>
              <w:ind w:firstLine="0" w:firstLineChars="0"/>
              <w:jc w:val="left"/>
              <w:rPr>
                <w:color w:val="auto"/>
                <w:sz w:val="21"/>
                <w:szCs w:val="21"/>
                <w:highlight w:val="none"/>
                <w:u w:val="single"/>
              </w:rPr>
            </w:pPr>
            <w:r>
              <w:rPr>
                <w:color w:val="auto"/>
                <w:sz w:val="21"/>
                <w:szCs w:val="21"/>
                <w:highlight w:val="none"/>
                <w:u w:val="single"/>
              </w:rPr>
              <w:t>（1）评标价低的投标人优先</w:t>
            </w:r>
            <w:r>
              <w:rPr>
                <w:rFonts w:hint="eastAsia"/>
                <w:color w:val="auto"/>
                <w:sz w:val="21"/>
                <w:szCs w:val="21"/>
                <w:highlight w:val="none"/>
                <w:u w:val="single"/>
              </w:rPr>
              <w:t>，</w:t>
            </w:r>
            <w:r>
              <w:rPr>
                <w:rFonts w:hint="eastAsia" w:ascii="宋体" w:cs="宋体"/>
                <w:color w:val="auto"/>
                <w:kern w:val="0"/>
                <w:sz w:val="21"/>
                <w:szCs w:val="21"/>
                <w:highlight w:val="none"/>
              </w:rPr>
              <w:t>当一家以上投标人综合得分相等且评标价也相等时，若各投标人货物报价清单细目单价也相同，视为串标（一个合同段仅一工作细目报价的除外），应否决其投标；</w:t>
            </w:r>
          </w:p>
          <w:p>
            <w:pPr>
              <w:spacing w:line="276" w:lineRule="auto"/>
              <w:ind w:firstLine="0" w:firstLineChars="0"/>
              <w:rPr>
                <w:color w:val="auto"/>
                <w:sz w:val="21"/>
                <w:szCs w:val="21"/>
                <w:highlight w:val="none"/>
                <w:u w:val="single"/>
              </w:rPr>
            </w:pPr>
            <w:r>
              <w:rPr>
                <w:color w:val="auto"/>
                <w:sz w:val="21"/>
                <w:szCs w:val="21"/>
                <w:highlight w:val="none"/>
                <w:u w:val="single"/>
              </w:rPr>
              <w:t>（</w:t>
            </w:r>
            <w:r>
              <w:rPr>
                <w:rFonts w:hint="eastAsia"/>
                <w:color w:val="auto"/>
                <w:sz w:val="21"/>
                <w:szCs w:val="21"/>
                <w:highlight w:val="none"/>
                <w:u w:val="single"/>
              </w:rPr>
              <w:t>2</w:t>
            </w:r>
            <w:r>
              <w:rPr>
                <w:color w:val="auto"/>
                <w:sz w:val="21"/>
                <w:szCs w:val="21"/>
                <w:highlight w:val="none"/>
                <w:u w:val="single"/>
              </w:rPr>
              <w:t>）商务和技术得分较高的投标人优先；</w:t>
            </w:r>
          </w:p>
          <w:p>
            <w:pPr>
              <w:spacing w:line="276" w:lineRule="auto"/>
              <w:ind w:firstLine="0" w:firstLineChars="0"/>
              <w:rPr>
                <w:color w:val="auto"/>
                <w:sz w:val="21"/>
                <w:szCs w:val="21"/>
                <w:highlight w:val="none"/>
                <w:u w:val="single"/>
              </w:rPr>
            </w:pPr>
            <w:r>
              <w:rPr>
                <w:rFonts w:hint="eastAsia"/>
                <w:color w:val="auto"/>
                <w:sz w:val="21"/>
                <w:szCs w:val="21"/>
                <w:highlight w:val="none"/>
                <w:u w:val="single"/>
              </w:rPr>
              <w:t>（3）以投标人企业20</w:t>
            </w:r>
            <w:r>
              <w:rPr>
                <w:color w:val="auto"/>
                <w:sz w:val="21"/>
                <w:szCs w:val="21"/>
                <w:highlight w:val="none"/>
                <w:u w:val="single"/>
              </w:rPr>
              <w:t>2</w:t>
            </w:r>
            <w:r>
              <w:rPr>
                <w:rFonts w:hint="eastAsia"/>
                <w:color w:val="auto"/>
                <w:sz w:val="21"/>
                <w:szCs w:val="21"/>
                <w:highlight w:val="none"/>
                <w:u w:val="single"/>
              </w:rPr>
              <w:t>2年度净资产较高的优先：</w:t>
            </w:r>
          </w:p>
          <w:p>
            <w:pPr>
              <w:spacing w:line="276" w:lineRule="auto"/>
              <w:ind w:firstLine="0" w:firstLineChars="0"/>
              <w:rPr>
                <w:b/>
                <w:color w:val="auto"/>
                <w:sz w:val="21"/>
                <w:szCs w:val="21"/>
                <w:highlight w:val="none"/>
              </w:rPr>
            </w:pPr>
            <w:r>
              <w:rPr>
                <w:rFonts w:hint="eastAsia" w:ascii="宋体" w:cs="宋体"/>
                <w:color w:val="auto"/>
                <w:kern w:val="0"/>
                <w:sz w:val="21"/>
                <w:szCs w:val="21"/>
                <w:highlight w:val="none"/>
              </w:rPr>
              <w:t>（</w:t>
            </w:r>
            <w:r>
              <w:rPr>
                <w:rFonts w:ascii="宋体" w:cs="宋体"/>
                <w:color w:val="auto"/>
                <w:kern w:val="0"/>
                <w:sz w:val="21"/>
                <w:szCs w:val="21"/>
                <w:highlight w:val="none"/>
              </w:rPr>
              <w:t>4</w:t>
            </w:r>
            <w:r>
              <w:rPr>
                <w:rFonts w:hint="eastAsia" w:ascii="宋体" w:cs="宋体"/>
                <w:color w:val="auto"/>
                <w:kern w:val="0"/>
                <w:sz w:val="21"/>
                <w:szCs w:val="21"/>
                <w:highlight w:val="none"/>
              </w:rPr>
              <w:t>）评标委员会视投标人情况综合比较，投票确定其名次。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89" w:type="dxa"/>
            <w:tcBorders>
              <w:top w:val="single" w:color="auto" w:sz="4" w:space="0"/>
              <w:bottom w:val="single" w:color="auto" w:sz="4" w:space="0"/>
              <w:right w:val="single" w:color="auto" w:sz="4" w:space="0"/>
            </w:tcBorders>
            <w:vAlign w:val="center"/>
          </w:tcPr>
          <w:p>
            <w:pPr>
              <w:spacing w:line="276" w:lineRule="auto"/>
              <w:ind w:firstLine="0" w:firstLineChars="0"/>
              <w:jc w:val="center"/>
              <w:rPr>
                <w:color w:val="auto"/>
                <w:sz w:val="21"/>
                <w:szCs w:val="21"/>
                <w:highlight w:val="none"/>
              </w:rPr>
            </w:pPr>
            <w:r>
              <w:rPr>
                <w:color w:val="auto"/>
                <w:sz w:val="21"/>
                <w:szCs w:val="21"/>
                <w:highlight w:val="none"/>
              </w:rPr>
              <w:t>2.1.1</w:t>
            </w:r>
          </w:p>
          <w:p>
            <w:pPr>
              <w:spacing w:line="276" w:lineRule="auto"/>
              <w:ind w:firstLine="0" w:firstLineChars="0"/>
              <w:jc w:val="center"/>
              <w:rPr>
                <w:color w:val="auto"/>
                <w:sz w:val="21"/>
                <w:szCs w:val="21"/>
                <w:highlight w:val="none"/>
              </w:rPr>
            </w:pPr>
            <w:r>
              <w:rPr>
                <w:color w:val="auto"/>
                <w:sz w:val="21"/>
                <w:szCs w:val="21"/>
                <w:highlight w:val="none"/>
              </w:rPr>
              <w:t>2.1.3</w:t>
            </w:r>
          </w:p>
        </w:tc>
        <w:tc>
          <w:tcPr>
            <w:tcW w:w="1280" w:type="dxa"/>
            <w:tcBorders>
              <w:top w:val="single" w:color="auto" w:sz="4" w:space="0"/>
              <w:bottom w:val="single" w:color="auto" w:sz="4" w:space="0"/>
              <w:right w:val="single" w:color="auto" w:sz="4" w:space="0"/>
            </w:tcBorders>
            <w:vAlign w:val="center"/>
          </w:tcPr>
          <w:p>
            <w:pPr>
              <w:spacing w:line="276" w:lineRule="auto"/>
              <w:ind w:firstLine="0" w:firstLineChars="0"/>
              <w:jc w:val="center"/>
              <w:rPr>
                <w:color w:val="auto"/>
                <w:sz w:val="21"/>
                <w:szCs w:val="21"/>
                <w:highlight w:val="none"/>
              </w:rPr>
            </w:pPr>
            <w:r>
              <w:rPr>
                <w:color w:val="auto"/>
                <w:sz w:val="21"/>
                <w:szCs w:val="21"/>
                <w:highlight w:val="none"/>
              </w:rPr>
              <w:t>形式评审与响应性评审标准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rPr>
                <w:b/>
                <w:color w:val="auto"/>
                <w:sz w:val="21"/>
                <w:szCs w:val="21"/>
                <w:highlight w:val="none"/>
              </w:rPr>
            </w:pPr>
            <w:r>
              <w:rPr>
                <w:b/>
                <w:color w:val="auto"/>
                <w:sz w:val="21"/>
                <w:szCs w:val="21"/>
                <w:highlight w:val="none"/>
              </w:rPr>
              <w:t>第一个信封（商务及技术文件）评审标准：</w:t>
            </w:r>
          </w:p>
          <w:p>
            <w:pPr>
              <w:spacing w:line="276" w:lineRule="auto"/>
              <w:ind w:firstLine="0" w:firstLineChars="0"/>
              <w:rPr>
                <w:color w:val="auto"/>
                <w:sz w:val="21"/>
                <w:szCs w:val="21"/>
                <w:highlight w:val="none"/>
              </w:rPr>
            </w:pPr>
            <w:r>
              <w:rPr>
                <w:color w:val="auto"/>
                <w:sz w:val="21"/>
                <w:szCs w:val="21"/>
                <w:highlight w:val="none"/>
              </w:rPr>
              <w:t>（1）投标文件按照招标文件规定的格式、内容填写，字迹清晰可辨：</w:t>
            </w:r>
          </w:p>
          <w:p>
            <w:pPr>
              <w:spacing w:line="276" w:lineRule="auto"/>
              <w:ind w:firstLine="210" w:firstLineChars="100"/>
              <w:rPr>
                <w:color w:val="auto"/>
                <w:sz w:val="21"/>
                <w:szCs w:val="21"/>
                <w:highlight w:val="none"/>
              </w:rPr>
            </w:pPr>
            <w:r>
              <w:rPr>
                <w:color w:val="auto"/>
                <w:sz w:val="21"/>
                <w:szCs w:val="21"/>
                <w:highlight w:val="none"/>
              </w:rPr>
              <w:t>a.投标函按招标文件规定填报了项目名称、标段号、补遗书编号（如有）、</w:t>
            </w:r>
            <w:r>
              <w:rPr>
                <w:rFonts w:hint="eastAsia"/>
                <w:color w:val="auto"/>
                <w:sz w:val="21"/>
                <w:szCs w:val="21"/>
                <w:highlight w:val="none"/>
              </w:rPr>
              <w:t>交货期</w:t>
            </w:r>
            <w:r>
              <w:rPr>
                <w:color w:val="auto"/>
                <w:sz w:val="21"/>
                <w:szCs w:val="21"/>
                <w:highlight w:val="none"/>
              </w:rPr>
              <w:t>、</w:t>
            </w:r>
            <w:r>
              <w:rPr>
                <w:rFonts w:hint="eastAsia"/>
                <w:color w:val="auto"/>
                <w:sz w:val="21"/>
                <w:szCs w:val="21"/>
                <w:highlight w:val="none"/>
              </w:rPr>
              <w:t>交货地点</w:t>
            </w:r>
            <w:r>
              <w:rPr>
                <w:color w:val="auto"/>
                <w:sz w:val="21"/>
                <w:szCs w:val="21"/>
                <w:highlight w:val="none"/>
              </w:rPr>
              <w:t>及</w:t>
            </w:r>
            <w:r>
              <w:rPr>
                <w:rFonts w:hint="eastAsia"/>
                <w:color w:val="auto"/>
                <w:sz w:val="21"/>
                <w:szCs w:val="21"/>
                <w:highlight w:val="none"/>
              </w:rPr>
              <w:t>质量标准</w:t>
            </w:r>
            <w:r>
              <w:rPr>
                <w:color w:val="auto"/>
                <w:sz w:val="21"/>
                <w:szCs w:val="21"/>
                <w:highlight w:val="none"/>
              </w:rPr>
              <w:t>；</w:t>
            </w:r>
          </w:p>
          <w:p>
            <w:pPr>
              <w:spacing w:line="276" w:lineRule="auto"/>
              <w:ind w:firstLine="210" w:firstLineChars="100"/>
              <w:rPr>
                <w:color w:val="auto"/>
                <w:sz w:val="21"/>
                <w:szCs w:val="21"/>
                <w:highlight w:val="none"/>
              </w:rPr>
            </w:pPr>
            <w:r>
              <w:rPr>
                <w:rFonts w:hint="eastAsia"/>
                <w:color w:val="auto"/>
                <w:sz w:val="21"/>
                <w:szCs w:val="21"/>
                <w:highlight w:val="none"/>
              </w:rPr>
              <w:t>b.投标函附录的所有数据均符合招标文件规定；</w:t>
            </w:r>
          </w:p>
          <w:p>
            <w:pPr>
              <w:spacing w:line="276" w:lineRule="auto"/>
              <w:ind w:firstLine="210" w:firstLineChars="100"/>
              <w:rPr>
                <w:color w:val="auto"/>
                <w:sz w:val="21"/>
                <w:szCs w:val="21"/>
                <w:highlight w:val="none"/>
              </w:rPr>
            </w:pPr>
            <w:r>
              <w:rPr>
                <w:rFonts w:hint="eastAsia"/>
                <w:color w:val="auto"/>
                <w:sz w:val="21"/>
                <w:szCs w:val="21"/>
                <w:highlight w:val="none"/>
              </w:rPr>
              <w:t>c</w:t>
            </w:r>
            <w:r>
              <w:rPr>
                <w:color w:val="auto"/>
                <w:sz w:val="21"/>
                <w:szCs w:val="21"/>
                <w:highlight w:val="none"/>
              </w:rPr>
              <w:t>.投标文件组成齐全完整，内容均按规定填写。</w:t>
            </w:r>
          </w:p>
          <w:p>
            <w:pPr>
              <w:autoSpaceDE w:val="0"/>
              <w:autoSpaceDN w:val="0"/>
              <w:adjustRightInd w:val="0"/>
              <w:spacing w:line="276" w:lineRule="auto"/>
              <w:ind w:firstLine="0" w:firstLineChars="0"/>
              <w:jc w:val="left"/>
              <w:rPr>
                <w:rFonts w:ascii="宋体" w:cs="宋体"/>
                <w:color w:val="auto"/>
                <w:kern w:val="0"/>
                <w:sz w:val="21"/>
                <w:szCs w:val="21"/>
                <w:highlight w:val="none"/>
              </w:rPr>
            </w:pPr>
            <w:r>
              <w:rPr>
                <w:color w:val="auto"/>
                <w:sz w:val="21"/>
                <w:szCs w:val="21"/>
                <w:highlight w:val="none"/>
              </w:rPr>
              <w:t>（2）投标文件上法定代表人或其委托代理人的签字、投标人的单位章盖章齐全，符合招标文件规定。</w:t>
            </w:r>
            <w:r>
              <w:rPr>
                <w:rFonts w:hint="eastAsia" w:ascii="宋体" w:cs="宋体"/>
                <w:color w:val="auto"/>
                <w:kern w:val="0"/>
                <w:sz w:val="21"/>
                <w:szCs w:val="21"/>
                <w:highlight w:val="none"/>
              </w:rPr>
              <w:t>投标文件上项目经理（含备选）、项目总工（含备选）的签字符合招标文件规定；</w:t>
            </w:r>
          </w:p>
          <w:p>
            <w:pPr>
              <w:spacing w:line="276" w:lineRule="auto"/>
              <w:ind w:firstLine="0" w:firstLineChars="0"/>
              <w:rPr>
                <w:color w:val="auto"/>
                <w:sz w:val="21"/>
                <w:szCs w:val="21"/>
                <w:highlight w:val="none"/>
              </w:rPr>
            </w:pPr>
            <w:r>
              <w:rPr>
                <w:color w:val="auto"/>
                <w:sz w:val="21"/>
                <w:szCs w:val="21"/>
                <w:highlight w:val="none"/>
              </w:rPr>
              <w:t>（3）投标人按照招标文件的规定提供了投标保证金：</w:t>
            </w:r>
          </w:p>
          <w:p>
            <w:pPr>
              <w:spacing w:line="276" w:lineRule="auto"/>
              <w:ind w:firstLine="210" w:firstLineChars="100"/>
              <w:rPr>
                <w:color w:val="auto"/>
                <w:sz w:val="21"/>
                <w:szCs w:val="21"/>
                <w:highlight w:val="none"/>
              </w:rPr>
            </w:pPr>
            <w:r>
              <w:rPr>
                <w:color w:val="auto"/>
                <w:sz w:val="21"/>
                <w:szCs w:val="21"/>
                <w:highlight w:val="none"/>
              </w:rPr>
              <w:t>a.投标保证金金额符合招标文件规定的金额，且投标保证金有效期不少于投标有效期；</w:t>
            </w:r>
          </w:p>
          <w:p>
            <w:pPr>
              <w:spacing w:line="276" w:lineRule="auto"/>
              <w:ind w:firstLine="210" w:firstLineChars="100"/>
              <w:rPr>
                <w:color w:val="auto"/>
                <w:sz w:val="21"/>
                <w:szCs w:val="21"/>
                <w:highlight w:val="none"/>
              </w:rPr>
            </w:pPr>
            <w:r>
              <w:rPr>
                <w:color w:val="auto"/>
                <w:sz w:val="21"/>
                <w:szCs w:val="21"/>
                <w:highlight w:val="none"/>
              </w:rPr>
              <w:t>b.若投标保证金采用现金或支票形式提交，投标人应在招标文件规定的投标保证金递交截止时间之前，将投标保证金由投标人的基本账户转入招标人指定账户；</w:t>
            </w:r>
          </w:p>
          <w:p>
            <w:pPr>
              <w:spacing w:line="276" w:lineRule="auto"/>
              <w:ind w:firstLine="210" w:firstLineChars="100"/>
              <w:rPr>
                <w:color w:val="auto"/>
                <w:sz w:val="21"/>
                <w:szCs w:val="21"/>
                <w:highlight w:val="none"/>
              </w:rPr>
            </w:pPr>
            <w:r>
              <w:rPr>
                <w:color w:val="auto"/>
                <w:sz w:val="21"/>
                <w:szCs w:val="21"/>
                <w:highlight w:val="none"/>
              </w:rPr>
              <w:t>c.</w:t>
            </w:r>
            <w:r>
              <w:rPr>
                <w:rFonts w:hint="eastAsia"/>
                <w:color w:val="auto"/>
                <w:sz w:val="21"/>
                <w:szCs w:val="21"/>
                <w:highlight w:val="none"/>
              </w:rPr>
              <w:t>若投标保证金采用银行保函、信用证、保险形式提交，银行保函的格式、开具保函的银行均满足招标文件要求，银行保函原件在递交投标文件时单独密封递交，其复印件装订在投标文件中。若投标保证金采用信用证、保险形式提交的，原件在递交投标文件时单独密封递交，其复印件装订在投标文件中。</w:t>
            </w:r>
          </w:p>
          <w:p>
            <w:pPr>
              <w:spacing w:line="276" w:lineRule="auto"/>
              <w:ind w:firstLine="0" w:firstLineChars="0"/>
              <w:rPr>
                <w:color w:val="auto"/>
                <w:sz w:val="21"/>
                <w:szCs w:val="21"/>
                <w:highlight w:val="none"/>
              </w:rPr>
            </w:pPr>
            <w:r>
              <w:rPr>
                <w:color w:val="auto"/>
                <w:sz w:val="21"/>
                <w:szCs w:val="21"/>
                <w:highlight w:val="none"/>
              </w:rPr>
              <w:t>（4）投标人法定代表人授权委托代理人签署投标文件的，须提交授权委托书，且授权人和被授权人均在授权委托书上签名，未使用印章、签名章或其他电子制版签名代替。</w:t>
            </w:r>
          </w:p>
          <w:p>
            <w:pPr>
              <w:spacing w:line="276" w:lineRule="auto"/>
              <w:ind w:firstLine="0" w:firstLineChars="0"/>
              <w:rPr>
                <w:color w:val="auto"/>
                <w:sz w:val="21"/>
                <w:szCs w:val="21"/>
                <w:highlight w:val="none"/>
              </w:rPr>
            </w:pPr>
            <w:r>
              <w:rPr>
                <w:color w:val="auto"/>
                <w:sz w:val="21"/>
                <w:szCs w:val="21"/>
                <w:highlight w:val="none"/>
              </w:rPr>
              <w:t>（5）投标人法定代表人亲自签署投标文件的，提供了法定代表人身份证明，且法定代表人在法定代表人身份证明上签名，未使用印章、签名章或其他电子制版签名代替。</w:t>
            </w:r>
          </w:p>
          <w:p>
            <w:pPr>
              <w:autoSpaceDE w:val="0"/>
              <w:autoSpaceDN w:val="0"/>
              <w:adjustRightInd w:val="0"/>
              <w:spacing w:line="276" w:lineRule="auto"/>
              <w:ind w:firstLine="0" w:firstLineChars="0"/>
              <w:jc w:val="left"/>
              <w:rPr>
                <w:rFonts w:ascii="宋体" w:cs="宋体"/>
                <w:color w:val="auto"/>
                <w:kern w:val="0"/>
                <w:sz w:val="21"/>
                <w:szCs w:val="21"/>
                <w:highlight w:val="none"/>
              </w:rPr>
            </w:pPr>
            <w:r>
              <w:rPr>
                <w:rFonts w:hint="eastAsia" w:ascii="宋体" w:cs="宋体"/>
                <w:color w:val="auto"/>
                <w:kern w:val="0"/>
                <w:sz w:val="21"/>
                <w:szCs w:val="21"/>
                <w:highlight w:val="none"/>
              </w:rPr>
              <w:t>（</w:t>
            </w:r>
            <w:r>
              <w:rPr>
                <w:rFonts w:ascii="宋体" w:cs="宋体"/>
                <w:color w:val="auto"/>
                <w:kern w:val="0"/>
                <w:sz w:val="21"/>
                <w:szCs w:val="21"/>
                <w:highlight w:val="none"/>
              </w:rPr>
              <w:t>6</w:t>
            </w:r>
            <w:r>
              <w:rPr>
                <w:rFonts w:hint="eastAsia" w:ascii="宋体" w:cs="宋体"/>
                <w:color w:val="auto"/>
                <w:kern w:val="0"/>
                <w:sz w:val="21"/>
                <w:szCs w:val="21"/>
                <w:highlight w:val="none"/>
              </w:rPr>
              <w:t>）投标人如有分包计划，符合招标文件第二章“投标人须知”第</w:t>
            </w:r>
            <w:r>
              <w:rPr>
                <w:rFonts w:ascii="宋体" w:cs="宋体"/>
                <w:color w:val="auto"/>
                <w:kern w:val="0"/>
                <w:sz w:val="21"/>
                <w:szCs w:val="21"/>
                <w:highlight w:val="none"/>
              </w:rPr>
              <w:t>1.11</w:t>
            </w:r>
            <w:r>
              <w:rPr>
                <w:rFonts w:hint="eastAsia" w:ascii="宋体" w:cs="宋体"/>
                <w:color w:val="auto"/>
                <w:kern w:val="0"/>
                <w:sz w:val="21"/>
                <w:szCs w:val="21"/>
                <w:highlight w:val="none"/>
              </w:rPr>
              <w:t>款规定，且按招标文件第九章“投标文件格式”的要求填写了“拟分包项目情况表”。</w:t>
            </w:r>
          </w:p>
          <w:p>
            <w:pPr>
              <w:spacing w:line="276" w:lineRule="auto"/>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rPr>
              <w:t>7</w:t>
            </w:r>
            <w:r>
              <w:rPr>
                <w:color w:val="auto"/>
                <w:sz w:val="21"/>
                <w:szCs w:val="21"/>
                <w:highlight w:val="none"/>
              </w:rPr>
              <w:t>）同一投标人未提交两个以上不同的投标文件，但招标文件要求提交备选投标的除外。</w:t>
            </w:r>
          </w:p>
          <w:p>
            <w:pPr>
              <w:spacing w:line="276" w:lineRule="auto"/>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rPr>
              <w:t>8</w:t>
            </w:r>
            <w:r>
              <w:rPr>
                <w:color w:val="auto"/>
                <w:sz w:val="21"/>
                <w:szCs w:val="21"/>
                <w:highlight w:val="none"/>
              </w:rPr>
              <w:t>）投标文件中未出现有关投标报价的内容。</w:t>
            </w:r>
          </w:p>
          <w:p>
            <w:pPr>
              <w:spacing w:line="276" w:lineRule="auto"/>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rPr>
              <w:t>9</w:t>
            </w:r>
            <w:r>
              <w:rPr>
                <w:color w:val="auto"/>
                <w:sz w:val="21"/>
                <w:szCs w:val="21"/>
                <w:highlight w:val="none"/>
              </w:rPr>
              <w:t>）投标文件载明的招标项目完成期限未超过招标文件规定的时限。</w:t>
            </w:r>
          </w:p>
          <w:p>
            <w:pPr>
              <w:spacing w:line="276" w:lineRule="auto"/>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rPr>
              <w:t>10</w:t>
            </w:r>
            <w:r>
              <w:rPr>
                <w:color w:val="auto"/>
                <w:sz w:val="21"/>
                <w:szCs w:val="21"/>
                <w:highlight w:val="none"/>
              </w:rPr>
              <w:t>）投标文件对招标文件的实质性要求和条件作出响应。</w:t>
            </w:r>
          </w:p>
          <w:p>
            <w:pPr>
              <w:spacing w:line="276" w:lineRule="auto"/>
              <w:ind w:firstLine="0" w:firstLineChars="0"/>
              <w:rPr>
                <w:color w:val="auto"/>
                <w:sz w:val="21"/>
                <w:szCs w:val="21"/>
                <w:highlight w:val="none"/>
              </w:rPr>
            </w:pPr>
            <w:r>
              <w:rPr>
                <w:color w:val="auto"/>
                <w:sz w:val="21"/>
                <w:szCs w:val="21"/>
                <w:highlight w:val="none"/>
              </w:rPr>
              <w:t>（1</w:t>
            </w:r>
            <w:r>
              <w:rPr>
                <w:rFonts w:hint="eastAsia"/>
                <w:color w:val="auto"/>
                <w:sz w:val="21"/>
                <w:szCs w:val="21"/>
                <w:highlight w:val="none"/>
              </w:rPr>
              <w:t>1</w:t>
            </w:r>
            <w:r>
              <w:rPr>
                <w:color w:val="auto"/>
                <w:sz w:val="21"/>
                <w:szCs w:val="21"/>
                <w:highlight w:val="none"/>
              </w:rPr>
              <w:t>）权利义务符合招标文件规定：</w:t>
            </w:r>
          </w:p>
          <w:p>
            <w:pPr>
              <w:spacing w:line="276" w:lineRule="auto"/>
              <w:ind w:firstLine="210" w:firstLineChars="100"/>
              <w:rPr>
                <w:color w:val="auto"/>
                <w:sz w:val="21"/>
                <w:szCs w:val="21"/>
                <w:highlight w:val="none"/>
              </w:rPr>
            </w:pPr>
            <w:r>
              <w:rPr>
                <w:color w:val="auto"/>
                <w:sz w:val="21"/>
                <w:szCs w:val="21"/>
                <w:highlight w:val="none"/>
              </w:rPr>
              <w:t>a.投标人应接受招标文件规定的风险划分原则，未提出新的风险划分办法；</w:t>
            </w:r>
          </w:p>
          <w:p>
            <w:pPr>
              <w:spacing w:line="276" w:lineRule="auto"/>
              <w:ind w:firstLine="210" w:firstLineChars="100"/>
              <w:rPr>
                <w:color w:val="auto"/>
                <w:sz w:val="21"/>
                <w:szCs w:val="21"/>
                <w:highlight w:val="none"/>
              </w:rPr>
            </w:pPr>
            <w:r>
              <w:rPr>
                <w:color w:val="auto"/>
                <w:sz w:val="21"/>
                <w:szCs w:val="21"/>
                <w:highlight w:val="none"/>
              </w:rPr>
              <w:t>b.投标人未增加委托人的责任范围，或减少投标人义务；</w:t>
            </w:r>
          </w:p>
          <w:p>
            <w:pPr>
              <w:spacing w:line="276" w:lineRule="auto"/>
              <w:ind w:firstLine="210" w:firstLineChars="100"/>
              <w:rPr>
                <w:color w:val="auto"/>
                <w:sz w:val="21"/>
                <w:szCs w:val="21"/>
                <w:highlight w:val="none"/>
              </w:rPr>
            </w:pPr>
            <w:r>
              <w:rPr>
                <w:color w:val="auto"/>
                <w:sz w:val="21"/>
                <w:szCs w:val="21"/>
                <w:highlight w:val="none"/>
              </w:rPr>
              <w:t>c.投标人未提出不同的支付办法；</w:t>
            </w:r>
          </w:p>
          <w:p>
            <w:pPr>
              <w:spacing w:line="276" w:lineRule="auto"/>
              <w:ind w:firstLine="210" w:firstLineChars="100"/>
              <w:rPr>
                <w:color w:val="auto"/>
                <w:sz w:val="21"/>
                <w:szCs w:val="21"/>
                <w:highlight w:val="none"/>
              </w:rPr>
            </w:pPr>
            <w:r>
              <w:rPr>
                <w:color w:val="auto"/>
                <w:sz w:val="21"/>
                <w:szCs w:val="21"/>
                <w:highlight w:val="none"/>
              </w:rPr>
              <w:t>d.投标人对合同纠纷、事故处理办法未提出异议；</w:t>
            </w:r>
          </w:p>
          <w:p>
            <w:pPr>
              <w:spacing w:line="276" w:lineRule="auto"/>
              <w:ind w:firstLine="210" w:firstLineChars="100"/>
              <w:rPr>
                <w:color w:val="auto"/>
                <w:sz w:val="21"/>
                <w:szCs w:val="21"/>
                <w:highlight w:val="none"/>
              </w:rPr>
            </w:pPr>
            <w:r>
              <w:rPr>
                <w:color w:val="auto"/>
                <w:sz w:val="21"/>
                <w:szCs w:val="21"/>
                <w:highlight w:val="none"/>
              </w:rPr>
              <w:t>e.投标人在投标活动中无欺诈行为；</w:t>
            </w:r>
          </w:p>
          <w:p>
            <w:pPr>
              <w:spacing w:line="276" w:lineRule="auto"/>
              <w:ind w:firstLine="210" w:firstLineChars="100"/>
              <w:rPr>
                <w:color w:val="auto"/>
                <w:sz w:val="21"/>
                <w:szCs w:val="21"/>
                <w:highlight w:val="none"/>
              </w:rPr>
            </w:pPr>
            <w:r>
              <w:rPr>
                <w:color w:val="auto"/>
                <w:sz w:val="21"/>
                <w:szCs w:val="21"/>
                <w:highlight w:val="none"/>
              </w:rPr>
              <w:t>f.投标人未对合同条款有重要保留。</w:t>
            </w:r>
          </w:p>
          <w:p>
            <w:pPr>
              <w:spacing w:line="276" w:lineRule="auto"/>
              <w:ind w:firstLine="0" w:firstLineChars="0"/>
              <w:rPr>
                <w:color w:val="auto"/>
                <w:sz w:val="21"/>
                <w:szCs w:val="21"/>
                <w:highlight w:val="none"/>
              </w:rPr>
            </w:pPr>
            <w:r>
              <w:rPr>
                <w:color w:val="auto"/>
                <w:sz w:val="21"/>
                <w:szCs w:val="21"/>
                <w:highlight w:val="none"/>
              </w:rPr>
              <w:t>（1</w:t>
            </w:r>
            <w:r>
              <w:rPr>
                <w:rFonts w:hint="eastAsia"/>
                <w:color w:val="auto"/>
                <w:sz w:val="21"/>
                <w:szCs w:val="21"/>
                <w:highlight w:val="none"/>
              </w:rPr>
              <w:t>2</w:t>
            </w:r>
            <w:r>
              <w:rPr>
                <w:color w:val="auto"/>
                <w:sz w:val="21"/>
                <w:szCs w:val="21"/>
                <w:highlight w:val="none"/>
              </w:rPr>
              <w:t>）投标文件正、副本份数符合招标文件第二章“投标人须知”第3.7.4项规定。</w:t>
            </w:r>
          </w:p>
          <w:p>
            <w:pPr>
              <w:spacing w:line="276" w:lineRule="auto"/>
              <w:ind w:firstLine="0" w:firstLineChars="0"/>
              <w:rPr>
                <w:color w:val="auto"/>
                <w:sz w:val="21"/>
                <w:szCs w:val="21"/>
                <w:highlight w:val="none"/>
              </w:rPr>
            </w:pPr>
            <w:r>
              <w:rPr>
                <w:rFonts w:hint="eastAsia"/>
                <w:color w:val="auto"/>
                <w:sz w:val="21"/>
                <w:szCs w:val="21"/>
                <w:highlight w:val="none"/>
              </w:rPr>
              <w:t>（13）投标文件未附有招标人不能接受的条件。</w:t>
            </w:r>
          </w:p>
          <w:p>
            <w:pPr>
              <w:spacing w:line="276" w:lineRule="auto"/>
              <w:ind w:firstLine="0" w:firstLineChars="0"/>
              <w:rPr>
                <w:color w:val="auto"/>
                <w:sz w:val="21"/>
                <w:szCs w:val="21"/>
                <w:highlight w:val="none"/>
              </w:rPr>
            </w:pPr>
          </w:p>
          <w:p>
            <w:pPr>
              <w:spacing w:line="276" w:lineRule="auto"/>
              <w:ind w:firstLine="0" w:firstLineChars="0"/>
              <w:rPr>
                <w:b/>
                <w:color w:val="auto"/>
                <w:sz w:val="21"/>
                <w:szCs w:val="21"/>
                <w:highlight w:val="none"/>
              </w:rPr>
            </w:pPr>
            <w:r>
              <w:rPr>
                <w:b/>
                <w:color w:val="auto"/>
                <w:sz w:val="21"/>
                <w:szCs w:val="21"/>
                <w:highlight w:val="none"/>
              </w:rPr>
              <w:t>第二个信封（报价文件）评审标准：</w:t>
            </w:r>
          </w:p>
          <w:p>
            <w:pPr>
              <w:spacing w:line="276" w:lineRule="auto"/>
              <w:ind w:firstLine="0" w:firstLineChars="0"/>
              <w:rPr>
                <w:color w:val="auto"/>
                <w:sz w:val="21"/>
                <w:szCs w:val="21"/>
                <w:highlight w:val="none"/>
              </w:rPr>
            </w:pPr>
            <w:r>
              <w:rPr>
                <w:color w:val="auto"/>
                <w:sz w:val="21"/>
                <w:szCs w:val="21"/>
                <w:highlight w:val="none"/>
              </w:rPr>
              <w:t>（1）投标文件按照招标文件规定的格式、内容填写，字迹清晰可辨，内容齐全完整：</w:t>
            </w:r>
          </w:p>
          <w:p>
            <w:pPr>
              <w:spacing w:line="276" w:lineRule="auto"/>
              <w:ind w:firstLine="210" w:firstLineChars="100"/>
              <w:rPr>
                <w:color w:val="auto"/>
                <w:sz w:val="21"/>
                <w:szCs w:val="21"/>
                <w:highlight w:val="none"/>
              </w:rPr>
            </w:pPr>
            <w:r>
              <w:rPr>
                <w:color w:val="auto"/>
                <w:sz w:val="21"/>
                <w:szCs w:val="21"/>
                <w:highlight w:val="none"/>
              </w:rPr>
              <w:t>a.投标函按招标文件规定填报了项目名称、标段号、补遗书编号（如有）、投标价（包括大写金额和小写金额）；</w:t>
            </w:r>
          </w:p>
          <w:p>
            <w:pPr>
              <w:spacing w:line="276" w:lineRule="auto"/>
              <w:ind w:firstLine="210" w:firstLineChars="100"/>
              <w:rPr>
                <w:color w:val="auto"/>
                <w:sz w:val="21"/>
                <w:szCs w:val="21"/>
                <w:highlight w:val="none"/>
              </w:rPr>
            </w:pPr>
            <w:r>
              <w:rPr>
                <w:color w:val="auto"/>
                <w:sz w:val="21"/>
                <w:szCs w:val="21"/>
                <w:highlight w:val="none"/>
              </w:rPr>
              <w:t>b.已标价报价清单说明文字与招标文件规定一致，未进行实质性修改和删减；</w:t>
            </w:r>
          </w:p>
          <w:p>
            <w:pPr>
              <w:spacing w:line="276" w:lineRule="auto"/>
              <w:ind w:firstLine="210" w:firstLineChars="100"/>
              <w:rPr>
                <w:color w:val="auto"/>
                <w:sz w:val="21"/>
                <w:szCs w:val="21"/>
                <w:highlight w:val="none"/>
              </w:rPr>
            </w:pPr>
            <w:r>
              <w:rPr>
                <w:color w:val="auto"/>
                <w:sz w:val="21"/>
                <w:szCs w:val="21"/>
                <w:highlight w:val="none"/>
              </w:rPr>
              <w:t>c.投标文件组成齐全完整，内容均按规定填写。</w:t>
            </w:r>
          </w:p>
          <w:p>
            <w:pPr>
              <w:spacing w:line="276" w:lineRule="auto"/>
              <w:ind w:firstLine="0" w:firstLineChars="0"/>
              <w:rPr>
                <w:color w:val="auto"/>
                <w:sz w:val="21"/>
                <w:szCs w:val="21"/>
                <w:highlight w:val="none"/>
              </w:rPr>
            </w:pPr>
            <w:r>
              <w:rPr>
                <w:color w:val="auto"/>
                <w:sz w:val="21"/>
                <w:szCs w:val="21"/>
                <w:highlight w:val="none"/>
              </w:rPr>
              <w:t>（2）投标文件上法定代表人或其委托代理人的签字、投标人的单位章盖章齐全，符合招标文件规定。</w:t>
            </w:r>
          </w:p>
          <w:p>
            <w:pPr>
              <w:spacing w:line="276" w:lineRule="auto"/>
              <w:ind w:firstLine="0" w:firstLineChars="0"/>
              <w:rPr>
                <w:color w:val="auto"/>
                <w:sz w:val="21"/>
                <w:szCs w:val="21"/>
                <w:highlight w:val="none"/>
              </w:rPr>
            </w:pPr>
            <w:r>
              <w:rPr>
                <w:color w:val="auto"/>
                <w:sz w:val="21"/>
                <w:szCs w:val="21"/>
                <w:highlight w:val="none"/>
              </w:rPr>
              <w:t>（3）投标报价未超过招标文件设定的最高投标限价（如有）。</w:t>
            </w:r>
          </w:p>
          <w:p>
            <w:pPr>
              <w:spacing w:line="276" w:lineRule="auto"/>
              <w:ind w:firstLine="0" w:firstLineChars="0"/>
              <w:rPr>
                <w:color w:val="auto"/>
                <w:sz w:val="21"/>
                <w:szCs w:val="21"/>
                <w:highlight w:val="none"/>
              </w:rPr>
            </w:pPr>
            <w:r>
              <w:rPr>
                <w:color w:val="auto"/>
                <w:sz w:val="21"/>
                <w:szCs w:val="21"/>
                <w:highlight w:val="none"/>
              </w:rPr>
              <w:t>（4）投标报价的大写金额能够确定具体数值。</w:t>
            </w:r>
          </w:p>
          <w:p>
            <w:pPr>
              <w:spacing w:line="276" w:lineRule="auto"/>
              <w:ind w:firstLine="0" w:firstLineChars="0"/>
              <w:rPr>
                <w:color w:val="auto"/>
                <w:sz w:val="21"/>
                <w:szCs w:val="21"/>
                <w:highlight w:val="none"/>
              </w:rPr>
            </w:pPr>
            <w:r>
              <w:rPr>
                <w:color w:val="auto"/>
                <w:sz w:val="21"/>
                <w:szCs w:val="21"/>
                <w:highlight w:val="none"/>
              </w:rPr>
              <w:t>（5）同一投标人未提交两个以上不同的投标报价，但招标文件要求提交备选投标的除外。</w:t>
            </w:r>
          </w:p>
          <w:p>
            <w:pPr>
              <w:spacing w:line="276" w:lineRule="auto"/>
              <w:ind w:firstLine="0" w:firstLineChars="0"/>
              <w:rPr>
                <w:color w:val="auto"/>
                <w:sz w:val="21"/>
                <w:szCs w:val="21"/>
                <w:highlight w:val="none"/>
              </w:rPr>
            </w:pPr>
            <w:r>
              <w:rPr>
                <w:rFonts w:hint="eastAsia"/>
                <w:color w:val="auto"/>
                <w:sz w:val="21"/>
                <w:szCs w:val="21"/>
                <w:highlight w:val="none"/>
              </w:rPr>
              <w:t>（6）投标人若填写工程量固化清单，填写完毕的工程量固化清单未对工程量固化清单电子文件中的数据、格式、和运算定义进行修改；工程量固化清单的投标报价和投标函大写金额报价一致。</w:t>
            </w:r>
          </w:p>
          <w:p>
            <w:pPr>
              <w:spacing w:line="276" w:lineRule="auto"/>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rPr>
              <w:t>7</w:t>
            </w:r>
            <w:r>
              <w:rPr>
                <w:color w:val="auto"/>
                <w:sz w:val="21"/>
                <w:szCs w:val="21"/>
                <w:highlight w:val="none"/>
              </w:rPr>
              <w:t>）投标文件正、副本份数符合招标文件第二章“投标人须知”第3.7.4项规定。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6" w:hRule="atLeast"/>
        </w:trPr>
        <w:tc>
          <w:tcPr>
            <w:tcW w:w="989" w:type="dxa"/>
            <w:tcBorders>
              <w:top w:val="single" w:color="auto" w:sz="4" w:space="0"/>
              <w:bottom w:val="single" w:color="auto" w:sz="4" w:space="0"/>
              <w:right w:val="single" w:color="auto" w:sz="4" w:space="0"/>
            </w:tcBorders>
            <w:vAlign w:val="center"/>
          </w:tcPr>
          <w:p>
            <w:pPr>
              <w:spacing w:line="350" w:lineRule="atLeast"/>
              <w:ind w:firstLine="0" w:firstLineChars="0"/>
              <w:jc w:val="center"/>
              <w:rPr>
                <w:color w:val="auto"/>
                <w:sz w:val="21"/>
                <w:szCs w:val="21"/>
                <w:highlight w:val="none"/>
              </w:rPr>
            </w:pPr>
            <w:r>
              <w:rPr>
                <w:color w:val="auto"/>
                <w:sz w:val="21"/>
                <w:szCs w:val="21"/>
                <w:highlight w:val="none"/>
              </w:rPr>
              <w:t>2.1.2</w:t>
            </w:r>
          </w:p>
        </w:tc>
        <w:tc>
          <w:tcPr>
            <w:tcW w:w="1280" w:type="dxa"/>
            <w:tcBorders>
              <w:top w:val="single" w:color="auto" w:sz="4" w:space="0"/>
              <w:bottom w:val="single" w:color="auto" w:sz="4" w:space="0"/>
              <w:right w:val="single" w:color="auto" w:sz="4" w:space="0"/>
            </w:tcBorders>
            <w:vAlign w:val="center"/>
          </w:tcPr>
          <w:p>
            <w:pPr>
              <w:spacing w:line="350" w:lineRule="atLeast"/>
              <w:ind w:firstLine="0" w:firstLineChars="0"/>
              <w:jc w:val="center"/>
              <w:rPr>
                <w:color w:val="auto"/>
                <w:sz w:val="21"/>
                <w:szCs w:val="21"/>
                <w:highlight w:val="none"/>
              </w:rPr>
            </w:pPr>
            <w:r>
              <w:rPr>
                <w:color w:val="auto"/>
                <w:sz w:val="21"/>
                <w:szCs w:val="21"/>
                <w:highlight w:val="none"/>
              </w:rPr>
              <w:t>资格评审标准</w:t>
            </w:r>
          </w:p>
        </w:tc>
        <w:tc>
          <w:tcPr>
            <w:tcW w:w="6622" w:type="dxa"/>
            <w:tcBorders>
              <w:top w:val="single" w:color="auto" w:sz="4" w:space="0"/>
              <w:left w:val="single" w:color="auto" w:sz="4" w:space="0"/>
              <w:right w:val="single" w:color="auto" w:sz="4" w:space="0"/>
            </w:tcBorders>
            <w:vAlign w:val="center"/>
          </w:tcPr>
          <w:p>
            <w:pPr>
              <w:spacing w:line="350" w:lineRule="atLeast"/>
              <w:ind w:firstLine="0" w:firstLineChars="0"/>
              <w:rPr>
                <w:color w:val="auto"/>
                <w:sz w:val="21"/>
                <w:szCs w:val="21"/>
                <w:highlight w:val="none"/>
              </w:rPr>
            </w:pPr>
            <w:r>
              <w:rPr>
                <w:color w:val="auto"/>
                <w:sz w:val="21"/>
                <w:szCs w:val="21"/>
                <w:highlight w:val="none"/>
              </w:rPr>
              <w:t>（1）投标人具备有效的营业执照（或事业单位法人证书）、组织机构代码证（如有）、资质证书和基本账户开户许可证。</w:t>
            </w:r>
            <w:r>
              <w:rPr>
                <w:rFonts w:hint="eastAsia"/>
                <w:color w:val="auto"/>
                <w:sz w:val="21"/>
                <w:szCs w:val="21"/>
                <w:highlight w:val="none"/>
              </w:rPr>
              <w:t>（若投标人无法提供基本账户开户许可证，则须提供加盖单位公章的基本账户证明文件的复印件）。</w:t>
            </w:r>
          </w:p>
          <w:p>
            <w:pPr>
              <w:spacing w:line="350" w:lineRule="atLeast"/>
              <w:ind w:firstLine="0" w:firstLineChars="0"/>
              <w:rPr>
                <w:color w:val="auto"/>
                <w:sz w:val="21"/>
                <w:szCs w:val="21"/>
                <w:highlight w:val="none"/>
              </w:rPr>
            </w:pPr>
            <w:r>
              <w:rPr>
                <w:color w:val="auto"/>
                <w:sz w:val="21"/>
                <w:szCs w:val="21"/>
                <w:highlight w:val="none"/>
              </w:rPr>
              <w:t>（2）投标人的资质等级符合招标文件规定。</w:t>
            </w:r>
          </w:p>
          <w:p>
            <w:pPr>
              <w:spacing w:line="350" w:lineRule="atLeast"/>
              <w:ind w:firstLine="0" w:firstLineChars="0"/>
              <w:rPr>
                <w:color w:val="auto"/>
                <w:sz w:val="21"/>
                <w:szCs w:val="21"/>
                <w:highlight w:val="none"/>
              </w:rPr>
            </w:pPr>
            <w:r>
              <w:rPr>
                <w:rFonts w:hint="eastAsia"/>
                <w:color w:val="auto"/>
                <w:sz w:val="21"/>
                <w:szCs w:val="21"/>
                <w:highlight w:val="none"/>
              </w:rPr>
              <w:t>（3）投标人的财务状况符合招标文件规定。</w:t>
            </w:r>
          </w:p>
          <w:p>
            <w:pPr>
              <w:spacing w:line="350" w:lineRule="atLeast"/>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rPr>
              <w:t>4</w:t>
            </w:r>
            <w:r>
              <w:rPr>
                <w:color w:val="auto"/>
                <w:sz w:val="21"/>
                <w:szCs w:val="21"/>
                <w:highlight w:val="none"/>
              </w:rPr>
              <w:t>）投标人的类似项目业绩符合招标文件规定。</w:t>
            </w:r>
          </w:p>
          <w:p>
            <w:pPr>
              <w:spacing w:line="350" w:lineRule="atLeast"/>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rPr>
              <w:t>5</w:t>
            </w:r>
            <w:r>
              <w:rPr>
                <w:color w:val="auto"/>
                <w:sz w:val="21"/>
                <w:szCs w:val="21"/>
                <w:highlight w:val="none"/>
              </w:rPr>
              <w:t>）投标人的信誉符合招标文件规定。</w:t>
            </w:r>
          </w:p>
          <w:p>
            <w:pPr>
              <w:spacing w:line="350" w:lineRule="atLeast"/>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rPr>
              <w:t>6</w:t>
            </w:r>
            <w:r>
              <w:rPr>
                <w:color w:val="auto"/>
                <w:sz w:val="21"/>
                <w:szCs w:val="21"/>
                <w:highlight w:val="none"/>
              </w:rPr>
              <w:t>）投标人的</w:t>
            </w:r>
            <w:r>
              <w:rPr>
                <w:rFonts w:hint="eastAsia"/>
                <w:color w:val="auto"/>
                <w:sz w:val="21"/>
                <w:szCs w:val="21"/>
                <w:highlight w:val="none"/>
              </w:rPr>
              <w:t>人员</w:t>
            </w:r>
            <w:r>
              <w:rPr>
                <w:color w:val="auto"/>
                <w:sz w:val="21"/>
                <w:szCs w:val="21"/>
                <w:highlight w:val="none"/>
              </w:rPr>
              <w:t>符合招标文件规定。</w:t>
            </w:r>
          </w:p>
          <w:p>
            <w:pPr>
              <w:spacing w:line="350" w:lineRule="atLeast"/>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rPr>
              <w:t>7</w:t>
            </w:r>
            <w:r>
              <w:rPr>
                <w:color w:val="auto"/>
                <w:sz w:val="21"/>
                <w:szCs w:val="21"/>
                <w:highlight w:val="none"/>
              </w:rPr>
              <w:t>）投标人的</w:t>
            </w:r>
            <w:r>
              <w:rPr>
                <w:rFonts w:hint="eastAsia"/>
                <w:color w:val="auto"/>
                <w:sz w:val="21"/>
                <w:szCs w:val="21"/>
                <w:highlight w:val="none"/>
              </w:rPr>
              <w:t>技术</w:t>
            </w:r>
            <w:r>
              <w:rPr>
                <w:color w:val="auto"/>
                <w:sz w:val="21"/>
                <w:szCs w:val="21"/>
                <w:highlight w:val="none"/>
              </w:rPr>
              <w:t>要求符合招标文件规定。</w:t>
            </w:r>
          </w:p>
          <w:p>
            <w:pPr>
              <w:spacing w:line="350" w:lineRule="atLeast"/>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rPr>
              <w:t>8</w:t>
            </w:r>
            <w:r>
              <w:rPr>
                <w:color w:val="auto"/>
                <w:sz w:val="21"/>
                <w:szCs w:val="21"/>
                <w:highlight w:val="none"/>
              </w:rPr>
              <w:t>）投标人不存在第二章</w:t>
            </w:r>
            <w:r>
              <w:rPr>
                <w:rFonts w:hint="eastAsia"/>
                <w:color w:val="auto"/>
                <w:sz w:val="21"/>
                <w:szCs w:val="21"/>
                <w:highlight w:val="none"/>
              </w:rPr>
              <w:t>“</w:t>
            </w:r>
            <w:r>
              <w:rPr>
                <w:color w:val="auto"/>
                <w:sz w:val="21"/>
                <w:szCs w:val="21"/>
                <w:highlight w:val="none"/>
              </w:rPr>
              <w:t>投标人须知</w:t>
            </w:r>
            <w:r>
              <w:rPr>
                <w:rFonts w:hint="eastAsia"/>
                <w:color w:val="auto"/>
                <w:sz w:val="21"/>
                <w:szCs w:val="21"/>
                <w:highlight w:val="none"/>
              </w:rPr>
              <w:t>”</w:t>
            </w:r>
            <w:r>
              <w:rPr>
                <w:color w:val="auto"/>
                <w:sz w:val="21"/>
                <w:szCs w:val="21"/>
                <w:highlight w:val="none"/>
              </w:rPr>
              <w:t>第1.4.3项或第1.4.4项规定的任何一种情形。</w:t>
            </w:r>
          </w:p>
          <w:p>
            <w:pPr>
              <w:spacing w:line="350" w:lineRule="atLeast"/>
              <w:ind w:firstLine="0" w:firstLineChars="0"/>
              <w:rPr>
                <w:color w:val="auto"/>
                <w:sz w:val="21"/>
                <w:szCs w:val="21"/>
                <w:highlight w:val="none"/>
              </w:rPr>
            </w:pPr>
          </w:p>
        </w:tc>
      </w:tr>
    </w:tbl>
    <w:p>
      <w:pPr>
        <w:ind w:firstLine="480"/>
        <w:rPr>
          <w:color w:val="auto"/>
          <w:highlight w:val="none"/>
        </w:rPr>
      </w:pPr>
      <w:r>
        <w:rPr>
          <w:color w:val="auto"/>
          <w:highlight w:val="none"/>
        </w:rPr>
        <w:br w:type="page"/>
      </w:r>
    </w:p>
    <w:p>
      <w:pPr>
        <w:ind w:firstLine="496"/>
        <w:jc w:val="right"/>
        <w:rPr>
          <w:color w:val="auto"/>
          <w:highlight w:val="none"/>
        </w:rPr>
      </w:pPr>
      <w:r>
        <w:rPr>
          <w:color w:val="auto"/>
          <w:spacing w:val="4"/>
          <w:szCs w:val="21"/>
          <w:highlight w:val="none"/>
        </w:rPr>
        <w:t>续上表</w:t>
      </w:r>
    </w:p>
    <w:tbl>
      <w:tblPr>
        <w:tblStyle w:val="4"/>
        <w:tblW w:w="90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1370"/>
        <w:gridCol w:w="6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58" w:type="dxa"/>
            <w:tcBorders>
              <w:top w:val="single" w:color="auto" w:sz="4" w:space="0"/>
              <w:right w:val="single" w:color="auto" w:sz="4" w:space="0"/>
            </w:tcBorders>
            <w:vAlign w:val="center"/>
          </w:tcPr>
          <w:p>
            <w:pPr>
              <w:spacing w:line="380" w:lineRule="atLeast"/>
              <w:ind w:firstLine="0" w:firstLineChars="0"/>
              <w:jc w:val="center"/>
              <w:rPr>
                <w:b/>
                <w:color w:val="auto"/>
                <w:sz w:val="21"/>
                <w:szCs w:val="21"/>
                <w:highlight w:val="none"/>
              </w:rPr>
            </w:pPr>
            <w:r>
              <w:rPr>
                <w:b/>
                <w:color w:val="auto"/>
                <w:sz w:val="21"/>
                <w:szCs w:val="21"/>
                <w:highlight w:val="none"/>
              </w:rPr>
              <w:t>条款号</w:t>
            </w:r>
          </w:p>
        </w:tc>
        <w:tc>
          <w:tcPr>
            <w:tcW w:w="1370" w:type="dxa"/>
            <w:tcBorders>
              <w:top w:val="single" w:color="auto" w:sz="4" w:space="0"/>
              <w:right w:val="single" w:color="auto" w:sz="4" w:space="0"/>
            </w:tcBorders>
            <w:vAlign w:val="center"/>
          </w:tcPr>
          <w:p>
            <w:pPr>
              <w:spacing w:line="380" w:lineRule="atLeast"/>
              <w:ind w:firstLine="0" w:firstLineChars="0"/>
              <w:jc w:val="center"/>
              <w:rPr>
                <w:b/>
                <w:color w:val="auto"/>
                <w:sz w:val="21"/>
                <w:szCs w:val="21"/>
                <w:highlight w:val="none"/>
              </w:rPr>
            </w:pPr>
            <w:r>
              <w:rPr>
                <w:b/>
                <w:color w:val="auto"/>
                <w:sz w:val="21"/>
                <w:szCs w:val="21"/>
                <w:highlight w:val="none"/>
              </w:rPr>
              <w:t>条款内容</w:t>
            </w:r>
          </w:p>
        </w:tc>
        <w:tc>
          <w:tcPr>
            <w:tcW w:w="6709" w:type="dxa"/>
            <w:tcBorders>
              <w:top w:val="single" w:color="auto" w:sz="4" w:space="0"/>
              <w:left w:val="single" w:color="auto" w:sz="4" w:space="0"/>
              <w:right w:val="single" w:color="auto" w:sz="4" w:space="0"/>
            </w:tcBorders>
            <w:vAlign w:val="center"/>
          </w:tcPr>
          <w:p>
            <w:pPr>
              <w:spacing w:line="380" w:lineRule="atLeast"/>
              <w:ind w:firstLine="0" w:firstLineChars="0"/>
              <w:jc w:val="center"/>
              <w:rPr>
                <w:b/>
                <w:color w:val="auto"/>
                <w:sz w:val="21"/>
                <w:szCs w:val="21"/>
                <w:highlight w:val="none"/>
              </w:rPr>
            </w:pPr>
            <w:r>
              <w:rPr>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58" w:type="dxa"/>
            <w:tcBorders>
              <w:top w:val="single" w:color="auto" w:sz="4" w:space="0"/>
              <w:right w:val="single" w:color="auto" w:sz="4" w:space="0"/>
            </w:tcBorders>
            <w:vAlign w:val="center"/>
          </w:tcPr>
          <w:p>
            <w:pPr>
              <w:spacing w:line="380" w:lineRule="atLeast"/>
              <w:ind w:firstLine="0" w:firstLineChars="0"/>
              <w:jc w:val="center"/>
              <w:rPr>
                <w:color w:val="auto"/>
                <w:sz w:val="21"/>
                <w:szCs w:val="21"/>
                <w:highlight w:val="none"/>
              </w:rPr>
            </w:pPr>
            <w:r>
              <w:rPr>
                <w:color w:val="auto"/>
                <w:sz w:val="21"/>
                <w:szCs w:val="21"/>
                <w:highlight w:val="none"/>
              </w:rPr>
              <w:t>2.2.1</w:t>
            </w:r>
          </w:p>
        </w:tc>
        <w:tc>
          <w:tcPr>
            <w:tcW w:w="1370" w:type="dxa"/>
            <w:tcBorders>
              <w:top w:val="single" w:color="auto" w:sz="4" w:space="0"/>
              <w:right w:val="single" w:color="auto" w:sz="4" w:space="0"/>
            </w:tcBorders>
            <w:vAlign w:val="center"/>
          </w:tcPr>
          <w:p>
            <w:pPr>
              <w:spacing w:line="380" w:lineRule="atLeast"/>
              <w:ind w:firstLine="0" w:firstLineChars="0"/>
              <w:jc w:val="center"/>
              <w:rPr>
                <w:color w:val="auto"/>
                <w:sz w:val="21"/>
                <w:szCs w:val="21"/>
                <w:highlight w:val="none"/>
              </w:rPr>
            </w:pPr>
            <w:r>
              <w:rPr>
                <w:color w:val="auto"/>
                <w:sz w:val="21"/>
                <w:szCs w:val="21"/>
                <w:highlight w:val="none"/>
              </w:rPr>
              <w:t>分值构成</w:t>
            </w:r>
          </w:p>
          <w:p>
            <w:pPr>
              <w:spacing w:line="380" w:lineRule="atLeast"/>
              <w:ind w:left="-120" w:leftChars="-50" w:right="-120" w:rightChars="-50" w:firstLine="0" w:firstLineChars="0"/>
              <w:jc w:val="center"/>
              <w:rPr>
                <w:color w:val="auto"/>
                <w:sz w:val="21"/>
                <w:szCs w:val="21"/>
                <w:highlight w:val="none"/>
              </w:rPr>
            </w:pPr>
            <w:r>
              <w:rPr>
                <w:color w:val="auto"/>
                <w:sz w:val="21"/>
                <w:szCs w:val="21"/>
                <w:highlight w:val="none"/>
              </w:rPr>
              <w:t>（总分100分）</w:t>
            </w:r>
          </w:p>
        </w:tc>
        <w:tc>
          <w:tcPr>
            <w:tcW w:w="6709" w:type="dxa"/>
            <w:tcBorders>
              <w:top w:val="single" w:color="auto" w:sz="4" w:space="0"/>
              <w:left w:val="single" w:color="auto" w:sz="4" w:space="0"/>
              <w:right w:val="single" w:color="auto" w:sz="4" w:space="0"/>
            </w:tcBorders>
            <w:vAlign w:val="center"/>
          </w:tcPr>
          <w:p>
            <w:pPr>
              <w:spacing w:line="360" w:lineRule="atLeast"/>
              <w:ind w:firstLine="0" w:firstLineChars="0"/>
              <w:rPr>
                <w:color w:val="auto"/>
                <w:sz w:val="21"/>
                <w:szCs w:val="21"/>
                <w:highlight w:val="none"/>
              </w:rPr>
            </w:pPr>
            <w:r>
              <w:rPr>
                <w:rFonts w:hint="eastAsia"/>
                <w:b/>
                <w:bCs/>
                <w:color w:val="auto"/>
                <w:sz w:val="21"/>
                <w:szCs w:val="21"/>
                <w:highlight w:val="none"/>
              </w:rPr>
              <w:t xml:space="preserve">第一个信封（商务及技术文件）评分分值构成 15 分： </w:t>
            </w:r>
          </w:p>
          <w:p>
            <w:pPr>
              <w:spacing w:line="360" w:lineRule="atLeast"/>
              <w:ind w:firstLine="0" w:firstLineChars="0"/>
              <w:rPr>
                <w:color w:val="auto"/>
                <w:sz w:val="21"/>
                <w:szCs w:val="21"/>
                <w:highlight w:val="none"/>
              </w:rPr>
            </w:pPr>
            <w:r>
              <w:rPr>
                <w:rFonts w:hint="eastAsia"/>
                <w:color w:val="auto"/>
                <w:sz w:val="21"/>
                <w:szCs w:val="21"/>
                <w:highlight w:val="none"/>
              </w:rPr>
              <w:t>技术组织方案（A）：5分</w:t>
            </w:r>
          </w:p>
          <w:p>
            <w:pPr>
              <w:spacing w:line="360" w:lineRule="atLeast"/>
              <w:ind w:firstLine="0" w:firstLineChars="0"/>
              <w:rPr>
                <w:color w:val="auto"/>
                <w:sz w:val="21"/>
                <w:szCs w:val="21"/>
                <w:highlight w:val="none"/>
              </w:rPr>
            </w:pPr>
            <w:r>
              <w:rPr>
                <w:rFonts w:hint="eastAsia"/>
                <w:color w:val="auto"/>
                <w:sz w:val="21"/>
                <w:szCs w:val="21"/>
                <w:highlight w:val="none"/>
              </w:rPr>
              <w:t xml:space="preserve">业绩（B）：3分 </w:t>
            </w:r>
          </w:p>
          <w:p>
            <w:pPr>
              <w:spacing w:line="360" w:lineRule="atLeast"/>
              <w:ind w:firstLine="0" w:firstLineChars="0"/>
              <w:rPr>
                <w:color w:val="auto"/>
                <w:sz w:val="21"/>
                <w:szCs w:val="21"/>
                <w:highlight w:val="none"/>
              </w:rPr>
            </w:pPr>
            <w:r>
              <w:rPr>
                <w:rFonts w:hint="eastAsia"/>
                <w:color w:val="auto"/>
                <w:sz w:val="21"/>
                <w:szCs w:val="21"/>
                <w:highlight w:val="none"/>
              </w:rPr>
              <w:t>其他因素（D）：</w:t>
            </w:r>
          </w:p>
          <w:p>
            <w:pPr>
              <w:spacing w:line="360" w:lineRule="atLeast"/>
              <w:ind w:firstLine="420"/>
              <w:rPr>
                <w:color w:val="auto"/>
                <w:sz w:val="21"/>
                <w:szCs w:val="21"/>
                <w:highlight w:val="none"/>
              </w:rPr>
            </w:pPr>
            <w:r>
              <w:rPr>
                <w:rFonts w:hint="eastAsia"/>
                <w:color w:val="auto"/>
                <w:sz w:val="21"/>
                <w:szCs w:val="21"/>
                <w:highlight w:val="none"/>
              </w:rPr>
              <w:t>技术能力：3分</w:t>
            </w:r>
          </w:p>
          <w:p>
            <w:pPr>
              <w:spacing w:line="360" w:lineRule="atLeast"/>
              <w:ind w:firstLine="420"/>
              <w:rPr>
                <w:color w:val="auto"/>
                <w:sz w:val="21"/>
                <w:szCs w:val="21"/>
                <w:highlight w:val="none"/>
              </w:rPr>
            </w:pPr>
            <w:r>
              <w:rPr>
                <w:rFonts w:hint="eastAsia"/>
                <w:color w:val="auto"/>
                <w:sz w:val="21"/>
                <w:szCs w:val="21"/>
                <w:highlight w:val="none"/>
              </w:rPr>
              <w:t>财务能力：2分</w:t>
            </w:r>
          </w:p>
          <w:p>
            <w:pPr>
              <w:spacing w:line="360" w:lineRule="atLeast"/>
              <w:ind w:firstLine="420"/>
              <w:rPr>
                <w:color w:val="auto"/>
                <w:sz w:val="21"/>
                <w:szCs w:val="21"/>
                <w:highlight w:val="none"/>
              </w:rPr>
            </w:pPr>
            <w:r>
              <w:rPr>
                <w:rFonts w:hint="eastAsia"/>
                <w:color w:val="auto"/>
                <w:sz w:val="21"/>
                <w:szCs w:val="21"/>
                <w:highlight w:val="none"/>
              </w:rPr>
              <w:t>履约信誉：2分</w:t>
            </w:r>
          </w:p>
          <w:p>
            <w:pPr>
              <w:spacing w:line="360" w:lineRule="atLeast"/>
              <w:ind w:firstLine="0" w:firstLineChars="0"/>
              <w:rPr>
                <w:b/>
                <w:bCs/>
                <w:color w:val="auto"/>
                <w:sz w:val="21"/>
                <w:szCs w:val="21"/>
                <w:highlight w:val="none"/>
              </w:rPr>
            </w:pPr>
            <w:r>
              <w:rPr>
                <w:rFonts w:hint="eastAsia"/>
                <w:b/>
                <w:bCs/>
                <w:color w:val="auto"/>
                <w:sz w:val="21"/>
                <w:szCs w:val="21"/>
                <w:highlight w:val="none"/>
              </w:rPr>
              <w:t>第二个信封（报价文件）评分分值构成：</w:t>
            </w:r>
          </w:p>
          <w:p>
            <w:pPr>
              <w:spacing w:line="360" w:lineRule="atLeast"/>
              <w:ind w:firstLine="0" w:firstLineChars="0"/>
              <w:rPr>
                <w:b/>
                <w:bCs/>
                <w:color w:val="auto"/>
                <w:sz w:val="21"/>
                <w:szCs w:val="21"/>
                <w:highlight w:val="none"/>
              </w:rPr>
            </w:pPr>
            <w:r>
              <w:rPr>
                <w:rFonts w:hint="eastAsia"/>
                <w:color w:val="auto"/>
                <w:sz w:val="21"/>
                <w:szCs w:val="21"/>
                <w:highlight w:val="none"/>
              </w:rPr>
              <w:t xml:space="preserve">评标价（C）：85 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8" w:type="dxa"/>
            <w:tcBorders>
              <w:top w:val="single" w:color="auto" w:sz="4" w:space="0"/>
              <w:right w:val="single" w:color="auto" w:sz="4" w:space="0"/>
            </w:tcBorders>
            <w:vAlign w:val="center"/>
          </w:tcPr>
          <w:p>
            <w:pPr>
              <w:spacing w:line="380" w:lineRule="atLeast"/>
              <w:ind w:firstLine="0" w:firstLineChars="0"/>
              <w:jc w:val="center"/>
              <w:rPr>
                <w:color w:val="auto"/>
                <w:sz w:val="21"/>
                <w:szCs w:val="21"/>
                <w:highlight w:val="none"/>
              </w:rPr>
            </w:pPr>
            <w:r>
              <w:rPr>
                <w:color w:val="auto"/>
                <w:sz w:val="21"/>
                <w:szCs w:val="21"/>
                <w:highlight w:val="none"/>
              </w:rPr>
              <w:t>2.2.2</w:t>
            </w:r>
          </w:p>
        </w:tc>
        <w:tc>
          <w:tcPr>
            <w:tcW w:w="1370" w:type="dxa"/>
            <w:tcBorders>
              <w:top w:val="single" w:color="auto" w:sz="4" w:space="0"/>
              <w:right w:val="single" w:color="auto" w:sz="4" w:space="0"/>
            </w:tcBorders>
            <w:vAlign w:val="center"/>
          </w:tcPr>
          <w:p>
            <w:pPr>
              <w:spacing w:line="380" w:lineRule="atLeast"/>
              <w:ind w:firstLine="0" w:firstLineChars="0"/>
              <w:jc w:val="center"/>
              <w:rPr>
                <w:color w:val="auto"/>
                <w:sz w:val="21"/>
                <w:szCs w:val="21"/>
                <w:highlight w:val="none"/>
              </w:rPr>
            </w:pPr>
            <w:r>
              <w:rPr>
                <w:color w:val="auto"/>
                <w:sz w:val="21"/>
                <w:szCs w:val="21"/>
                <w:highlight w:val="none"/>
              </w:rPr>
              <w:t>评标基准价计算方法</w:t>
            </w:r>
          </w:p>
        </w:tc>
        <w:tc>
          <w:tcPr>
            <w:tcW w:w="6709" w:type="dxa"/>
            <w:tcBorders>
              <w:top w:val="single" w:color="auto" w:sz="4" w:space="0"/>
              <w:left w:val="single" w:color="auto" w:sz="4" w:space="0"/>
              <w:right w:val="single" w:color="auto" w:sz="4" w:space="0"/>
            </w:tcBorders>
            <w:vAlign w:val="center"/>
          </w:tcPr>
          <w:p>
            <w:pPr>
              <w:spacing w:line="420" w:lineRule="exact"/>
              <w:ind w:firstLine="0" w:firstLineChars="0"/>
              <w:rPr>
                <w:color w:val="auto"/>
                <w:sz w:val="21"/>
                <w:szCs w:val="21"/>
                <w:highlight w:val="none"/>
              </w:rPr>
            </w:pPr>
            <w:r>
              <w:rPr>
                <w:color w:val="auto"/>
                <w:sz w:val="21"/>
                <w:szCs w:val="21"/>
                <w:highlight w:val="none"/>
              </w:rPr>
              <w:t>评标基准价的计算：</w:t>
            </w:r>
          </w:p>
          <w:p>
            <w:pPr>
              <w:spacing w:line="420" w:lineRule="exact"/>
              <w:ind w:firstLine="0" w:firstLineChars="0"/>
              <w:rPr>
                <w:color w:val="auto"/>
                <w:sz w:val="21"/>
                <w:szCs w:val="21"/>
                <w:highlight w:val="none"/>
              </w:rPr>
            </w:pPr>
            <w:r>
              <w:rPr>
                <w:color w:val="auto"/>
                <w:sz w:val="21"/>
                <w:szCs w:val="21"/>
                <w:highlight w:val="none"/>
              </w:rPr>
              <w:t>在开标现场，招标人将当场计算并宣布评标基准价。</w:t>
            </w:r>
          </w:p>
          <w:p>
            <w:pPr>
              <w:spacing w:line="420" w:lineRule="exact"/>
              <w:ind w:firstLine="0" w:firstLineChars="0"/>
              <w:rPr>
                <w:color w:val="auto"/>
                <w:sz w:val="21"/>
                <w:szCs w:val="21"/>
                <w:highlight w:val="none"/>
              </w:rPr>
            </w:pPr>
            <w:r>
              <w:rPr>
                <w:b/>
                <w:bCs/>
                <w:color w:val="auto"/>
                <w:sz w:val="21"/>
                <w:szCs w:val="21"/>
                <w:highlight w:val="none"/>
              </w:rPr>
              <w:t>（1）评标价的确定：</w:t>
            </w:r>
          </w:p>
          <w:p>
            <w:pPr>
              <w:spacing w:line="420" w:lineRule="exact"/>
              <w:ind w:firstLine="0" w:firstLineChars="0"/>
              <w:rPr>
                <w:color w:val="auto"/>
                <w:sz w:val="21"/>
                <w:szCs w:val="21"/>
                <w:highlight w:val="none"/>
              </w:rPr>
            </w:pPr>
            <w:r>
              <w:rPr>
                <w:rFonts w:hint="eastAsia"/>
                <w:color w:val="auto"/>
                <w:sz w:val="21"/>
                <w:szCs w:val="21"/>
                <w:highlight w:val="none"/>
              </w:rPr>
              <w:t>投标人</w:t>
            </w:r>
            <w:r>
              <w:rPr>
                <w:color w:val="auto"/>
                <w:sz w:val="21"/>
                <w:szCs w:val="21"/>
                <w:highlight w:val="none"/>
              </w:rPr>
              <w:t>评标价＝投标函文字报价</w:t>
            </w:r>
          </w:p>
          <w:p>
            <w:pPr>
              <w:spacing w:line="420" w:lineRule="exact"/>
              <w:ind w:firstLine="0" w:firstLineChars="0"/>
              <w:rPr>
                <w:b/>
                <w:bCs/>
                <w:dstrike/>
                <w:color w:val="auto"/>
                <w:sz w:val="21"/>
                <w:szCs w:val="21"/>
                <w:highlight w:val="none"/>
              </w:rPr>
            </w:pPr>
            <w:r>
              <w:rPr>
                <w:b/>
                <w:bCs/>
                <w:color w:val="auto"/>
                <w:sz w:val="21"/>
                <w:szCs w:val="21"/>
                <w:highlight w:val="none"/>
              </w:rPr>
              <w:t>（2）最高评标限价的确定：</w:t>
            </w:r>
          </w:p>
          <w:p>
            <w:pPr>
              <w:spacing w:line="420" w:lineRule="exact"/>
              <w:ind w:firstLine="0" w:firstLineChars="0"/>
              <w:rPr>
                <w:color w:val="auto"/>
                <w:sz w:val="21"/>
                <w:szCs w:val="21"/>
                <w:highlight w:val="none"/>
              </w:rPr>
            </w:pPr>
            <w:r>
              <w:rPr>
                <w:rFonts w:hint="eastAsia" w:ascii="宋体" w:hAnsi="宋体" w:cs="宋体"/>
                <w:color w:val="auto"/>
                <w:sz w:val="21"/>
                <w:szCs w:val="21"/>
                <w:highlight w:val="none"/>
              </w:rPr>
              <w:t>①</w:t>
            </w:r>
            <w:r>
              <w:rPr>
                <w:color w:val="auto"/>
                <w:sz w:val="21"/>
                <w:szCs w:val="21"/>
                <w:highlight w:val="none"/>
              </w:rPr>
              <w:t>最高投标限价下浮率的确定</w:t>
            </w:r>
          </w:p>
          <w:p>
            <w:pPr>
              <w:spacing w:line="420" w:lineRule="exact"/>
              <w:ind w:firstLine="0" w:firstLineChars="0"/>
              <w:rPr>
                <w:color w:val="auto"/>
                <w:sz w:val="21"/>
                <w:szCs w:val="21"/>
                <w:highlight w:val="none"/>
              </w:rPr>
            </w:pPr>
            <w:r>
              <w:rPr>
                <w:color w:val="auto"/>
                <w:sz w:val="21"/>
                <w:szCs w:val="21"/>
                <w:highlight w:val="none"/>
              </w:rPr>
              <w:t>下浮率在开标前在开标现场采取摇珠方式确定。摇珠操作办法如下：在下浮率摇珠范围内，以0.1%为一档次增序确定摇珠号码，共31个球，每个标段各一次性摇出3个球</w:t>
            </w:r>
            <w:r>
              <w:rPr>
                <w:rFonts w:hint="eastAsia"/>
                <w:color w:val="auto"/>
                <w:sz w:val="21"/>
                <w:szCs w:val="21"/>
                <w:highlight w:val="none"/>
              </w:rPr>
              <w:t>（</w:t>
            </w:r>
            <w:r>
              <w:rPr>
                <w:color w:val="auto"/>
                <w:sz w:val="21"/>
                <w:szCs w:val="21"/>
                <w:highlight w:val="none"/>
              </w:rPr>
              <w:t>摇出的珠不放回</w:t>
            </w:r>
            <w:r>
              <w:rPr>
                <w:rFonts w:hint="eastAsia"/>
                <w:color w:val="auto"/>
                <w:sz w:val="21"/>
                <w:szCs w:val="21"/>
                <w:highlight w:val="none"/>
              </w:rPr>
              <w:t>）</w:t>
            </w:r>
            <w:r>
              <w:rPr>
                <w:color w:val="auto"/>
                <w:sz w:val="21"/>
                <w:szCs w:val="21"/>
                <w:highlight w:val="none"/>
              </w:rPr>
              <w:t>，摇出3个球对应的下浮率的平均值即为本标段招标的下浮率（注：摇出3个下浮率的平均值四舍五入取整到0.001％）</w:t>
            </w:r>
            <w:r>
              <w:rPr>
                <w:rFonts w:hint="eastAsia"/>
                <w:color w:val="auto"/>
                <w:sz w:val="21"/>
                <w:szCs w:val="21"/>
                <w:highlight w:val="none"/>
              </w:rPr>
              <w:t xml:space="preserve">，下浮率有效范围设定为0～3% </w:t>
            </w:r>
            <w:r>
              <w:rPr>
                <w:color w:val="auto"/>
                <w:sz w:val="21"/>
                <w:szCs w:val="21"/>
                <w:highlight w:val="none"/>
              </w:rPr>
              <w:t>。</w:t>
            </w:r>
          </w:p>
          <w:p>
            <w:pPr>
              <w:spacing w:line="420" w:lineRule="exact"/>
              <w:ind w:firstLine="0" w:firstLineChars="0"/>
              <w:rPr>
                <w:color w:val="auto"/>
                <w:sz w:val="21"/>
                <w:szCs w:val="21"/>
                <w:highlight w:val="none"/>
              </w:rPr>
            </w:pPr>
            <w:r>
              <w:rPr>
                <w:rFonts w:hint="eastAsia" w:ascii="宋体" w:hAnsi="宋体" w:cs="宋体"/>
                <w:color w:val="auto"/>
                <w:sz w:val="21"/>
                <w:szCs w:val="21"/>
                <w:highlight w:val="none"/>
              </w:rPr>
              <w:t>②</w:t>
            </w:r>
            <w:r>
              <w:rPr>
                <w:color w:val="auto"/>
                <w:sz w:val="21"/>
                <w:szCs w:val="21"/>
                <w:highlight w:val="none"/>
              </w:rPr>
              <w:t>最高评标限价=最高投标限价×（1-下浮率）</w:t>
            </w:r>
          </w:p>
          <w:p>
            <w:pPr>
              <w:spacing w:line="420" w:lineRule="exact"/>
              <w:ind w:firstLine="0" w:firstLineChars="0"/>
              <w:rPr>
                <w:color w:val="auto"/>
                <w:sz w:val="21"/>
                <w:szCs w:val="21"/>
                <w:highlight w:val="none"/>
              </w:rPr>
            </w:pPr>
            <w:r>
              <w:rPr>
                <w:color w:val="auto"/>
                <w:sz w:val="21"/>
                <w:szCs w:val="21"/>
                <w:highlight w:val="none"/>
              </w:rPr>
              <w:t xml:space="preserve">   有效评标价范围：不大于</w:t>
            </w:r>
            <w:r>
              <w:rPr>
                <w:rFonts w:hint="eastAsia" w:ascii="宋体" w:hAnsi="宋体" w:cs="宋体"/>
                <w:color w:val="auto"/>
                <w:position w:val="-1"/>
                <w:sz w:val="21"/>
                <w:szCs w:val="21"/>
                <w:highlight w:val="none"/>
              </w:rPr>
              <w:t>最高投标限价</w:t>
            </w:r>
            <w:r>
              <w:rPr>
                <w:color w:val="auto"/>
                <w:sz w:val="21"/>
                <w:szCs w:val="21"/>
                <w:highlight w:val="none"/>
              </w:rPr>
              <w:t>的评标价为有效评标价。若大于</w:t>
            </w:r>
            <w:r>
              <w:rPr>
                <w:rFonts w:hint="eastAsia" w:ascii="宋体" w:hAnsi="宋体" w:cs="宋体"/>
                <w:color w:val="auto"/>
                <w:position w:val="-1"/>
                <w:sz w:val="21"/>
                <w:szCs w:val="21"/>
                <w:highlight w:val="none"/>
              </w:rPr>
              <w:t>最高投标限价</w:t>
            </w:r>
            <w:r>
              <w:rPr>
                <w:color w:val="auto"/>
                <w:sz w:val="21"/>
                <w:szCs w:val="21"/>
                <w:highlight w:val="none"/>
              </w:rPr>
              <w:t>的评标价，其评标价得分为0分。</w:t>
            </w:r>
          </w:p>
          <w:p>
            <w:pPr>
              <w:spacing w:line="420" w:lineRule="exact"/>
              <w:ind w:firstLine="0" w:firstLineChars="0"/>
              <w:rPr>
                <w:color w:val="auto"/>
                <w:sz w:val="21"/>
                <w:szCs w:val="21"/>
                <w:highlight w:val="none"/>
              </w:rPr>
            </w:pPr>
            <w:r>
              <w:rPr>
                <w:b/>
                <w:bCs/>
                <w:color w:val="auto"/>
                <w:sz w:val="21"/>
                <w:szCs w:val="21"/>
                <w:highlight w:val="none"/>
              </w:rPr>
              <w:t>（3）评标基准价的确定：</w:t>
            </w:r>
          </w:p>
          <w:p>
            <w:pPr>
              <w:spacing w:line="420" w:lineRule="exact"/>
              <w:ind w:firstLine="0" w:firstLineChars="0"/>
              <w:rPr>
                <w:color w:val="auto"/>
                <w:sz w:val="21"/>
                <w:szCs w:val="21"/>
                <w:highlight w:val="none"/>
              </w:rPr>
            </w:pPr>
            <w:r>
              <w:rPr>
                <w:color w:val="auto"/>
                <w:sz w:val="21"/>
                <w:szCs w:val="21"/>
                <w:highlight w:val="none"/>
              </w:rPr>
              <w:t>将最高评标限价下浮</w:t>
            </w:r>
            <w:r>
              <w:rPr>
                <w:color w:val="auto"/>
                <w:sz w:val="21"/>
                <w:szCs w:val="21"/>
                <w:highlight w:val="none"/>
                <w:u w:val="single"/>
              </w:rPr>
              <w:t xml:space="preserve"> 0 </w:t>
            </w:r>
            <w:r>
              <w:rPr>
                <w:color w:val="auto"/>
                <w:sz w:val="21"/>
                <w:szCs w:val="21"/>
                <w:highlight w:val="none"/>
              </w:rPr>
              <w:t>%，作为评标基准价。</w:t>
            </w:r>
          </w:p>
          <w:p>
            <w:pPr>
              <w:spacing w:line="420" w:lineRule="exact"/>
              <w:ind w:firstLine="0" w:firstLineChars="0"/>
              <w:rPr>
                <w:color w:val="auto"/>
                <w:sz w:val="21"/>
                <w:szCs w:val="21"/>
                <w:highlight w:val="none"/>
              </w:rPr>
            </w:pPr>
            <w:r>
              <w:rPr>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420" w:lineRule="exact"/>
              <w:ind w:firstLine="0" w:firstLineChars="0"/>
              <w:rPr>
                <w:b/>
                <w:color w:val="auto"/>
                <w:sz w:val="21"/>
                <w:szCs w:val="21"/>
                <w:highlight w:val="none"/>
              </w:rPr>
            </w:pPr>
            <w:r>
              <w:rPr>
                <w:color w:val="auto"/>
                <w:sz w:val="21"/>
                <w:szCs w:val="21"/>
                <w:highlight w:val="none"/>
              </w:rPr>
              <w:t>注：最高评标限价、评标基准价均四舍五入至个位整数。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8" w:type="dxa"/>
            <w:tcBorders>
              <w:top w:val="single" w:color="auto" w:sz="4" w:space="0"/>
              <w:right w:val="single" w:color="auto" w:sz="4" w:space="0"/>
            </w:tcBorders>
            <w:vAlign w:val="center"/>
          </w:tcPr>
          <w:p>
            <w:pPr>
              <w:spacing w:line="380" w:lineRule="atLeast"/>
              <w:ind w:firstLine="0" w:firstLineChars="0"/>
              <w:jc w:val="center"/>
              <w:rPr>
                <w:color w:val="auto"/>
                <w:sz w:val="21"/>
                <w:szCs w:val="21"/>
                <w:highlight w:val="none"/>
              </w:rPr>
            </w:pPr>
            <w:r>
              <w:rPr>
                <w:color w:val="auto"/>
                <w:sz w:val="21"/>
                <w:szCs w:val="21"/>
                <w:highlight w:val="none"/>
              </w:rPr>
              <w:t>2.2.3</w:t>
            </w:r>
          </w:p>
        </w:tc>
        <w:tc>
          <w:tcPr>
            <w:tcW w:w="1370" w:type="dxa"/>
            <w:tcBorders>
              <w:top w:val="single" w:color="auto" w:sz="4" w:space="0"/>
              <w:right w:val="single" w:color="auto" w:sz="4" w:space="0"/>
            </w:tcBorders>
            <w:vAlign w:val="center"/>
          </w:tcPr>
          <w:p>
            <w:pPr>
              <w:spacing w:line="380" w:lineRule="atLeast"/>
              <w:ind w:firstLine="0" w:firstLineChars="0"/>
              <w:jc w:val="center"/>
              <w:rPr>
                <w:color w:val="auto"/>
                <w:sz w:val="21"/>
                <w:szCs w:val="21"/>
                <w:highlight w:val="none"/>
              </w:rPr>
            </w:pPr>
            <w:r>
              <w:rPr>
                <w:color w:val="auto"/>
                <w:sz w:val="21"/>
                <w:szCs w:val="21"/>
                <w:highlight w:val="none"/>
              </w:rPr>
              <w:t>评标价的偏差率计算公式</w:t>
            </w:r>
          </w:p>
        </w:tc>
        <w:tc>
          <w:tcPr>
            <w:tcW w:w="6709" w:type="dxa"/>
            <w:tcBorders>
              <w:top w:val="single" w:color="auto" w:sz="4" w:space="0"/>
              <w:left w:val="single" w:color="auto" w:sz="4" w:space="0"/>
              <w:right w:val="single" w:color="auto" w:sz="4" w:space="0"/>
            </w:tcBorders>
            <w:vAlign w:val="center"/>
          </w:tcPr>
          <w:p>
            <w:pPr>
              <w:spacing w:line="360" w:lineRule="atLeast"/>
              <w:ind w:firstLine="0" w:firstLineChars="0"/>
              <w:rPr>
                <w:b/>
                <w:color w:val="auto"/>
                <w:sz w:val="21"/>
                <w:szCs w:val="21"/>
                <w:highlight w:val="none"/>
              </w:rPr>
            </w:pPr>
            <w:r>
              <w:rPr>
                <w:color w:val="auto"/>
                <w:sz w:val="21"/>
                <w:szCs w:val="21"/>
                <w:highlight w:val="none"/>
              </w:rPr>
              <w:t>偏差率=100% ×（投标人评标价－评标基准价）/评标基准价</w:t>
            </w:r>
          </w:p>
        </w:tc>
      </w:tr>
    </w:tbl>
    <w:p>
      <w:pPr>
        <w:ind w:firstLine="540"/>
        <w:jc w:val="right"/>
        <w:rPr>
          <w:color w:val="auto"/>
          <w:highlight w:val="none"/>
        </w:rPr>
      </w:pPr>
      <w:r>
        <w:rPr>
          <w:rFonts w:eastAsia="黑体"/>
          <w:color w:val="auto"/>
          <w:sz w:val="27"/>
          <w:szCs w:val="27"/>
          <w:highlight w:val="none"/>
        </w:rPr>
        <w:br w:type="page"/>
      </w:r>
      <w:r>
        <w:rPr>
          <w:color w:val="auto"/>
          <w:spacing w:val="4"/>
          <w:szCs w:val="21"/>
          <w:highlight w:val="none"/>
        </w:rPr>
        <w:t>续上表</w:t>
      </w:r>
    </w:p>
    <w:tbl>
      <w:tblPr>
        <w:tblStyle w:val="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025"/>
        <w:gridCol w:w="851"/>
        <w:gridCol w:w="1412"/>
        <w:gridCol w:w="714"/>
        <w:gridCol w:w="4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28" w:type="dxa"/>
            <w:gridSpan w:val="5"/>
            <w:shd w:val="clear" w:color="auto" w:fill="FFFFFF"/>
          </w:tcPr>
          <w:p>
            <w:pPr>
              <w:spacing w:line="380" w:lineRule="atLeast"/>
              <w:ind w:firstLine="0" w:firstLineChars="0"/>
              <w:jc w:val="center"/>
              <w:rPr>
                <w:b/>
                <w:color w:val="auto"/>
                <w:sz w:val="21"/>
                <w:szCs w:val="21"/>
                <w:highlight w:val="none"/>
              </w:rPr>
            </w:pPr>
            <w:r>
              <w:rPr>
                <w:b/>
                <w:color w:val="auto"/>
                <w:sz w:val="21"/>
                <w:szCs w:val="21"/>
                <w:highlight w:val="none"/>
              </w:rPr>
              <w:t>评分因素与权重分值</w:t>
            </w:r>
          </w:p>
        </w:tc>
        <w:tc>
          <w:tcPr>
            <w:tcW w:w="4359" w:type="dxa"/>
            <w:vMerge w:val="restart"/>
            <w:shd w:val="clear" w:color="auto" w:fill="FFFFFF"/>
            <w:vAlign w:val="center"/>
          </w:tcPr>
          <w:p>
            <w:pPr>
              <w:spacing w:line="380" w:lineRule="atLeast"/>
              <w:ind w:firstLine="0" w:firstLineChars="0"/>
              <w:jc w:val="center"/>
              <w:rPr>
                <w:b/>
                <w:color w:val="auto"/>
                <w:sz w:val="21"/>
                <w:szCs w:val="21"/>
                <w:highlight w:val="none"/>
              </w:rPr>
            </w:pPr>
            <w:r>
              <w:rPr>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blHeader/>
        </w:trPr>
        <w:tc>
          <w:tcPr>
            <w:tcW w:w="926" w:type="dxa"/>
            <w:shd w:val="clear" w:color="auto" w:fill="FFFFFF" w:themeFill="background1"/>
            <w:vAlign w:val="center"/>
          </w:tcPr>
          <w:p>
            <w:pPr>
              <w:spacing w:line="380" w:lineRule="atLeast"/>
              <w:ind w:firstLine="0" w:firstLineChars="0"/>
              <w:jc w:val="center"/>
              <w:rPr>
                <w:b/>
                <w:color w:val="auto"/>
                <w:sz w:val="21"/>
                <w:szCs w:val="21"/>
                <w:highlight w:val="none"/>
              </w:rPr>
            </w:pPr>
            <w:r>
              <w:rPr>
                <w:b/>
                <w:color w:val="auto"/>
                <w:sz w:val="21"/>
                <w:szCs w:val="21"/>
                <w:highlight w:val="none"/>
              </w:rPr>
              <w:t>条款号</w:t>
            </w:r>
          </w:p>
        </w:tc>
        <w:tc>
          <w:tcPr>
            <w:tcW w:w="1025" w:type="dxa"/>
            <w:shd w:val="clear" w:color="auto" w:fill="FFFFFF" w:themeFill="background1"/>
            <w:vAlign w:val="center"/>
          </w:tcPr>
          <w:p>
            <w:pPr>
              <w:spacing w:line="380" w:lineRule="atLeast"/>
              <w:ind w:firstLine="0" w:firstLineChars="0"/>
              <w:jc w:val="center"/>
              <w:rPr>
                <w:b/>
                <w:color w:val="auto"/>
                <w:sz w:val="21"/>
                <w:szCs w:val="21"/>
                <w:highlight w:val="none"/>
              </w:rPr>
            </w:pPr>
            <w:r>
              <w:rPr>
                <w:b/>
                <w:color w:val="auto"/>
                <w:sz w:val="21"/>
                <w:szCs w:val="21"/>
                <w:highlight w:val="none"/>
              </w:rPr>
              <w:t>评分因素</w:t>
            </w:r>
          </w:p>
        </w:tc>
        <w:tc>
          <w:tcPr>
            <w:tcW w:w="851" w:type="dxa"/>
            <w:shd w:val="clear" w:color="auto" w:fill="FFFFFF" w:themeFill="background1"/>
            <w:vAlign w:val="center"/>
          </w:tcPr>
          <w:p>
            <w:pPr>
              <w:spacing w:line="380" w:lineRule="atLeast"/>
              <w:ind w:left="-120" w:leftChars="-50" w:right="-120" w:rightChars="-50" w:firstLine="0" w:firstLineChars="0"/>
              <w:jc w:val="center"/>
              <w:rPr>
                <w:b/>
                <w:color w:val="auto"/>
                <w:sz w:val="21"/>
                <w:szCs w:val="21"/>
                <w:highlight w:val="none"/>
              </w:rPr>
            </w:pPr>
            <w:r>
              <w:rPr>
                <w:b/>
                <w:color w:val="auto"/>
                <w:sz w:val="21"/>
                <w:szCs w:val="21"/>
                <w:highlight w:val="none"/>
              </w:rPr>
              <w:t>评分因素权重分值</w:t>
            </w:r>
          </w:p>
        </w:tc>
        <w:tc>
          <w:tcPr>
            <w:tcW w:w="1412" w:type="dxa"/>
            <w:shd w:val="clear" w:color="auto" w:fill="FFFFFF" w:themeFill="background1"/>
            <w:vAlign w:val="center"/>
          </w:tcPr>
          <w:p>
            <w:pPr>
              <w:spacing w:line="380" w:lineRule="atLeast"/>
              <w:ind w:firstLine="0" w:firstLineChars="0"/>
              <w:jc w:val="center"/>
              <w:rPr>
                <w:b/>
                <w:color w:val="auto"/>
                <w:sz w:val="21"/>
                <w:szCs w:val="21"/>
                <w:highlight w:val="none"/>
              </w:rPr>
            </w:pPr>
            <w:r>
              <w:rPr>
                <w:b/>
                <w:color w:val="auto"/>
                <w:sz w:val="21"/>
                <w:szCs w:val="21"/>
                <w:highlight w:val="none"/>
              </w:rPr>
              <w:t>各评分因素细分项</w:t>
            </w:r>
          </w:p>
        </w:tc>
        <w:tc>
          <w:tcPr>
            <w:tcW w:w="714" w:type="dxa"/>
            <w:shd w:val="clear" w:color="auto" w:fill="FFFFFF" w:themeFill="background1"/>
          </w:tcPr>
          <w:p>
            <w:pPr>
              <w:spacing w:line="380" w:lineRule="atLeast"/>
              <w:ind w:firstLine="0" w:firstLineChars="0"/>
              <w:jc w:val="center"/>
              <w:rPr>
                <w:b/>
                <w:color w:val="auto"/>
                <w:sz w:val="21"/>
                <w:szCs w:val="21"/>
                <w:highlight w:val="none"/>
              </w:rPr>
            </w:pPr>
            <w:r>
              <w:rPr>
                <w:b/>
                <w:color w:val="auto"/>
                <w:sz w:val="21"/>
                <w:szCs w:val="21"/>
                <w:highlight w:val="none"/>
              </w:rPr>
              <w:t>分值</w:t>
            </w:r>
          </w:p>
        </w:tc>
        <w:tc>
          <w:tcPr>
            <w:tcW w:w="4359" w:type="dxa"/>
            <w:vMerge w:val="continue"/>
            <w:shd w:val="clear" w:color="auto" w:fill="FFFDFA"/>
          </w:tcPr>
          <w:p>
            <w:pPr>
              <w:spacing w:line="380" w:lineRule="atLeast"/>
              <w:ind w:firstLine="0" w:firstLineChars="0"/>
              <w:jc w:val="center"/>
              <w:rPr>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26" w:type="dxa"/>
            <w:vMerge w:val="restart"/>
            <w:shd w:val="clear" w:color="auto" w:fill="FFFFFF"/>
            <w:vAlign w:val="center"/>
          </w:tcPr>
          <w:p>
            <w:pPr>
              <w:spacing w:line="380" w:lineRule="atLeast"/>
              <w:ind w:firstLine="0" w:firstLineChars="0"/>
              <w:jc w:val="center"/>
              <w:rPr>
                <w:color w:val="auto"/>
                <w:sz w:val="21"/>
                <w:szCs w:val="21"/>
                <w:highlight w:val="none"/>
              </w:rPr>
            </w:pPr>
            <w:r>
              <w:rPr>
                <w:color w:val="auto"/>
                <w:sz w:val="21"/>
                <w:szCs w:val="21"/>
                <w:highlight w:val="none"/>
              </w:rPr>
              <w:t>2.2.4(</w:t>
            </w:r>
            <w:r>
              <w:rPr>
                <w:rFonts w:hint="eastAsia"/>
                <w:color w:val="auto"/>
                <w:sz w:val="21"/>
                <w:szCs w:val="21"/>
                <w:highlight w:val="none"/>
              </w:rPr>
              <w:t>1</w:t>
            </w:r>
            <w:r>
              <w:rPr>
                <w:color w:val="auto"/>
                <w:sz w:val="21"/>
                <w:szCs w:val="21"/>
                <w:highlight w:val="none"/>
              </w:rPr>
              <w:t>)</w:t>
            </w:r>
          </w:p>
        </w:tc>
        <w:tc>
          <w:tcPr>
            <w:tcW w:w="1025" w:type="dxa"/>
            <w:vMerge w:val="restart"/>
            <w:shd w:val="clear" w:color="auto" w:fill="FFFFFF"/>
            <w:vAlign w:val="center"/>
          </w:tcPr>
          <w:p>
            <w:pPr>
              <w:spacing w:line="380" w:lineRule="atLeast"/>
              <w:ind w:firstLine="0" w:firstLineChars="0"/>
              <w:jc w:val="center"/>
              <w:rPr>
                <w:b/>
                <w:bCs/>
                <w:color w:val="auto"/>
                <w:sz w:val="21"/>
                <w:szCs w:val="21"/>
                <w:highlight w:val="none"/>
              </w:rPr>
            </w:pPr>
            <w:r>
              <w:rPr>
                <w:rFonts w:hint="eastAsia"/>
                <w:b/>
                <w:bCs/>
                <w:color w:val="auto"/>
                <w:sz w:val="21"/>
                <w:szCs w:val="21"/>
                <w:highlight w:val="none"/>
              </w:rPr>
              <w:t>技术组织方案</w:t>
            </w:r>
          </w:p>
        </w:tc>
        <w:tc>
          <w:tcPr>
            <w:tcW w:w="851" w:type="dxa"/>
            <w:vMerge w:val="restart"/>
            <w:shd w:val="clear" w:color="auto" w:fill="FFFFFF"/>
            <w:vAlign w:val="center"/>
          </w:tcPr>
          <w:p>
            <w:pPr>
              <w:spacing w:line="380" w:lineRule="atLeast"/>
              <w:ind w:firstLine="0" w:firstLineChars="0"/>
              <w:jc w:val="center"/>
              <w:rPr>
                <w:b/>
                <w:bCs/>
                <w:color w:val="auto"/>
                <w:sz w:val="21"/>
                <w:szCs w:val="21"/>
                <w:highlight w:val="none"/>
                <w:u w:val="single"/>
              </w:rPr>
            </w:pPr>
            <w:r>
              <w:rPr>
                <w:rFonts w:hint="eastAsia"/>
                <w:b/>
                <w:bCs/>
                <w:color w:val="auto"/>
                <w:sz w:val="21"/>
                <w:szCs w:val="21"/>
                <w:highlight w:val="none"/>
                <w:u w:val="single"/>
              </w:rPr>
              <w:t>5</w:t>
            </w:r>
            <w:r>
              <w:rPr>
                <w:b/>
                <w:bCs/>
                <w:color w:val="auto"/>
                <w:sz w:val="21"/>
                <w:szCs w:val="21"/>
                <w:highlight w:val="none"/>
              </w:rPr>
              <w:t>分</w:t>
            </w:r>
          </w:p>
        </w:tc>
        <w:tc>
          <w:tcPr>
            <w:tcW w:w="1412" w:type="dxa"/>
            <w:shd w:val="clear" w:color="auto" w:fill="FFFFFF"/>
            <w:vAlign w:val="center"/>
          </w:tcPr>
          <w:p>
            <w:pPr>
              <w:spacing w:line="380" w:lineRule="atLeast"/>
              <w:ind w:firstLine="0" w:firstLineChars="0"/>
              <w:jc w:val="center"/>
              <w:rPr>
                <w:rFonts w:ascii="宋体" w:hAnsi="宋体" w:cs="宋体"/>
                <w:color w:val="auto"/>
                <w:sz w:val="21"/>
                <w:szCs w:val="21"/>
                <w:highlight w:val="none"/>
                <w:u w:val="single"/>
              </w:rPr>
            </w:pPr>
            <w:r>
              <w:rPr>
                <w:rFonts w:hint="eastAsia"/>
                <w:color w:val="auto"/>
                <w:sz w:val="21"/>
                <w:szCs w:val="21"/>
                <w:highlight w:val="none"/>
              </w:rPr>
              <w:t>投标材料质量标准的响应程度</w:t>
            </w:r>
          </w:p>
        </w:tc>
        <w:tc>
          <w:tcPr>
            <w:tcW w:w="714" w:type="dxa"/>
            <w:shd w:val="clear" w:color="auto" w:fill="FFFFFF"/>
            <w:vAlign w:val="center"/>
          </w:tcPr>
          <w:p>
            <w:pPr>
              <w:spacing w:line="380" w:lineRule="atLeast"/>
              <w:ind w:firstLine="0" w:firstLineChars="0"/>
              <w:jc w:val="center"/>
              <w:rPr>
                <w:color w:val="auto"/>
                <w:sz w:val="21"/>
                <w:szCs w:val="21"/>
                <w:highlight w:val="none"/>
              </w:rPr>
            </w:pPr>
            <w:r>
              <w:rPr>
                <w:rFonts w:hint="eastAsia"/>
                <w:color w:val="auto"/>
                <w:sz w:val="21"/>
                <w:szCs w:val="21"/>
                <w:highlight w:val="none"/>
                <w:u w:val="single"/>
              </w:rPr>
              <w:t>2</w:t>
            </w:r>
            <w:r>
              <w:rPr>
                <w:color w:val="auto"/>
                <w:sz w:val="21"/>
                <w:szCs w:val="21"/>
                <w:highlight w:val="none"/>
              </w:rPr>
              <w:t>分</w:t>
            </w:r>
          </w:p>
        </w:tc>
        <w:tc>
          <w:tcPr>
            <w:tcW w:w="4359" w:type="dxa"/>
            <w:shd w:val="clear" w:color="auto" w:fill="FFFFFF"/>
            <w:vAlign w:val="center"/>
          </w:tcPr>
          <w:p>
            <w:pPr>
              <w:pStyle w:val="6"/>
              <w:jc w:val="left"/>
              <w:rPr>
                <w:rFonts w:ascii="Times New Roman" w:eastAsia="宋体"/>
                <w:color w:val="auto"/>
                <w:highlight w:val="none"/>
              </w:rPr>
            </w:pPr>
            <w:r>
              <w:rPr>
                <w:rFonts w:hint="eastAsia" w:ascii="Times New Roman" w:eastAsia="宋体"/>
                <w:color w:val="auto"/>
                <w:highlight w:val="none"/>
              </w:rPr>
              <w:t>由评标专家根据投标文件技术组织方案中：投标材料厂家</w:t>
            </w:r>
            <w:r>
              <w:rPr>
                <w:rFonts w:hint="eastAsia"/>
                <w:color w:val="auto"/>
                <w:highlight w:val="none"/>
              </w:rPr>
              <w:t>或供应商</w:t>
            </w:r>
            <w:r>
              <w:rPr>
                <w:rFonts w:hint="eastAsia" w:ascii="Times New Roman" w:eastAsia="宋体"/>
                <w:color w:val="auto"/>
                <w:highlight w:val="none"/>
              </w:rPr>
              <w:t xml:space="preserve">的质量控制情况进行综合评分，起分1.2分，本项最高2分。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26" w:type="dxa"/>
            <w:vMerge w:val="continue"/>
            <w:shd w:val="clear" w:color="auto" w:fill="FFFDFA"/>
            <w:vAlign w:val="center"/>
          </w:tcPr>
          <w:p>
            <w:pPr>
              <w:spacing w:line="380" w:lineRule="atLeast"/>
              <w:ind w:firstLine="0" w:firstLineChars="0"/>
              <w:jc w:val="center"/>
              <w:rPr>
                <w:color w:val="auto"/>
                <w:sz w:val="21"/>
                <w:szCs w:val="21"/>
                <w:highlight w:val="none"/>
              </w:rPr>
            </w:pPr>
          </w:p>
        </w:tc>
        <w:tc>
          <w:tcPr>
            <w:tcW w:w="1025" w:type="dxa"/>
            <w:vMerge w:val="continue"/>
            <w:shd w:val="clear" w:color="auto" w:fill="FFFDFA"/>
            <w:vAlign w:val="center"/>
          </w:tcPr>
          <w:p>
            <w:pPr>
              <w:spacing w:line="380" w:lineRule="atLeast"/>
              <w:ind w:firstLine="0" w:firstLineChars="0"/>
              <w:jc w:val="center"/>
              <w:rPr>
                <w:color w:val="auto"/>
                <w:sz w:val="21"/>
                <w:szCs w:val="21"/>
                <w:highlight w:val="none"/>
              </w:rPr>
            </w:pPr>
          </w:p>
        </w:tc>
        <w:tc>
          <w:tcPr>
            <w:tcW w:w="851" w:type="dxa"/>
            <w:vMerge w:val="continue"/>
            <w:shd w:val="clear" w:color="auto" w:fill="FFFDFA"/>
            <w:vAlign w:val="center"/>
          </w:tcPr>
          <w:p>
            <w:pPr>
              <w:spacing w:line="380" w:lineRule="atLeast"/>
              <w:ind w:firstLine="0" w:firstLineChars="0"/>
              <w:jc w:val="right"/>
              <w:rPr>
                <w:color w:val="auto"/>
                <w:sz w:val="21"/>
                <w:szCs w:val="21"/>
                <w:highlight w:val="none"/>
                <w:u w:val="single"/>
              </w:rPr>
            </w:pPr>
          </w:p>
        </w:tc>
        <w:tc>
          <w:tcPr>
            <w:tcW w:w="1412" w:type="dxa"/>
            <w:shd w:val="clear" w:color="auto" w:fill="FFFFFF" w:themeFill="background1"/>
            <w:vAlign w:val="center"/>
          </w:tcPr>
          <w:p>
            <w:pPr>
              <w:spacing w:line="380" w:lineRule="atLeast"/>
              <w:ind w:firstLine="0" w:firstLineChars="0"/>
              <w:jc w:val="center"/>
              <w:rPr>
                <w:rFonts w:ascii="宋体" w:hAnsi="宋体" w:cs="宋体"/>
                <w:color w:val="auto"/>
                <w:sz w:val="21"/>
                <w:szCs w:val="21"/>
                <w:highlight w:val="none"/>
                <w:u w:val="single"/>
              </w:rPr>
            </w:pPr>
            <w:r>
              <w:rPr>
                <w:rFonts w:hint="eastAsia"/>
                <w:color w:val="auto"/>
                <w:sz w:val="21"/>
                <w:szCs w:val="21"/>
                <w:highlight w:val="none"/>
              </w:rPr>
              <w:t>对投标人相关服务能力的评价</w:t>
            </w:r>
          </w:p>
        </w:tc>
        <w:tc>
          <w:tcPr>
            <w:tcW w:w="714" w:type="dxa"/>
            <w:shd w:val="clear" w:color="auto" w:fill="FFFFFF" w:themeFill="background1"/>
            <w:vAlign w:val="center"/>
          </w:tcPr>
          <w:p>
            <w:pPr>
              <w:spacing w:line="380" w:lineRule="atLeast"/>
              <w:ind w:firstLine="0" w:firstLineChars="0"/>
              <w:jc w:val="center"/>
              <w:rPr>
                <w:color w:val="auto"/>
                <w:sz w:val="21"/>
                <w:szCs w:val="21"/>
                <w:highlight w:val="none"/>
              </w:rPr>
            </w:pPr>
            <w:r>
              <w:rPr>
                <w:rFonts w:hint="eastAsia"/>
                <w:color w:val="auto"/>
                <w:sz w:val="21"/>
                <w:szCs w:val="21"/>
                <w:highlight w:val="none"/>
                <w:u w:val="single"/>
              </w:rPr>
              <w:t>3</w:t>
            </w:r>
            <w:r>
              <w:rPr>
                <w:color w:val="auto"/>
                <w:sz w:val="21"/>
                <w:szCs w:val="21"/>
                <w:highlight w:val="none"/>
              </w:rPr>
              <w:t>分</w:t>
            </w:r>
          </w:p>
        </w:tc>
        <w:tc>
          <w:tcPr>
            <w:tcW w:w="4359" w:type="dxa"/>
            <w:shd w:val="clear" w:color="auto" w:fill="FFFFFF" w:themeFill="background1"/>
            <w:vAlign w:val="center"/>
          </w:tcPr>
          <w:p>
            <w:pPr>
              <w:pStyle w:val="6"/>
              <w:jc w:val="left"/>
              <w:rPr>
                <w:rFonts w:ascii="Times New Roman" w:eastAsia="宋体"/>
                <w:color w:val="auto"/>
                <w:highlight w:val="none"/>
              </w:rPr>
            </w:pPr>
            <w:r>
              <w:rPr>
                <w:rFonts w:hint="eastAsia" w:ascii="Times New Roman" w:eastAsia="宋体"/>
                <w:color w:val="auto"/>
                <w:highlight w:val="none"/>
              </w:rPr>
              <w:t>由评标专家根据投标文件技术组织方案中：投标人的资金筹措、物流组织、现场服务、应急措施进行综合评分，起评分1.8分，本项最高3分。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26" w:type="dxa"/>
            <w:shd w:val="clear" w:color="auto" w:fill="FFFFFF"/>
            <w:vAlign w:val="center"/>
          </w:tcPr>
          <w:p>
            <w:pPr>
              <w:spacing w:line="380" w:lineRule="atLeast"/>
              <w:ind w:firstLine="0" w:firstLineChars="0"/>
              <w:jc w:val="center"/>
              <w:rPr>
                <w:color w:val="auto"/>
                <w:sz w:val="21"/>
                <w:szCs w:val="21"/>
                <w:highlight w:val="none"/>
              </w:rPr>
            </w:pPr>
            <w:r>
              <w:rPr>
                <w:color w:val="auto"/>
                <w:sz w:val="21"/>
                <w:szCs w:val="21"/>
                <w:highlight w:val="none"/>
              </w:rPr>
              <w:t>2.2.4(</w:t>
            </w:r>
            <w:r>
              <w:rPr>
                <w:rFonts w:hint="eastAsia"/>
                <w:color w:val="auto"/>
                <w:sz w:val="21"/>
                <w:szCs w:val="21"/>
                <w:highlight w:val="none"/>
              </w:rPr>
              <w:t>2</w:t>
            </w:r>
            <w:r>
              <w:rPr>
                <w:color w:val="auto"/>
                <w:sz w:val="21"/>
                <w:szCs w:val="21"/>
                <w:highlight w:val="none"/>
              </w:rPr>
              <w:t>)</w:t>
            </w:r>
          </w:p>
        </w:tc>
        <w:tc>
          <w:tcPr>
            <w:tcW w:w="1025" w:type="dxa"/>
            <w:shd w:val="clear" w:color="auto" w:fill="FFFFFF"/>
            <w:vAlign w:val="center"/>
          </w:tcPr>
          <w:p>
            <w:pPr>
              <w:spacing w:line="380" w:lineRule="atLeast"/>
              <w:ind w:firstLine="0" w:firstLineChars="0"/>
              <w:jc w:val="center"/>
              <w:rPr>
                <w:b/>
                <w:color w:val="auto"/>
                <w:sz w:val="21"/>
                <w:szCs w:val="21"/>
                <w:highlight w:val="none"/>
              </w:rPr>
            </w:pPr>
            <w:r>
              <w:rPr>
                <w:rFonts w:hint="eastAsia"/>
                <w:b/>
                <w:bCs/>
                <w:color w:val="auto"/>
                <w:sz w:val="21"/>
                <w:szCs w:val="21"/>
                <w:highlight w:val="none"/>
              </w:rPr>
              <w:t>业绩</w:t>
            </w:r>
          </w:p>
        </w:tc>
        <w:tc>
          <w:tcPr>
            <w:tcW w:w="851" w:type="dxa"/>
            <w:shd w:val="clear" w:color="auto" w:fill="FFFFFF"/>
            <w:vAlign w:val="center"/>
          </w:tcPr>
          <w:p>
            <w:pPr>
              <w:spacing w:line="380" w:lineRule="atLeast"/>
              <w:ind w:left="-120" w:leftChars="-50" w:right="-120" w:rightChars="-50" w:firstLine="0" w:firstLineChars="0"/>
              <w:jc w:val="center"/>
              <w:rPr>
                <w:b/>
                <w:color w:val="auto"/>
                <w:sz w:val="21"/>
                <w:szCs w:val="21"/>
                <w:highlight w:val="none"/>
              </w:rPr>
            </w:pPr>
            <w:r>
              <w:rPr>
                <w:rFonts w:hint="eastAsia"/>
                <w:b/>
                <w:color w:val="auto"/>
                <w:sz w:val="21"/>
                <w:szCs w:val="21"/>
                <w:highlight w:val="none"/>
              </w:rPr>
              <w:t>3分</w:t>
            </w:r>
          </w:p>
        </w:tc>
        <w:tc>
          <w:tcPr>
            <w:tcW w:w="6485" w:type="dxa"/>
            <w:gridSpan w:val="3"/>
            <w:shd w:val="clear" w:color="auto" w:fill="FFFFFF"/>
            <w:vAlign w:val="center"/>
          </w:tcPr>
          <w:p>
            <w:pPr>
              <w:spacing w:line="380" w:lineRule="atLeast"/>
              <w:ind w:firstLine="0" w:firstLineChars="0"/>
              <w:rPr>
                <w:bCs/>
                <w:color w:val="auto"/>
                <w:sz w:val="21"/>
                <w:szCs w:val="21"/>
                <w:highlight w:val="none"/>
              </w:rPr>
            </w:pPr>
            <w:r>
              <w:rPr>
                <w:rFonts w:hint="eastAsia"/>
                <w:color w:val="auto"/>
                <w:sz w:val="21"/>
                <w:szCs w:val="21"/>
                <w:highlight w:val="none"/>
              </w:rPr>
              <w:t>满足“资格审查条件”中业绩最低要求的基础上，近5年内：</w:t>
            </w:r>
            <w:r>
              <w:rPr>
                <w:rFonts w:hint="eastAsia"/>
                <w:bCs/>
                <w:color w:val="auto"/>
                <w:sz w:val="21"/>
                <w:szCs w:val="21"/>
                <w:highlight w:val="none"/>
              </w:rPr>
              <w:t>每增加一项满足附录3要求的桥梁钢结构制造业绩，加0.5分，最多加3分。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26" w:type="dxa"/>
            <w:shd w:val="clear" w:color="auto" w:fill="FFFFFF" w:themeFill="background1"/>
            <w:vAlign w:val="center"/>
          </w:tcPr>
          <w:p>
            <w:pPr>
              <w:spacing w:line="380" w:lineRule="atLeast"/>
              <w:ind w:firstLine="0" w:firstLineChars="0"/>
              <w:jc w:val="center"/>
              <w:rPr>
                <w:color w:val="auto"/>
                <w:sz w:val="21"/>
                <w:szCs w:val="21"/>
                <w:highlight w:val="none"/>
              </w:rPr>
            </w:pPr>
            <w:r>
              <w:rPr>
                <w:color w:val="auto"/>
                <w:sz w:val="21"/>
                <w:szCs w:val="21"/>
                <w:highlight w:val="none"/>
              </w:rPr>
              <w:t>2.2.4(3)</w:t>
            </w:r>
          </w:p>
        </w:tc>
        <w:tc>
          <w:tcPr>
            <w:tcW w:w="1025" w:type="dxa"/>
            <w:shd w:val="clear" w:color="auto" w:fill="FFFFFF" w:themeFill="background1"/>
            <w:vAlign w:val="center"/>
          </w:tcPr>
          <w:p>
            <w:pPr>
              <w:spacing w:line="380" w:lineRule="atLeast"/>
              <w:ind w:firstLine="0" w:firstLineChars="0"/>
              <w:jc w:val="center"/>
              <w:rPr>
                <w:b/>
                <w:bCs/>
                <w:color w:val="auto"/>
                <w:sz w:val="21"/>
                <w:szCs w:val="21"/>
                <w:highlight w:val="none"/>
              </w:rPr>
            </w:pPr>
            <w:r>
              <w:rPr>
                <w:b/>
                <w:bCs/>
                <w:color w:val="auto"/>
                <w:sz w:val="21"/>
                <w:szCs w:val="21"/>
                <w:highlight w:val="none"/>
              </w:rPr>
              <w:t>评标价</w:t>
            </w:r>
          </w:p>
        </w:tc>
        <w:tc>
          <w:tcPr>
            <w:tcW w:w="851" w:type="dxa"/>
            <w:shd w:val="clear" w:color="auto" w:fill="FFFFFF" w:themeFill="background1"/>
            <w:vAlign w:val="center"/>
          </w:tcPr>
          <w:p>
            <w:pPr>
              <w:spacing w:line="380" w:lineRule="atLeast"/>
              <w:ind w:firstLine="0" w:firstLineChars="0"/>
              <w:jc w:val="right"/>
              <w:rPr>
                <w:b/>
                <w:bCs/>
                <w:color w:val="auto"/>
                <w:sz w:val="21"/>
                <w:szCs w:val="21"/>
                <w:highlight w:val="none"/>
              </w:rPr>
            </w:pPr>
            <w:r>
              <w:rPr>
                <w:rFonts w:hint="eastAsia"/>
                <w:b/>
                <w:bCs/>
                <w:color w:val="auto"/>
                <w:sz w:val="21"/>
                <w:szCs w:val="21"/>
                <w:highlight w:val="none"/>
                <w:u w:val="single"/>
              </w:rPr>
              <w:t>85</w:t>
            </w:r>
            <w:r>
              <w:rPr>
                <w:b/>
                <w:bCs/>
                <w:color w:val="auto"/>
                <w:sz w:val="21"/>
                <w:szCs w:val="21"/>
                <w:highlight w:val="none"/>
              </w:rPr>
              <w:t>分</w:t>
            </w:r>
          </w:p>
        </w:tc>
        <w:tc>
          <w:tcPr>
            <w:tcW w:w="6485" w:type="dxa"/>
            <w:gridSpan w:val="3"/>
            <w:shd w:val="clear" w:color="auto" w:fill="FFFFFF" w:themeFill="background1"/>
          </w:tcPr>
          <w:p>
            <w:pPr>
              <w:spacing w:line="380" w:lineRule="atLeast"/>
              <w:ind w:firstLine="0" w:firstLineChars="0"/>
              <w:rPr>
                <w:bCs/>
                <w:color w:val="auto"/>
                <w:sz w:val="21"/>
                <w:szCs w:val="21"/>
                <w:highlight w:val="none"/>
              </w:rPr>
            </w:pPr>
            <w:r>
              <w:rPr>
                <w:rFonts w:hint="eastAsia"/>
                <w:bCs/>
                <w:color w:val="auto"/>
                <w:sz w:val="21"/>
                <w:szCs w:val="21"/>
                <w:highlight w:val="none"/>
              </w:rPr>
              <w:t>评标价得分计算公式示例：</w:t>
            </w:r>
          </w:p>
          <w:p>
            <w:pPr>
              <w:spacing w:line="380" w:lineRule="atLeast"/>
              <w:ind w:firstLine="0" w:firstLineChars="0"/>
              <w:rPr>
                <w:bCs/>
                <w:color w:val="auto"/>
                <w:sz w:val="21"/>
                <w:szCs w:val="21"/>
                <w:highlight w:val="none"/>
              </w:rPr>
            </w:pPr>
            <w:r>
              <w:rPr>
                <w:rFonts w:hint="eastAsia"/>
                <w:bCs/>
                <w:color w:val="auto"/>
                <w:sz w:val="21"/>
                <w:szCs w:val="21"/>
                <w:highlight w:val="none"/>
              </w:rPr>
              <w:t>(1)如果投标人的评标价&gt;评标基准价，则评标价得分＝F－偏差率×100×E1；</w:t>
            </w:r>
          </w:p>
          <w:p>
            <w:pPr>
              <w:spacing w:line="380" w:lineRule="atLeast"/>
              <w:ind w:firstLine="0" w:firstLineChars="0"/>
              <w:rPr>
                <w:bCs/>
                <w:color w:val="auto"/>
                <w:sz w:val="21"/>
                <w:szCs w:val="21"/>
                <w:highlight w:val="none"/>
              </w:rPr>
            </w:pPr>
            <w:r>
              <w:rPr>
                <w:rFonts w:hint="eastAsia"/>
                <w:bCs/>
                <w:color w:val="auto"/>
                <w:sz w:val="21"/>
                <w:szCs w:val="21"/>
                <w:highlight w:val="none"/>
              </w:rPr>
              <w:t>(2)如果投标人的评标价≤评标基准价，则评标价得分＝F＋偏差率×100×E2。</w:t>
            </w:r>
          </w:p>
          <w:p>
            <w:pPr>
              <w:spacing w:line="380" w:lineRule="atLeast"/>
              <w:ind w:firstLine="0" w:firstLineChars="0"/>
              <w:rPr>
                <w:bCs/>
                <w:color w:val="auto"/>
                <w:sz w:val="21"/>
                <w:szCs w:val="21"/>
                <w:highlight w:val="none"/>
              </w:rPr>
            </w:pPr>
            <w:r>
              <w:rPr>
                <w:rFonts w:hint="eastAsia"/>
                <w:bCs/>
                <w:color w:val="auto"/>
                <w:sz w:val="21"/>
                <w:szCs w:val="21"/>
                <w:highlight w:val="none"/>
              </w:rPr>
              <w:t>其中：F=85，E1=0.5，E2=0.3</w:t>
            </w:r>
          </w:p>
          <w:p>
            <w:pPr>
              <w:spacing w:line="380" w:lineRule="atLeast"/>
              <w:ind w:firstLine="0" w:firstLineChars="0"/>
              <w:rPr>
                <w:color w:val="auto"/>
                <w:sz w:val="21"/>
                <w:szCs w:val="21"/>
                <w:highlight w:val="none"/>
              </w:rPr>
            </w:pPr>
            <w:r>
              <w:rPr>
                <w:rFonts w:hint="eastAsia"/>
                <w:bCs/>
                <w:color w:val="auto"/>
                <w:sz w:val="21"/>
                <w:szCs w:val="21"/>
                <w:highlight w:val="none"/>
              </w:rPr>
              <w:t>评标价得分分值计算保留小数点后四位，小数点后第五位“四舍五入”。</w:t>
            </w:r>
          </w:p>
        </w:tc>
      </w:tr>
    </w:tbl>
    <w:p>
      <w:pPr>
        <w:ind w:firstLine="0" w:firstLineChars="0"/>
        <w:rPr>
          <w:vanish/>
          <w:color w:val="auto"/>
          <w:sz w:val="21"/>
          <w:szCs w:val="21"/>
          <w:highlight w:val="none"/>
        </w:rPr>
      </w:pPr>
    </w:p>
    <w:tbl>
      <w:tblPr>
        <w:tblStyle w:val="4"/>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512"/>
        <w:gridCol w:w="513"/>
        <w:gridCol w:w="851"/>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926" w:type="dxa"/>
            <w:vMerge w:val="restart"/>
            <w:vAlign w:val="center"/>
          </w:tcPr>
          <w:p>
            <w:pPr>
              <w:spacing w:line="380" w:lineRule="atLeast"/>
              <w:ind w:firstLine="0" w:firstLineChars="0"/>
              <w:jc w:val="center"/>
              <w:rPr>
                <w:b/>
                <w:color w:val="auto"/>
                <w:sz w:val="21"/>
                <w:szCs w:val="21"/>
                <w:highlight w:val="none"/>
              </w:rPr>
            </w:pPr>
            <w:r>
              <w:rPr>
                <w:color w:val="auto"/>
                <w:sz w:val="21"/>
                <w:szCs w:val="21"/>
                <w:highlight w:val="none"/>
              </w:rPr>
              <w:t>2.2.4(</w:t>
            </w:r>
            <w:r>
              <w:rPr>
                <w:rFonts w:hint="eastAsia"/>
                <w:color w:val="auto"/>
                <w:sz w:val="21"/>
                <w:szCs w:val="21"/>
                <w:highlight w:val="none"/>
              </w:rPr>
              <w:t>4</w:t>
            </w:r>
            <w:r>
              <w:rPr>
                <w:color w:val="auto"/>
                <w:sz w:val="21"/>
                <w:szCs w:val="21"/>
                <w:highlight w:val="none"/>
              </w:rPr>
              <w:t>)</w:t>
            </w:r>
          </w:p>
        </w:tc>
        <w:tc>
          <w:tcPr>
            <w:tcW w:w="512" w:type="dxa"/>
            <w:vMerge w:val="restart"/>
            <w:vAlign w:val="center"/>
          </w:tcPr>
          <w:p>
            <w:pPr>
              <w:spacing w:line="380" w:lineRule="atLeast"/>
              <w:ind w:firstLine="0" w:firstLineChars="0"/>
              <w:jc w:val="center"/>
              <w:rPr>
                <w:b/>
                <w:color w:val="auto"/>
                <w:sz w:val="21"/>
                <w:szCs w:val="21"/>
                <w:highlight w:val="none"/>
              </w:rPr>
            </w:pPr>
            <w:r>
              <w:rPr>
                <w:rFonts w:hint="eastAsia"/>
                <w:b/>
                <w:color w:val="auto"/>
                <w:sz w:val="21"/>
                <w:szCs w:val="21"/>
                <w:highlight w:val="none"/>
              </w:rPr>
              <w:t>其他因素</w:t>
            </w:r>
          </w:p>
        </w:tc>
        <w:tc>
          <w:tcPr>
            <w:tcW w:w="513" w:type="dxa"/>
            <w:vAlign w:val="center"/>
          </w:tcPr>
          <w:p>
            <w:pPr>
              <w:spacing w:line="320" w:lineRule="atLeast"/>
              <w:ind w:firstLine="0" w:firstLineChars="0"/>
              <w:jc w:val="center"/>
              <w:rPr>
                <w:b/>
                <w:color w:val="auto"/>
                <w:sz w:val="21"/>
                <w:szCs w:val="21"/>
                <w:highlight w:val="none"/>
              </w:rPr>
            </w:pPr>
            <w:r>
              <w:rPr>
                <w:rFonts w:hint="eastAsia"/>
                <w:b/>
                <w:color w:val="auto"/>
                <w:sz w:val="21"/>
                <w:szCs w:val="21"/>
                <w:highlight w:val="none"/>
              </w:rPr>
              <w:t>技术能力</w:t>
            </w:r>
          </w:p>
        </w:tc>
        <w:tc>
          <w:tcPr>
            <w:tcW w:w="851" w:type="dxa"/>
            <w:vAlign w:val="center"/>
          </w:tcPr>
          <w:p>
            <w:pPr>
              <w:spacing w:line="380" w:lineRule="atLeast"/>
              <w:ind w:left="-120" w:leftChars="-50" w:right="-120" w:rightChars="-50" w:firstLine="0" w:firstLineChars="0"/>
              <w:jc w:val="center"/>
              <w:rPr>
                <w:b/>
                <w:color w:val="auto"/>
                <w:sz w:val="21"/>
                <w:szCs w:val="21"/>
                <w:highlight w:val="none"/>
              </w:rPr>
            </w:pPr>
            <w:r>
              <w:rPr>
                <w:rFonts w:hint="eastAsia"/>
                <w:b/>
                <w:color w:val="auto"/>
                <w:sz w:val="21"/>
                <w:szCs w:val="21"/>
                <w:highlight w:val="none"/>
              </w:rPr>
              <w:t>3分</w:t>
            </w:r>
          </w:p>
        </w:tc>
        <w:tc>
          <w:tcPr>
            <w:tcW w:w="6470" w:type="dxa"/>
            <w:vAlign w:val="center"/>
          </w:tcPr>
          <w:p>
            <w:pPr>
              <w:spacing w:line="380" w:lineRule="atLeast"/>
              <w:ind w:firstLine="0" w:firstLineChars="0"/>
              <w:rPr>
                <w:color w:val="auto"/>
                <w:highlight w:val="none"/>
              </w:rPr>
            </w:pPr>
            <w:r>
              <w:rPr>
                <w:rFonts w:hint="eastAsia"/>
                <w:color w:val="auto"/>
                <w:highlight w:val="none"/>
              </w:rPr>
              <w:t>投标人自2018年1月1日至今获得省级或以上奖项每项得0.5分，获得国家或以上奖项每项得1分，没有或其他不得分。</w:t>
            </w:r>
          </w:p>
          <w:p>
            <w:pPr>
              <w:pStyle w:val="7"/>
              <w:spacing w:line="380" w:lineRule="exact"/>
              <w:ind w:firstLine="0" w:firstLineChars="0"/>
              <w:rPr>
                <w:color w:val="auto"/>
                <w:highlight w:val="none"/>
              </w:rPr>
            </w:pPr>
            <w:r>
              <w:rPr>
                <w:rFonts w:hint="eastAsia" w:ascii="宋体" w:hAnsi="宋体" w:eastAsia="宋体"/>
                <w:b w:val="0"/>
                <w:bCs/>
                <w:color w:val="auto"/>
                <w:sz w:val="21"/>
                <w:szCs w:val="21"/>
                <w:highlight w:val="none"/>
              </w:rPr>
              <w:t>本项累计加分最高</w:t>
            </w:r>
            <w:r>
              <w:rPr>
                <w:rFonts w:hint="eastAsia" w:ascii="宋体" w:hAnsi="宋体" w:eastAsia="宋体"/>
                <w:b w:val="0"/>
                <w:bCs/>
                <w:color w:val="auto"/>
                <w:sz w:val="21"/>
                <w:szCs w:val="21"/>
                <w:highlight w:val="none"/>
                <w:u w:val="single"/>
              </w:rPr>
              <w:t>3</w:t>
            </w:r>
            <w:r>
              <w:rPr>
                <w:rFonts w:hint="eastAsia" w:ascii="宋体" w:hAnsi="宋体" w:eastAsia="宋体"/>
                <w:b w:val="0"/>
                <w:bCs/>
                <w:color w:val="auto"/>
                <w:sz w:val="21"/>
                <w:szCs w:val="21"/>
                <w:highlight w:val="none"/>
              </w:rPr>
              <w:t>分，不重复加分，按较高分只计一次。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6" w:type="dxa"/>
            <w:vMerge w:val="continue"/>
            <w:vAlign w:val="center"/>
          </w:tcPr>
          <w:p>
            <w:pPr>
              <w:spacing w:line="380" w:lineRule="atLeast"/>
              <w:ind w:firstLine="0" w:firstLineChars="0"/>
              <w:jc w:val="center"/>
              <w:rPr>
                <w:b/>
                <w:color w:val="auto"/>
                <w:sz w:val="21"/>
                <w:szCs w:val="21"/>
                <w:highlight w:val="none"/>
              </w:rPr>
            </w:pPr>
          </w:p>
        </w:tc>
        <w:tc>
          <w:tcPr>
            <w:tcW w:w="512" w:type="dxa"/>
            <w:vMerge w:val="continue"/>
            <w:vAlign w:val="center"/>
          </w:tcPr>
          <w:p>
            <w:pPr>
              <w:spacing w:line="380" w:lineRule="atLeast"/>
              <w:ind w:firstLine="0" w:firstLineChars="0"/>
              <w:jc w:val="center"/>
              <w:rPr>
                <w:b/>
                <w:color w:val="auto"/>
                <w:sz w:val="21"/>
                <w:szCs w:val="21"/>
                <w:highlight w:val="none"/>
              </w:rPr>
            </w:pPr>
          </w:p>
        </w:tc>
        <w:tc>
          <w:tcPr>
            <w:tcW w:w="513" w:type="dxa"/>
            <w:vAlign w:val="center"/>
          </w:tcPr>
          <w:p>
            <w:pPr>
              <w:spacing w:line="320" w:lineRule="atLeast"/>
              <w:ind w:firstLine="0" w:firstLineChars="0"/>
              <w:jc w:val="center"/>
              <w:rPr>
                <w:b/>
                <w:color w:val="auto"/>
                <w:sz w:val="21"/>
                <w:szCs w:val="21"/>
                <w:highlight w:val="none"/>
              </w:rPr>
            </w:pPr>
            <w:r>
              <w:rPr>
                <w:rFonts w:hint="eastAsia"/>
                <w:b/>
                <w:color w:val="auto"/>
                <w:sz w:val="21"/>
                <w:szCs w:val="21"/>
                <w:highlight w:val="none"/>
              </w:rPr>
              <w:t>财务能力</w:t>
            </w:r>
          </w:p>
        </w:tc>
        <w:tc>
          <w:tcPr>
            <w:tcW w:w="851" w:type="dxa"/>
            <w:vAlign w:val="center"/>
          </w:tcPr>
          <w:p>
            <w:pPr>
              <w:spacing w:line="380" w:lineRule="atLeast"/>
              <w:ind w:left="-120" w:leftChars="-50" w:right="-120" w:rightChars="-50" w:firstLine="0" w:firstLineChars="0"/>
              <w:jc w:val="center"/>
              <w:rPr>
                <w:b/>
                <w:color w:val="auto"/>
                <w:sz w:val="21"/>
                <w:szCs w:val="21"/>
                <w:highlight w:val="none"/>
              </w:rPr>
            </w:pPr>
            <w:r>
              <w:rPr>
                <w:rFonts w:hint="eastAsia"/>
                <w:b/>
                <w:color w:val="auto"/>
                <w:sz w:val="21"/>
                <w:szCs w:val="21"/>
                <w:highlight w:val="none"/>
              </w:rPr>
              <w:t>2分</w:t>
            </w:r>
          </w:p>
        </w:tc>
        <w:tc>
          <w:tcPr>
            <w:tcW w:w="6470" w:type="dxa"/>
            <w:vAlign w:val="center"/>
          </w:tcPr>
          <w:p>
            <w:pPr>
              <w:spacing w:line="380" w:lineRule="atLeast"/>
              <w:ind w:firstLine="0" w:firstLineChars="0"/>
              <w:rPr>
                <w:bCs/>
                <w:color w:val="auto"/>
                <w:sz w:val="21"/>
                <w:szCs w:val="21"/>
                <w:highlight w:val="none"/>
              </w:rPr>
            </w:pPr>
            <w:r>
              <w:rPr>
                <w:rFonts w:hint="eastAsia"/>
                <w:color w:val="auto"/>
                <w:sz w:val="21"/>
                <w:szCs w:val="21"/>
                <w:highlight w:val="none"/>
              </w:rPr>
              <w:t>投标人 2020、20</w:t>
            </w:r>
            <w:r>
              <w:rPr>
                <w:color w:val="auto"/>
                <w:sz w:val="21"/>
                <w:szCs w:val="21"/>
                <w:highlight w:val="none"/>
              </w:rPr>
              <w:t>2</w:t>
            </w:r>
            <w:r>
              <w:rPr>
                <w:rFonts w:hint="eastAsia"/>
                <w:color w:val="auto"/>
                <w:sz w:val="21"/>
                <w:szCs w:val="21"/>
                <w:highlight w:val="none"/>
              </w:rPr>
              <w:t>1、20</w:t>
            </w:r>
            <w:r>
              <w:rPr>
                <w:color w:val="auto"/>
                <w:sz w:val="21"/>
                <w:szCs w:val="21"/>
                <w:highlight w:val="none"/>
              </w:rPr>
              <w:t>2</w:t>
            </w:r>
            <w:r>
              <w:rPr>
                <w:rFonts w:hint="eastAsia"/>
                <w:color w:val="auto"/>
                <w:sz w:val="21"/>
                <w:szCs w:val="21"/>
                <w:highlight w:val="none"/>
              </w:rPr>
              <w:t>2 三年营业收入总额，满足附录 2 资格审查条件（财务最低要求）得起评分1.2 分；对于 20</w:t>
            </w:r>
            <w:r>
              <w:rPr>
                <w:color w:val="auto"/>
                <w:sz w:val="21"/>
                <w:szCs w:val="21"/>
                <w:highlight w:val="none"/>
              </w:rPr>
              <w:t>2</w:t>
            </w:r>
            <w:r>
              <w:rPr>
                <w:rFonts w:hint="eastAsia"/>
                <w:color w:val="auto"/>
                <w:sz w:val="21"/>
                <w:szCs w:val="21"/>
                <w:highlight w:val="none"/>
              </w:rPr>
              <w:t xml:space="preserve">2 年营业收入总额超过 3亿元部分，每超过3亿元加 0.2 分（不足 </w:t>
            </w:r>
            <w:r>
              <w:rPr>
                <w:color w:val="auto"/>
                <w:sz w:val="21"/>
                <w:szCs w:val="21"/>
                <w:highlight w:val="none"/>
              </w:rPr>
              <w:t>3</w:t>
            </w:r>
            <w:r>
              <w:rPr>
                <w:rFonts w:hint="eastAsia"/>
                <w:color w:val="auto"/>
                <w:sz w:val="21"/>
                <w:szCs w:val="21"/>
                <w:highlight w:val="none"/>
              </w:rPr>
              <w:t xml:space="preserve"> 亿元部分按直线内插计算，取小数点后四位），此项得分合计不超过 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926" w:type="dxa"/>
            <w:vMerge w:val="continue"/>
            <w:vAlign w:val="center"/>
          </w:tcPr>
          <w:p>
            <w:pPr>
              <w:spacing w:line="380" w:lineRule="atLeast"/>
              <w:ind w:firstLine="0" w:firstLineChars="0"/>
              <w:jc w:val="center"/>
              <w:rPr>
                <w:b/>
                <w:color w:val="auto"/>
                <w:sz w:val="21"/>
                <w:szCs w:val="21"/>
                <w:highlight w:val="none"/>
              </w:rPr>
            </w:pPr>
          </w:p>
        </w:tc>
        <w:tc>
          <w:tcPr>
            <w:tcW w:w="512" w:type="dxa"/>
            <w:vMerge w:val="continue"/>
            <w:vAlign w:val="center"/>
          </w:tcPr>
          <w:p>
            <w:pPr>
              <w:spacing w:line="380" w:lineRule="atLeast"/>
              <w:ind w:firstLine="0" w:firstLineChars="0"/>
              <w:jc w:val="center"/>
              <w:rPr>
                <w:b/>
                <w:color w:val="auto"/>
                <w:sz w:val="21"/>
                <w:szCs w:val="21"/>
                <w:highlight w:val="none"/>
              </w:rPr>
            </w:pPr>
          </w:p>
        </w:tc>
        <w:tc>
          <w:tcPr>
            <w:tcW w:w="513" w:type="dxa"/>
            <w:vAlign w:val="center"/>
          </w:tcPr>
          <w:p>
            <w:pPr>
              <w:spacing w:line="380" w:lineRule="atLeast"/>
              <w:ind w:firstLine="0" w:firstLineChars="0"/>
              <w:jc w:val="center"/>
              <w:rPr>
                <w:b/>
                <w:color w:val="auto"/>
                <w:sz w:val="21"/>
                <w:szCs w:val="21"/>
                <w:highlight w:val="none"/>
              </w:rPr>
            </w:pPr>
            <w:r>
              <w:rPr>
                <w:rFonts w:hint="eastAsia"/>
                <w:b/>
                <w:color w:val="auto"/>
                <w:sz w:val="21"/>
                <w:szCs w:val="21"/>
                <w:highlight w:val="none"/>
              </w:rPr>
              <w:t>信誉履约</w:t>
            </w:r>
          </w:p>
        </w:tc>
        <w:tc>
          <w:tcPr>
            <w:tcW w:w="851" w:type="dxa"/>
            <w:vAlign w:val="center"/>
          </w:tcPr>
          <w:p>
            <w:pPr>
              <w:spacing w:line="380" w:lineRule="atLeast"/>
              <w:ind w:left="-120" w:leftChars="-50" w:right="-120" w:rightChars="-50" w:firstLine="0" w:firstLineChars="0"/>
              <w:jc w:val="center"/>
              <w:rPr>
                <w:b/>
                <w:color w:val="auto"/>
                <w:sz w:val="21"/>
                <w:szCs w:val="21"/>
                <w:highlight w:val="none"/>
              </w:rPr>
            </w:pPr>
            <w:r>
              <w:rPr>
                <w:rFonts w:hint="eastAsia"/>
                <w:b/>
                <w:color w:val="auto"/>
                <w:sz w:val="21"/>
                <w:szCs w:val="21"/>
                <w:highlight w:val="none"/>
              </w:rPr>
              <w:t>2分</w:t>
            </w:r>
          </w:p>
        </w:tc>
        <w:tc>
          <w:tcPr>
            <w:tcW w:w="6470" w:type="dxa"/>
            <w:vAlign w:val="center"/>
          </w:tcPr>
          <w:p>
            <w:pPr>
              <w:spacing w:line="380" w:lineRule="atLeast"/>
              <w:ind w:firstLine="0" w:firstLineChars="0"/>
              <w:rPr>
                <w:bCs/>
                <w:color w:val="auto"/>
                <w:sz w:val="21"/>
                <w:szCs w:val="21"/>
                <w:highlight w:val="none"/>
              </w:rPr>
            </w:pPr>
            <w:r>
              <w:rPr>
                <w:rFonts w:hint="eastAsia"/>
                <w:bCs/>
                <w:color w:val="auto"/>
                <w:sz w:val="21"/>
                <w:szCs w:val="21"/>
                <w:highlight w:val="none"/>
              </w:rPr>
              <w:t>2020年1月1日至投标文件截止日止，投标人没有发生如下情形的得2.0分，否则按如下扣分：</w:t>
            </w:r>
          </w:p>
          <w:p>
            <w:pPr>
              <w:spacing w:line="380" w:lineRule="atLeast"/>
              <w:ind w:firstLine="0" w:firstLineChars="0"/>
              <w:rPr>
                <w:bCs/>
                <w:color w:val="auto"/>
                <w:sz w:val="21"/>
                <w:szCs w:val="21"/>
                <w:highlight w:val="none"/>
              </w:rPr>
            </w:pPr>
            <w:r>
              <w:rPr>
                <w:rFonts w:hint="eastAsia"/>
                <w:bCs/>
                <w:color w:val="auto"/>
                <w:sz w:val="21"/>
                <w:szCs w:val="21"/>
                <w:highlight w:val="none"/>
              </w:rPr>
              <w:t>1、交通运输部通报批评或处罚一次，扣1.0分；</w:t>
            </w:r>
          </w:p>
          <w:p>
            <w:pPr>
              <w:spacing w:line="380" w:lineRule="atLeast"/>
              <w:ind w:firstLine="0" w:firstLineChars="0"/>
              <w:rPr>
                <w:bCs/>
                <w:color w:val="auto"/>
                <w:sz w:val="21"/>
                <w:szCs w:val="21"/>
                <w:highlight w:val="none"/>
              </w:rPr>
            </w:pPr>
            <w:r>
              <w:rPr>
                <w:rFonts w:hint="eastAsia"/>
                <w:bCs/>
                <w:color w:val="auto"/>
                <w:sz w:val="21"/>
                <w:szCs w:val="21"/>
                <w:highlight w:val="none"/>
              </w:rPr>
              <w:t>2、广东省交通运输厅通报批评或处罚一次，扣1.0分；</w:t>
            </w:r>
          </w:p>
          <w:p>
            <w:pPr>
              <w:spacing w:line="380" w:lineRule="atLeast"/>
              <w:ind w:firstLine="0" w:firstLineChars="0"/>
              <w:rPr>
                <w:bCs/>
                <w:color w:val="auto"/>
                <w:sz w:val="21"/>
                <w:szCs w:val="21"/>
                <w:highlight w:val="none"/>
              </w:rPr>
            </w:pPr>
            <w:r>
              <w:rPr>
                <w:rFonts w:hint="eastAsia"/>
                <w:bCs/>
                <w:color w:val="auto"/>
                <w:sz w:val="21"/>
                <w:szCs w:val="21"/>
                <w:highlight w:val="none"/>
              </w:rPr>
              <w:t>同一事项同时被多个部门通报批评或处罚只按最高的扣分计算一次。最多扣2分。</w:t>
            </w:r>
          </w:p>
        </w:tc>
      </w:tr>
    </w:tbl>
    <w:tbl>
      <w:tblPr>
        <w:tblStyle w:val="4"/>
        <w:tblpPr w:leftFromText="180" w:rightFromText="180" w:vertAnchor="text" w:horzAnchor="page" w:tblpX="1565" w:tblpY="286"/>
        <w:tblOverlap w:val="never"/>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104" w:type="dxa"/>
            <w:gridSpan w:val="2"/>
          </w:tcPr>
          <w:p>
            <w:pPr>
              <w:widowControl/>
              <w:tabs>
                <w:tab w:val="left" w:pos="1588"/>
              </w:tabs>
              <w:spacing w:before="240" w:after="240"/>
              <w:ind w:firstLine="0" w:firstLineChars="0"/>
              <w:jc w:val="left"/>
              <w:rPr>
                <w:b/>
                <w:bCs/>
                <w:color w:val="auto"/>
                <w:sz w:val="21"/>
                <w:szCs w:val="21"/>
                <w:highlight w:val="none"/>
              </w:rPr>
            </w:pPr>
            <w:r>
              <w:rPr>
                <w:b/>
                <w:bCs/>
                <w:color w:val="auto"/>
                <w:sz w:val="21"/>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46" w:type="dxa"/>
            <w:vAlign w:val="center"/>
          </w:tcPr>
          <w:p>
            <w:pPr>
              <w:widowControl/>
              <w:ind w:firstLine="0" w:firstLineChars="0"/>
              <w:jc w:val="center"/>
              <w:rPr>
                <w:color w:val="auto"/>
                <w:sz w:val="21"/>
                <w:szCs w:val="21"/>
                <w:highlight w:val="none"/>
              </w:rPr>
            </w:pPr>
            <w:r>
              <w:rPr>
                <w:color w:val="auto"/>
                <w:sz w:val="21"/>
                <w:szCs w:val="21"/>
                <w:highlight w:val="none"/>
              </w:rPr>
              <w:t>条款号</w:t>
            </w:r>
          </w:p>
        </w:tc>
        <w:tc>
          <w:tcPr>
            <w:tcW w:w="7658" w:type="dxa"/>
            <w:vAlign w:val="center"/>
          </w:tcPr>
          <w:p>
            <w:pPr>
              <w:widowControl/>
              <w:ind w:firstLine="0" w:firstLineChars="0"/>
              <w:jc w:val="center"/>
              <w:rPr>
                <w:color w:val="auto"/>
                <w:sz w:val="21"/>
                <w:szCs w:val="21"/>
                <w:highlight w:val="none"/>
              </w:rPr>
            </w:pPr>
            <w:r>
              <w:rPr>
                <w:color w:val="auto"/>
                <w:sz w:val="21"/>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widowControl/>
              <w:spacing w:before="240" w:after="240"/>
              <w:ind w:firstLine="0" w:firstLineChars="0"/>
              <w:jc w:val="center"/>
              <w:rPr>
                <w:color w:val="auto"/>
                <w:sz w:val="21"/>
                <w:szCs w:val="21"/>
                <w:highlight w:val="none"/>
              </w:rPr>
            </w:pPr>
            <w:r>
              <w:rPr>
                <w:color w:val="auto"/>
                <w:sz w:val="21"/>
                <w:szCs w:val="21"/>
                <w:highlight w:val="none"/>
              </w:rPr>
              <w:t>1</w:t>
            </w:r>
          </w:p>
        </w:tc>
        <w:tc>
          <w:tcPr>
            <w:tcW w:w="7658" w:type="dxa"/>
          </w:tcPr>
          <w:p>
            <w:pPr>
              <w:spacing w:line="40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将评标办法范本原文第1条“评标方法”改为“评标方法、组织及工作程序”，原文内容修改如下：</w:t>
            </w:r>
          </w:p>
          <w:p>
            <w:pPr>
              <w:spacing w:line="40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1．评标方法、组织及工作程序</w:t>
            </w:r>
          </w:p>
          <w:p>
            <w:pPr>
              <w:spacing w:line="400" w:lineRule="exact"/>
              <w:ind w:firstLine="0" w:firstLineChars="0"/>
              <w:rPr>
                <w:color w:val="auto"/>
                <w:sz w:val="21"/>
                <w:szCs w:val="21"/>
                <w:highlight w:val="none"/>
              </w:rPr>
            </w:pPr>
            <w:r>
              <w:rPr>
                <w:color w:val="auto"/>
                <w:sz w:val="21"/>
                <w:szCs w:val="21"/>
                <w:highlight w:val="none"/>
              </w:rPr>
              <w:t>1.1评标方法</w:t>
            </w:r>
          </w:p>
          <w:p>
            <w:pPr>
              <w:spacing w:line="400" w:lineRule="exact"/>
              <w:ind w:firstLine="0" w:firstLineChars="0"/>
              <w:rPr>
                <w:color w:val="auto"/>
                <w:sz w:val="21"/>
                <w:szCs w:val="21"/>
                <w:highlight w:val="none"/>
              </w:rPr>
            </w:pPr>
            <w:r>
              <w:rPr>
                <w:color w:val="auto"/>
                <w:sz w:val="21"/>
                <w:szCs w:val="21"/>
                <w:highlight w:val="none"/>
              </w:rPr>
              <w:t>本次评标采用双信封的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400" w:lineRule="exact"/>
              <w:ind w:firstLine="0" w:firstLineChars="0"/>
              <w:rPr>
                <w:color w:val="auto"/>
                <w:sz w:val="21"/>
                <w:szCs w:val="21"/>
                <w:highlight w:val="none"/>
              </w:rPr>
            </w:pPr>
            <w:r>
              <w:rPr>
                <w:color w:val="auto"/>
                <w:sz w:val="21"/>
                <w:szCs w:val="21"/>
                <w:highlight w:val="none"/>
              </w:rPr>
              <w:t>1.2评标组织</w:t>
            </w:r>
          </w:p>
          <w:p>
            <w:pPr>
              <w:spacing w:line="400" w:lineRule="exact"/>
              <w:ind w:firstLine="0" w:firstLineChars="0"/>
              <w:rPr>
                <w:color w:val="auto"/>
                <w:sz w:val="21"/>
                <w:szCs w:val="21"/>
                <w:highlight w:val="none"/>
              </w:rPr>
            </w:pPr>
            <w:r>
              <w:rPr>
                <w:color w:val="auto"/>
                <w:sz w:val="21"/>
                <w:szCs w:val="21"/>
                <w:highlight w:val="none"/>
              </w:rPr>
              <w:t>1.2.1协助工作组</w:t>
            </w:r>
          </w:p>
          <w:p>
            <w:pPr>
              <w:spacing w:line="400" w:lineRule="exact"/>
              <w:ind w:firstLine="0" w:firstLineChars="0"/>
              <w:rPr>
                <w:color w:val="auto"/>
                <w:sz w:val="21"/>
                <w:szCs w:val="21"/>
                <w:highlight w:val="none"/>
              </w:rPr>
            </w:pPr>
            <w:r>
              <w:rPr>
                <w:color w:val="auto"/>
                <w:sz w:val="21"/>
                <w:szCs w:val="21"/>
                <w:highlight w:val="none"/>
              </w:rPr>
              <w:t>招标人可在评标工作开始前成立协助工作组，选派熟悉招标工作、政治素质高的人员组成，协助评标委员会工作。协助工作组人员的具体数量由招标人视评标工作量确定。</w:t>
            </w:r>
          </w:p>
          <w:p>
            <w:pPr>
              <w:spacing w:line="400" w:lineRule="exact"/>
              <w:ind w:firstLine="0" w:firstLineChars="0"/>
              <w:rPr>
                <w:color w:val="auto"/>
                <w:sz w:val="21"/>
                <w:szCs w:val="21"/>
                <w:highlight w:val="none"/>
              </w:rPr>
            </w:pPr>
            <w:r>
              <w:rPr>
                <w:color w:val="auto"/>
                <w:sz w:val="21"/>
                <w:szCs w:val="21"/>
                <w:highlight w:val="none"/>
              </w:rPr>
              <w:t>招标人可以协助评标委员会开展下列工作并提供相关信息：</w:t>
            </w:r>
          </w:p>
          <w:p>
            <w:pPr>
              <w:spacing w:line="400" w:lineRule="exact"/>
              <w:ind w:firstLine="0" w:firstLineChars="0"/>
              <w:rPr>
                <w:color w:val="auto"/>
                <w:sz w:val="21"/>
                <w:szCs w:val="21"/>
                <w:highlight w:val="none"/>
              </w:rPr>
            </w:pPr>
            <w:r>
              <w:rPr>
                <w:color w:val="auto"/>
                <w:sz w:val="21"/>
                <w:szCs w:val="21"/>
                <w:highlight w:val="none"/>
              </w:rPr>
              <w:t>（1）根据招标文件，编制评标使用的相应表格；</w:t>
            </w:r>
          </w:p>
          <w:p>
            <w:pPr>
              <w:spacing w:line="400" w:lineRule="exact"/>
              <w:ind w:firstLine="0" w:firstLineChars="0"/>
              <w:rPr>
                <w:color w:val="auto"/>
                <w:sz w:val="21"/>
                <w:szCs w:val="21"/>
                <w:highlight w:val="none"/>
              </w:rPr>
            </w:pPr>
            <w:r>
              <w:rPr>
                <w:color w:val="auto"/>
                <w:sz w:val="21"/>
                <w:szCs w:val="21"/>
                <w:highlight w:val="none"/>
              </w:rPr>
              <w:t>（2）对投标报价进行算术性校核</w:t>
            </w:r>
            <w:r>
              <w:rPr>
                <w:rFonts w:hint="eastAsia"/>
                <w:color w:val="auto"/>
                <w:sz w:val="21"/>
                <w:szCs w:val="21"/>
                <w:highlight w:val="none"/>
              </w:rPr>
              <w:t>（如采用固化工程量清单，本步骤省略）</w:t>
            </w:r>
            <w:r>
              <w:rPr>
                <w:color w:val="auto"/>
                <w:sz w:val="21"/>
                <w:szCs w:val="21"/>
                <w:highlight w:val="none"/>
              </w:rPr>
              <w:t>；</w:t>
            </w:r>
          </w:p>
          <w:p>
            <w:pPr>
              <w:spacing w:line="400" w:lineRule="exact"/>
              <w:ind w:firstLine="0" w:firstLineChars="0"/>
              <w:rPr>
                <w:color w:val="auto"/>
                <w:sz w:val="21"/>
                <w:szCs w:val="21"/>
                <w:highlight w:val="none"/>
              </w:rPr>
            </w:pPr>
            <w:r>
              <w:rPr>
                <w:color w:val="auto"/>
                <w:sz w:val="21"/>
                <w:szCs w:val="21"/>
                <w:highlight w:val="none"/>
              </w:rPr>
              <w:t>招标人不得对投标文件作出任何评价，不得故意遗漏或者片面摘录，不得在评标委员会对所有偏差定性之前透露存有偏差的投标人名称。</w:t>
            </w:r>
          </w:p>
          <w:p>
            <w:pPr>
              <w:spacing w:line="400" w:lineRule="exact"/>
              <w:ind w:firstLine="0" w:firstLineChars="0"/>
              <w:rPr>
                <w:color w:val="auto"/>
                <w:sz w:val="21"/>
                <w:szCs w:val="21"/>
                <w:highlight w:val="none"/>
              </w:rPr>
            </w:pPr>
            <w:r>
              <w:rPr>
                <w:color w:val="auto"/>
                <w:sz w:val="21"/>
                <w:szCs w:val="21"/>
                <w:highlight w:val="none"/>
              </w:rPr>
              <w:t>1.2.2评标委员会</w:t>
            </w:r>
          </w:p>
          <w:p>
            <w:pPr>
              <w:spacing w:line="400" w:lineRule="exact"/>
              <w:ind w:firstLine="0" w:firstLineChars="0"/>
              <w:rPr>
                <w:color w:val="auto"/>
                <w:sz w:val="21"/>
                <w:szCs w:val="21"/>
                <w:highlight w:val="none"/>
              </w:rPr>
            </w:pPr>
            <w:r>
              <w:rPr>
                <w:color w:val="auto"/>
                <w:sz w:val="21"/>
                <w:szCs w:val="21"/>
                <w:highlight w:val="none"/>
              </w:rPr>
              <w:t>评标委员会由招标人按国家、广东省等的有关规定依法组建。</w:t>
            </w:r>
            <w:r>
              <w:rPr>
                <w:rFonts w:hint="eastAsia" w:ascii="宋体" w:hAnsi="宋体" w:cs="宋体"/>
                <w:color w:val="auto"/>
                <w:sz w:val="21"/>
                <w:szCs w:val="21"/>
                <w:highlight w:val="none"/>
              </w:rPr>
              <w:t>评标委员人数参见本招标文件“投标人须知前附表第6.1.1项。</w:t>
            </w:r>
            <w:r>
              <w:rPr>
                <w:color w:val="auto"/>
                <w:sz w:val="21"/>
                <w:szCs w:val="21"/>
                <w:highlight w:val="none"/>
              </w:rPr>
              <w:t>评标委员会的主要工作内容包括：</w:t>
            </w:r>
          </w:p>
          <w:p>
            <w:pPr>
              <w:spacing w:line="400" w:lineRule="exact"/>
              <w:ind w:firstLine="0" w:firstLineChars="0"/>
              <w:rPr>
                <w:color w:val="auto"/>
                <w:sz w:val="21"/>
                <w:szCs w:val="21"/>
                <w:highlight w:val="none"/>
              </w:rPr>
            </w:pPr>
            <w:r>
              <w:rPr>
                <w:color w:val="auto"/>
                <w:sz w:val="21"/>
                <w:szCs w:val="21"/>
                <w:highlight w:val="none"/>
              </w:rPr>
              <w:t>（1）评标委员会开始评标工作之前，首先听取招标人、协助工作组关于工程情况和辅助工作的说明，并认真研读招标文件，获取评标所需的重要信息和数据；</w:t>
            </w:r>
          </w:p>
          <w:p>
            <w:pPr>
              <w:spacing w:line="400" w:lineRule="exact"/>
              <w:ind w:firstLine="0" w:firstLineChars="0"/>
              <w:rPr>
                <w:color w:val="auto"/>
                <w:sz w:val="21"/>
                <w:szCs w:val="21"/>
                <w:highlight w:val="none"/>
              </w:rPr>
            </w:pPr>
            <w:r>
              <w:rPr>
                <w:color w:val="auto"/>
                <w:sz w:val="21"/>
                <w:szCs w:val="21"/>
                <w:highlight w:val="none"/>
              </w:rPr>
              <w:t>（2）对协助工作组提供的评标工作用表和评标内容进行核查。</w:t>
            </w:r>
          </w:p>
          <w:p>
            <w:pPr>
              <w:spacing w:line="400" w:lineRule="exact"/>
              <w:ind w:firstLine="0" w:firstLineChars="0"/>
              <w:rPr>
                <w:color w:val="auto"/>
                <w:sz w:val="21"/>
                <w:szCs w:val="21"/>
                <w:highlight w:val="none"/>
              </w:rPr>
            </w:pPr>
            <w:r>
              <w:rPr>
                <w:color w:val="auto"/>
                <w:sz w:val="21"/>
                <w:szCs w:val="21"/>
                <w:highlight w:val="none"/>
              </w:rPr>
              <w:t>（3）按照以下1.3款程序进行各项评审工作。</w:t>
            </w:r>
          </w:p>
          <w:p>
            <w:pPr>
              <w:spacing w:line="400" w:lineRule="exact"/>
              <w:ind w:firstLine="0" w:firstLineChars="0"/>
              <w:rPr>
                <w:color w:val="auto"/>
                <w:sz w:val="21"/>
                <w:szCs w:val="21"/>
                <w:highlight w:val="none"/>
              </w:rPr>
            </w:pPr>
            <w:r>
              <w:rPr>
                <w:color w:val="auto"/>
                <w:sz w:val="21"/>
                <w:szCs w:val="21"/>
                <w:highlight w:val="none"/>
              </w:rPr>
              <w:t>1.3评审工作程序</w:t>
            </w:r>
          </w:p>
          <w:p>
            <w:pPr>
              <w:spacing w:line="400" w:lineRule="exact"/>
              <w:ind w:firstLine="0" w:firstLineChars="0"/>
              <w:rPr>
                <w:color w:val="auto"/>
                <w:sz w:val="21"/>
                <w:szCs w:val="21"/>
                <w:highlight w:val="none"/>
              </w:rPr>
            </w:pPr>
            <w:r>
              <w:rPr>
                <w:color w:val="auto"/>
                <w:sz w:val="21"/>
                <w:szCs w:val="21"/>
                <w:highlight w:val="none"/>
              </w:rPr>
              <w:t>（一）第一信封（商务及技术文件）：</w:t>
            </w:r>
          </w:p>
          <w:p>
            <w:pPr>
              <w:spacing w:line="400" w:lineRule="exact"/>
              <w:ind w:firstLine="0" w:firstLineChars="0"/>
              <w:rPr>
                <w:color w:val="auto"/>
                <w:sz w:val="21"/>
                <w:szCs w:val="21"/>
                <w:highlight w:val="none"/>
              </w:rPr>
            </w:pPr>
            <w:r>
              <w:rPr>
                <w:color w:val="auto"/>
                <w:sz w:val="21"/>
                <w:szCs w:val="21"/>
                <w:highlight w:val="none"/>
              </w:rPr>
              <w:t>l、初步评审：包括形式评审与响应性评审、资格评审；</w:t>
            </w:r>
          </w:p>
          <w:p>
            <w:pPr>
              <w:spacing w:line="400" w:lineRule="exact"/>
              <w:ind w:firstLine="0" w:firstLineChars="0"/>
              <w:rPr>
                <w:color w:val="auto"/>
                <w:sz w:val="21"/>
                <w:szCs w:val="21"/>
                <w:highlight w:val="none"/>
              </w:rPr>
            </w:pPr>
            <w:r>
              <w:rPr>
                <w:color w:val="auto"/>
                <w:sz w:val="21"/>
                <w:szCs w:val="21"/>
                <w:highlight w:val="none"/>
              </w:rPr>
              <w:t>2、详细评审（评审打分）：评标委员会首先对通过初步评审的投标文件第一个信封（商务及技术文件）进行详细评审，对投标人的</w:t>
            </w:r>
            <w:r>
              <w:rPr>
                <w:rFonts w:hint="eastAsia"/>
                <w:color w:val="auto"/>
                <w:sz w:val="21"/>
                <w:szCs w:val="21"/>
                <w:highlight w:val="none"/>
              </w:rPr>
              <w:t>技术组织方案</w:t>
            </w:r>
            <w:r>
              <w:rPr>
                <w:color w:val="auto"/>
                <w:sz w:val="21"/>
                <w:szCs w:val="21"/>
                <w:highlight w:val="none"/>
              </w:rPr>
              <w:t>、其他因素等分别评审打分。</w:t>
            </w:r>
          </w:p>
          <w:p>
            <w:pPr>
              <w:spacing w:line="400" w:lineRule="exact"/>
              <w:ind w:firstLine="0" w:firstLineChars="0"/>
              <w:rPr>
                <w:color w:val="auto"/>
                <w:sz w:val="21"/>
                <w:szCs w:val="21"/>
                <w:highlight w:val="none"/>
              </w:rPr>
            </w:pPr>
            <w:r>
              <w:rPr>
                <w:color w:val="auto"/>
                <w:sz w:val="21"/>
                <w:szCs w:val="21"/>
                <w:highlight w:val="none"/>
              </w:rPr>
              <w:t>（二）第二信封（报价文件）：</w:t>
            </w:r>
          </w:p>
          <w:p>
            <w:pPr>
              <w:spacing w:line="400" w:lineRule="exact"/>
              <w:ind w:firstLine="0" w:firstLineChars="0"/>
              <w:rPr>
                <w:color w:val="auto"/>
                <w:sz w:val="21"/>
                <w:szCs w:val="21"/>
                <w:highlight w:val="none"/>
              </w:rPr>
            </w:pPr>
            <w:r>
              <w:rPr>
                <w:color w:val="auto"/>
                <w:sz w:val="21"/>
                <w:szCs w:val="21"/>
                <w:highlight w:val="none"/>
              </w:rPr>
              <w:t xml:space="preserve"> 1、初步评审：</w:t>
            </w:r>
          </w:p>
          <w:p>
            <w:pPr>
              <w:spacing w:line="400" w:lineRule="exact"/>
              <w:ind w:firstLine="0" w:firstLineChars="0"/>
              <w:rPr>
                <w:color w:val="auto"/>
                <w:sz w:val="21"/>
                <w:szCs w:val="21"/>
                <w:highlight w:val="none"/>
              </w:rPr>
            </w:pPr>
            <w:r>
              <w:rPr>
                <w:color w:val="auto"/>
                <w:sz w:val="21"/>
                <w:szCs w:val="21"/>
                <w:highlight w:val="none"/>
              </w:rPr>
              <w:t>（1）只有投标文件第一个信封通过详细评审的投标人才能继续参加第二信封报价文件的形式评审与响应性评审；</w:t>
            </w:r>
          </w:p>
          <w:p>
            <w:pPr>
              <w:spacing w:line="400" w:lineRule="exact"/>
              <w:ind w:firstLine="0" w:firstLineChars="0"/>
              <w:rPr>
                <w:color w:val="auto"/>
                <w:sz w:val="21"/>
                <w:szCs w:val="21"/>
                <w:highlight w:val="none"/>
              </w:rPr>
            </w:pPr>
            <w:r>
              <w:rPr>
                <w:color w:val="auto"/>
                <w:sz w:val="21"/>
                <w:szCs w:val="21"/>
                <w:highlight w:val="none"/>
              </w:rPr>
              <w:t>（2）报价算术性修正。</w:t>
            </w:r>
          </w:p>
          <w:p>
            <w:pPr>
              <w:spacing w:line="400" w:lineRule="exact"/>
              <w:ind w:firstLine="0" w:firstLineChars="0"/>
              <w:rPr>
                <w:color w:val="auto"/>
                <w:sz w:val="21"/>
                <w:szCs w:val="21"/>
                <w:highlight w:val="none"/>
              </w:rPr>
            </w:pPr>
            <w:r>
              <w:rPr>
                <w:color w:val="auto"/>
                <w:sz w:val="21"/>
                <w:szCs w:val="21"/>
                <w:highlight w:val="none"/>
              </w:rPr>
              <w:t xml:space="preserve"> 2、详细评审：计算评标基准价、评标价得分及综合得分。</w:t>
            </w:r>
          </w:p>
          <w:p>
            <w:pPr>
              <w:spacing w:line="400" w:lineRule="exact"/>
              <w:ind w:firstLine="0" w:firstLineChars="0"/>
              <w:rPr>
                <w:color w:val="auto"/>
                <w:sz w:val="21"/>
                <w:szCs w:val="21"/>
                <w:highlight w:val="none"/>
              </w:rPr>
            </w:pPr>
            <w:r>
              <w:rPr>
                <w:color w:val="auto"/>
                <w:sz w:val="21"/>
                <w:szCs w:val="21"/>
                <w:highlight w:val="none"/>
              </w:rPr>
              <w:t>（三）投标文件相关信息的核查。</w:t>
            </w:r>
          </w:p>
          <w:p>
            <w:pPr>
              <w:spacing w:line="400" w:lineRule="exact"/>
              <w:ind w:firstLine="0" w:firstLineChars="0"/>
              <w:rPr>
                <w:color w:val="auto"/>
                <w:sz w:val="21"/>
                <w:szCs w:val="21"/>
                <w:highlight w:val="none"/>
              </w:rPr>
            </w:pPr>
            <w:r>
              <w:rPr>
                <w:rFonts w:hint="eastAsia"/>
                <w:color w:val="auto"/>
                <w:sz w:val="21"/>
                <w:szCs w:val="21"/>
                <w:highlight w:val="none"/>
              </w:rPr>
              <w:t>（四）</w:t>
            </w:r>
            <w:r>
              <w:rPr>
                <w:color w:val="auto"/>
                <w:sz w:val="21"/>
                <w:szCs w:val="21"/>
                <w:highlight w:val="none"/>
              </w:rPr>
              <w:t>投标文件的澄清和说明</w:t>
            </w:r>
            <w:r>
              <w:rPr>
                <w:rFonts w:hint="eastAsia"/>
                <w:color w:val="auto"/>
                <w:sz w:val="21"/>
                <w:szCs w:val="21"/>
                <w:highlight w:val="none"/>
              </w:rPr>
              <w:t>（如有）</w:t>
            </w:r>
            <w:r>
              <w:rPr>
                <w:color w:val="auto"/>
                <w:sz w:val="21"/>
                <w:szCs w:val="21"/>
                <w:highlight w:val="none"/>
              </w:rPr>
              <w:t>。</w:t>
            </w:r>
          </w:p>
          <w:p>
            <w:pPr>
              <w:spacing w:line="400" w:lineRule="exact"/>
              <w:ind w:firstLine="0" w:firstLineChars="0"/>
              <w:rPr>
                <w:color w:val="auto"/>
                <w:sz w:val="21"/>
                <w:szCs w:val="21"/>
                <w:highlight w:val="none"/>
              </w:rPr>
            </w:pPr>
            <w:r>
              <w:rPr>
                <w:color w:val="auto"/>
                <w:sz w:val="21"/>
                <w:szCs w:val="21"/>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widowControl/>
              <w:spacing w:before="240" w:after="240"/>
              <w:ind w:firstLine="0" w:firstLineChars="0"/>
              <w:jc w:val="center"/>
              <w:rPr>
                <w:color w:val="auto"/>
                <w:sz w:val="21"/>
                <w:szCs w:val="21"/>
                <w:highlight w:val="none"/>
              </w:rPr>
            </w:pPr>
            <w:r>
              <w:rPr>
                <w:color w:val="auto"/>
                <w:sz w:val="21"/>
                <w:szCs w:val="21"/>
                <w:highlight w:val="none"/>
              </w:rPr>
              <w:t>3.2.</w:t>
            </w:r>
            <w:r>
              <w:rPr>
                <w:rFonts w:hint="eastAsia"/>
                <w:color w:val="auto"/>
                <w:sz w:val="21"/>
                <w:szCs w:val="21"/>
                <w:highlight w:val="none"/>
              </w:rPr>
              <w:t>3</w:t>
            </w:r>
          </w:p>
        </w:tc>
        <w:tc>
          <w:tcPr>
            <w:tcW w:w="7658" w:type="dxa"/>
          </w:tcPr>
          <w:p>
            <w:pPr>
              <w:autoSpaceDE w:val="0"/>
              <w:autoSpaceDN w:val="0"/>
              <w:adjustRightInd w:val="0"/>
              <w:spacing w:line="380" w:lineRule="exact"/>
              <w:ind w:firstLine="0" w:firstLineChars="0"/>
              <w:jc w:val="left"/>
              <w:rPr>
                <w:strike/>
                <w:color w:val="auto"/>
                <w:sz w:val="21"/>
                <w:szCs w:val="21"/>
                <w:highlight w:val="none"/>
              </w:rPr>
            </w:pPr>
            <w:r>
              <w:rPr>
                <w:snapToGrid w:val="0"/>
                <w:color w:val="auto"/>
                <w:sz w:val="21"/>
                <w:szCs w:val="21"/>
                <w:highlight w:val="none"/>
              </w:rPr>
              <w:t>原</w:t>
            </w:r>
            <w:r>
              <w:rPr>
                <w:color w:val="auto"/>
                <w:sz w:val="21"/>
                <w:szCs w:val="21"/>
                <w:highlight w:val="none"/>
              </w:rPr>
              <w:t>3.2.</w:t>
            </w:r>
            <w:r>
              <w:rPr>
                <w:rFonts w:hint="eastAsia"/>
                <w:color w:val="auto"/>
                <w:sz w:val="21"/>
                <w:szCs w:val="21"/>
                <w:highlight w:val="none"/>
              </w:rPr>
              <w:t>3</w:t>
            </w:r>
            <w:r>
              <w:rPr>
                <w:color w:val="auto"/>
                <w:sz w:val="21"/>
                <w:szCs w:val="21"/>
                <w:highlight w:val="none"/>
              </w:rPr>
              <w:t>条款补充细化如下：</w:t>
            </w:r>
          </w:p>
          <w:p>
            <w:pPr>
              <w:spacing w:line="380" w:lineRule="exact"/>
              <w:ind w:firstLine="0" w:firstLineChars="0"/>
              <w:jc w:val="left"/>
              <w:rPr>
                <w:color w:val="auto"/>
                <w:sz w:val="21"/>
                <w:szCs w:val="21"/>
                <w:highlight w:val="none"/>
              </w:rPr>
            </w:pPr>
            <w:r>
              <w:rPr>
                <w:color w:val="auto"/>
                <w:sz w:val="21"/>
                <w:szCs w:val="21"/>
                <w:highlight w:val="none"/>
              </w:rPr>
              <w:t>投标人的商务和技术得分=A+B+D。</w:t>
            </w:r>
          </w:p>
          <w:p>
            <w:pPr>
              <w:spacing w:line="380" w:lineRule="exact"/>
              <w:ind w:firstLine="0" w:firstLineChars="0"/>
              <w:rPr>
                <w:strike/>
                <w:color w:val="auto"/>
                <w:sz w:val="21"/>
                <w:szCs w:val="21"/>
                <w:highlight w:val="none"/>
              </w:rPr>
            </w:pPr>
            <w:r>
              <w:rPr>
                <w:color w:val="auto"/>
                <w:sz w:val="21"/>
                <w:szCs w:val="21"/>
                <w:highlight w:val="none"/>
              </w:rPr>
              <w:t>除评标价、业绩、其他因素得分外，投标文件各评分因素细分项得分均不应低于其权重分的60%，评分低于权重分值60%的，评标委员会成员应当在评标报告中作出说明。计算投标人技术</w:t>
            </w:r>
            <w:r>
              <w:rPr>
                <w:rFonts w:hint="eastAsia"/>
                <w:color w:val="auto"/>
                <w:sz w:val="21"/>
                <w:szCs w:val="21"/>
                <w:highlight w:val="none"/>
              </w:rPr>
              <w:t>组织方案</w:t>
            </w:r>
            <w:r>
              <w:rPr>
                <w:color w:val="auto"/>
                <w:sz w:val="21"/>
                <w:szCs w:val="21"/>
                <w:highlight w:val="none"/>
              </w:rPr>
              <w:t>得应以评标委员会各成员的算术平均值确定，平均值计算四舍五入保留小数点后两位。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widowControl/>
              <w:spacing w:before="240" w:after="240"/>
              <w:ind w:firstLine="0" w:firstLineChars="0"/>
              <w:jc w:val="center"/>
              <w:rPr>
                <w:color w:val="auto"/>
                <w:sz w:val="21"/>
                <w:szCs w:val="21"/>
                <w:highlight w:val="none"/>
              </w:rPr>
            </w:pPr>
            <w:r>
              <w:rPr>
                <w:color w:val="auto"/>
                <w:sz w:val="21"/>
                <w:szCs w:val="21"/>
                <w:highlight w:val="none"/>
              </w:rPr>
              <w:t>3.6.3</w:t>
            </w:r>
          </w:p>
        </w:tc>
        <w:tc>
          <w:tcPr>
            <w:tcW w:w="7658" w:type="dxa"/>
          </w:tcPr>
          <w:p>
            <w:pPr>
              <w:spacing w:line="380" w:lineRule="exact"/>
              <w:ind w:firstLine="0" w:firstLineChars="0"/>
              <w:rPr>
                <w:color w:val="auto"/>
                <w:sz w:val="21"/>
                <w:szCs w:val="21"/>
                <w:highlight w:val="none"/>
              </w:rPr>
            </w:pPr>
            <w:r>
              <w:rPr>
                <w:color w:val="auto"/>
                <w:sz w:val="21"/>
                <w:szCs w:val="21"/>
                <w:highlight w:val="none"/>
              </w:rPr>
              <w:t>增加3.6.3</w:t>
            </w:r>
            <w:r>
              <w:rPr>
                <w:rFonts w:hint="eastAsia"/>
                <w:color w:val="auto"/>
                <w:sz w:val="21"/>
                <w:szCs w:val="21"/>
                <w:highlight w:val="none"/>
              </w:rPr>
              <w:t>、3</w:t>
            </w:r>
            <w:r>
              <w:rPr>
                <w:color w:val="auto"/>
                <w:sz w:val="21"/>
                <w:szCs w:val="21"/>
                <w:highlight w:val="none"/>
              </w:rPr>
              <w:t>.6.4项：</w:t>
            </w:r>
          </w:p>
          <w:p>
            <w:pPr>
              <w:spacing w:line="380" w:lineRule="exact"/>
              <w:ind w:firstLine="0" w:firstLineChars="0"/>
              <w:rPr>
                <w:color w:val="auto"/>
                <w:sz w:val="21"/>
                <w:szCs w:val="21"/>
                <w:highlight w:val="none"/>
              </w:rPr>
            </w:pPr>
            <w:r>
              <w:rPr>
                <w:color w:val="auto"/>
                <w:sz w:val="21"/>
                <w:szCs w:val="21"/>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p>
            <w:pPr>
              <w:spacing w:line="380" w:lineRule="exact"/>
              <w:ind w:firstLine="0" w:firstLineChars="0"/>
              <w:rPr>
                <w:color w:val="auto"/>
                <w:sz w:val="21"/>
                <w:szCs w:val="21"/>
                <w:highlight w:val="none"/>
              </w:rPr>
            </w:pPr>
            <w:r>
              <w:rPr>
                <w:rFonts w:hint="eastAsia"/>
                <w:color w:val="auto"/>
                <w:sz w:val="21"/>
                <w:szCs w:val="21"/>
                <w:highlight w:val="none"/>
              </w:rPr>
              <w:t>3.</w:t>
            </w:r>
            <w:r>
              <w:rPr>
                <w:color w:val="auto"/>
                <w:sz w:val="21"/>
                <w:szCs w:val="21"/>
                <w:highlight w:val="none"/>
              </w:rPr>
              <w:t>6.4</w:t>
            </w:r>
            <w:r>
              <w:rPr>
                <w:rFonts w:hint="eastAsia"/>
                <w:color w:val="auto"/>
                <w:sz w:val="21"/>
                <w:szCs w:val="21"/>
                <w:highlight w:val="none"/>
              </w:rPr>
              <w:t>否决投标条款：</w:t>
            </w:r>
          </w:p>
          <w:p>
            <w:pPr>
              <w:spacing w:line="380" w:lineRule="exact"/>
              <w:ind w:firstLine="0" w:firstLineChars="0"/>
              <w:rPr>
                <w:color w:val="auto"/>
                <w:sz w:val="21"/>
                <w:szCs w:val="21"/>
                <w:highlight w:val="none"/>
              </w:rPr>
            </w:pPr>
            <w:r>
              <w:rPr>
                <w:color w:val="auto"/>
                <w:sz w:val="21"/>
                <w:szCs w:val="21"/>
                <w:highlight w:val="none"/>
              </w:rPr>
              <w:t>1</w:t>
            </w:r>
            <w:r>
              <w:rPr>
                <w:rFonts w:hint="eastAsia"/>
                <w:color w:val="auto"/>
                <w:sz w:val="21"/>
                <w:szCs w:val="21"/>
                <w:highlight w:val="none"/>
              </w:rPr>
              <w:t>、单位负责人为同一人、或者存在控股、管理关系的不同单位参加同一标段投标的，按否决其投标处理；</w:t>
            </w:r>
          </w:p>
          <w:p>
            <w:pPr>
              <w:spacing w:line="380" w:lineRule="exact"/>
              <w:ind w:firstLine="0" w:firstLineChars="0"/>
              <w:rPr>
                <w:color w:val="auto"/>
                <w:sz w:val="21"/>
                <w:szCs w:val="21"/>
                <w:highlight w:val="none"/>
              </w:rPr>
            </w:pPr>
            <w:r>
              <w:rPr>
                <w:color w:val="auto"/>
                <w:sz w:val="21"/>
                <w:szCs w:val="21"/>
                <w:highlight w:val="none"/>
              </w:rPr>
              <w:t>2</w:t>
            </w:r>
            <w:r>
              <w:rPr>
                <w:rFonts w:hint="eastAsia"/>
                <w:color w:val="auto"/>
                <w:sz w:val="21"/>
                <w:szCs w:val="21"/>
                <w:highlight w:val="none"/>
              </w:rPr>
              <w:t>、依据评标办法</w:t>
            </w:r>
            <w:r>
              <w:rPr>
                <w:color w:val="auto"/>
                <w:sz w:val="21"/>
                <w:szCs w:val="21"/>
                <w:highlight w:val="none"/>
              </w:rPr>
              <w:t>2.1.1</w:t>
            </w:r>
            <w:r>
              <w:rPr>
                <w:rFonts w:hint="eastAsia"/>
                <w:color w:val="auto"/>
                <w:sz w:val="21"/>
                <w:szCs w:val="21"/>
                <w:highlight w:val="none"/>
              </w:rPr>
              <w:t>、</w:t>
            </w:r>
            <w:r>
              <w:rPr>
                <w:color w:val="auto"/>
                <w:sz w:val="21"/>
                <w:szCs w:val="21"/>
                <w:highlight w:val="none"/>
              </w:rPr>
              <w:t>2.1.2</w:t>
            </w:r>
            <w:r>
              <w:rPr>
                <w:rFonts w:hint="eastAsia"/>
                <w:color w:val="auto"/>
                <w:sz w:val="21"/>
                <w:szCs w:val="21"/>
                <w:highlight w:val="none"/>
              </w:rPr>
              <w:t>、</w:t>
            </w:r>
            <w:r>
              <w:rPr>
                <w:color w:val="auto"/>
                <w:sz w:val="21"/>
                <w:szCs w:val="21"/>
                <w:highlight w:val="none"/>
              </w:rPr>
              <w:t xml:space="preserve">2.1.3 </w:t>
            </w:r>
            <w:r>
              <w:rPr>
                <w:rFonts w:hint="eastAsia"/>
                <w:color w:val="auto"/>
                <w:sz w:val="21"/>
                <w:szCs w:val="21"/>
                <w:highlight w:val="none"/>
              </w:rPr>
              <w:t>规定的评审标准进行评审，有一项不符合评审标准的，将否决其投标；</w:t>
            </w:r>
          </w:p>
          <w:p>
            <w:pPr>
              <w:spacing w:line="380" w:lineRule="exact"/>
              <w:ind w:firstLine="0" w:firstLineChars="0"/>
              <w:rPr>
                <w:color w:val="auto"/>
                <w:sz w:val="21"/>
                <w:szCs w:val="21"/>
                <w:highlight w:val="none"/>
              </w:rPr>
            </w:pPr>
            <w:r>
              <w:rPr>
                <w:color w:val="auto"/>
                <w:sz w:val="21"/>
                <w:szCs w:val="21"/>
                <w:highlight w:val="none"/>
              </w:rPr>
              <w:t>3</w:t>
            </w:r>
            <w:r>
              <w:rPr>
                <w:rFonts w:hint="eastAsia"/>
                <w:color w:val="auto"/>
                <w:sz w:val="21"/>
                <w:szCs w:val="21"/>
                <w:highlight w:val="none"/>
              </w:rPr>
              <w:t>、经评标委员会评审，认定投标人与投标人之间、投标人与招标人之间存在法律、法规及本招标文件规定的串通投标情形的，将否决其投标。</w:t>
            </w:r>
          </w:p>
          <w:p>
            <w:pPr>
              <w:spacing w:line="380" w:lineRule="exact"/>
              <w:ind w:firstLine="0" w:firstLineChars="0"/>
              <w:rPr>
                <w:color w:val="auto"/>
                <w:sz w:val="21"/>
                <w:szCs w:val="21"/>
                <w:highlight w:val="none"/>
              </w:rPr>
            </w:pPr>
            <w:r>
              <w:rPr>
                <w:color w:val="auto"/>
                <w:sz w:val="21"/>
                <w:szCs w:val="21"/>
                <w:highlight w:val="none"/>
              </w:rPr>
              <w:t>4</w:t>
            </w:r>
            <w:r>
              <w:rPr>
                <w:rFonts w:hint="eastAsia"/>
                <w:color w:val="auto"/>
                <w:sz w:val="21"/>
                <w:szCs w:val="21"/>
                <w:highlight w:val="none"/>
              </w:rPr>
              <w:t>、如果推荐的中标候选人因公示被投诉并查证属实存在造假行为的，按否决其投标处理；</w:t>
            </w:r>
          </w:p>
          <w:p>
            <w:pPr>
              <w:spacing w:line="380" w:lineRule="exact"/>
              <w:ind w:firstLine="0" w:firstLineChars="0"/>
              <w:rPr>
                <w:color w:val="auto"/>
                <w:sz w:val="21"/>
                <w:szCs w:val="21"/>
                <w:highlight w:val="none"/>
              </w:rPr>
            </w:pPr>
            <w:r>
              <w:rPr>
                <w:color w:val="auto"/>
                <w:sz w:val="21"/>
                <w:szCs w:val="21"/>
                <w:highlight w:val="none"/>
              </w:rPr>
              <w:t>5</w:t>
            </w:r>
            <w:r>
              <w:rPr>
                <w:rFonts w:hint="eastAsia"/>
                <w:color w:val="auto"/>
                <w:sz w:val="21"/>
                <w:szCs w:val="21"/>
                <w:highlight w:val="none"/>
              </w:rPr>
              <w:t>、如果开标后至中标通知书发出前，中标候选人发生失信行为被省交通运输厅（包括转发交通运输部）通报批评而取消投标资格，则取消其中标资格，按否决其投标处理；</w:t>
            </w:r>
          </w:p>
          <w:p>
            <w:pPr>
              <w:spacing w:line="380" w:lineRule="exact"/>
              <w:ind w:firstLine="0" w:firstLineChars="0"/>
              <w:rPr>
                <w:color w:val="auto"/>
                <w:sz w:val="21"/>
                <w:szCs w:val="21"/>
                <w:highlight w:val="none"/>
              </w:rPr>
            </w:pPr>
            <w:r>
              <w:rPr>
                <w:color w:val="auto"/>
                <w:sz w:val="21"/>
                <w:szCs w:val="21"/>
                <w:highlight w:val="none"/>
              </w:rPr>
              <w:t>6</w:t>
            </w:r>
            <w:r>
              <w:rPr>
                <w:rFonts w:hint="eastAsia"/>
                <w:color w:val="auto"/>
                <w:sz w:val="21"/>
                <w:szCs w:val="21"/>
                <w:highlight w:val="none"/>
              </w:rPr>
              <w:t>、法律、法规及招标文件等规定的其它否决投标的情形。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5" w:hRule="atLeast"/>
        </w:trPr>
        <w:tc>
          <w:tcPr>
            <w:tcW w:w="1446" w:type="dxa"/>
            <w:vAlign w:val="center"/>
          </w:tcPr>
          <w:p>
            <w:pPr>
              <w:widowControl/>
              <w:spacing w:before="240" w:after="240"/>
              <w:ind w:firstLine="0" w:firstLineChars="0"/>
              <w:jc w:val="center"/>
              <w:rPr>
                <w:color w:val="auto"/>
                <w:sz w:val="21"/>
                <w:szCs w:val="21"/>
                <w:highlight w:val="none"/>
              </w:rPr>
            </w:pPr>
            <w:r>
              <w:rPr>
                <w:color w:val="auto"/>
                <w:sz w:val="21"/>
                <w:szCs w:val="21"/>
                <w:highlight w:val="none"/>
              </w:rPr>
              <w:t>3.9</w:t>
            </w:r>
          </w:p>
        </w:tc>
        <w:tc>
          <w:tcPr>
            <w:tcW w:w="7658" w:type="dxa"/>
          </w:tcPr>
          <w:p>
            <w:pPr>
              <w:spacing w:line="380" w:lineRule="exact"/>
              <w:ind w:firstLine="0" w:firstLineChars="0"/>
              <w:jc w:val="left"/>
              <w:rPr>
                <w:color w:val="auto"/>
                <w:sz w:val="21"/>
                <w:szCs w:val="21"/>
                <w:highlight w:val="none"/>
              </w:rPr>
            </w:pPr>
            <w:r>
              <w:rPr>
                <w:rFonts w:hint="eastAsia"/>
                <w:color w:val="auto"/>
                <w:sz w:val="21"/>
                <w:szCs w:val="21"/>
                <w:highlight w:val="none"/>
              </w:rPr>
              <w:t>增加3.9.3、3.9.4、3.9.5项：</w:t>
            </w:r>
          </w:p>
          <w:p>
            <w:pPr>
              <w:spacing w:line="380" w:lineRule="exact"/>
              <w:ind w:firstLine="0" w:firstLineChars="0"/>
              <w:jc w:val="left"/>
              <w:rPr>
                <w:color w:val="auto"/>
                <w:sz w:val="21"/>
                <w:szCs w:val="21"/>
                <w:highlight w:val="none"/>
              </w:rPr>
            </w:pPr>
            <w:r>
              <w:rPr>
                <w:rFonts w:hint="eastAsia"/>
                <w:color w:val="auto"/>
                <w:sz w:val="21"/>
                <w:szCs w:val="21"/>
                <w:highlight w:val="none"/>
              </w:rPr>
              <w:t>3.9.3 通过第一信封商务及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spacing w:line="380" w:lineRule="exact"/>
              <w:ind w:firstLine="0" w:firstLineChars="0"/>
              <w:jc w:val="left"/>
              <w:rPr>
                <w:color w:val="auto"/>
                <w:sz w:val="21"/>
                <w:szCs w:val="21"/>
                <w:highlight w:val="none"/>
              </w:rPr>
            </w:pPr>
            <w:r>
              <w:rPr>
                <w:rFonts w:hint="eastAsia"/>
                <w:color w:val="auto"/>
                <w:sz w:val="21"/>
                <w:szCs w:val="21"/>
                <w:highlight w:val="none"/>
              </w:rPr>
              <w:t>3.9.4 通过第一信封商务及技术文件评审的投标人在3 个及以上的，招标人应当按照招标文件规定的程序进行第二信封报价文件开标；在对报价文件进行评审后，有效投标不足3 个的，评标委员会可以否决全部投标。未否决全部投标的，评标委员会应当在评标报告中阐明理由并推荐中标候选人。</w:t>
            </w:r>
          </w:p>
          <w:p>
            <w:pPr>
              <w:spacing w:line="380" w:lineRule="exact"/>
              <w:ind w:firstLine="0" w:firstLineChars="0"/>
              <w:jc w:val="left"/>
              <w:rPr>
                <w:color w:val="auto"/>
                <w:sz w:val="21"/>
                <w:szCs w:val="21"/>
                <w:highlight w:val="none"/>
              </w:rPr>
            </w:pPr>
            <w:r>
              <w:rPr>
                <w:rFonts w:hint="eastAsia"/>
                <w:color w:val="auto"/>
                <w:sz w:val="21"/>
                <w:szCs w:val="21"/>
                <w:highlight w:val="none"/>
              </w:rPr>
              <w:t>3.9.5如果发生无法确定推荐中标候选人的其它意外情况，评标委员会可建议招标人重新招标。</w:t>
            </w:r>
          </w:p>
        </w:tc>
      </w:tr>
    </w:tbl>
    <w:p>
      <w:pPr>
        <w:pStyle w:val="2"/>
        <w:ind w:left="0" w:firstLine="0" w:firstLineChars="0"/>
        <w:rPr>
          <w:color w:val="auto"/>
          <w:highlight w:val="none"/>
        </w:rPr>
      </w:pPr>
    </w:p>
    <w:p>
      <w:pPr>
        <w:pStyle w:val="2"/>
        <w:ind w:left="0" w:firstLine="0" w:firstLineChars="0"/>
        <w:rPr>
          <w:color w:val="auto"/>
          <w:highlight w:val="none"/>
        </w:rPr>
      </w:pPr>
      <w:r>
        <w:rPr>
          <w:color w:val="auto"/>
          <w:highlight w:val="none"/>
        </w:rPr>
        <w:br w:type="page"/>
      </w:r>
    </w:p>
    <w:p>
      <w:pPr>
        <w:pStyle w:val="2"/>
        <w:numPr>
          <w:ilvl w:val="0"/>
          <w:numId w:val="1"/>
        </w:numPr>
        <w:spacing w:before="240" w:beforeLines="100" w:after="240" w:afterLines="100"/>
        <w:ind w:left="0" w:firstLine="0" w:firstLineChars="0"/>
        <w:rPr>
          <w:rFonts w:ascii="宋体" w:hAnsi="宋体" w:cs="宋体"/>
          <w:b/>
          <w:bCs/>
          <w:color w:val="auto"/>
          <w:szCs w:val="24"/>
          <w:highlight w:val="none"/>
        </w:rPr>
      </w:pPr>
      <w:r>
        <w:rPr>
          <w:rFonts w:ascii="宋体" w:hAnsi="宋体" w:cs="宋体"/>
          <w:b/>
          <w:bCs/>
          <w:color w:val="auto"/>
          <w:szCs w:val="24"/>
          <w:highlight w:val="none"/>
        </w:rPr>
        <w:t xml:space="preserve">评标方法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本次评标采用综合评分法。评标委员会对满足招标文件实质性要求的投标文件， 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 </w:t>
      </w:r>
    </w:p>
    <w:p>
      <w:pPr>
        <w:pStyle w:val="2"/>
        <w:numPr>
          <w:ilvl w:val="0"/>
          <w:numId w:val="1"/>
        </w:numPr>
        <w:spacing w:before="240" w:beforeLines="100" w:after="240" w:afterLines="100"/>
        <w:ind w:left="0" w:firstLine="0" w:firstLineChars="0"/>
        <w:rPr>
          <w:rFonts w:ascii="宋体" w:hAnsi="宋体" w:cs="宋体"/>
          <w:b/>
          <w:bCs/>
          <w:color w:val="auto"/>
          <w:szCs w:val="24"/>
          <w:highlight w:val="none"/>
        </w:rPr>
      </w:pPr>
      <w:r>
        <w:rPr>
          <w:rFonts w:ascii="宋体" w:hAnsi="宋体" w:cs="宋体"/>
          <w:b/>
          <w:bCs/>
          <w:color w:val="auto"/>
          <w:szCs w:val="24"/>
          <w:highlight w:val="none"/>
        </w:rPr>
        <w:t xml:space="preserve">评审标准 </w:t>
      </w:r>
    </w:p>
    <w:p>
      <w:pPr>
        <w:pStyle w:val="2"/>
        <w:numPr>
          <w:ilvl w:val="1"/>
          <w:numId w:val="1"/>
        </w:numPr>
        <w:ind w:firstLine="482"/>
        <w:rPr>
          <w:rFonts w:ascii="宋体" w:hAnsi="宋体" w:cs="宋体"/>
          <w:b/>
          <w:bCs/>
          <w:color w:val="auto"/>
          <w:szCs w:val="24"/>
          <w:highlight w:val="none"/>
        </w:rPr>
      </w:pPr>
      <w:r>
        <w:rPr>
          <w:rFonts w:ascii="宋体" w:hAnsi="宋体" w:cs="宋体"/>
          <w:b/>
          <w:bCs/>
          <w:color w:val="auto"/>
          <w:szCs w:val="24"/>
          <w:highlight w:val="none"/>
        </w:rPr>
        <w:t xml:space="preserve">初步评审标准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2.1.1 </w:t>
      </w:r>
      <w:r>
        <w:rPr>
          <w:rFonts w:hint="eastAsia" w:ascii="宋体" w:hAnsi="宋体" w:cs="宋体"/>
          <w:color w:val="auto"/>
          <w:highlight w:val="none"/>
        </w:rPr>
        <w:t>形式评审标准：见评标办法前附表。</w:t>
      </w:r>
    </w:p>
    <w:p>
      <w:pPr>
        <w:pStyle w:val="2"/>
        <w:ind w:left="0" w:firstLine="480"/>
        <w:rPr>
          <w:rFonts w:ascii="宋体" w:hAnsi="宋体" w:cs="宋体"/>
          <w:color w:val="auto"/>
          <w:szCs w:val="24"/>
          <w:highlight w:val="none"/>
        </w:rPr>
      </w:pPr>
      <w:r>
        <w:rPr>
          <w:rFonts w:ascii="宋体" w:hAnsi="宋体" w:cs="宋体"/>
          <w:color w:val="auto"/>
          <w:szCs w:val="24"/>
          <w:highlight w:val="none"/>
        </w:rPr>
        <w:t>2.1.2 资格评审标准：</w:t>
      </w:r>
      <w:r>
        <w:rPr>
          <w:rFonts w:hint="eastAsia" w:ascii="宋体" w:hAnsi="宋体" w:cs="宋体"/>
          <w:color w:val="auto"/>
          <w:highlight w:val="none"/>
        </w:rPr>
        <w:t>见评标办法前附表。</w:t>
      </w:r>
      <w:r>
        <w:rPr>
          <w:rFonts w:ascii="宋体" w:hAnsi="宋体" w:cs="宋体"/>
          <w:color w:val="auto"/>
          <w:szCs w:val="24"/>
          <w:highlight w:val="none"/>
        </w:rPr>
        <w:t xml:space="preserve">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2.1.3 </w:t>
      </w:r>
      <w:r>
        <w:rPr>
          <w:rFonts w:hint="eastAsia" w:ascii="宋体" w:hAnsi="宋体" w:cs="宋体"/>
          <w:color w:val="auto"/>
          <w:highlight w:val="none"/>
        </w:rPr>
        <w:t>响应性评审标准：见评标办法前附表。</w:t>
      </w:r>
    </w:p>
    <w:p>
      <w:pPr>
        <w:pStyle w:val="2"/>
        <w:numPr>
          <w:ilvl w:val="1"/>
          <w:numId w:val="1"/>
        </w:numPr>
        <w:ind w:firstLine="482"/>
        <w:rPr>
          <w:rFonts w:ascii="宋体" w:hAnsi="宋体" w:cs="宋体"/>
          <w:b/>
          <w:bCs/>
          <w:color w:val="auto"/>
          <w:szCs w:val="24"/>
          <w:highlight w:val="none"/>
        </w:rPr>
      </w:pPr>
      <w:r>
        <w:rPr>
          <w:rFonts w:ascii="宋体" w:hAnsi="宋体" w:cs="宋体"/>
          <w:b/>
          <w:bCs/>
          <w:color w:val="auto"/>
          <w:szCs w:val="24"/>
          <w:highlight w:val="none"/>
        </w:rPr>
        <w:t xml:space="preserve">分值构成与评分标准 </w:t>
      </w:r>
    </w:p>
    <w:p>
      <w:pPr>
        <w:pStyle w:val="2"/>
        <w:numPr>
          <w:ilvl w:val="2"/>
          <w:numId w:val="1"/>
        </w:numPr>
        <w:ind w:firstLine="480"/>
        <w:rPr>
          <w:rFonts w:ascii="宋体" w:hAnsi="宋体" w:cs="宋体"/>
          <w:color w:val="auto"/>
          <w:szCs w:val="24"/>
          <w:highlight w:val="none"/>
        </w:rPr>
      </w:pPr>
      <w:r>
        <w:rPr>
          <w:rFonts w:ascii="宋体" w:hAnsi="宋体" w:cs="宋体"/>
          <w:color w:val="auto"/>
          <w:szCs w:val="24"/>
          <w:highlight w:val="none"/>
        </w:rPr>
        <w:t xml:space="preserve">分值构成 </w:t>
      </w:r>
    </w:p>
    <w:p>
      <w:pPr>
        <w:pStyle w:val="2"/>
        <w:ind w:left="0" w:firstLine="480"/>
        <w:rPr>
          <w:rFonts w:ascii="宋体" w:hAnsi="宋体" w:cs="宋体"/>
          <w:color w:val="auto"/>
          <w:szCs w:val="24"/>
          <w:highlight w:val="none"/>
        </w:rPr>
      </w:pPr>
      <w:r>
        <w:rPr>
          <w:rFonts w:ascii="宋体" w:hAnsi="宋体" w:cs="宋体"/>
          <w:color w:val="auto"/>
          <w:szCs w:val="24"/>
          <w:highlight w:val="none"/>
        </w:rPr>
        <w:t>（1）</w:t>
      </w:r>
      <w:r>
        <w:rPr>
          <w:rFonts w:hint="eastAsia" w:ascii="宋体" w:hAnsi="宋体" w:cs="宋体"/>
          <w:color w:val="auto"/>
          <w:szCs w:val="24"/>
          <w:highlight w:val="none"/>
        </w:rPr>
        <w:t>技术组织方案部分</w:t>
      </w:r>
      <w:r>
        <w:rPr>
          <w:rFonts w:ascii="宋体" w:hAnsi="宋体" w:cs="宋体"/>
          <w:color w:val="auto"/>
          <w:szCs w:val="24"/>
          <w:highlight w:val="none"/>
        </w:rPr>
        <w:t xml:space="preserve">：见评标办法前附表； </w:t>
      </w:r>
    </w:p>
    <w:p>
      <w:pPr>
        <w:pStyle w:val="2"/>
        <w:ind w:left="0" w:firstLine="480"/>
        <w:rPr>
          <w:rFonts w:ascii="宋体" w:hAnsi="宋体" w:cs="宋体"/>
          <w:color w:val="auto"/>
          <w:szCs w:val="24"/>
          <w:highlight w:val="none"/>
        </w:rPr>
      </w:pPr>
      <w:r>
        <w:rPr>
          <w:rFonts w:ascii="宋体" w:hAnsi="宋体" w:cs="宋体"/>
          <w:color w:val="auto"/>
          <w:szCs w:val="24"/>
          <w:highlight w:val="none"/>
        </w:rPr>
        <w:t>（2）</w:t>
      </w:r>
      <w:r>
        <w:rPr>
          <w:rFonts w:hint="eastAsia" w:ascii="宋体" w:hAnsi="宋体" w:cs="宋体"/>
          <w:color w:val="auto"/>
          <w:szCs w:val="24"/>
          <w:highlight w:val="none"/>
        </w:rPr>
        <w:t>业绩部分</w:t>
      </w:r>
      <w:r>
        <w:rPr>
          <w:rFonts w:ascii="宋体" w:hAnsi="宋体" w:cs="宋体"/>
          <w:color w:val="auto"/>
          <w:szCs w:val="24"/>
          <w:highlight w:val="none"/>
        </w:rPr>
        <w:t xml:space="preserve">：见评标办法前附表； </w:t>
      </w:r>
    </w:p>
    <w:p>
      <w:pPr>
        <w:pStyle w:val="2"/>
        <w:ind w:left="0" w:firstLine="480"/>
        <w:rPr>
          <w:rFonts w:ascii="宋体" w:hAnsi="宋体" w:cs="宋体"/>
          <w:color w:val="auto"/>
          <w:szCs w:val="24"/>
          <w:highlight w:val="none"/>
        </w:rPr>
      </w:pPr>
      <w:r>
        <w:rPr>
          <w:rFonts w:ascii="宋体" w:hAnsi="宋体" w:cs="宋体"/>
          <w:color w:val="auto"/>
          <w:szCs w:val="24"/>
          <w:highlight w:val="none"/>
        </w:rPr>
        <w:t>（3）</w:t>
      </w:r>
      <w:r>
        <w:rPr>
          <w:rFonts w:hint="eastAsia" w:ascii="宋体" w:hAnsi="宋体" w:cs="宋体"/>
          <w:color w:val="auto"/>
          <w:szCs w:val="24"/>
          <w:highlight w:val="none"/>
        </w:rPr>
        <w:t>投</w:t>
      </w:r>
      <w:r>
        <w:rPr>
          <w:rFonts w:ascii="宋体" w:hAnsi="宋体" w:cs="宋体"/>
          <w:color w:val="auto"/>
          <w:szCs w:val="24"/>
          <w:highlight w:val="none"/>
        </w:rPr>
        <w:t>标</w:t>
      </w:r>
      <w:r>
        <w:rPr>
          <w:rFonts w:hint="eastAsia" w:ascii="宋体" w:hAnsi="宋体" w:cs="宋体"/>
          <w:color w:val="auto"/>
          <w:szCs w:val="24"/>
          <w:highlight w:val="none"/>
        </w:rPr>
        <w:t>报</w:t>
      </w:r>
      <w:r>
        <w:rPr>
          <w:rFonts w:ascii="宋体" w:hAnsi="宋体" w:cs="宋体"/>
          <w:color w:val="auto"/>
          <w:szCs w:val="24"/>
          <w:highlight w:val="none"/>
        </w:rPr>
        <w:t xml:space="preserve">价：见评标办法前附表；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（4）其他评分因素：见评标办法前附表。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2.2.2 评标基准价计算 </w:t>
      </w:r>
    </w:p>
    <w:p>
      <w:pPr>
        <w:pStyle w:val="2"/>
        <w:ind w:left="0" w:firstLine="480"/>
        <w:rPr>
          <w:rFonts w:ascii="宋体" w:hAnsi="宋体" w:cs="宋体"/>
          <w:color w:val="auto"/>
          <w:szCs w:val="24"/>
          <w:highlight w:val="none"/>
        </w:rPr>
      </w:pPr>
      <w:r>
        <w:rPr>
          <w:rFonts w:hint="eastAsia" w:ascii="宋体" w:hAnsi="宋体" w:cs="宋体"/>
          <w:color w:val="auto"/>
          <w:szCs w:val="24"/>
          <w:highlight w:val="none"/>
        </w:rPr>
        <w:t>评标基准价计算方法：见</w:t>
      </w:r>
      <w:r>
        <w:rPr>
          <w:rFonts w:ascii="宋体" w:hAnsi="宋体" w:cs="宋体"/>
          <w:color w:val="auto"/>
          <w:szCs w:val="24"/>
          <w:highlight w:val="none"/>
        </w:rPr>
        <w:t>评标办法前附表。</w:t>
      </w:r>
    </w:p>
    <w:p>
      <w:pPr>
        <w:pStyle w:val="2"/>
        <w:numPr>
          <w:ilvl w:val="2"/>
          <w:numId w:val="1"/>
        </w:numPr>
        <w:ind w:firstLine="480"/>
        <w:rPr>
          <w:rFonts w:ascii="宋体" w:hAnsi="宋体" w:cs="宋体"/>
          <w:color w:val="auto"/>
          <w:szCs w:val="24"/>
          <w:highlight w:val="none"/>
        </w:rPr>
      </w:pPr>
      <w:r>
        <w:rPr>
          <w:rFonts w:ascii="宋体" w:hAnsi="宋体" w:cs="宋体"/>
          <w:color w:val="auto"/>
          <w:szCs w:val="24"/>
          <w:highlight w:val="none"/>
        </w:rPr>
        <w:t xml:space="preserve">评标价的偏差率计算 </w:t>
      </w:r>
    </w:p>
    <w:p>
      <w:pPr>
        <w:pStyle w:val="2"/>
        <w:ind w:left="480" w:leftChars="200" w:firstLine="0" w:firstLineChars="0"/>
        <w:rPr>
          <w:rFonts w:ascii="宋体" w:hAnsi="宋体" w:cs="宋体"/>
          <w:color w:val="auto"/>
          <w:szCs w:val="24"/>
          <w:highlight w:val="none"/>
        </w:rPr>
      </w:pPr>
      <w:r>
        <w:rPr>
          <w:rFonts w:ascii="宋体" w:hAnsi="宋体" w:cs="宋体"/>
          <w:color w:val="auto"/>
          <w:szCs w:val="24"/>
          <w:highlight w:val="none"/>
        </w:rPr>
        <w:t xml:space="preserve">评标价的偏差率计算公式：见评标办法前附表。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2.2.4 评分标准 </w:t>
      </w:r>
    </w:p>
    <w:p>
      <w:pPr>
        <w:pStyle w:val="2"/>
        <w:ind w:left="0" w:firstLine="480"/>
        <w:rPr>
          <w:rFonts w:ascii="宋体" w:hAnsi="宋体" w:cs="宋体"/>
          <w:color w:val="auto"/>
          <w:szCs w:val="24"/>
          <w:highlight w:val="none"/>
        </w:rPr>
      </w:pPr>
      <w:r>
        <w:rPr>
          <w:rFonts w:ascii="宋体" w:hAnsi="宋体" w:cs="宋体"/>
          <w:color w:val="auto"/>
          <w:szCs w:val="24"/>
          <w:highlight w:val="none"/>
        </w:rPr>
        <w:t>（1）</w:t>
      </w:r>
      <w:r>
        <w:rPr>
          <w:rFonts w:hint="eastAsia" w:ascii="宋体" w:hAnsi="宋体" w:cs="宋体"/>
          <w:color w:val="auto"/>
          <w:szCs w:val="24"/>
          <w:highlight w:val="none"/>
        </w:rPr>
        <w:t>技术组织方案</w:t>
      </w:r>
      <w:r>
        <w:rPr>
          <w:rFonts w:ascii="宋体" w:hAnsi="宋体" w:cs="宋体"/>
          <w:color w:val="auto"/>
          <w:szCs w:val="24"/>
          <w:highlight w:val="none"/>
        </w:rPr>
        <w:t xml:space="preserve">标准：见评标办法前附表； </w:t>
      </w:r>
    </w:p>
    <w:p>
      <w:pPr>
        <w:pStyle w:val="2"/>
        <w:ind w:left="0" w:firstLine="480"/>
        <w:rPr>
          <w:rFonts w:ascii="宋体" w:hAnsi="宋体" w:cs="宋体"/>
          <w:color w:val="auto"/>
          <w:szCs w:val="24"/>
          <w:highlight w:val="none"/>
        </w:rPr>
      </w:pPr>
      <w:r>
        <w:rPr>
          <w:rFonts w:ascii="宋体" w:hAnsi="宋体" w:cs="宋体"/>
          <w:color w:val="auto"/>
          <w:szCs w:val="24"/>
          <w:highlight w:val="none"/>
        </w:rPr>
        <w:t>（2）</w:t>
      </w:r>
      <w:r>
        <w:rPr>
          <w:rFonts w:hint="eastAsia" w:ascii="宋体" w:hAnsi="宋体" w:cs="宋体"/>
          <w:color w:val="auto"/>
          <w:szCs w:val="24"/>
          <w:highlight w:val="none"/>
        </w:rPr>
        <w:t>业绩</w:t>
      </w:r>
      <w:r>
        <w:rPr>
          <w:rFonts w:ascii="宋体" w:hAnsi="宋体" w:cs="宋体"/>
          <w:color w:val="auto"/>
          <w:szCs w:val="24"/>
          <w:highlight w:val="none"/>
        </w:rPr>
        <w:t xml:space="preserve">评分标准：见评标办法前附表； </w:t>
      </w:r>
    </w:p>
    <w:p>
      <w:pPr>
        <w:pStyle w:val="2"/>
        <w:ind w:left="0" w:firstLine="480"/>
        <w:rPr>
          <w:rFonts w:ascii="宋体" w:hAnsi="宋体" w:cs="宋体"/>
          <w:color w:val="auto"/>
          <w:szCs w:val="24"/>
          <w:highlight w:val="none"/>
        </w:rPr>
      </w:pPr>
      <w:r>
        <w:rPr>
          <w:rFonts w:ascii="宋体" w:hAnsi="宋体" w:cs="宋体"/>
          <w:color w:val="auto"/>
          <w:szCs w:val="24"/>
          <w:highlight w:val="none"/>
        </w:rPr>
        <w:t>（3）</w:t>
      </w:r>
      <w:r>
        <w:rPr>
          <w:rFonts w:hint="eastAsia" w:ascii="宋体" w:hAnsi="宋体" w:cs="宋体"/>
          <w:color w:val="auto"/>
          <w:szCs w:val="24"/>
          <w:highlight w:val="none"/>
        </w:rPr>
        <w:t>投</w:t>
      </w:r>
      <w:r>
        <w:rPr>
          <w:rFonts w:ascii="宋体" w:hAnsi="宋体" w:cs="宋体"/>
          <w:color w:val="auto"/>
          <w:szCs w:val="24"/>
          <w:highlight w:val="none"/>
        </w:rPr>
        <w:t>标</w:t>
      </w:r>
      <w:r>
        <w:rPr>
          <w:rFonts w:hint="eastAsia" w:ascii="宋体" w:hAnsi="宋体" w:cs="宋体"/>
          <w:color w:val="auto"/>
          <w:szCs w:val="24"/>
          <w:highlight w:val="none"/>
        </w:rPr>
        <w:t>报</w:t>
      </w:r>
      <w:r>
        <w:rPr>
          <w:rFonts w:ascii="宋体" w:hAnsi="宋体" w:cs="宋体"/>
          <w:color w:val="auto"/>
          <w:szCs w:val="24"/>
          <w:highlight w:val="none"/>
        </w:rPr>
        <w:t xml:space="preserve">价评分标准：见评标办法前附表； </w:t>
      </w:r>
    </w:p>
    <w:p>
      <w:pPr>
        <w:pStyle w:val="2"/>
        <w:ind w:left="0" w:firstLine="480"/>
        <w:rPr>
          <w:rFonts w:ascii="宋体" w:hAnsi="宋体" w:cs="宋体"/>
          <w:color w:val="auto"/>
          <w:szCs w:val="24"/>
          <w:highlight w:val="none"/>
        </w:rPr>
      </w:pPr>
      <w:r>
        <w:rPr>
          <w:rFonts w:ascii="宋体" w:hAnsi="宋体" w:cs="宋体"/>
          <w:color w:val="auto"/>
          <w:szCs w:val="24"/>
          <w:highlight w:val="none"/>
        </w:rPr>
        <w:t>（4）其他因素评分标准：见评标办法前附表</w:t>
      </w:r>
      <w:r>
        <w:rPr>
          <w:rFonts w:hint="eastAsia" w:ascii="宋体" w:hAnsi="宋体" w:cs="宋体"/>
          <w:color w:val="auto"/>
          <w:szCs w:val="24"/>
          <w:highlight w:val="none"/>
        </w:rPr>
        <w:t>。</w:t>
      </w:r>
    </w:p>
    <w:p>
      <w:pPr>
        <w:pStyle w:val="2"/>
        <w:spacing w:before="240" w:beforeLines="100" w:after="240" w:afterLines="100"/>
        <w:ind w:left="0" w:firstLine="0" w:firstLineChars="0"/>
        <w:rPr>
          <w:rFonts w:ascii="宋体" w:hAnsi="宋体" w:cs="宋体"/>
          <w:b/>
          <w:bCs/>
          <w:color w:val="auto"/>
          <w:szCs w:val="24"/>
          <w:highlight w:val="none"/>
        </w:rPr>
      </w:pPr>
      <w:r>
        <w:rPr>
          <w:rFonts w:ascii="宋体" w:hAnsi="宋体" w:cs="宋体"/>
          <w:b/>
          <w:bCs/>
          <w:color w:val="auto"/>
          <w:szCs w:val="24"/>
          <w:highlight w:val="none"/>
        </w:rPr>
        <w:t xml:space="preserve">3. 评标程序 </w:t>
      </w:r>
    </w:p>
    <w:p>
      <w:pPr>
        <w:pStyle w:val="2"/>
        <w:ind w:left="0" w:firstLine="482"/>
        <w:rPr>
          <w:rFonts w:ascii="宋体" w:hAnsi="宋体" w:cs="宋体"/>
          <w:b/>
          <w:bCs/>
          <w:color w:val="auto"/>
          <w:szCs w:val="24"/>
          <w:highlight w:val="none"/>
        </w:rPr>
      </w:pPr>
      <w:r>
        <w:rPr>
          <w:rFonts w:ascii="宋体" w:hAnsi="宋体" w:cs="宋体"/>
          <w:b/>
          <w:bCs/>
          <w:color w:val="auto"/>
          <w:szCs w:val="24"/>
          <w:highlight w:val="none"/>
        </w:rPr>
        <w:t xml:space="preserve">3.1 第一个信封初步评审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 </w:t>
      </w:r>
    </w:p>
    <w:p>
      <w:pPr>
        <w:pStyle w:val="2"/>
        <w:ind w:left="0" w:firstLine="482"/>
        <w:rPr>
          <w:rFonts w:ascii="宋体" w:hAnsi="宋体" w:cs="宋体"/>
          <w:b/>
          <w:bCs/>
          <w:color w:val="auto"/>
          <w:szCs w:val="24"/>
          <w:highlight w:val="none"/>
        </w:rPr>
      </w:pPr>
      <w:r>
        <w:rPr>
          <w:rFonts w:ascii="宋体" w:hAnsi="宋体" w:cs="宋体"/>
          <w:b/>
          <w:bCs/>
          <w:color w:val="auto"/>
          <w:szCs w:val="24"/>
          <w:highlight w:val="none"/>
        </w:rPr>
        <w:t xml:space="preserve">3.2 第一个信封详细评审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3.2.1 评标委员会按本章第 2.2 款规定的量化因素和分值进行打分，并计算出各投标人的商务和技术得分。 </w:t>
      </w:r>
    </w:p>
    <w:p>
      <w:pPr>
        <w:pStyle w:val="2"/>
        <w:ind w:left="0" w:firstLine="480"/>
        <w:rPr>
          <w:rFonts w:ascii="宋体" w:hAnsi="宋体" w:cs="宋体"/>
          <w:color w:val="auto"/>
          <w:szCs w:val="24"/>
          <w:highlight w:val="none"/>
        </w:rPr>
      </w:pPr>
      <w:r>
        <w:rPr>
          <w:rFonts w:ascii="宋体" w:hAnsi="宋体" w:cs="宋体"/>
          <w:color w:val="auto"/>
          <w:szCs w:val="24"/>
          <w:highlight w:val="none"/>
        </w:rPr>
        <w:t>（1）按本章第 2.2.4 项（1）目规定的评审因素和分值对</w:t>
      </w:r>
      <w:r>
        <w:rPr>
          <w:rFonts w:hint="eastAsia" w:ascii="宋体" w:hAnsi="宋体" w:cs="宋体"/>
          <w:color w:val="auto"/>
          <w:szCs w:val="24"/>
          <w:highlight w:val="none"/>
        </w:rPr>
        <w:t>技术组织方案</w:t>
      </w:r>
      <w:r>
        <w:rPr>
          <w:rFonts w:ascii="宋体" w:hAnsi="宋体" w:cs="宋体"/>
          <w:color w:val="auto"/>
          <w:szCs w:val="24"/>
          <w:highlight w:val="none"/>
        </w:rPr>
        <w:t xml:space="preserve">部分计算出得分 A； </w:t>
      </w:r>
    </w:p>
    <w:p>
      <w:pPr>
        <w:pStyle w:val="2"/>
        <w:ind w:left="0" w:firstLine="480"/>
        <w:rPr>
          <w:rFonts w:ascii="宋体" w:hAnsi="宋体" w:cs="宋体"/>
          <w:color w:val="auto"/>
          <w:szCs w:val="24"/>
          <w:highlight w:val="none"/>
        </w:rPr>
      </w:pPr>
      <w:r>
        <w:rPr>
          <w:rFonts w:ascii="宋体" w:hAnsi="宋体" w:cs="宋体"/>
          <w:color w:val="auto"/>
          <w:szCs w:val="24"/>
          <w:highlight w:val="none"/>
        </w:rPr>
        <w:t>（2）按本章第 2.2.4 项（2）目规定的评审因素和分值对</w:t>
      </w:r>
      <w:r>
        <w:rPr>
          <w:rFonts w:hint="eastAsia" w:ascii="宋体" w:hAnsi="宋体" w:cs="宋体"/>
          <w:color w:val="auto"/>
          <w:szCs w:val="24"/>
          <w:highlight w:val="none"/>
        </w:rPr>
        <w:t>业绩</w:t>
      </w:r>
      <w:r>
        <w:rPr>
          <w:rFonts w:ascii="宋体" w:hAnsi="宋体" w:cs="宋体"/>
          <w:color w:val="auto"/>
          <w:szCs w:val="24"/>
          <w:highlight w:val="none"/>
        </w:rPr>
        <w:t xml:space="preserve">部分计算出得分 B； </w:t>
      </w:r>
    </w:p>
    <w:p>
      <w:pPr>
        <w:pStyle w:val="2"/>
        <w:ind w:left="0" w:firstLine="480"/>
        <w:rPr>
          <w:rFonts w:ascii="宋体" w:hAnsi="宋体" w:cs="宋体"/>
          <w:color w:val="auto"/>
          <w:szCs w:val="24"/>
          <w:highlight w:val="none"/>
        </w:rPr>
      </w:pPr>
      <w:r>
        <w:rPr>
          <w:rFonts w:ascii="宋体" w:hAnsi="宋体" w:cs="宋体"/>
          <w:color w:val="auto"/>
          <w:szCs w:val="24"/>
          <w:highlight w:val="none"/>
        </w:rPr>
        <w:t>（3）按本章第 2.2.4 项（4）目规定的评审因素和分值对其他部分计算出得分</w:t>
      </w:r>
      <w:r>
        <w:rPr>
          <w:rFonts w:hint="eastAsia" w:ascii="宋体" w:hAnsi="宋体" w:cs="宋体"/>
          <w:color w:val="auto"/>
          <w:szCs w:val="24"/>
          <w:highlight w:val="none"/>
        </w:rPr>
        <w:t xml:space="preserve"> </w:t>
      </w:r>
      <w:r>
        <w:rPr>
          <w:rFonts w:ascii="宋体" w:hAnsi="宋体" w:cs="宋体"/>
          <w:color w:val="auto"/>
          <w:szCs w:val="24"/>
          <w:highlight w:val="none"/>
        </w:rPr>
        <w:t xml:space="preserve">D。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3.2.2 投标人的商务和技术得分分值计算保留小数点后两位，小数点后第三位“四舍五入”。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3.2.3 投标人的商务和技术得分=A+B+D。 </w:t>
      </w:r>
    </w:p>
    <w:p>
      <w:pPr>
        <w:pStyle w:val="2"/>
        <w:ind w:left="0" w:firstLine="482"/>
        <w:rPr>
          <w:rFonts w:ascii="宋体" w:hAnsi="宋体" w:cs="宋体"/>
          <w:b/>
          <w:bCs/>
          <w:color w:val="auto"/>
          <w:szCs w:val="24"/>
          <w:highlight w:val="none"/>
        </w:rPr>
      </w:pPr>
      <w:r>
        <w:rPr>
          <w:rFonts w:ascii="宋体" w:hAnsi="宋体" w:cs="宋体"/>
          <w:b/>
          <w:bCs/>
          <w:color w:val="auto"/>
          <w:szCs w:val="24"/>
          <w:highlight w:val="none"/>
        </w:rPr>
        <w:t>3.3 第二个信封开标</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第一个信封（商务及技术文件）评审结束后，招标人将按照第二章“投标人须知”第 5.1 款规定的时间和地点对通过投标文件第一个信封（商务及技术文件）评审的投标文件第二个信封（报价文件）进行开标。 </w:t>
      </w:r>
    </w:p>
    <w:p>
      <w:pPr>
        <w:pStyle w:val="2"/>
        <w:ind w:left="0" w:firstLine="482"/>
        <w:rPr>
          <w:rFonts w:ascii="宋体" w:hAnsi="宋体" w:cs="宋体"/>
          <w:b/>
          <w:bCs/>
          <w:color w:val="auto"/>
          <w:szCs w:val="24"/>
          <w:highlight w:val="none"/>
        </w:rPr>
      </w:pPr>
      <w:r>
        <w:rPr>
          <w:rFonts w:ascii="宋体" w:hAnsi="宋体" w:cs="宋体"/>
          <w:b/>
          <w:bCs/>
          <w:color w:val="auto"/>
          <w:szCs w:val="24"/>
          <w:highlight w:val="none"/>
        </w:rPr>
        <w:t xml:space="preserve">3.4 第二个信封初步评审 </w:t>
      </w:r>
    </w:p>
    <w:p>
      <w:pPr>
        <w:pStyle w:val="2"/>
        <w:ind w:left="0" w:firstLine="480"/>
        <w:rPr>
          <w:rFonts w:ascii="宋体" w:hAnsi="宋体" w:cs="宋体"/>
          <w:color w:val="auto"/>
          <w:szCs w:val="24"/>
          <w:highlight w:val="none"/>
        </w:rPr>
      </w:pPr>
      <w:r>
        <w:rPr>
          <w:rFonts w:ascii="宋体" w:hAnsi="宋体" w:cs="宋体"/>
          <w:color w:val="auto"/>
          <w:szCs w:val="24"/>
          <w:highlight w:val="none"/>
        </w:rPr>
        <w:t>3.4.1 评标委员会依据本章第 2.1.1 项、第 2.1.3 项规定的评审标准对投标文件第二个信封（报价文件）进行初步评审。有一项不符合评审标准的，评标委员会应否决其投标</w:t>
      </w:r>
      <w:r>
        <w:rPr>
          <w:rFonts w:hint="eastAsia" w:ascii="宋体" w:hAnsi="宋体" w:cs="宋体"/>
          <w:color w:val="auto"/>
          <w:szCs w:val="24"/>
          <w:highlight w:val="none"/>
        </w:rPr>
        <w:t>。</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3.4.2 投标报价有算术错误的，评标委员会按以下原则对投标报价进行修正，修正的价格经投标人书面确认后具有约束力。投标人不接受修正价格的，评标委员会应否决其投标。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（1）投标文件中的大写金额与小写金额不一致的，以大写金额为准； </w:t>
      </w:r>
    </w:p>
    <w:p>
      <w:pPr>
        <w:pStyle w:val="2"/>
        <w:ind w:left="0" w:firstLine="480"/>
        <w:rPr>
          <w:rFonts w:ascii="宋体" w:hAnsi="宋体" w:cs="宋体"/>
          <w:color w:val="auto"/>
          <w:szCs w:val="24"/>
          <w:highlight w:val="none"/>
        </w:rPr>
      </w:pPr>
      <w:r>
        <w:rPr>
          <w:rFonts w:ascii="宋体" w:hAnsi="宋体" w:cs="宋体"/>
          <w:color w:val="auto"/>
          <w:szCs w:val="24"/>
          <w:highlight w:val="none"/>
        </w:rPr>
        <w:t>（2）总价金额与依据单价计算出的结果不一致的，以单价金额为准修正总价，但单价金额小数点有明显错误的除外</w:t>
      </w:r>
      <w:r>
        <w:rPr>
          <w:rFonts w:hint="eastAsia" w:ascii="宋体" w:hAnsi="宋体" w:cs="宋体"/>
          <w:color w:val="auto"/>
          <w:szCs w:val="24"/>
          <w:highlight w:val="none"/>
        </w:rPr>
        <w:t>；</w:t>
      </w:r>
      <w:r>
        <w:rPr>
          <w:rFonts w:ascii="宋体" w:hAnsi="宋体" w:cs="宋体"/>
          <w:color w:val="auto"/>
          <w:szCs w:val="24"/>
          <w:highlight w:val="none"/>
        </w:rPr>
        <w:t xml:space="preserve">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（3）当单价与数量相乘不等于合价时，以单价计算为准，如果单价有明显的小数点位置差错，应以标出的合价为准，同时对单价予以修正； </w:t>
      </w:r>
    </w:p>
    <w:p>
      <w:pPr>
        <w:pStyle w:val="2"/>
        <w:ind w:left="0" w:firstLine="480"/>
        <w:rPr>
          <w:rFonts w:ascii="宋体" w:hAnsi="宋体" w:cs="宋体"/>
          <w:color w:val="auto"/>
          <w:szCs w:val="24"/>
          <w:highlight w:val="none"/>
        </w:rPr>
      </w:pPr>
      <w:r>
        <w:rPr>
          <w:rFonts w:ascii="宋体" w:hAnsi="宋体" w:cs="宋体"/>
          <w:color w:val="auto"/>
          <w:szCs w:val="24"/>
          <w:highlight w:val="none"/>
        </w:rPr>
        <w:t>（4）当各子目的合价累计不等于总价时，应以各子目合价累计数为准，修正总价。</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 3.4.3 </w:t>
      </w:r>
      <w:r>
        <w:rPr>
          <w:rFonts w:hint="eastAsia" w:ascii="宋体" w:hAnsi="宋体" w:cs="宋体"/>
          <w:color w:val="auto"/>
          <w:szCs w:val="24"/>
          <w:highlight w:val="none"/>
        </w:rPr>
        <w:t>货物报价</w:t>
      </w:r>
      <w:r>
        <w:rPr>
          <w:rFonts w:ascii="宋体" w:hAnsi="宋体" w:cs="宋体"/>
          <w:color w:val="auto"/>
          <w:szCs w:val="24"/>
          <w:highlight w:val="none"/>
        </w:rPr>
        <w:t xml:space="preserve">清单中的投标报价有其他错误的，评标委员会按以下原则对投标报 价进行修正，修正的价格经投标人书面确认后具有约束力。投标人不接受修正价格的，评标委员会应否决其投标。 </w:t>
      </w:r>
    </w:p>
    <w:p>
      <w:pPr>
        <w:pStyle w:val="2"/>
        <w:ind w:left="0" w:firstLine="480"/>
        <w:rPr>
          <w:rFonts w:ascii="宋体" w:hAnsi="宋体" w:cs="宋体"/>
          <w:color w:val="auto"/>
          <w:szCs w:val="24"/>
          <w:highlight w:val="none"/>
        </w:rPr>
      </w:pPr>
      <w:r>
        <w:rPr>
          <w:rFonts w:ascii="宋体" w:hAnsi="宋体" w:cs="宋体"/>
          <w:color w:val="auto"/>
          <w:szCs w:val="24"/>
          <w:highlight w:val="none"/>
        </w:rPr>
        <w:t>（1）在招标人给定的</w:t>
      </w:r>
      <w:r>
        <w:rPr>
          <w:rFonts w:hint="eastAsia" w:ascii="宋体" w:hAnsi="宋体" w:cs="宋体"/>
          <w:color w:val="auto"/>
          <w:szCs w:val="24"/>
          <w:highlight w:val="none"/>
        </w:rPr>
        <w:t>货物报价</w:t>
      </w:r>
      <w:r>
        <w:rPr>
          <w:rFonts w:ascii="宋体" w:hAnsi="宋体" w:cs="宋体"/>
          <w:color w:val="auto"/>
          <w:szCs w:val="24"/>
          <w:highlight w:val="none"/>
        </w:rPr>
        <w:t xml:space="preserve">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 </w:t>
      </w:r>
    </w:p>
    <w:p>
      <w:pPr>
        <w:pStyle w:val="2"/>
        <w:ind w:left="0" w:firstLine="480"/>
        <w:rPr>
          <w:rFonts w:ascii="宋体" w:hAnsi="宋体" w:cs="宋体"/>
          <w:color w:val="auto"/>
          <w:szCs w:val="24"/>
          <w:highlight w:val="none"/>
        </w:rPr>
      </w:pPr>
      <w:r>
        <w:rPr>
          <w:rFonts w:ascii="宋体" w:hAnsi="宋体" w:cs="宋体"/>
          <w:color w:val="auto"/>
          <w:szCs w:val="24"/>
          <w:highlight w:val="none"/>
        </w:rPr>
        <w:t>（2）在招标人给定的</w:t>
      </w:r>
      <w:r>
        <w:rPr>
          <w:rFonts w:hint="eastAsia" w:ascii="宋体" w:hAnsi="宋体" w:cs="宋体"/>
          <w:color w:val="auto"/>
          <w:szCs w:val="24"/>
          <w:highlight w:val="none"/>
        </w:rPr>
        <w:t>货物报价</w:t>
      </w:r>
      <w:r>
        <w:rPr>
          <w:rFonts w:ascii="宋体" w:hAnsi="宋体" w:cs="宋体"/>
          <w:color w:val="auto"/>
          <w:szCs w:val="24"/>
          <w:highlight w:val="none"/>
        </w:rPr>
        <w:t xml:space="preserve">清单中多报了某个工程子目的单价、合价或总额价，或所报单价、合价或总额价增加了报价范围，则从投标报价中扣除多报的工程子目报价或工程子目报价中增加了报价范围的部分报价。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（3）当单价与数量的乘积与合价（金额）虽然一致，但投标人修改了该子目的工程数量，则其合价按招标人给定的工程数量乘以投标人所报单价予以修正。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3.4.4 修正后的最终投标报价若超过最高投标限价（如有），评标委员会应否决其投标。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3.4.5 修正后的最终投标报价仅作为签订合同的一个依据，不参与评标价得分的 计算。 </w:t>
      </w:r>
    </w:p>
    <w:p>
      <w:pPr>
        <w:pStyle w:val="2"/>
        <w:ind w:left="0" w:firstLine="482"/>
        <w:rPr>
          <w:rFonts w:ascii="宋体" w:hAnsi="宋体" w:cs="宋体"/>
          <w:b/>
          <w:bCs/>
          <w:color w:val="auto"/>
          <w:szCs w:val="24"/>
          <w:highlight w:val="none"/>
        </w:rPr>
      </w:pPr>
      <w:r>
        <w:rPr>
          <w:rFonts w:ascii="宋体" w:hAnsi="宋体" w:cs="宋体"/>
          <w:b/>
          <w:bCs/>
          <w:color w:val="auto"/>
          <w:szCs w:val="24"/>
          <w:highlight w:val="none"/>
        </w:rPr>
        <w:t xml:space="preserve">3.5 第二个信封详细评审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3.5.1 评标委员会按本章第 2.2.4（3）目规定的评审因素和分值对评标价计算出得分C。评标价得分分值计算保留小数点后两位，小数点后第三位“四舍五入”。 </w:t>
      </w:r>
      <w:r>
        <w:rPr>
          <w:rFonts w:hint="eastAsia" w:ascii="宋体" w:hAnsi="宋体" w:cs="宋体"/>
          <w:color w:val="auto"/>
          <w:szCs w:val="24"/>
          <w:highlight w:val="none"/>
        </w:rPr>
        <w:t xml:space="preserve">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3.5.2 投标人综合得分=投标人的商务和技术得分+C。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 </w:t>
      </w:r>
    </w:p>
    <w:p>
      <w:pPr>
        <w:pStyle w:val="2"/>
        <w:ind w:left="0" w:firstLine="482"/>
        <w:rPr>
          <w:rFonts w:ascii="宋体" w:hAnsi="宋体" w:cs="宋体"/>
          <w:b/>
          <w:bCs/>
          <w:color w:val="auto"/>
          <w:szCs w:val="24"/>
          <w:highlight w:val="none"/>
        </w:rPr>
      </w:pPr>
      <w:r>
        <w:rPr>
          <w:rFonts w:ascii="宋体" w:hAnsi="宋体" w:cs="宋体"/>
          <w:b/>
          <w:bCs/>
          <w:color w:val="auto"/>
          <w:szCs w:val="24"/>
          <w:highlight w:val="none"/>
        </w:rPr>
        <w:t xml:space="preserve">3.6 投标文件相关信息的核查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3.6.2 评标委员会应对在评标过程中发现的投标人与投标人之间、投标人与招标人之间存在的串通投标的情形进行评审和认定。投标人存在串通投标、弄虚作假、行贿等违法行为的，评标委员会应否决其投标。 </w:t>
      </w:r>
    </w:p>
    <w:p>
      <w:pPr>
        <w:pStyle w:val="2"/>
        <w:ind w:left="0" w:firstLine="480"/>
        <w:rPr>
          <w:rFonts w:ascii="宋体" w:hAnsi="宋体" w:cs="宋体"/>
          <w:color w:val="auto"/>
          <w:szCs w:val="24"/>
          <w:highlight w:val="none"/>
        </w:rPr>
      </w:pPr>
      <w:r>
        <w:rPr>
          <w:rFonts w:ascii="宋体" w:hAnsi="宋体" w:cs="宋体"/>
          <w:color w:val="auto"/>
          <w:szCs w:val="24"/>
          <w:highlight w:val="none"/>
        </w:rPr>
        <w:t>（1）有下列情形之一的，属于投标人相互串通投标：</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a.投标人之间协商投标报价等投标文件的实质性内容；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b.投标人之间约定中标人；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c.投标人之间约定部分投标人放弃投标或中标；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d.属于同一集团、协会、商会等组织成员的投标人按照该组织要求协同投标；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e.投标人之间为谋取中标或排斥特定投标人而采取的其他联合行动。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（2）有下列情形之一的，视为投标人相互串通投标：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a.不同投标人的投标文件由同一单位或个人编制；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b.不同投标人委托同一单位或个人办理投标事宜；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c.不同投标人的投标文件载明的项目管理成员为同一人；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d.不同投标人的投标文件异常一致或投标报价呈规律性差异；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e.不同投标人的投标文件相互混装；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f.不同投标人的投标保证金从同一单位或个人的账户转出。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（3）有下列情形之一的，属于招标人与投标人串通投标： </w:t>
      </w:r>
    </w:p>
    <w:p>
      <w:pPr>
        <w:pStyle w:val="2"/>
        <w:ind w:left="0" w:firstLine="480"/>
        <w:rPr>
          <w:rFonts w:ascii="宋体" w:hAnsi="宋体" w:cs="宋体"/>
          <w:color w:val="auto"/>
          <w:szCs w:val="24"/>
          <w:highlight w:val="none"/>
        </w:rPr>
      </w:pPr>
      <w:r>
        <w:rPr>
          <w:rFonts w:ascii="宋体" w:hAnsi="宋体" w:cs="宋体"/>
          <w:color w:val="auto"/>
          <w:szCs w:val="24"/>
          <w:highlight w:val="none"/>
        </w:rPr>
        <w:t>a.招标人在开标前开启投标文件并将有关信息泄露给其他投标人</w:t>
      </w:r>
      <w:r>
        <w:rPr>
          <w:rFonts w:hint="eastAsia" w:ascii="宋体" w:hAnsi="宋体" w:cs="宋体"/>
          <w:color w:val="auto"/>
          <w:szCs w:val="24"/>
          <w:highlight w:val="none"/>
        </w:rPr>
        <w:t>；</w:t>
      </w:r>
      <w:r>
        <w:rPr>
          <w:rFonts w:ascii="宋体" w:hAnsi="宋体" w:cs="宋体"/>
          <w:color w:val="auto"/>
          <w:szCs w:val="24"/>
          <w:highlight w:val="none"/>
        </w:rPr>
        <w:t xml:space="preserve">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b.招标人直接或间接向投标人泄露标底、评标委员会成员等信息；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c.招标人明示或暗示投标人压低或抬高投标报价； </w:t>
      </w:r>
    </w:p>
    <w:p>
      <w:pPr>
        <w:pStyle w:val="2"/>
        <w:ind w:left="0" w:firstLine="480"/>
        <w:rPr>
          <w:rFonts w:ascii="宋体" w:hAnsi="宋体" w:cs="宋体"/>
          <w:color w:val="auto"/>
          <w:szCs w:val="24"/>
          <w:highlight w:val="none"/>
        </w:rPr>
      </w:pPr>
      <w:r>
        <w:rPr>
          <w:rFonts w:ascii="宋体" w:hAnsi="宋体" w:cs="宋体"/>
          <w:color w:val="auto"/>
          <w:szCs w:val="24"/>
          <w:highlight w:val="none"/>
        </w:rPr>
        <w:t>d.招标人授意投标人撤换、修改投标文件</w:t>
      </w:r>
      <w:r>
        <w:rPr>
          <w:rFonts w:hint="eastAsia" w:ascii="宋体" w:hAnsi="宋体" w:cs="宋体"/>
          <w:color w:val="auto"/>
          <w:szCs w:val="24"/>
          <w:highlight w:val="none"/>
        </w:rPr>
        <w:t>；</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e.招标人明示或暗示投标人为特定投标人中标提供方便；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f.招标人与投标人为谋求特定投标人中标而采取的其他串通行为。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（4）投标人有下列情形之一的，属于弄虚作假的行为：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a.使用通过受让或租借等方式获取的资格、资质证书投标；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b.使用伪造、变造的许可证件；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c.提供虚假的财务状况或业绩；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d.提供虚假的项目负责人或主要技术人员简历、劳动关系证明；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e.提供虚假的信用状况；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f.其他弄虚作假的行为。 </w:t>
      </w:r>
    </w:p>
    <w:p>
      <w:pPr>
        <w:pStyle w:val="2"/>
        <w:ind w:left="0" w:firstLine="482"/>
        <w:rPr>
          <w:rFonts w:ascii="宋体" w:hAnsi="宋体" w:cs="宋体"/>
          <w:b/>
          <w:bCs/>
          <w:color w:val="auto"/>
          <w:szCs w:val="24"/>
          <w:highlight w:val="none"/>
        </w:rPr>
      </w:pPr>
      <w:r>
        <w:rPr>
          <w:rFonts w:ascii="宋体" w:hAnsi="宋体" w:cs="宋体"/>
          <w:b/>
          <w:bCs/>
          <w:color w:val="auto"/>
          <w:szCs w:val="24"/>
          <w:highlight w:val="none"/>
        </w:rPr>
        <w:t xml:space="preserve">3.7 投标文件的澄清和说明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3.7.2 澄清和说明不得超出投标文件的范围或改变投标文件的实质性内容（算术性错误的修正除外）。投标人的书面澄清、说明属于投标文件的组成部分。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3.7.3 评标委员会不得暗示或诱导投标人作出澄清、说明，对投标人提交的澄清、说明有疑问的，可以要求投标人进一步澄清或说明，直至满足评标委员会的要求。 </w:t>
      </w:r>
    </w:p>
    <w:p>
      <w:pPr>
        <w:pStyle w:val="2"/>
        <w:ind w:left="0" w:firstLine="480"/>
        <w:rPr>
          <w:rFonts w:ascii="宋体" w:hAnsi="宋体" w:cs="宋体"/>
          <w:color w:val="auto"/>
          <w:szCs w:val="24"/>
          <w:highlight w:val="none"/>
        </w:rPr>
      </w:pPr>
      <w:r>
        <w:rPr>
          <w:rFonts w:ascii="宋体" w:hAnsi="宋体" w:cs="宋体"/>
          <w:color w:val="auto"/>
          <w:szCs w:val="24"/>
          <w:highlight w:val="none"/>
        </w:rPr>
        <w:t>3.7.4 凡超出招标文件规定的或给</w:t>
      </w:r>
      <w:r>
        <w:rPr>
          <w:rFonts w:hint="eastAsia" w:ascii="宋体" w:hAnsi="宋体" w:cs="宋体"/>
          <w:color w:val="auto"/>
          <w:szCs w:val="24"/>
          <w:highlight w:val="none"/>
        </w:rPr>
        <w:t>甲方</w:t>
      </w:r>
      <w:r>
        <w:rPr>
          <w:rFonts w:ascii="宋体" w:hAnsi="宋体" w:cs="宋体"/>
          <w:color w:val="auto"/>
          <w:szCs w:val="24"/>
          <w:highlight w:val="none"/>
        </w:rPr>
        <w:t xml:space="preserve">带来未曾要求的利益的变化、偏差或其他因素在评标时不予考虑。 </w:t>
      </w:r>
    </w:p>
    <w:p>
      <w:pPr>
        <w:pStyle w:val="2"/>
        <w:ind w:left="0" w:firstLine="482"/>
        <w:rPr>
          <w:rFonts w:ascii="宋体" w:hAnsi="宋体" w:cs="宋体"/>
          <w:b/>
          <w:bCs/>
          <w:color w:val="auto"/>
          <w:szCs w:val="24"/>
          <w:highlight w:val="none"/>
        </w:rPr>
      </w:pPr>
      <w:r>
        <w:rPr>
          <w:rFonts w:ascii="宋体" w:hAnsi="宋体" w:cs="宋体"/>
          <w:b/>
          <w:bCs/>
          <w:color w:val="auto"/>
          <w:szCs w:val="24"/>
          <w:highlight w:val="none"/>
        </w:rPr>
        <w:t xml:space="preserve">3.8 不得否决投标的情形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投标文件存在第二章“投标人须知”第 1.12.3 项所列情形的，均视为细微偏差，评标委员会不得否决投标人的投标，应按照第二章“投标人须知”第 1.12.4 项规定的原则处理。 </w:t>
      </w:r>
    </w:p>
    <w:p>
      <w:pPr>
        <w:pStyle w:val="2"/>
        <w:ind w:left="0" w:firstLine="482"/>
        <w:rPr>
          <w:rFonts w:ascii="宋体" w:hAnsi="宋体" w:cs="宋体"/>
          <w:b/>
          <w:bCs/>
          <w:color w:val="auto"/>
          <w:szCs w:val="24"/>
          <w:highlight w:val="none"/>
        </w:rPr>
      </w:pPr>
      <w:r>
        <w:rPr>
          <w:rFonts w:ascii="宋体" w:hAnsi="宋体" w:cs="宋体"/>
          <w:b/>
          <w:bCs/>
          <w:color w:val="auto"/>
          <w:szCs w:val="24"/>
          <w:highlight w:val="none"/>
        </w:rPr>
        <w:t xml:space="preserve">3.9 评标结果 </w:t>
      </w:r>
    </w:p>
    <w:p>
      <w:pPr>
        <w:pStyle w:val="2"/>
        <w:ind w:left="0" w:firstLine="480"/>
        <w:rPr>
          <w:rFonts w:ascii="宋体" w:hAnsi="宋体" w:cs="宋体"/>
          <w:color w:val="auto"/>
          <w:szCs w:val="24"/>
          <w:highlight w:val="none"/>
        </w:rPr>
      </w:pPr>
      <w:r>
        <w:rPr>
          <w:rFonts w:ascii="宋体" w:hAnsi="宋体" w:cs="宋体"/>
          <w:color w:val="auto"/>
          <w:szCs w:val="24"/>
          <w:highlight w:val="none"/>
        </w:rPr>
        <w:t xml:space="preserve">3.9.1 除第二章“投标人须知”前附表授权直接确定中标人外，评标委员会按照得分由高到低的顺序推荐中标候选人，并标明排序。 </w:t>
      </w:r>
    </w:p>
    <w:p>
      <w:pPr>
        <w:pStyle w:val="2"/>
        <w:ind w:left="0" w:firstLine="480"/>
        <w:rPr>
          <w:rFonts w:ascii="宋体" w:hAnsi="宋体" w:cs="宋体"/>
          <w:color w:val="auto"/>
          <w:szCs w:val="24"/>
          <w:highlight w:val="none"/>
        </w:rPr>
      </w:pPr>
      <w:r>
        <w:rPr>
          <w:rFonts w:ascii="宋体" w:hAnsi="宋体" w:cs="宋体"/>
          <w:color w:val="auto"/>
          <w:szCs w:val="24"/>
          <w:highlight w:val="none"/>
        </w:rPr>
        <w:t>3.9.2 评标委员会完成评标后，应向招标人提交书面评标报告。</w:t>
      </w:r>
    </w:p>
    <w:p/>
    <w:sectPr>
      <w:pgSz w:w="11906" w:h="16838"/>
      <w:pgMar w:top="1200" w:right="1466" w:bottom="1238" w:left="15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三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551FF"/>
    <w:multiLevelType w:val="multilevel"/>
    <w:tmpl w:val="EAE551FF"/>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MjIyZjcyOTBkN2FlYmFjMzc2YjRmZGZhMDIyMDcifQ=="/>
  </w:docVars>
  <w:rsids>
    <w:rsidRoot w:val="0116152A"/>
    <w:rsid w:val="01161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2"/>
    <w:basedOn w:val="1"/>
    <w:next w:val="1"/>
    <w:unhideWhenUsed/>
    <w:qFormat/>
    <w:uiPriority w:val="0"/>
    <w:pPr>
      <w:adjustRightInd w:val="0"/>
      <w:spacing w:before="240" w:after="240"/>
      <w:ind w:firstLine="0" w:firstLineChars="0"/>
      <w:jc w:val="left"/>
      <w:textAlignment w:val="baseline"/>
      <w:outlineLvl w:val="1"/>
    </w:pPr>
    <w:rPr>
      <w:rFonts w:hint="eastAsia" w:ascii="黑体" w:hAnsi="宋体" w:eastAsia="黑体" w:cs="黑体"/>
      <w:bCs/>
      <w:sz w:val="32"/>
      <w:szCs w:val="32"/>
      <w:lang w:eastAsia="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djustRightInd w:val="0"/>
      <w:spacing w:line="400" w:lineRule="atLeast"/>
      <w:ind w:left="2111" w:hanging="1631"/>
      <w:textAlignment w:val="baseline"/>
    </w:pPr>
  </w:style>
  <w:style w:type="paragraph" w:customStyle="1" w:styleId="6">
    <w:name w:val="表格正文-DDDDD"/>
    <w:basedOn w:val="1"/>
    <w:qFormat/>
    <w:uiPriority w:val="0"/>
    <w:pPr>
      <w:spacing w:line="300" w:lineRule="exact"/>
      <w:ind w:firstLine="0" w:firstLineChars="0"/>
      <w:jc w:val="center"/>
    </w:pPr>
    <w:rPr>
      <w:rFonts w:ascii="方正宋三简体" w:eastAsia="方正宋三简体"/>
      <w:sz w:val="21"/>
      <w:szCs w:val="21"/>
    </w:rPr>
  </w:style>
  <w:style w:type="paragraph" w:customStyle="1" w:styleId="7">
    <w:name w:val="Char"/>
    <w:basedOn w:val="1"/>
    <w:qFormat/>
    <w:uiPriority w:val="0"/>
    <w:rPr>
      <w:rFonts w:ascii="仿宋_GB2312" w:eastAsia="仿宋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8347</Words>
  <Characters>8813</Characters>
  <Lines>0</Lines>
  <Paragraphs>0</Paragraphs>
  <TotalTime>1</TotalTime>
  <ScaleCrop>false</ScaleCrop>
  <LinksUpToDate>false</LinksUpToDate>
  <CharactersWithSpaces>9000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2023-08-30T07:03:00Z</dcterms:created>
  <dc:creator>Vanny</dc:creator>
  <cp:lastModifiedBy>Vanny</cp:lastModifiedBy>
  <dcterms:modified xsi:type="dcterms:W3CDTF">2023-08-30T07:04:57Z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B1BD3BBCD9574C129A31928D93836D06_11</vt:lpwstr>
  </property>
</Properties>
</file>