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jc w:val="center"/>
        <w:rPr>
          <w:rFonts w:hint="eastAsia" w:ascii="宋体" w:hAnsi="宋体" w:cs="宋体"/>
          <w:b/>
          <w:sz w:val="48"/>
          <w:szCs w:val="48"/>
          <w:highlight w:val="none"/>
        </w:rPr>
      </w:pPr>
    </w:p>
    <w:p>
      <w:pPr>
        <w:wordWrap w:val="0"/>
        <w:topLinePunct/>
        <w:jc w:val="center"/>
        <w:rPr>
          <w:rFonts w:hint="eastAsia" w:ascii="宋体" w:hAnsi="宋体" w:cs="宋体"/>
          <w:b/>
          <w:sz w:val="48"/>
          <w:szCs w:val="48"/>
          <w:highlight w:val="none"/>
        </w:rPr>
      </w:pPr>
    </w:p>
    <w:p>
      <w:pPr>
        <w:wordWrap w:val="0"/>
        <w:topLinePunct/>
        <w:jc w:val="center"/>
        <w:rPr>
          <w:rFonts w:hint="eastAsia" w:ascii="宋体" w:hAnsi="宋体" w:cs="宋体"/>
          <w:b/>
          <w:sz w:val="48"/>
          <w:szCs w:val="48"/>
          <w:highlight w:val="none"/>
        </w:rPr>
      </w:pPr>
    </w:p>
    <w:p>
      <w:pPr>
        <w:wordWrap w:val="0"/>
        <w:topLinePunct/>
        <w:jc w:val="center"/>
        <w:rPr>
          <w:rFonts w:hint="eastAsia" w:ascii="宋体" w:hAnsi="宋体" w:cs="宋体"/>
          <w:b/>
          <w:sz w:val="52"/>
          <w:szCs w:val="52"/>
          <w:highlight w:val="none"/>
        </w:rPr>
      </w:pPr>
      <w:r>
        <w:rPr>
          <w:rFonts w:hint="eastAsia" w:ascii="宋体" w:hAnsi="宋体" w:cs="宋体"/>
          <w:b/>
          <w:sz w:val="52"/>
          <w:szCs w:val="52"/>
          <w:highlight w:val="none"/>
        </w:rPr>
        <w:t>海珠湿地生态保护和基础设施建设项目</w:t>
      </w:r>
    </w:p>
    <w:p>
      <w:pPr>
        <w:wordWrap w:val="0"/>
        <w:topLinePunct/>
        <w:jc w:val="center"/>
        <w:rPr>
          <w:rFonts w:hint="eastAsia" w:ascii="宋体" w:hAnsi="宋体" w:cs="宋体"/>
          <w:b/>
          <w:sz w:val="52"/>
          <w:szCs w:val="52"/>
          <w:highlight w:val="none"/>
        </w:rPr>
      </w:pPr>
      <w:r>
        <w:rPr>
          <w:rFonts w:hint="eastAsia" w:ascii="宋体" w:hAnsi="宋体" w:cs="宋体"/>
          <w:b/>
          <w:sz w:val="52"/>
          <w:szCs w:val="52"/>
          <w:highlight w:val="none"/>
        </w:rPr>
        <w:t>设计</w:t>
      </w:r>
    </w:p>
    <w:p>
      <w:pPr>
        <w:spacing w:line="360" w:lineRule="auto"/>
        <w:jc w:val="center"/>
        <w:rPr>
          <w:rFonts w:hint="eastAsia" w:ascii="宋体" w:hAnsi="宋体" w:cs="宋体"/>
          <w:sz w:val="36"/>
          <w:highlight w:val="none"/>
          <w:u w:val="single"/>
        </w:rPr>
      </w:pPr>
    </w:p>
    <w:p>
      <w:pPr>
        <w:spacing w:line="360" w:lineRule="auto"/>
        <w:jc w:val="center"/>
        <w:rPr>
          <w:rFonts w:hint="eastAsia" w:ascii="宋体" w:hAnsi="宋体" w:cs="宋体"/>
          <w:sz w:val="36"/>
          <w:highlight w:val="none"/>
          <w:u w:val="single"/>
        </w:rPr>
      </w:pPr>
    </w:p>
    <w:p>
      <w:pPr>
        <w:spacing w:line="360" w:lineRule="auto"/>
        <w:jc w:val="center"/>
        <w:rPr>
          <w:rFonts w:hint="eastAsia" w:ascii="宋体" w:hAnsi="宋体" w:cs="宋体"/>
          <w:sz w:val="36"/>
          <w:highlight w:val="none"/>
          <w:u w:val="single"/>
        </w:rPr>
      </w:pPr>
    </w:p>
    <w:p>
      <w:pPr>
        <w:spacing w:line="360" w:lineRule="auto"/>
        <w:rPr>
          <w:rFonts w:hint="eastAsia" w:ascii="宋体" w:hAnsi="宋体" w:cs="宋体"/>
          <w:sz w:val="36"/>
          <w:highlight w:val="none"/>
          <w:u w:val="single"/>
        </w:rPr>
      </w:pPr>
    </w:p>
    <w:p>
      <w:pPr>
        <w:spacing w:line="360" w:lineRule="auto"/>
        <w:jc w:val="center"/>
        <w:rPr>
          <w:rFonts w:hint="eastAsia" w:ascii="宋体" w:hAnsi="宋体" w:cs="宋体"/>
          <w:sz w:val="36"/>
          <w:highlight w:val="none"/>
          <w:u w:val="single"/>
        </w:rPr>
      </w:pPr>
    </w:p>
    <w:p>
      <w:pPr>
        <w:spacing w:line="360" w:lineRule="auto"/>
        <w:jc w:val="center"/>
        <w:rPr>
          <w:rFonts w:hint="eastAsia" w:ascii="宋体" w:hAnsi="宋体" w:cs="宋体"/>
          <w:b/>
          <w:bCs/>
          <w:spacing w:val="26"/>
          <w:sz w:val="110"/>
          <w:szCs w:val="110"/>
          <w:highlight w:val="none"/>
        </w:rPr>
      </w:pPr>
      <w:r>
        <w:rPr>
          <w:rFonts w:hint="eastAsia" w:ascii="宋体" w:hAnsi="宋体" w:cs="宋体"/>
          <w:b/>
          <w:bCs/>
          <w:spacing w:val="26"/>
          <w:sz w:val="110"/>
          <w:szCs w:val="110"/>
          <w:highlight w:val="none"/>
        </w:rPr>
        <w:t>招标文件</w:t>
      </w:r>
    </w:p>
    <w:p>
      <w:pPr>
        <w:spacing w:line="360" w:lineRule="auto"/>
        <w:jc w:val="center"/>
        <w:rPr>
          <w:rFonts w:hint="eastAsia" w:ascii="宋体" w:hAnsi="宋体" w:cs="宋体"/>
          <w:sz w:val="32"/>
          <w:highlight w:val="none"/>
        </w:rPr>
      </w:pPr>
    </w:p>
    <w:p>
      <w:pPr>
        <w:spacing w:line="360" w:lineRule="auto"/>
        <w:jc w:val="center"/>
        <w:rPr>
          <w:rFonts w:hint="eastAsia" w:ascii="宋体" w:hAnsi="宋体" w:cs="宋体"/>
          <w:sz w:val="32"/>
          <w:highlight w:val="none"/>
        </w:rPr>
      </w:pPr>
    </w:p>
    <w:p>
      <w:pPr>
        <w:spacing w:line="360" w:lineRule="auto"/>
        <w:jc w:val="center"/>
        <w:rPr>
          <w:rFonts w:hint="eastAsia" w:ascii="宋体" w:hAnsi="宋体" w:cs="宋体"/>
          <w:sz w:val="32"/>
          <w:szCs w:val="32"/>
          <w:highlight w:val="none"/>
        </w:rPr>
      </w:pPr>
    </w:p>
    <w:p>
      <w:pPr>
        <w:spacing w:line="360" w:lineRule="auto"/>
        <w:ind w:firstLine="1280" w:firstLineChars="400"/>
        <w:jc w:val="left"/>
        <w:rPr>
          <w:rFonts w:hint="eastAsia" w:ascii="宋体" w:hAnsi="宋体" w:cs="宋体"/>
          <w:bCs/>
          <w:sz w:val="32"/>
          <w:szCs w:val="32"/>
          <w:highlight w:val="none"/>
          <w:u w:val="single"/>
        </w:rPr>
      </w:pPr>
      <w:r>
        <w:rPr>
          <w:rFonts w:hint="eastAsia" w:ascii="宋体" w:hAnsi="宋体" w:cs="宋体"/>
          <w:sz w:val="32"/>
          <w:szCs w:val="32"/>
          <w:highlight w:val="none"/>
        </w:rPr>
        <w:t>招标人：</w:t>
      </w:r>
      <w:r>
        <w:rPr>
          <w:rFonts w:hint="eastAsia" w:ascii="宋体" w:hAnsi="宋体" w:cs="宋体"/>
          <w:bCs/>
          <w:sz w:val="32"/>
          <w:szCs w:val="32"/>
          <w:highlight w:val="none"/>
          <w:u w:val="single"/>
        </w:rPr>
        <w:t>广州市海珠区湿地保护管理办公室</w:t>
      </w:r>
    </w:p>
    <w:p>
      <w:pPr>
        <w:spacing w:line="360" w:lineRule="auto"/>
        <w:ind w:firstLine="1280" w:firstLineChars="400"/>
        <w:jc w:val="left"/>
        <w:rPr>
          <w:rFonts w:hint="eastAsia" w:ascii="宋体" w:hAnsi="宋体" w:cs="宋体"/>
          <w:bCs/>
          <w:sz w:val="32"/>
          <w:szCs w:val="32"/>
          <w:highlight w:val="none"/>
          <w:u w:val="single"/>
        </w:rPr>
      </w:pPr>
      <w:r>
        <w:rPr>
          <w:rFonts w:hint="eastAsia" w:ascii="宋体" w:hAnsi="宋体" w:cs="宋体"/>
          <w:sz w:val="32"/>
          <w:szCs w:val="32"/>
          <w:highlight w:val="none"/>
        </w:rPr>
        <w:t>招标代理机构：</w:t>
      </w:r>
      <w:r>
        <w:rPr>
          <w:rFonts w:hint="eastAsia" w:ascii="宋体" w:hAnsi="宋体" w:cs="宋体"/>
          <w:bCs/>
          <w:sz w:val="32"/>
          <w:szCs w:val="32"/>
          <w:highlight w:val="none"/>
          <w:u w:val="single"/>
        </w:rPr>
        <w:t>广州市国科招标代理有限公司</w:t>
      </w:r>
    </w:p>
    <w:p>
      <w:pPr>
        <w:spacing w:line="360" w:lineRule="auto"/>
        <w:ind w:firstLine="1280" w:firstLineChars="400"/>
        <w:jc w:val="left"/>
        <w:rPr>
          <w:rFonts w:hint="eastAsia" w:ascii="宋体" w:hAnsi="宋体" w:cs="宋体"/>
          <w:sz w:val="32"/>
          <w:szCs w:val="32"/>
          <w:highlight w:val="none"/>
          <w:u w:val="single"/>
        </w:rPr>
      </w:pPr>
      <w:r>
        <w:rPr>
          <w:rFonts w:hint="eastAsia" w:ascii="宋体" w:hAnsi="宋体" w:cs="宋体"/>
          <w:sz w:val="32"/>
          <w:szCs w:val="32"/>
          <w:highlight w:val="none"/>
        </w:rPr>
        <w:t>日期：</w:t>
      </w:r>
      <w:r>
        <w:rPr>
          <w:rFonts w:hint="eastAsia" w:ascii="宋体" w:hAnsi="宋体" w:cs="宋体"/>
          <w:sz w:val="32"/>
          <w:szCs w:val="32"/>
          <w:highlight w:val="none"/>
          <w:u w:val="single"/>
        </w:rPr>
        <w:t>2023年8月</w:t>
      </w:r>
    </w:p>
    <w:p>
      <w:pPr>
        <w:spacing w:line="360" w:lineRule="auto"/>
        <w:ind w:firstLine="1280" w:firstLineChars="400"/>
        <w:jc w:val="left"/>
        <w:rPr>
          <w:rFonts w:hint="eastAsia" w:ascii="宋体" w:hAnsi="宋体" w:cs="宋体"/>
          <w:sz w:val="32"/>
          <w:szCs w:val="32"/>
          <w:highlight w:val="none"/>
          <w:u w:val="single"/>
        </w:rPr>
      </w:pPr>
    </w:p>
    <w:p>
      <w:pPr>
        <w:spacing w:line="360" w:lineRule="auto"/>
        <w:ind w:firstLine="1280" w:firstLineChars="400"/>
        <w:jc w:val="left"/>
        <w:rPr>
          <w:rFonts w:hint="eastAsia" w:ascii="宋体" w:hAnsi="宋体" w:cs="宋体"/>
          <w:sz w:val="32"/>
          <w:szCs w:val="32"/>
          <w:highlight w:val="none"/>
          <w:u w:val="single"/>
        </w:rPr>
        <w:sectPr>
          <w:footerReference r:id="rId5" w:type="first"/>
          <w:headerReference r:id="rId3" w:type="default"/>
          <w:footerReference r:id="rId4" w:type="default"/>
          <w:endnotePr>
            <w:numFmt w:val="decimal"/>
          </w:endnotePr>
          <w:type w:val="nextColumn"/>
          <w:pgSz w:w="11850" w:h="16783"/>
          <w:pgMar w:top="1440" w:right="1080" w:bottom="1440" w:left="1080" w:header="851" w:footer="907" w:gutter="0"/>
          <w:pgBorders>
            <w:top w:val="none" w:sz="0" w:space="0"/>
            <w:left w:val="none" w:sz="0" w:space="0"/>
            <w:bottom w:val="none" w:sz="0" w:space="0"/>
            <w:right w:val="none" w:sz="0" w:space="0"/>
          </w:pgBorders>
          <w:pgNumType w:start="0"/>
          <w:cols w:space="720" w:num="1"/>
          <w:titlePg/>
          <w:docGrid w:linePitch="286" w:charSpace="0"/>
        </w:sectPr>
      </w:pPr>
    </w:p>
    <w:p>
      <w:pPr>
        <w:jc w:val="center"/>
        <w:rPr>
          <w:rFonts w:hint="eastAsia" w:ascii="宋体" w:hAnsi="宋体" w:cs="宋体"/>
          <w:b/>
          <w:sz w:val="36"/>
          <w:szCs w:val="36"/>
          <w:highlight w:val="none"/>
        </w:rPr>
      </w:pPr>
      <w:r>
        <w:rPr>
          <w:rFonts w:hint="eastAsia" w:ascii="宋体" w:hAnsi="宋体" w:cs="宋体"/>
          <w:b/>
          <w:sz w:val="36"/>
          <w:szCs w:val="36"/>
          <w:highlight w:val="none"/>
        </w:rPr>
        <w:t>目  录</w:t>
      </w:r>
    </w:p>
    <w:p>
      <w:pPr>
        <w:pStyle w:val="20"/>
        <w:tabs>
          <w:tab w:val="right" w:leader="dot" w:pos="9000"/>
          <w:tab w:val="clear" w:pos="8990"/>
        </w:tabs>
        <w:rPr>
          <w:rFonts w:hint="eastAsia" w:ascii="宋体" w:hAnsi="宋体" w:cs="宋体"/>
          <w:b/>
          <w:sz w:val="32"/>
          <w:highlight w:val="none"/>
        </w:rPr>
      </w:pPr>
    </w:p>
    <w:p>
      <w:pPr>
        <w:pStyle w:val="20"/>
        <w:tabs>
          <w:tab w:val="left" w:pos="1260"/>
        </w:tabs>
        <w:rPr>
          <w:rFonts w:hint="eastAsia" w:ascii="宋体" w:hAnsi="宋体" w:cs="宋体"/>
          <w:szCs w:val="22"/>
          <w:highlight w:val="none"/>
        </w:rPr>
      </w:pPr>
      <w:r>
        <w:rPr>
          <w:rFonts w:hint="eastAsia" w:ascii="宋体" w:hAnsi="宋体" w:cs="宋体"/>
          <w:b/>
          <w:sz w:val="28"/>
          <w:szCs w:val="28"/>
          <w:highlight w:val="none"/>
        </w:rPr>
        <w:fldChar w:fldCharType="begin"/>
      </w:r>
      <w:r>
        <w:rPr>
          <w:rFonts w:hint="eastAsia" w:ascii="宋体" w:hAnsi="宋体" w:cs="宋体"/>
          <w:b/>
          <w:sz w:val="28"/>
          <w:szCs w:val="28"/>
          <w:highlight w:val="none"/>
        </w:rPr>
        <w:instrText xml:space="preserve">TOC \o "1-4" \h \u </w:instrText>
      </w:r>
      <w:r>
        <w:rPr>
          <w:rFonts w:hint="eastAsia" w:ascii="宋体" w:hAnsi="宋体" w:cs="宋体"/>
          <w:b/>
          <w:sz w:val="28"/>
          <w:szCs w:val="28"/>
          <w:highlight w:val="none"/>
        </w:rPr>
        <w:fldChar w:fldCharType="separate"/>
      </w: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"_Toc76384526"</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第一章</w:t>
      </w:r>
      <w:r>
        <w:rPr>
          <w:rFonts w:hint="eastAsia" w:ascii="宋体" w:hAnsi="宋体" w:cs="宋体"/>
          <w:szCs w:val="22"/>
          <w:highlight w:val="none"/>
        </w:rPr>
        <w:t xml:space="preserve"> </w:t>
      </w:r>
      <w:r>
        <w:rPr>
          <w:rStyle w:val="32"/>
          <w:rFonts w:hint="eastAsia" w:ascii="宋体" w:hAnsi="宋体" w:cs="宋体"/>
          <w:color w:val="auto"/>
          <w:highlight w:val="none"/>
        </w:rPr>
        <w:t>招标公告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_Toc76384526 \h </w:instrText>
      </w:r>
      <w:r>
        <w:rPr>
          <w:rFonts w:hint="eastAsia" w:ascii="宋体" w:hAnsi="宋体" w:cs="宋体"/>
          <w:highlight w:val="none"/>
        </w:rPr>
        <w:fldChar w:fldCharType="separate"/>
      </w:r>
      <w:r>
        <w:rPr>
          <w:rFonts w:ascii="宋体" w:hAnsi="宋体" w:cs="宋体"/>
          <w:highlight w:val="none"/>
        </w:rPr>
        <w:t>2</w:t>
      </w:r>
      <w:r>
        <w:rPr>
          <w:rFonts w:hint="eastAsia" w:ascii="宋体" w:hAnsi="宋体" w:cs="宋体"/>
          <w:highlight w:val="none"/>
        </w:rPr>
        <w:fldChar w:fldCharType="end"/>
      </w:r>
      <w:r>
        <w:rPr>
          <w:rStyle w:val="32"/>
          <w:rFonts w:hint="eastAsia" w:ascii="宋体" w:hAnsi="宋体" w:cs="宋体"/>
          <w:color w:val="auto"/>
          <w:highlight w:val="none"/>
        </w:rPr>
        <w:fldChar w:fldCharType="end"/>
      </w:r>
    </w:p>
    <w:p>
      <w:pPr>
        <w:pStyle w:val="20"/>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"_Toc76384527"</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第二章 投标须知</w:t>
      </w:r>
      <w:r>
        <w:rPr>
          <w:rFonts w:hint="eastAsia" w:ascii="宋体" w:hAnsi="宋体" w:cs="宋体"/>
          <w:highlight w:val="none"/>
        </w:rPr>
        <w:tab/>
      </w:r>
      <w:r>
        <w:rPr>
          <w:rFonts w:hint="eastAsia" w:ascii="宋体" w:hAnsi="宋体" w:cs="宋体"/>
          <w:highlight w:val="none"/>
        </w:rPr>
        <w:t>3</w:t>
      </w:r>
      <w:r>
        <w:rPr>
          <w:rStyle w:val="32"/>
          <w:rFonts w:hint="eastAsia" w:ascii="宋体" w:hAnsi="宋体" w:cs="宋体"/>
          <w:color w:val="auto"/>
          <w:highlight w:val="none"/>
        </w:rPr>
        <w:fldChar w:fldCharType="end"/>
      </w:r>
    </w:p>
    <w:p>
      <w:pPr>
        <w:pStyle w:val="22"/>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"_Toc76384528"</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一、投标须知前附表</w:t>
      </w:r>
      <w:r>
        <w:rPr>
          <w:rFonts w:hint="eastAsia" w:ascii="宋体" w:hAnsi="宋体" w:cs="宋体"/>
          <w:highlight w:val="none"/>
        </w:rPr>
        <w:tab/>
      </w:r>
      <w:r>
        <w:rPr>
          <w:rFonts w:hint="eastAsia" w:ascii="宋体" w:hAnsi="宋体" w:cs="宋体"/>
          <w:highlight w:val="none"/>
        </w:rPr>
        <w:t>3</w:t>
      </w:r>
      <w:r>
        <w:rPr>
          <w:rStyle w:val="32"/>
          <w:rFonts w:hint="eastAsia" w:ascii="宋体" w:hAnsi="宋体" w:cs="宋体"/>
          <w:color w:val="auto"/>
          <w:highlight w:val="none"/>
        </w:rPr>
        <w:fldChar w:fldCharType="end"/>
      </w:r>
    </w:p>
    <w:p>
      <w:pPr>
        <w:pStyle w:val="22"/>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"_Toc76384529"</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二、投标须知修改表</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5</w:t>
      </w:r>
    </w:p>
    <w:p>
      <w:pPr>
        <w:pStyle w:val="22"/>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"_Toc76384530"</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三、投标须知通用条款</w:t>
      </w:r>
      <w:r>
        <w:rPr>
          <w:rFonts w:hint="eastAsia" w:ascii="宋体" w:hAnsi="宋体" w:cs="宋体"/>
          <w:highlight w:val="none"/>
        </w:rPr>
        <w:tab/>
      </w:r>
      <w:r>
        <w:rPr>
          <w:rFonts w:hint="eastAsia" w:ascii="宋体" w:hAnsi="宋体" w:cs="宋体"/>
          <w:highlight w:val="none"/>
        </w:rPr>
        <w:t>10</w:t>
      </w:r>
      <w:r>
        <w:rPr>
          <w:rStyle w:val="32"/>
          <w:rFonts w:hint="eastAsia" w:ascii="宋体" w:hAnsi="宋体" w:cs="宋体"/>
          <w:color w:val="auto"/>
          <w:highlight w:val="none"/>
        </w:rPr>
        <w:fldChar w:fldCharType="end"/>
      </w:r>
    </w:p>
    <w:p>
      <w:pPr>
        <w:pStyle w:val="14"/>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"_Toc76384531"</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（一） 招标</w:t>
      </w:r>
      <w:r>
        <w:rPr>
          <w:rFonts w:hint="eastAsia" w:ascii="宋体" w:hAnsi="宋体" w:cs="宋体"/>
          <w:highlight w:val="none"/>
        </w:rPr>
        <w:tab/>
      </w:r>
      <w:r>
        <w:rPr>
          <w:rFonts w:hint="eastAsia" w:ascii="宋体" w:hAnsi="宋体" w:cs="宋体"/>
          <w:highlight w:val="none"/>
        </w:rPr>
        <w:t>10</w:t>
      </w:r>
      <w:r>
        <w:rPr>
          <w:rStyle w:val="32"/>
          <w:rFonts w:hint="eastAsia" w:ascii="宋体" w:hAnsi="宋体" w:cs="宋体"/>
          <w:color w:val="auto"/>
          <w:highlight w:val="none"/>
        </w:rPr>
        <w:fldChar w:fldCharType="end"/>
      </w:r>
    </w:p>
    <w:p>
      <w:pPr>
        <w:pStyle w:val="14"/>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"_Toc76384532"</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（二） 投标</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12</w:t>
      </w:r>
    </w:p>
    <w:p>
      <w:pPr>
        <w:pStyle w:val="14"/>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"_Toc76384533"</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（三） 开标、评标</w:t>
      </w:r>
      <w:r>
        <w:rPr>
          <w:rFonts w:hint="eastAsia" w:ascii="宋体" w:hAnsi="宋体" w:cs="宋体"/>
          <w:highlight w:val="none"/>
        </w:rPr>
        <w:tab/>
      </w:r>
      <w:r>
        <w:rPr>
          <w:rFonts w:hint="eastAsia" w:ascii="宋体" w:hAnsi="宋体" w:cs="宋体"/>
          <w:highlight w:val="none"/>
        </w:rPr>
        <w:t>15</w:t>
      </w:r>
      <w:r>
        <w:rPr>
          <w:rStyle w:val="32"/>
          <w:rFonts w:hint="eastAsia" w:ascii="宋体" w:hAnsi="宋体" w:cs="宋体"/>
          <w:color w:val="auto"/>
          <w:highlight w:val="none"/>
        </w:rPr>
        <w:fldChar w:fldCharType="end"/>
      </w:r>
    </w:p>
    <w:p>
      <w:pPr>
        <w:pStyle w:val="14"/>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"_Toc76384534"</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（四） 定标</w:t>
      </w:r>
      <w:r>
        <w:rPr>
          <w:rFonts w:hint="eastAsia" w:ascii="宋体" w:hAnsi="宋体" w:cs="宋体"/>
          <w:highlight w:val="none"/>
        </w:rPr>
        <w:tab/>
      </w:r>
      <w:r>
        <w:rPr>
          <w:rFonts w:hint="eastAsia" w:ascii="宋体" w:hAnsi="宋体" w:cs="宋体"/>
          <w:highlight w:val="none"/>
        </w:rPr>
        <w:t>19</w:t>
      </w:r>
      <w:r>
        <w:rPr>
          <w:rStyle w:val="32"/>
          <w:rFonts w:hint="eastAsia" w:ascii="宋体" w:hAnsi="宋体" w:cs="宋体"/>
          <w:color w:val="auto"/>
          <w:highlight w:val="none"/>
        </w:rPr>
        <w:fldChar w:fldCharType="end"/>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"_Toc76384535"</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附件1 资格审查表</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22</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"_Toc76384536"</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附件2 投标文件有效性审查表</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23</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"_Toc76384537"</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附件3 技术文件有效性审查表</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24</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"_Toc76384538"</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附件4 技术文件综合评分表（适用于综合评分法）</w:t>
      </w:r>
      <w:r>
        <w:rPr>
          <w:rFonts w:hint="eastAsia" w:ascii="宋体" w:hAnsi="宋体" w:cs="宋体"/>
          <w:highlight w:val="none"/>
        </w:rPr>
        <w:tab/>
      </w:r>
      <w:r>
        <w:rPr>
          <w:rFonts w:hint="eastAsia" w:ascii="宋体" w:hAnsi="宋体" w:cs="宋体"/>
          <w:highlight w:val="none"/>
        </w:rPr>
        <w:t>25</w:t>
      </w:r>
      <w:r>
        <w:rPr>
          <w:rStyle w:val="32"/>
          <w:rFonts w:hint="eastAsia" w:ascii="宋体" w:hAnsi="宋体" w:cs="宋体"/>
          <w:color w:val="auto"/>
          <w:highlight w:val="none"/>
        </w:rPr>
        <w:fldChar w:fldCharType="end"/>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"_Toc76384539"</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附件5 商务文件综合评分表（适用于综合评分法）</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26</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"_Toc76384540"</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strike/>
          <w:color w:val="auto"/>
          <w:highlight w:val="none"/>
        </w:rPr>
        <w:t>附件6 投标报价得分表（适用于综合评分法二）</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28</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"_Toc76384541"</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附件7 综合得分汇总表（适用于综合评分法）</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29</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"_Toc76384542"</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strike/>
          <w:color w:val="auto"/>
          <w:highlight w:val="none"/>
        </w:rPr>
        <w:t>附件8 设计方案评审记录表（适用于投票法）</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30</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"_Toc76384543"</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strike/>
          <w:color w:val="auto"/>
          <w:highlight w:val="none"/>
        </w:rPr>
        <w:t>附件9 投标方案评语（适用于投票法）</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32</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"_Toc76384544"</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strike/>
          <w:color w:val="auto"/>
          <w:highlight w:val="none"/>
        </w:rPr>
        <w:t>附件10 投票表格（适用于投票法）</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33</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"_Toc76384545"</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strike/>
          <w:color w:val="auto"/>
          <w:highlight w:val="none"/>
        </w:rPr>
        <w:t>附件11 投票汇总表格（适用于投票法）</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34</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"_Toc76384546"</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strike/>
          <w:color w:val="auto"/>
          <w:highlight w:val="none"/>
        </w:rPr>
        <w:t>附件12 定标委员会组建及定标办法</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35</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"_Toc76384547"</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strike/>
          <w:color w:val="auto"/>
          <w:highlight w:val="none"/>
        </w:rPr>
        <w:t>附件13 定标办法设置说明</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36</w:t>
      </w:r>
    </w:p>
    <w:p>
      <w:pPr>
        <w:pStyle w:val="20"/>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"_Toc76384548"</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第三章  合同条款</w:t>
      </w:r>
      <w:r>
        <w:rPr>
          <w:rFonts w:hint="eastAsia" w:ascii="宋体" w:hAnsi="宋体" w:cs="宋体"/>
          <w:highlight w:val="none"/>
        </w:rPr>
        <w:tab/>
      </w:r>
      <w:r>
        <w:rPr>
          <w:rFonts w:hint="eastAsia" w:ascii="宋体" w:hAnsi="宋体" w:cs="宋体"/>
          <w:highlight w:val="none"/>
        </w:rPr>
        <w:t>37</w:t>
      </w:r>
      <w:r>
        <w:rPr>
          <w:rStyle w:val="32"/>
          <w:rFonts w:hint="eastAsia" w:ascii="宋体" w:hAnsi="宋体" w:cs="宋体"/>
          <w:color w:val="auto"/>
          <w:highlight w:val="none"/>
        </w:rPr>
        <w:fldChar w:fldCharType="end"/>
      </w:r>
    </w:p>
    <w:p>
      <w:pPr>
        <w:pStyle w:val="20"/>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"_Toc76384549"</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第四章  设计任务书及前期资料</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60</w:t>
      </w:r>
    </w:p>
    <w:p>
      <w:pPr>
        <w:pStyle w:val="20"/>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"_Toc76384551"</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第五章  投标文件格式</w:t>
      </w:r>
      <w:r>
        <w:rPr>
          <w:rFonts w:hint="eastAsia" w:ascii="宋体" w:hAnsi="宋体" w:cs="宋体"/>
          <w:highlight w:val="none"/>
        </w:rPr>
        <w:tab/>
      </w:r>
      <w:r>
        <w:rPr>
          <w:rFonts w:hint="eastAsia" w:ascii="宋体" w:hAnsi="宋体" w:cs="宋体"/>
          <w:highlight w:val="none"/>
        </w:rPr>
        <w:t>6</w:t>
      </w:r>
      <w:r>
        <w:rPr>
          <w:rStyle w:val="32"/>
          <w:rFonts w:hint="eastAsia" w:ascii="宋体" w:hAnsi="宋体" w:cs="宋体"/>
          <w:color w:val="auto"/>
          <w:highlight w:val="none"/>
        </w:rPr>
        <w:fldChar w:fldCharType="end"/>
      </w:r>
      <w:r>
        <w:rPr>
          <w:rStyle w:val="32"/>
          <w:rFonts w:hint="eastAsia" w:ascii="宋体" w:hAnsi="宋体" w:cs="宋体"/>
          <w:color w:val="auto"/>
          <w:highlight w:val="none"/>
        </w:rPr>
        <w:t>1</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"_Toc76384552"</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附件14 勘察设计招标文件编制要求</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62</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"_Toc76384553"</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附件15 投标函</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64</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"_Toc76384554"</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附件16 投标人声明</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65</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"_Toc76384555"</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附件17 法定代表人证明书及法定代表人授权书</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66</w:t>
      </w:r>
    </w:p>
    <w:p>
      <w:pPr>
        <w:pStyle w:val="21"/>
        <w:tabs>
          <w:tab w:val="right" w:leader="dot" w:pos="9204"/>
        </w:tabs>
        <w:rPr>
          <w:rFonts w:hint="eastAsia" w:ascii="宋体" w:hAnsi="宋体" w:cs="宋体"/>
          <w:szCs w:val="22"/>
          <w:highlight w:val="none"/>
        </w:rPr>
      </w:pPr>
      <w:r>
        <w:rPr>
          <w:rStyle w:val="32"/>
          <w:rFonts w:hint="eastAsia" w:ascii="宋体" w:hAnsi="宋体" w:cs="宋体"/>
          <w:strike/>
          <w:color w:val="auto"/>
          <w:highlight w:val="none"/>
        </w:rPr>
        <w:fldChar w:fldCharType="begin"/>
      </w:r>
      <w:r>
        <w:rPr>
          <w:rStyle w:val="32"/>
          <w:rFonts w:hint="eastAsia" w:ascii="宋体" w:hAnsi="宋体" w:cs="宋体"/>
          <w:strike/>
          <w:color w:val="auto"/>
          <w:highlight w:val="none"/>
        </w:rPr>
        <w:instrText xml:space="preserve"> </w:instrText>
      </w:r>
      <w:r>
        <w:rPr>
          <w:rFonts w:hint="eastAsia" w:ascii="宋体" w:hAnsi="宋体" w:cs="宋体"/>
          <w:strike/>
          <w:highlight w:val="none"/>
        </w:rPr>
        <w:instrText xml:space="preserve">HYPERLINK \l "_Toc76384556"</w:instrText>
      </w:r>
      <w:r>
        <w:rPr>
          <w:rStyle w:val="32"/>
          <w:rFonts w:hint="eastAsia" w:ascii="宋体" w:hAnsi="宋体" w:cs="宋体"/>
          <w:strike/>
          <w:color w:val="auto"/>
          <w:highlight w:val="none"/>
        </w:rPr>
        <w:instrText xml:space="preserve"> </w:instrText>
      </w:r>
      <w:r>
        <w:rPr>
          <w:rStyle w:val="32"/>
          <w:rFonts w:hint="eastAsia" w:ascii="宋体" w:hAnsi="宋体" w:cs="宋体"/>
          <w:strike/>
          <w:color w:val="auto"/>
          <w:highlight w:val="none"/>
        </w:rPr>
        <w:fldChar w:fldCharType="separate"/>
      </w:r>
      <w:r>
        <w:rPr>
          <w:rStyle w:val="32"/>
          <w:rFonts w:hint="eastAsia" w:ascii="宋体" w:hAnsi="宋体" w:cs="宋体"/>
          <w:strike/>
          <w:color w:val="auto"/>
          <w:highlight w:val="none"/>
        </w:rPr>
        <w:t>附件18 联合体投标协议</w:t>
      </w:r>
      <w:r>
        <w:rPr>
          <w:rFonts w:hint="eastAsia" w:ascii="宋体" w:hAnsi="宋体" w:cs="宋体"/>
          <w:strike/>
          <w:highlight w:val="none"/>
        </w:rPr>
        <w:tab/>
      </w:r>
      <w:r>
        <w:rPr>
          <w:rStyle w:val="32"/>
          <w:rFonts w:hint="eastAsia" w:ascii="宋体" w:hAnsi="宋体" w:cs="宋体"/>
          <w:strike/>
          <w:color w:val="auto"/>
          <w:highlight w:val="none"/>
        </w:rPr>
        <w:fldChar w:fldCharType="end"/>
      </w:r>
      <w:r>
        <w:rPr>
          <w:rStyle w:val="32"/>
          <w:rFonts w:hint="eastAsia" w:ascii="宋体" w:hAnsi="宋体" w:cs="宋体"/>
          <w:color w:val="auto"/>
          <w:highlight w:val="none"/>
        </w:rPr>
        <w:t>68</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"_Toc76384557"</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附件19 投标报价汇总表</w:t>
      </w:r>
      <w:r>
        <w:rPr>
          <w:rFonts w:hint="eastAsia" w:ascii="宋体" w:hAnsi="宋体" w:cs="宋体"/>
          <w:highlight w:val="none"/>
        </w:rPr>
        <w:tab/>
      </w:r>
      <w:r>
        <w:rPr>
          <w:rStyle w:val="32"/>
          <w:rFonts w:hint="eastAsia" w:ascii="宋体" w:hAnsi="宋体" w:cs="宋体"/>
          <w:color w:val="auto"/>
          <w:highlight w:val="none"/>
        </w:rPr>
        <w:fldChar w:fldCharType="end"/>
      </w:r>
      <w:r>
        <w:rPr>
          <w:rFonts w:hint="eastAsia" w:ascii="宋体" w:hAnsi="宋体" w:cs="宋体"/>
          <w:highlight w:val="none"/>
        </w:rPr>
        <w:t>69</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"_Toc76384558"</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附录20投标人已完成项目情况</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71</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"_Toc76384560"</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附录21本项目拟投入的人员基本情况表</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72</w:t>
      </w:r>
    </w:p>
    <w:p>
      <w:pPr>
        <w:pStyle w:val="21"/>
        <w:tabs>
          <w:tab w:val="right" w:leader="dot" w:pos="9204"/>
        </w:tabs>
        <w:rPr>
          <w:rFonts w:hint="eastAsia" w:ascii="宋体" w:hAnsi="宋体" w:cs="宋体"/>
          <w:szCs w:val="22"/>
          <w:highlight w:val="none"/>
        </w:rPr>
      </w:pPr>
      <w:r>
        <w:rPr>
          <w:rStyle w:val="32"/>
          <w:rFonts w:hint="eastAsia" w:ascii="宋体" w:hAnsi="宋体" w:cs="宋体"/>
          <w:color w:val="auto"/>
          <w:highlight w:val="none"/>
        </w:rPr>
        <w:fldChar w:fldCharType="begin"/>
      </w:r>
      <w:r>
        <w:rPr>
          <w:rStyle w:val="32"/>
          <w:rFonts w:hint="eastAsia" w:ascii="宋体" w:hAnsi="宋体" w:cs="宋体"/>
          <w:color w:val="auto"/>
          <w:highlight w:val="none"/>
        </w:rPr>
        <w:instrText xml:space="preserve"> </w:instrText>
      </w:r>
      <w:r>
        <w:rPr>
          <w:rFonts w:hint="eastAsia" w:ascii="宋体" w:hAnsi="宋体" w:cs="宋体"/>
          <w:highlight w:val="none"/>
        </w:rPr>
        <w:instrText xml:space="preserve">HYPERLINK \l "_Toc76384561"</w:instrText>
      </w:r>
      <w:r>
        <w:rPr>
          <w:rStyle w:val="32"/>
          <w:rFonts w:hint="eastAsia" w:ascii="宋体" w:hAnsi="宋体" w:cs="宋体"/>
          <w:color w:val="auto"/>
          <w:highlight w:val="none"/>
        </w:rPr>
        <w:instrText xml:space="preserve"> </w:instrText>
      </w:r>
      <w:r>
        <w:rPr>
          <w:rStyle w:val="32"/>
          <w:rFonts w:hint="eastAsia" w:ascii="宋体" w:hAnsi="宋体" w:cs="宋体"/>
          <w:color w:val="auto"/>
          <w:highlight w:val="none"/>
        </w:rPr>
        <w:fldChar w:fldCharType="separate"/>
      </w:r>
      <w:r>
        <w:rPr>
          <w:rStyle w:val="32"/>
          <w:rFonts w:hint="eastAsia" w:ascii="宋体" w:hAnsi="宋体" w:cs="宋体"/>
          <w:color w:val="auto"/>
          <w:highlight w:val="none"/>
        </w:rPr>
        <w:t>附录22投标文件光盘（备用）接收记录表格</w:t>
      </w:r>
      <w:r>
        <w:rPr>
          <w:rFonts w:hint="eastAsia" w:ascii="宋体" w:hAnsi="宋体" w:cs="宋体"/>
          <w:highlight w:val="none"/>
        </w:rPr>
        <w:tab/>
      </w:r>
      <w:r>
        <w:rPr>
          <w:rStyle w:val="32"/>
          <w:rFonts w:hint="eastAsia" w:ascii="宋体" w:hAnsi="宋体" w:cs="宋体"/>
          <w:color w:val="auto"/>
          <w:highlight w:val="none"/>
        </w:rPr>
        <w:fldChar w:fldCharType="end"/>
      </w:r>
      <w:r>
        <w:rPr>
          <w:rStyle w:val="32"/>
          <w:rFonts w:hint="eastAsia" w:ascii="宋体" w:hAnsi="宋体" w:cs="宋体"/>
          <w:color w:val="auto"/>
          <w:highlight w:val="none"/>
        </w:rPr>
        <w:t>73</w:t>
      </w:r>
    </w:p>
    <w:p>
      <w:pPr>
        <w:snapToGrid w:val="0"/>
        <w:spacing w:line="360" w:lineRule="exact"/>
        <w:rPr>
          <w:rFonts w:hint="eastAsia" w:ascii="宋体" w:hAnsi="宋体" w:cs="宋体"/>
          <w:b/>
          <w:sz w:val="36"/>
          <w:szCs w:val="28"/>
          <w:highlight w:val="none"/>
        </w:rPr>
      </w:pPr>
      <w:r>
        <w:rPr>
          <w:rFonts w:hint="eastAsia" w:ascii="宋体" w:hAnsi="宋体" w:cs="宋体"/>
          <w:szCs w:val="28"/>
          <w:highlight w:val="none"/>
        </w:rPr>
        <w:fldChar w:fldCharType="end"/>
      </w:r>
    </w:p>
    <w:p>
      <w:pPr>
        <w:spacing w:line="360" w:lineRule="exact"/>
        <w:rPr>
          <w:rFonts w:hint="eastAsia" w:ascii="宋体" w:hAnsi="宋体" w:cs="宋体"/>
          <w:highlight w:val="none"/>
        </w:rPr>
      </w:pPr>
    </w:p>
    <w:p>
      <w:pPr>
        <w:pStyle w:val="3"/>
        <w:numPr>
          <w:ilvl w:val="0"/>
          <w:numId w:val="1"/>
        </w:numPr>
        <w:rPr>
          <w:rFonts w:cs="宋体"/>
          <w:highlight w:val="none"/>
        </w:rPr>
      </w:pPr>
      <w:bookmarkStart w:id="0" w:name="_Toc76384526"/>
      <w:r>
        <w:rPr>
          <w:rFonts w:cs="宋体"/>
          <w:highlight w:val="none"/>
        </w:rPr>
        <w:t>招标公告</w:t>
      </w:r>
      <w:bookmarkEnd w:id="0"/>
      <w:r>
        <w:rPr>
          <w:rFonts w:cs="宋体"/>
          <w:highlight w:val="none"/>
        </w:rPr>
        <w:t>（另册）</w:t>
      </w:r>
    </w:p>
    <w:p>
      <w:pPr>
        <w:pStyle w:val="3"/>
        <w:numPr>
          <w:ilvl w:val="0"/>
          <w:numId w:val="2"/>
        </w:numPr>
        <w:rPr>
          <w:rFonts w:cs="宋体"/>
          <w:highlight w:val="none"/>
        </w:rPr>
      </w:pPr>
      <w:r>
        <w:rPr>
          <w:rFonts w:cs="宋体"/>
          <w:highlight w:val="none"/>
        </w:rPr>
        <w:br w:type="page"/>
      </w:r>
      <w:r>
        <w:rPr>
          <w:rFonts w:cs="宋体"/>
          <w:highlight w:val="none"/>
        </w:rPr>
        <w:t xml:space="preserve"> </w:t>
      </w:r>
      <w:bookmarkStart w:id="1" w:name="_Toc25668"/>
      <w:bookmarkStart w:id="2" w:name="_Toc24101"/>
      <w:r>
        <w:rPr>
          <w:rFonts w:cs="宋体"/>
          <w:highlight w:val="none"/>
        </w:rPr>
        <w:t xml:space="preserve"> </w:t>
      </w:r>
      <w:bookmarkStart w:id="3" w:name="_Toc76384527"/>
      <w:r>
        <w:rPr>
          <w:rFonts w:cs="宋体"/>
          <w:highlight w:val="none"/>
        </w:rPr>
        <w:t>投标须知</w:t>
      </w:r>
      <w:bookmarkEnd w:id="1"/>
      <w:bookmarkEnd w:id="2"/>
      <w:bookmarkEnd w:id="3"/>
    </w:p>
    <w:p>
      <w:pPr>
        <w:pStyle w:val="4"/>
        <w:rPr>
          <w:rStyle w:val="34"/>
          <w:rFonts w:hint="eastAsia" w:ascii="宋体" w:hAnsi="宋体"/>
          <w:b/>
          <w:highlight w:val="none"/>
        </w:rPr>
      </w:pPr>
      <w:bookmarkStart w:id="4" w:name="_Toc76384528"/>
      <w:r>
        <w:rPr>
          <w:rFonts w:hint="eastAsia" w:ascii="宋体" w:hAnsi="宋体"/>
          <w:highlight w:val="none"/>
        </w:rPr>
        <w:t>一、投标须知前附表</w:t>
      </w:r>
      <w:bookmarkEnd w:id="4"/>
    </w:p>
    <w:p>
      <w:pPr>
        <w:pStyle w:val="2"/>
        <w:ind w:firstLine="424" w:firstLineChars="201"/>
        <w:rPr>
          <w:rFonts w:hint="eastAsia" w:ascii="宋体" w:hAnsi="宋体" w:cs="宋体"/>
          <w:b/>
          <w:bCs/>
          <w:highlight w:val="none"/>
        </w:rPr>
      </w:pPr>
      <w:r>
        <w:rPr>
          <w:rFonts w:hint="eastAsia" w:ascii="宋体" w:hAnsi="宋体" w:cs="宋体"/>
          <w:b/>
          <w:bCs/>
          <w:highlight w:val="none"/>
        </w:rPr>
        <w:t>本投标须知前附表使用GZYLZB2022-3招标文件范本，与范本不同之处均以下划线标明，所有标明下划线部分属于本表的组成部分，同其他部分具有同等效力。对范本《投标须知通用条款》可选择部分的选择使用，均已在本表中注明，通用条款可选择部分中未被本投标须知前附表选择的部分无效。</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83"/>
        <w:gridCol w:w="694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blHeader/>
          <w:jc w:val="center"/>
        </w:trPr>
        <w:tc>
          <w:tcPr>
            <w:tcW w:w="766" w:type="dxa"/>
            <w:tcBorders>
              <w:top w:val="doub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条款号</w:t>
            </w:r>
          </w:p>
        </w:tc>
        <w:tc>
          <w:tcPr>
            <w:tcW w:w="2183" w:type="dxa"/>
            <w:tcBorders>
              <w:top w:val="doub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内容</w:t>
            </w:r>
          </w:p>
        </w:tc>
        <w:tc>
          <w:tcPr>
            <w:tcW w:w="6941" w:type="dxa"/>
            <w:tcBorders>
              <w:top w:val="double" w:color="auto" w:sz="4" w:space="0"/>
              <w:left w:val="single" w:color="auto" w:sz="4" w:space="0"/>
              <w:bottom w:val="single" w:color="auto" w:sz="4" w:space="0"/>
              <w:right w:val="double" w:color="auto" w:sz="4" w:space="0"/>
            </w:tcBorders>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1.1</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定义</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rPr>
              <w:t>招标人：</w:t>
            </w:r>
            <w:r>
              <w:rPr>
                <w:rFonts w:hint="eastAsia" w:ascii="宋体" w:hAnsi="宋体" w:eastAsia="宋体" w:cs="宋体"/>
                <w:szCs w:val="21"/>
                <w:highlight w:val="none"/>
                <w:u w:val="single"/>
              </w:rPr>
              <w:t>广州市海珠区湿地保护管理办公室</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招标代理机构：</w:t>
            </w:r>
            <w:r>
              <w:rPr>
                <w:rFonts w:hint="eastAsia" w:ascii="宋体" w:hAnsi="宋体" w:eastAsia="宋体" w:cs="宋体"/>
                <w:szCs w:val="21"/>
                <w:highlight w:val="none"/>
                <w:u w:val="single"/>
              </w:rPr>
              <w:t>广州市国科招标代理有限公司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工程名称</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u w:val="single"/>
              </w:rPr>
              <w:t>海珠湿地生态保护和基础设施建设项目设计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工程建设地点</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工程建设规模</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招标内容</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投资总额</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总投资估算为</w:t>
            </w:r>
            <w:r>
              <w:rPr>
                <w:rFonts w:hint="eastAsia" w:ascii="宋体" w:hAnsi="宋体" w:eastAsia="宋体" w:cs="宋体"/>
                <w:szCs w:val="21"/>
                <w:highlight w:val="none"/>
                <w:u w:val="single"/>
              </w:rPr>
              <w:t>8854.51</w:t>
            </w:r>
            <w:r>
              <w:rPr>
                <w:rFonts w:hint="eastAsia" w:ascii="宋体" w:hAnsi="宋体" w:eastAsia="宋体" w:cs="宋体"/>
                <w:szCs w:val="21"/>
                <w:highlight w:val="none"/>
              </w:rPr>
              <w:t>万元，其中建安工程费约为</w:t>
            </w:r>
            <w:r>
              <w:rPr>
                <w:rFonts w:hint="eastAsia" w:ascii="宋体" w:hAnsi="宋体" w:eastAsia="宋体" w:cs="宋体"/>
                <w:szCs w:val="21"/>
                <w:highlight w:val="none"/>
                <w:u w:val="single"/>
              </w:rPr>
              <w:t>7415.38</w:t>
            </w:r>
            <w:r>
              <w:rPr>
                <w:rFonts w:hint="eastAsia" w:ascii="宋体" w:hAnsi="宋体" w:eastAsia="宋体" w:cs="宋体"/>
                <w:szCs w:val="21"/>
                <w:highlight w:val="none"/>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设计服务期限</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u w:val="single"/>
              </w:rPr>
              <w:t>以技术服务合同为准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投标人资格要求</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关于联合体投标</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highlight w:val="none"/>
                <w:u w:val="single"/>
              </w:rPr>
            </w:pPr>
            <w:r>
              <w:rPr>
                <w:rFonts w:hint="eastAsia" w:ascii="宋体" w:hAnsi="宋体" w:eastAsia="宋体" w:cs="宋体"/>
                <w:szCs w:val="21"/>
                <w:highlight w:val="none"/>
              </w:rPr>
              <w:t>□</w:t>
            </w:r>
            <w:r>
              <w:rPr>
                <w:rFonts w:hint="eastAsia" w:ascii="宋体" w:hAnsi="宋体" w:eastAsia="宋体" w:cs="宋体"/>
                <w:highlight w:val="none"/>
              </w:rPr>
              <w:t>接受，应满足下列要求：</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highlight w:val="none"/>
              </w:rPr>
              <w:t>。</w:t>
            </w:r>
          </w:p>
          <w:p>
            <w:pPr>
              <w:keepNext w:val="0"/>
              <w:keepLines w:val="0"/>
              <w:suppressLineNumbers w:val="0"/>
              <w:spacing w:before="0" w:beforeAutospacing="0" w:after="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highlight w:val="none"/>
              </w:rPr>
              <w:t>不接受。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踏勘现场</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□集中组织，时间：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，集中地点：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■不集中组织（自公告之日起具备现场踏勘条件）。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招标答疑与澄清</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1.方式：网上答疑。</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2.投标人提问期限：自招标公告发布之日起3天内。</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3.招标人澄清或答疑期限：投标截止时间</w:t>
            </w:r>
            <w:r>
              <w:rPr>
                <w:rFonts w:hint="eastAsia" w:ascii="宋体" w:hAnsi="宋体" w:eastAsia="宋体" w:cs="宋体"/>
                <w:szCs w:val="21"/>
                <w:highlight w:val="none"/>
                <w:u w:val="single"/>
              </w:rPr>
              <w:t>15</w:t>
            </w:r>
            <w:r>
              <w:rPr>
                <w:rFonts w:hint="eastAsia" w:ascii="宋体" w:hAnsi="宋体" w:eastAsia="宋体" w:cs="宋体"/>
                <w:szCs w:val="21"/>
                <w:highlight w:val="none"/>
              </w:rPr>
              <w:t>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2.3</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投标文件编制要求</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投标文件为含电子签名及电子签章的加密电子投标文件1套。</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技术文件页数最多不超过</w:t>
            </w:r>
            <w:r>
              <w:rPr>
                <w:rFonts w:hint="eastAsia" w:ascii="宋体" w:hAnsi="宋体" w:eastAsia="宋体" w:cs="宋体"/>
                <w:szCs w:val="21"/>
                <w:highlight w:val="none"/>
                <w:u w:val="single"/>
              </w:rPr>
              <w:t>200</w:t>
            </w:r>
            <w:r>
              <w:rPr>
                <w:rFonts w:hint="eastAsia" w:ascii="宋体" w:hAnsi="宋体" w:eastAsia="宋体" w:cs="宋体"/>
                <w:szCs w:val="21"/>
                <w:highlight w:val="none"/>
              </w:rPr>
              <w:t>页（</w:t>
            </w:r>
            <w:r>
              <w:rPr>
                <w:rFonts w:hint="eastAsia" w:ascii="宋体" w:hAnsi="宋体" w:eastAsia="宋体" w:cs="宋体"/>
                <w:szCs w:val="21"/>
                <w:highlight w:val="none"/>
                <w:u w:val="single"/>
              </w:rPr>
              <w:t>200</w:t>
            </w:r>
            <w:r>
              <w:rPr>
                <w:rFonts w:hint="eastAsia" w:ascii="宋体" w:hAnsi="宋体" w:eastAsia="宋体" w:cs="宋体"/>
                <w:szCs w:val="21"/>
                <w:highlight w:val="none"/>
              </w:rPr>
              <w:t>页，不包括封面及目录页）。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bookmarkStart w:id="5" w:name="_Hlk142905416"/>
            <w:r>
              <w:rPr>
                <w:rFonts w:hint="eastAsia" w:ascii="宋体" w:hAnsi="宋体" w:eastAsia="宋体" w:cs="宋体"/>
                <w:szCs w:val="21"/>
                <w:highlight w:val="none"/>
              </w:rPr>
              <w:t>2.4.3</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最高投标限价</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420" w:firstLineChars="200"/>
              <w:rPr>
                <w:rFonts w:hint="default" w:eastAsia="Times New Roman" w:cs="Times New Roman"/>
                <w:highlight w:val="none"/>
              </w:rPr>
            </w:pPr>
            <w:r>
              <w:rPr>
                <w:rFonts w:hint="eastAsia" w:ascii="宋体" w:hAnsi="宋体" w:cs="宋体"/>
                <w:szCs w:val="21"/>
                <w:highlight w:val="none"/>
                <w:u w:val="single"/>
              </w:rPr>
              <w:t>本项目最高投标限价总价为433.14万元，</w:t>
            </w:r>
            <w:r>
              <w:rPr>
                <w:rFonts w:hint="eastAsia" w:ascii="宋体" w:hAnsi="宋体" w:cs="宋体"/>
                <w:szCs w:val="21"/>
                <w:highlight w:val="none"/>
              </w:rPr>
              <w:t>其中：</w:t>
            </w:r>
            <w:r>
              <w:rPr>
                <w:rFonts w:hint="eastAsia" w:ascii="宋体" w:hAnsi="宋体" w:eastAsia="宋体" w:cs="宋体"/>
                <w:szCs w:val="21"/>
                <w:highlight w:val="none"/>
              </w:rPr>
              <w:t>工程设计费最高投标限价为</w:t>
            </w:r>
            <w:r>
              <w:rPr>
                <w:rFonts w:hint="eastAsia" w:ascii="宋体" w:hAnsi="宋体" w:eastAsia="宋体" w:cs="宋体"/>
                <w:szCs w:val="21"/>
                <w:highlight w:val="none"/>
                <w:u w:val="single"/>
              </w:rPr>
              <w:t xml:space="preserve"> </w:t>
            </w:r>
            <w:r>
              <w:rPr>
                <w:rFonts w:hint="default" w:ascii="宋体" w:hAnsi="宋体" w:eastAsia="宋体" w:cs="宋体"/>
                <w:szCs w:val="21"/>
                <w:highlight w:val="none"/>
                <w:u w:val="single"/>
              </w:rPr>
              <w:t xml:space="preserve">411.99 </w:t>
            </w:r>
            <w:r>
              <w:rPr>
                <w:rFonts w:hint="eastAsia" w:ascii="宋体" w:hAnsi="宋体" w:eastAsia="宋体" w:cs="宋体"/>
                <w:szCs w:val="21"/>
                <w:highlight w:val="none"/>
              </w:rPr>
              <w:t>万元。（专业</w:t>
            </w:r>
            <w:r>
              <w:rPr>
                <w:rFonts w:hint="default" w:ascii="宋体" w:hAnsi="宋体" w:eastAsia="宋体" w:cs="宋体"/>
                <w:szCs w:val="21"/>
                <w:highlight w:val="none"/>
              </w:rPr>
              <w:t>业调整系数1.1，复杂程度系数1.15，附加调整系数1.4</w:t>
            </w:r>
            <w:r>
              <w:rPr>
                <w:rFonts w:hint="eastAsia" w:ascii="宋体" w:hAnsi="宋体" w:eastAsia="宋体" w:cs="宋体"/>
                <w:szCs w:val="21"/>
                <w:highlight w:val="none"/>
              </w:rPr>
              <w:t>）</w:t>
            </w:r>
            <w:r>
              <w:rPr>
                <w:rFonts w:hint="eastAsia" w:ascii="宋体" w:hAnsi="宋体" w:cs="宋体"/>
                <w:szCs w:val="21"/>
                <w:highlight w:val="none"/>
                <w:lang w:eastAsia="zh-CN"/>
              </w:rPr>
              <w:t>；</w:t>
            </w:r>
            <w:r>
              <w:rPr>
                <w:rFonts w:hint="eastAsia" w:ascii="宋体" w:hAnsi="宋体" w:eastAsia="宋体" w:cs="宋体"/>
                <w:szCs w:val="21"/>
                <w:highlight w:val="none"/>
              </w:rPr>
              <w:t>树木保护专章费最高投标限价为</w:t>
            </w:r>
            <w:r>
              <w:rPr>
                <w:rFonts w:hint="eastAsia" w:ascii="宋体" w:hAnsi="宋体" w:eastAsia="宋体" w:cs="宋体"/>
                <w:szCs w:val="21"/>
                <w:highlight w:val="none"/>
                <w:u w:val="single"/>
              </w:rPr>
              <w:t xml:space="preserve"> </w:t>
            </w:r>
            <w:r>
              <w:rPr>
                <w:rFonts w:hint="default" w:ascii="宋体" w:hAnsi="宋体" w:eastAsia="宋体" w:cs="宋体"/>
                <w:szCs w:val="21"/>
                <w:highlight w:val="none"/>
                <w:u w:val="single"/>
              </w:rPr>
              <w:t>21.</w:t>
            </w:r>
            <w:r>
              <w:rPr>
                <w:rFonts w:hint="eastAsia" w:ascii="宋体" w:hAnsi="宋体" w:eastAsia="宋体" w:cs="宋体"/>
                <w:szCs w:val="21"/>
                <w:highlight w:val="none"/>
                <w:u w:val="single"/>
              </w:rPr>
              <w:t>1</w:t>
            </w:r>
            <w:r>
              <w:rPr>
                <w:rFonts w:hint="default" w:ascii="宋体" w:hAnsi="宋体" w:eastAsia="宋体" w:cs="宋体"/>
                <w:szCs w:val="21"/>
                <w:highlight w:val="none"/>
                <w:u w:val="single"/>
              </w:rPr>
              <w:t>5</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w:t>
            </w:r>
          </w:p>
          <w:p>
            <w:pPr>
              <w:pStyle w:val="2"/>
              <w:keepNext w:val="0"/>
              <w:keepLines w:val="0"/>
              <w:suppressLineNumbers w:val="0"/>
              <w:spacing w:before="0" w:beforeAutospacing="0" w:after="0" w:afterAutospacing="0"/>
              <w:ind w:left="0" w:right="0"/>
              <w:rPr>
                <w:rFonts w:hint="eastAsia"/>
                <w:highlight w:val="none"/>
              </w:rPr>
            </w:pPr>
            <w:r>
              <w:rPr>
                <w:rFonts w:hint="eastAsia" w:ascii="宋体" w:hAnsi="宋体" w:cs="宋体"/>
                <w:bCs/>
                <w:szCs w:val="21"/>
                <w:highlight w:val="none"/>
                <w:u w:val="single"/>
                <w:lang w:val="en-US" w:eastAsia="zh-CN"/>
              </w:rPr>
              <w:t>投标报价不得超出最高投标限价总价或各分项限价，否则</w:t>
            </w:r>
            <w:r>
              <w:rPr>
                <w:rFonts w:hint="default" w:ascii="宋体" w:hAnsi="宋体" w:cs="宋体"/>
                <w:bCs/>
                <w:spacing w:val="0"/>
                <w:szCs w:val="21"/>
                <w:highlight w:val="none"/>
                <w:u w:val="single"/>
                <w:lang w:val="en-US" w:eastAsia="zh-CN"/>
              </w:rPr>
              <w:t>由评标委员会作废标处理</w:t>
            </w:r>
            <w:r>
              <w:rPr>
                <w:rFonts w:hint="eastAsia" w:ascii="宋体" w:hAnsi="宋体" w:cs="宋体"/>
                <w:bCs/>
                <w:spacing w:val="0"/>
                <w:szCs w:val="21"/>
                <w:highlight w:val="none"/>
                <w:u w:val="single"/>
                <w:lang w:val="en-US" w:eastAsia="zh-CN"/>
              </w:rPr>
              <w:t>。</w:t>
            </w:r>
          </w:p>
        </w:tc>
      </w:tr>
      <w:bookmarkEnd w:id="5"/>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2.4.5</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投标报价的其他要求</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2.5</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投标有效期</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u w:val="single"/>
              </w:rPr>
              <w:t>90</w:t>
            </w:r>
            <w:r>
              <w:rPr>
                <w:rFonts w:hint="eastAsia" w:ascii="宋体" w:hAnsi="宋体" w:eastAsia="宋体" w:cs="宋体"/>
                <w:szCs w:val="21"/>
                <w:highlight w:val="none"/>
              </w:rPr>
              <w:t>日历天（从投标截止时间计起）。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2.6</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投标保证金</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■方式一：不要求。</w:t>
            </w:r>
          </w:p>
          <w:p>
            <w:pPr>
              <w:keepNext w:val="0"/>
              <w:keepLines w:val="0"/>
              <w:suppressLineNumbers w:val="0"/>
              <w:spacing w:before="0" w:beforeAutospacing="0" w:after="0" w:afterAutospacing="0"/>
              <w:ind w:left="0" w:right="0"/>
              <w:rPr>
                <w:rFonts w:hint="eastAsia" w:ascii="宋体" w:hAnsi="宋体" w:eastAsia="宋体" w:cs="宋体"/>
                <w:strike/>
                <w:szCs w:val="21"/>
                <w:highlight w:val="none"/>
              </w:rPr>
            </w:pPr>
            <w:r>
              <w:rPr>
                <w:rFonts w:hint="eastAsia" w:ascii="宋体" w:hAnsi="宋体" w:eastAsia="宋体" w:cs="宋体"/>
                <w:strike/>
                <w:szCs w:val="21"/>
                <w:highlight w:val="none"/>
              </w:rPr>
              <w:t>□方式二：要求，具体要求如下：</w:t>
            </w:r>
          </w:p>
          <w:p>
            <w:pPr>
              <w:keepNext w:val="0"/>
              <w:keepLines w:val="0"/>
              <w:suppressLineNumbers w:val="0"/>
              <w:spacing w:before="0" w:beforeAutospacing="0" w:after="0" w:afterAutospacing="0"/>
              <w:ind w:left="0" w:right="0"/>
              <w:rPr>
                <w:rFonts w:hint="eastAsia" w:ascii="宋体" w:hAnsi="宋体" w:eastAsia="宋体" w:cs="宋体"/>
                <w:strike/>
                <w:szCs w:val="21"/>
                <w:highlight w:val="none"/>
              </w:rPr>
            </w:pPr>
            <w:r>
              <w:rPr>
                <w:rFonts w:hint="eastAsia" w:ascii="宋体" w:hAnsi="宋体" w:eastAsia="宋体" w:cs="宋体"/>
                <w:strike/>
                <w:szCs w:val="21"/>
                <w:highlight w:val="none"/>
              </w:rPr>
              <w:t>1.投标保证金的金额：</w:t>
            </w:r>
            <w:r>
              <w:rPr>
                <w:rFonts w:hint="eastAsia" w:ascii="宋体" w:hAnsi="宋体" w:eastAsia="宋体" w:cs="宋体"/>
                <w:strike/>
                <w:szCs w:val="21"/>
                <w:highlight w:val="none"/>
                <w:u w:val="single"/>
              </w:rPr>
              <w:t xml:space="preserve">        </w:t>
            </w:r>
            <w:r>
              <w:rPr>
                <w:rFonts w:hint="eastAsia" w:ascii="宋体" w:hAnsi="宋体" w:eastAsia="宋体" w:cs="宋体"/>
                <w:strike/>
                <w:szCs w:val="21"/>
                <w:highlight w:val="none"/>
              </w:rPr>
              <w:t>万元。</w:t>
            </w:r>
          </w:p>
          <w:p>
            <w:pPr>
              <w:keepNext w:val="0"/>
              <w:keepLines w:val="0"/>
              <w:suppressLineNumbers w:val="0"/>
              <w:spacing w:before="0" w:beforeAutospacing="0" w:after="0" w:afterAutospacing="0"/>
              <w:ind w:left="0" w:right="0"/>
              <w:rPr>
                <w:rFonts w:hint="eastAsia" w:ascii="宋体" w:hAnsi="宋体" w:eastAsia="宋体" w:cs="宋体"/>
                <w:strike/>
                <w:szCs w:val="21"/>
                <w:highlight w:val="none"/>
              </w:rPr>
            </w:pPr>
            <w:r>
              <w:rPr>
                <w:rFonts w:hint="eastAsia" w:ascii="宋体" w:hAnsi="宋体" w:eastAsia="宋体" w:cs="宋体"/>
                <w:strike/>
                <w:szCs w:val="21"/>
                <w:highlight w:val="none"/>
              </w:rPr>
              <w:t>2.投标保证金的形式：投标保证金可采用</w:t>
            </w:r>
            <w:r>
              <w:rPr>
                <w:rFonts w:hint="eastAsia" w:ascii="宋体" w:hAnsi="宋体" w:eastAsia="宋体" w:cs="宋体"/>
                <w:strike/>
                <w:szCs w:val="21"/>
                <w:highlight w:val="none"/>
                <w:u w:val="single"/>
              </w:rPr>
              <w:t>投标保函、转账、现金、支票、汇票、投标保证保险等</w:t>
            </w:r>
            <w:r>
              <w:rPr>
                <w:rFonts w:hint="eastAsia" w:ascii="宋体" w:hAnsi="宋体" w:eastAsia="宋体" w:cs="宋体"/>
                <w:strike/>
                <w:szCs w:val="21"/>
                <w:highlight w:val="none"/>
              </w:rPr>
              <w:t>形式，须在投标文件截止时间前完成缴纳。</w:t>
            </w:r>
          </w:p>
          <w:p>
            <w:pPr>
              <w:keepNext w:val="0"/>
              <w:keepLines w:val="0"/>
              <w:suppressLineNumbers w:val="0"/>
              <w:spacing w:before="0" w:beforeAutospacing="0" w:after="0" w:afterAutospacing="0"/>
              <w:ind w:left="0" w:right="0"/>
              <w:rPr>
                <w:rFonts w:hint="eastAsia" w:ascii="宋体" w:hAnsi="宋体" w:eastAsia="宋体" w:cs="宋体"/>
                <w:strike/>
                <w:szCs w:val="21"/>
                <w:highlight w:val="none"/>
              </w:rPr>
            </w:pPr>
            <w:r>
              <w:rPr>
                <w:rFonts w:hint="eastAsia" w:ascii="宋体" w:hAnsi="宋体" w:eastAsia="宋体" w:cs="宋体"/>
                <w:strike/>
                <w:szCs w:val="21"/>
                <w:highlight w:val="none"/>
              </w:rPr>
              <w:t>□方式三：招标人自定的其它方式（招标人不得限定投标保证金只能以现金形式提交）。</w:t>
            </w:r>
          </w:p>
          <w:p>
            <w:pPr>
              <w:keepNext w:val="0"/>
              <w:keepLines w:val="0"/>
              <w:suppressLineNumbers w:val="0"/>
              <w:spacing w:before="0" w:beforeAutospacing="0" w:after="0" w:afterAutospacing="0"/>
              <w:ind w:left="0" w:right="0"/>
              <w:rPr>
                <w:rFonts w:hint="eastAsia" w:eastAsia="Times New Roman" w:cs="Times New Roman"/>
                <w:highlight w:val="none"/>
              </w:rPr>
            </w:pPr>
            <w:r>
              <w:rPr>
                <w:rFonts w:hint="eastAsia" w:ascii="宋体" w:hAnsi="宋体" w:eastAsia="宋体" w:cs="宋体"/>
                <w:strike/>
                <w:szCs w:val="21"/>
                <w:highlight w:val="none"/>
              </w:rPr>
              <w:t>注：招标人可对信用良好企业、中小企业免收投标保证金。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2.7</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投标文件的递交</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1.投标截止时间：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w:t>
            </w:r>
          </w:p>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rPr>
              <w:t>2.递交方式：广州交易集团有限公司（广州公共资源交易中心）网站上递交电子投标文件。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3.1</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开标时间和地点</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1.开标时间：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分（与投标截止时间为同一时间）。</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2.开标方式：广州交易集团有限公司（广州公共资源交易中心）网站上电子开标。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3.3.1</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评标委员会的组建</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kern w:val="0"/>
                <w:szCs w:val="21"/>
                <w:highlight w:val="none"/>
              </w:rPr>
              <w:t>评标委员会由招标人依法组建</w:t>
            </w:r>
            <w:r>
              <w:rPr>
                <w:rFonts w:hint="eastAsia" w:ascii="宋体" w:hAnsi="宋体" w:eastAsia="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3.3.4</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评标委员会推荐中标候选人的人数</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■不采用评定分离，中标候选人</w:t>
            </w:r>
            <w:r>
              <w:rPr>
                <w:rFonts w:hint="eastAsia" w:ascii="宋体" w:hAnsi="宋体" w:eastAsia="宋体" w:cs="宋体"/>
                <w:szCs w:val="21"/>
                <w:highlight w:val="none"/>
                <w:u w:val="single"/>
              </w:rPr>
              <w:t>3</w:t>
            </w:r>
            <w:r>
              <w:rPr>
                <w:rFonts w:hint="eastAsia" w:ascii="宋体" w:hAnsi="宋体" w:eastAsia="宋体" w:cs="宋体"/>
                <w:szCs w:val="21"/>
                <w:highlight w:val="none"/>
              </w:rPr>
              <w:t>名（不超过3名）。</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trike/>
                <w:szCs w:val="21"/>
                <w:highlight w:val="none"/>
              </w:rPr>
              <w:t>□采用评定分离，中标候选人</w:t>
            </w:r>
            <w:r>
              <w:rPr>
                <w:rFonts w:hint="eastAsia" w:ascii="宋体" w:hAnsi="宋体" w:eastAsia="宋体" w:cs="宋体"/>
                <w:strike/>
                <w:szCs w:val="21"/>
                <w:highlight w:val="none"/>
                <w:u w:val="single"/>
              </w:rPr>
              <w:t xml:space="preserve">      </w:t>
            </w:r>
            <w:r>
              <w:rPr>
                <w:rFonts w:hint="eastAsia" w:ascii="宋体" w:hAnsi="宋体" w:eastAsia="宋体" w:cs="宋体"/>
                <w:strike/>
                <w:szCs w:val="21"/>
                <w:highlight w:val="none"/>
              </w:rPr>
              <w:t>名（建议3-5名）。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3.4</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评标办法</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■综合评分法一（投标人综合得分＝商务得分×30%+技术得分×70%）。</w:t>
            </w:r>
          </w:p>
          <w:p>
            <w:pPr>
              <w:keepNext w:val="0"/>
              <w:keepLines w:val="0"/>
              <w:suppressLineNumbers w:val="0"/>
              <w:spacing w:before="0" w:beforeAutospacing="0" w:after="0" w:afterAutospacing="0"/>
              <w:ind w:left="0" w:right="0"/>
              <w:rPr>
                <w:rFonts w:hint="eastAsia" w:ascii="宋体" w:hAnsi="宋体" w:eastAsia="宋体" w:cs="宋体"/>
                <w:strike/>
                <w:szCs w:val="21"/>
                <w:highlight w:val="none"/>
              </w:rPr>
            </w:pPr>
            <w:r>
              <w:rPr>
                <w:rFonts w:hint="eastAsia" w:ascii="宋体" w:hAnsi="宋体" w:eastAsia="宋体" w:cs="宋体"/>
                <w:strike/>
                <w:szCs w:val="21"/>
                <w:highlight w:val="none"/>
              </w:rPr>
              <w:t>□综合评分法二（投标人综合得分＝商务得分×20%+技术得分×70%+报价得分×10%）。</w:t>
            </w:r>
          </w:p>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trike/>
                <w:szCs w:val="21"/>
                <w:highlight w:val="none"/>
              </w:rPr>
              <w:t>□投票法。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3.4.1（9）</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商务和技术得分汇总方式（适用于综合评分法）</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■方式一：所有评委分数去掉一个最高分和一个最低分，剩余分数的算术平均值为投标人商务和技术文件的得分。</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□方式二：所有评委分数的算术平均值为投标人商务和技术文件的得分。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4.4</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技术成果经济补偿</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□是，具体要求：</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4.5</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履约担保</w:t>
            </w:r>
          </w:p>
        </w:tc>
        <w:tc>
          <w:tcPr>
            <w:tcW w:w="6941"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trike/>
                <w:szCs w:val="21"/>
                <w:highlight w:val="none"/>
              </w:rPr>
            </w:pPr>
            <w:r>
              <w:rPr>
                <w:rFonts w:hint="eastAsia" w:ascii="宋体" w:hAnsi="宋体" w:eastAsia="宋体" w:cs="宋体"/>
                <w:strike/>
                <w:szCs w:val="21"/>
                <w:highlight w:val="none"/>
              </w:rPr>
              <w:t>□要求。履约保证金金额：</w:t>
            </w:r>
            <w:r>
              <w:rPr>
                <w:rFonts w:hint="eastAsia" w:ascii="宋体" w:hAnsi="宋体" w:eastAsia="宋体" w:cs="宋体"/>
                <w:strike/>
                <w:szCs w:val="21"/>
                <w:highlight w:val="none"/>
                <w:u w:val="single"/>
              </w:rPr>
              <w:t xml:space="preserve">          </w:t>
            </w:r>
            <w:r>
              <w:rPr>
                <w:rFonts w:hint="eastAsia" w:ascii="宋体" w:hAnsi="宋体" w:eastAsia="宋体" w:cs="宋体"/>
                <w:strike/>
                <w:szCs w:val="21"/>
                <w:highlight w:val="none"/>
              </w:rPr>
              <w:t>；履约保证金形式：可采用</w:t>
            </w:r>
            <w:r>
              <w:rPr>
                <w:rFonts w:hint="eastAsia" w:ascii="宋体" w:hAnsi="宋体" w:eastAsia="宋体" w:cs="宋体"/>
                <w:strike/>
                <w:szCs w:val="21"/>
                <w:highlight w:val="none"/>
                <w:u w:val="single"/>
              </w:rPr>
              <w:t>银行或担保公司保函、转账、现金、支票、汇票、履约保证保险</w:t>
            </w:r>
            <w:r>
              <w:rPr>
                <w:rFonts w:hint="eastAsia" w:ascii="宋体" w:hAnsi="宋体" w:eastAsia="宋体" w:cs="宋体"/>
                <w:strike/>
                <w:szCs w:val="21"/>
                <w:highlight w:val="none"/>
              </w:rPr>
              <w:t>等形式（招标人不能限定只能以现金形式提交）。</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■不要求。</w:t>
            </w:r>
          </w:p>
        </w:tc>
      </w:tr>
      <w:tr>
        <w:tblPrEx>
          <w:tblCellMar>
            <w:top w:w="0" w:type="dxa"/>
            <w:left w:w="108" w:type="dxa"/>
            <w:bottom w:w="0" w:type="dxa"/>
            <w:right w:w="108" w:type="dxa"/>
          </w:tblCellMar>
        </w:tblPrEx>
        <w:trPr>
          <w:cantSplit/>
          <w:trHeight w:val="620" w:hRule="atLeast"/>
          <w:jc w:val="center"/>
        </w:trPr>
        <w:tc>
          <w:tcPr>
            <w:tcW w:w="766" w:type="dxa"/>
            <w:tcBorders>
              <w:top w:val="single" w:color="auto" w:sz="4" w:space="0"/>
              <w:left w:val="single" w:color="auto" w:sz="4" w:space="0"/>
              <w:bottom w:val="doub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p>
        </w:tc>
        <w:tc>
          <w:tcPr>
            <w:tcW w:w="2183" w:type="dxa"/>
            <w:tcBorders>
              <w:top w:val="single" w:color="auto" w:sz="4" w:space="0"/>
              <w:left w:val="single" w:color="auto" w:sz="4" w:space="0"/>
              <w:bottom w:val="doub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6941" w:type="dxa"/>
            <w:tcBorders>
              <w:top w:val="single" w:color="auto" w:sz="4" w:space="0"/>
              <w:left w:val="single" w:color="auto" w:sz="4" w:space="0"/>
              <w:bottom w:val="doub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u w:val="single"/>
              </w:rPr>
              <w:t>无</w:t>
            </w:r>
          </w:p>
        </w:tc>
      </w:tr>
    </w:tbl>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pStyle w:val="4"/>
        <w:rPr>
          <w:rFonts w:hint="eastAsia" w:ascii="宋体" w:hAnsi="宋体"/>
          <w:highlight w:val="none"/>
        </w:rPr>
      </w:pPr>
      <w:r>
        <w:rPr>
          <w:rFonts w:hint="eastAsia" w:ascii="宋体" w:hAnsi="宋体"/>
          <w:highlight w:val="none"/>
        </w:rPr>
        <w:br w:type="page"/>
      </w:r>
      <w:bookmarkStart w:id="6" w:name="_Toc76384529"/>
      <w:r>
        <w:rPr>
          <w:rFonts w:hint="eastAsia" w:ascii="宋体" w:hAnsi="宋体"/>
          <w:highlight w:val="none"/>
        </w:rPr>
        <w:t>二、投标须知修改表</w:t>
      </w:r>
      <w:bookmarkEnd w:id="6"/>
    </w:p>
    <w:p>
      <w:pPr>
        <w:adjustRightInd w:val="0"/>
        <w:snapToGrid w:val="0"/>
        <w:ind w:firstLine="420"/>
        <w:rPr>
          <w:rFonts w:hint="eastAsia" w:ascii="宋体" w:hAnsi="宋体" w:cs="宋体"/>
          <w:highlight w:val="none"/>
        </w:rPr>
      </w:pPr>
      <w:r>
        <w:rPr>
          <w:rFonts w:hint="eastAsia" w:ascii="宋体" w:hAnsi="宋体" w:cs="宋体"/>
          <w:b/>
          <w:szCs w:val="21"/>
          <w:highlight w:val="none"/>
        </w:rPr>
        <w:t>本投标须知使用GZYLZB2022-3招标文件范本的投标须知通用条款，与该通用条款不同之处，均在本表中列明，修改之处均以下划线标明，并以现文为准，原文不再有效。没有在本表中列明的条款，以原文为准。本招标文件中不再转录投标须知通用条款，请投标人自行到广州市林业和园林局网站（网址：</w:t>
      </w:r>
      <w:r>
        <w:rPr>
          <w:rFonts w:hint="eastAsia" w:ascii="宋体" w:hAnsi="宋体" w:cs="宋体"/>
          <w:b/>
          <w:szCs w:val="21"/>
          <w:highlight w:val="none"/>
          <w:u w:val="single"/>
        </w:rPr>
        <w:t>http://lyylj.gz.gov.cn/</w:t>
      </w:r>
      <w:r>
        <w:rPr>
          <w:rFonts w:hint="eastAsia" w:ascii="宋体" w:hAnsi="宋体" w:cs="宋体"/>
          <w:b/>
          <w:szCs w:val="21"/>
          <w:highlight w:val="none"/>
        </w:rPr>
        <w:t>）下载查阅。</w:t>
      </w:r>
    </w:p>
    <w:tbl>
      <w:tblPr>
        <w:tblStyle w:val="2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47"/>
        <w:gridCol w:w="4407"/>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4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条款号</w:t>
            </w:r>
          </w:p>
        </w:tc>
        <w:tc>
          <w:tcPr>
            <w:tcW w:w="440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范本原文</w:t>
            </w:r>
          </w:p>
        </w:tc>
        <w:tc>
          <w:tcPr>
            <w:tcW w:w="4124"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04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highlight w:val="none"/>
              </w:rPr>
              <w:t>1.2.1</w:t>
            </w:r>
          </w:p>
        </w:tc>
        <w:tc>
          <w:tcPr>
            <w:tcW w:w="4407" w:type="dxa"/>
            <w:noWrap w:val="0"/>
            <w:vAlign w:val="top"/>
          </w:tcPr>
          <w:p>
            <w:pPr>
              <w:keepNext w:val="0"/>
              <w:keepLines w:val="0"/>
              <w:suppressLineNumbers w:val="0"/>
              <w:adjustRightInd w:val="0"/>
              <w:snapToGrid w:val="0"/>
              <w:spacing w:before="0" w:beforeAutospacing="0" w:after="0" w:afterAutospacing="0"/>
              <w:ind w:left="718" w:right="0" w:hanging="718" w:hangingChars="342"/>
              <w:rPr>
                <w:rFonts w:hint="eastAsia" w:ascii="宋体" w:hAnsi="宋体" w:eastAsia="宋体" w:cs="宋体"/>
                <w:szCs w:val="21"/>
                <w:highlight w:val="none"/>
              </w:rPr>
            </w:pPr>
            <w:r>
              <w:rPr>
                <w:rFonts w:hint="eastAsia" w:ascii="宋体" w:hAnsi="宋体" w:eastAsia="宋体" w:cs="宋体"/>
                <w:szCs w:val="21"/>
                <w:highlight w:val="none"/>
              </w:rPr>
              <w:t>工程名称、工程建设地点、工程建设规模、招</w:t>
            </w:r>
          </w:p>
          <w:p>
            <w:pPr>
              <w:keepNext w:val="0"/>
              <w:keepLines w:val="0"/>
              <w:suppressLineNumbers w:val="0"/>
              <w:adjustRightInd w:val="0"/>
              <w:snapToGrid w:val="0"/>
              <w:spacing w:before="0" w:beforeAutospacing="0" w:after="0" w:afterAutospacing="0"/>
              <w:ind w:left="718" w:right="0" w:hanging="718" w:hangingChars="342"/>
              <w:rPr>
                <w:rFonts w:hint="eastAsia" w:ascii="宋体" w:hAnsi="宋体" w:eastAsia="宋体" w:cs="宋体"/>
                <w:szCs w:val="21"/>
                <w:highlight w:val="none"/>
              </w:rPr>
            </w:pPr>
            <w:r>
              <w:rPr>
                <w:rFonts w:hint="eastAsia" w:ascii="宋体" w:hAnsi="宋体" w:eastAsia="宋体" w:cs="宋体"/>
                <w:szCs w:val="21"/>
                <w:highlight w:val="none"/>
              </w:rPr>
              <w:t>标内容、投资总额、勘察设计服务期限：见投</w:t>
            </w:r>
          </w:p>
          <w:p>
            <w:pPr>
              <w:keepNext w:val="0"/>
              <w:keepLines w:val="0"/>
              <w:suppressLineNumbers w:val="0"/>
              <w:adjustRightInd w:val="0"/>
              <w:snapToGrid w:val="0"/>
              <w:spacing w:before="0" w:beforeAutospacing="0" w:after="0" w:afterAutospacing="0"/>
              <w:ind w:left="718" w:right="0" w:hanging="718" w:hangingChars="342"/>
              <w:rPr>
                <w:rFonts w:hint="eastAsia" w:ascii="宋体" w:hAnsi="宋体" w:eastAsia="宋体" w:cs="宋体"/>
                <w:szCs w:val="21"/>
                <w:highlight w:val="none"/>
              </w:rPr>
            </w:pPr>
            <w:r>
              <w:rPr>
                <w:rFonts w:hint="eastAsia" w:ascii="宋体" w:hAnsi="宋体" w:eastAsia="宋体" w:cs="宋体"/>
                <w:szCs w:val="21"/>
                <w:highlight w:val="none"/>
              </w:rPr>
              <w:t>标须知前附表。</w:t>
            </w:r>
          </w:p>
        </w:tc>
        <w:tc>
          <w:tcPr>
            <w:tcW w:w="4124" w:type="dxa"/>
            <w:noWrap w:val="0"/>
            <w:vAlign w:val="top"/>
          </w:tcPr>
          <w:p>
            <w:pPr>
              <w:keepNext w:val="0"/>
              <w:keepLines w:val="0"/>
              <w:suppressLineNumbers w:val="0"/>
              <w:adjustRightInd w:val="0"/>
              <w:snapToGrid w:val="0"/>
              <w:spacing w:before="0" w:beforeAutospacing="0" w:after="0" w:afterAutospacing="0"/>
              <w:ind w:left="718" w:right="0" w:hanging="718" w:hangingChars="342"/>
              <w:rPr>
                <w:rFonts w:hint="eastAsia" w:ascii="宋体" w:hAnsi="宋体" w:eastAsia="宋体" w:cs="宋体"/>
                <w:szCs w:val="21"/>
                <w:highlight w:val="none"/>
              </w:rPr>
            </w:pPr>
            <w:r>
              <w:rPr>
                <w:rFonts w:hint="eastAsia" w:ascii="宋体" w:hAnsi="宋体" w:eastAsia="宋体" w:cs="宋体"/>
                <w:szCs w:val="21"/>
                <w:highlight w:val="none"/>
              </w:rPr>
              <w:t>工程名称、工程建设地点、工程建设规模、</w:t>
            </w:r>
          </w:p>
          <w:p>
            <w:pPr>
              <w:keepNext w:val="0"/>
              <w:keepLines w:val="0"/>
              <w:suppressLineNumbers w:val="0"/>
              <w:adjustRightInd w:val="0"/>
              <w:snapToGrid w:val="0"/>
              <w:spacing w:before="0" w:beforeAutospacing="0" w:after="0" w:afterAutospacing="0"/>
              <w:ind w:left="718" w:right="0" w:hanging="718" w:hangingChars="342"/>
              <w:rPr>
                <w:rFonts w:hint="eastAsia" w:ascii="宋体" w:hAnsi="宋体" w:eastAsia="宋体" w:cs="宋体"/>
                <w:szCs w:val="21"/>
                <w:highlight w:val="none"/>
              </w:rPr>
            </w:pPr>
            <w:r>
              <w:rPr>
                <w:rFonts w:hint="eastAsia" w:ascii="宋体" w:hAnsi="宋体" w:eastAsia="宋体" w:cs="宋体"/>
                <w:szCs w:val="21"/>
                <w:highlight w:val="none"/>
              </w:rPr>
              <w:t>招标内容、投资总额、设计服务期限：</w:t>
            </w:r>
          </w:p>
          <w:p>
            <w:pPr>
              <w:keepNext w:val="0"/>
              <w:keepLines w:val="0"/>
              <w:suppressLineNumbers w:val="0"/>
              <w:adjustRightInd w:val="0"/>
              <w:snapToGrid w:val="0"/>
              <w:spacing w:before="0" w:beforeAutospacing="0" w:after="0" w:afterAutospacing="0"/>
              <w:ind w:left="718" w:right="0" w:hanging="718" w:hangingChars="342"/>
              <w:rPr>
                <w:rFonts w:hint="eastAsia" w:ascii="宋体" w:hAnsi="宋体" w:eastAsia="宋体" w:cs="宋体"/>
                <w:szCs w:val="21"/>
                <w:highlight w:val="none"/>
              </w:rPr>
            </w:pPr>
            <w:r>
              <w:rPr>
                <w:rFonts w:hint="eastAsia" w:ascii="宋体" w:hAnsi="宋体" w:eastAsia="宋体" w:cs="宋体"/>
                <w:szCs w:val="21"/>
                <w:highlight w:val="none"/>
              </w:rPr>
              <w:t>见投标须知前附表。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1047" w:type="dxa"/>
            <w:noWrap w:val="0"/>
            <w:vAlign w:val="top"/>
          </w:tcPr>
          <w:p>
            <w:pPr>
              <w:keepNext w:val="0"/>
              <w:keepLines w:val="0"/>
              <w:suppressLineNumbers w:val="0"/>
              <w:spacing w:before="0" w:beforeAutospacing="0" w:after="0" w:afterAutospacing="0"/>
              <w:ind w:left="0" w:right="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407" w:type="dxa"/>
            <w:noWrap w:val="0"/>
            <w:vAlign w:val="top"/>
          </w:tcPr>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投标人存在下列情形之一的，不得参加投标</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（1）为招标人不具有独立法人资格的附属机构（单位）；</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（2）与招标人存在利害关系且可能影响招标公正性；</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（3）与本招标项目的其他投标人为同一个单位负责人；</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（4）与本招标项目的其他投标人存在控股、管理关系；</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（5）为本招标项目的代建人；</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（6）为本招标项目的招标代理机构；</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（7）与本招标项目的代建人或招标代理机构同为一个法定代表人；</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（8）与本招标项目的代建人或招标代理机构存在控股或参股关系；</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（9）被依法暂停或者取消投标资格；</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（10）被责令停产停业、暂扣或者吊销许可证、暂扣或者吊销执照；</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（11）进入清算程序，或被宣告破产，或其他丧失履约能力的情形；</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（12）在最近三年内发生重大设计质量问题（以相关行业主管部门的行政处罚决定或司法机关出具的有关法律文书为准）；</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（13）被工商行政管理机关在全国企业信用信息公示系统中列入严重违法失信企业名单；</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（14）被最高人民法院在“信用中国”网站（www.creditchina.gov.cn）或各级信用信息</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共享平台中列入失信被执行人名单；</w:t>
            </w:r>
          </w:p>
          <w:p>
            <w:pPr>
              <w:keepNext w:val="0"/>
              <w:keepLines w:val="0"/>
              <w:suppressLineNumbers w:val="0"/>
              <w:spacing w:before="0" w:beforeAutospacing="0" w:after="0" w:afterAutospacing="0"/>
              <w:ind w:left="0" w:right="0"/>
              <w:rPr>
                <w:rFonts w:hint="default" w:ascii="宋体" w:hAnsi="宋体" w:eastAsia="宋体" w:cs="宋体"/>
                <w:szCs w:val="21"/>
                <w:highlight w:val="none"/>
              </w:rPr>
            </w:pPr>
            <w:r>
              <w:rPr>
                <w:rFonts w:hint="eastAsia" w:ascii="宋体" w:hAnsi="宋体" w:cs="宋体"/>
                <w:szCs w:val="21"/>
                <w:highlight w:val="none"/>
              </w:rPr>
              <w:t>(15)被列入国家、省、市失信联合惩戒名单（具体名单以递交投标文件截止时间“信用广州”网站公布的“失信联合惩戒黑名单——国家下发”为准），或因失信行为被本项目所在地行政主管部门作出限制参与工程建设项目投标的决定。</w:t>
            </w:r>
          </w:p>
        </w:tc>
        <w:tc>
          <w:tcPr>
            <w:tcW w:w="4124" w:type="dxa"/>
            <w:noWrap w:val="0"/>
            <w:vAlign w:val="top"/>
          </w:tcPr>
          <w:p>
            <w:pPr>
              <w:keepNext w:val="0"/>
              <w:keepLines w:val="0"/>
              <w:suppressLineNumbers w:val="0"/>
              <w:spacing w:before="0" w:beforeAutospacing="0" w:after="0" w:afterAutospacing="0"/>
              <w:ind w:left="0" w:right="0"/>
              <w:rPr>
                <w:rFonts w:hint="default" w:ascii="宋体" w:hAnsi="宋体" w:cs="宋体"/>
                <w:b w:val="0"/>
                <w:bCs/>
                <w:szCs w:val="21"/>
                <w:highlight w:val="none"/>
              </w:rPr>
            </w:pPr>
            <w:r>
              <w:rPr>
                <w:rFonts w:hint="eastAsia" w:ascii="宋体" w:hAnsi="宋体" w:cs="宋体"/>
                <w:b w:val="0"/>
                <w:bCs/>
                <w:szCs w:val="21"/>
                <w:highlight w:val="none"/>
                <w:lang w:val="en-US" w:eastAsia="zh-CN"/>
              </w:rPr>
              <w:t>修改：</w:t>
            </w:r>
            <w:r>
              <w:rPr>
                <w:rFonts w:hint="eastAsia" w:ascii="宋体" w:hAnsi="宋体" w:cs="宋体"/>
                <w:b w:val="0"/>
                <w:bCs/>
                <w:szCs w:val="21"/>
                <w:highlight w:val="none"/>
              </w:rPr>
              <w:t>投标人存在下列情形之一的，不得参加投标</w:t>
            </w:r>
          </w:p>
          <w:p>
            <w:pPr>
              <w:keepNext w:val="0"/>
              <w:keepLines w:val="0"/>
              <w:suppressLineNumbers w:val="0"/>
              <w:spacing w:before="0" w:beforeAutospacing="0" w:after="0" w:afterAutospacing="0"/>
              <w:ind w:left="0" w:right="0"/>
              <w:rPr>
                <w:rFonts w:hint="default" w:ascii="宋体" w:hAnsi="宋体" w:cs="宋体"/>
                <w:b w:val="0"/>
                <w:bCs/>
                <w:szCs w:val="21"/>
                <w:highlight w:val="none"/>
              </w:rPr>
            </w:pPr>
            <w:r>
              <w:rPr>
                <w:rFonts w:hint="eastAsia" w:ascii="宋体" w:hAnsi="宋体" w:cs="宋体"/>
                <w:b w:val="0"/>
                <w:bCs/>
                <w:szCs w:val="21"/>
                <w:highlight w:val="none"/>
              </w:rPr>
              <w:t>（1）为招标人不具有独立法人资格的附属机构（单位）；</w:t>
            </w:r>
          </w:p>
          <w:p>
            <w:pPr>
              <w:keepNext w:val="0"/>
              <w:keepLines w:val="0"/>
              <w:suppressLineNumbers w:val="0"/>
              <w:spacing w:before="0" w:beforeAutospacing="0" w:after="0" w:afterAutospacing="0"/>
              <w:ind w:left="0" w:right="0"/>
              <w:rPr>
                <w:rFonts w:hint="default" w:ascii="宋体" w:hAnsi="宋体" w:cs="宋体"/>
                <w:b w:val="0"/>
                <w:bCs/>
                <w:szCs w:val="21"/>
                <w:highlight w:val="none"/>
              </w:rPr>
            </w:pPr>
            <w:r>
              <w:rPr>
                <w:rFonts w:hint="eastAsia" w:ascii="宋体" w:hAnsi="宋体" w:cs="宋体"/>
                <w:b w:val="0"/>
                <w:bCs/>
                <w:szCs w:val="21"/>
                <w:highlight w:val="none"/>
              </w:rPr>
              <w:t>（2）与招标人存在利害关系且可能影响招标公正性；</w:t>
            </w:r>
          </w:p>
          <w:p>
            <w:pPr>
              <w:keepNext w:val="0"/>
              <w:keepLines w:val="0"/>
              <w:suppressLineNumbers w:val="0"/>
              <w:spacing w:before="0" w:beforeAutospacing="0" w:after="0" w:afterAutospacing="0"/>
              <w:ind w:left="0" w:right="0"/>
              <w:rPr>
                <w:rFonts w:hint="default" w:ascii="宋体" w:hAnsi="宋体" w:cs="宋体"/>
                <w:b w:val="0"/>
                <w:bCs/>
                <w:szCs w:val="21"/>
                <w:highlight w:val="none"/>
              </w:rPr>
            </w:pPr>
            <w:r>
              <w:rPr>
                <w:rFonts w:hint="eastAsia" w:ascii="宋体" w:hAnsi="宋体" w:cs="宋体"/>
                <w:b w:val="0"/>
                <w:bCs/>
                <w:szCs w:val="21"/>
                <w:highlight w:val="none"/>
              </w:rPr>
              <w:t>（3）与本招标项目的其他投标人为同一个单位负责人；</w:t>
            </w:r>
          </w:p>
          <w:p>
            <w:pPr>
              <w:keepNext w:val="0"/>
              <w:keepLines w:val="0"/>
              <w:suppressLineNumbers w:val="0"/>
              <w:spacing w:before="0" w:beforeAutospacing="0" w:after="0" w:afterAutospacing="0"/>
              <w:ind w:left="0" w:right="0"/>
              <w:rPr>
                <w:rFonts w:hint="default" w:ascii="宋体" w:hAnsi="宋体" w:cs="宋体"/>
                <w:b w:val="0"/>
                <w:bCs/>
                <w:szCs w:val="21"/>
                <w:highlight w:val="none"/>
              </w:rPr>
            </w:pPr>
            <w:r>
              <w:rPr>
                <w:rFonts w:hint="eastAsia" w:ascii="宋体" w:hAnsi="宋体" w:cs="宋体"/>
                <w:b w:val="0"/>
                <w:bCs/>
                <w:szCs w:val="21"/>
                <w:highlight w:val="none"/>
              </w:rPr>
              <w:t>（4）与本招标项目的其他投标人存在控股、管理关系；</w:t>
            </w:r>
          </w:p>
          <w:p>
            <w:pPr>
              <w:keepNext w:val="0"/>
              <w:keepLines w:val="0"/>
              <w:suppressLineNumbers w:val="0"/>
              <w:spacing w:before="0" w:beforeAutospacing="0" w:after="0" w:afterAutospacing="0"/>
              <w:ind w:left="0" w:right="0"/>
              <w:rPr>
                <w:rFonts w:hint="default" w:ascii="宋体" w:hAnsi="宋体" w:cs="宋体"/>
                <w:b w:val="0"/>
                <w:bCs/>
                <w:szCs w:val="21"/>
                <w:highlight w:val="none"/>
              </w:rPr>
            </w:pPr>
            <w:r>
              <w:rPr>
                <w:rFonts w:hint="eastAsia" w:ascii="宋体" w:hAnsi="宋体" w:cs="宋体"/>
                <w:b w:val="0"/>
                <w:bCs/>
                <w:szCs w:val="21"/>
                <w:highlight w:val="none"/>
              </w:rPr>
              <w:t>（5）为本招标项目的代建人；</w:t>
            </w:r>
          </w:p>
          <w:p>
            <w:pPr>
              <w:keepNext w:val="0"/>
              <w:keepLines w:val="0"/>
              <w:suppressLineNumbers w:val="0"/>
              <w:spacing w:before="0" w:beforeAutospacing="0" w:after="0" w:afterAutospacing="0"/>
              <w:ind w:left="0" w:right="0"/>
              <w:rPr>
                <w:rFonts w:hint="default" w:ascii="宋体" w:hAnsi="宋体" w:cs="宋体"/>
                <w:b w:val="0"/>
                <w:bCs/>
                <w:szCs w:val="21"/>
                <w:highlight w:val="none"/>
              </w:rPr>
            </w:pPr>
            <w:r>
              <w:rPr>
                <w:rFonts w:hint="eastAsia" w:ascii="宋体" w:hAnsi="宋体" w:cs="宋体"/>
                <w:b w:val="0"/>
                <w:bCs/>
                <w:szCs w:val="21"/>
                <w:highlight w:val="none"/>
              </w:rPr>
              <w:t>（6）为本招标项目的招标代理机构；</w:t>
            </w:r>
          </w:p>
          <w:p>
            <w:pPr>
              <w:keepNext w:val="0"/>
              <w:keepLines w:val="0"/>
              <w:suppressLineNumbers w:val="0"/>
              <w:spacing w:before="0" w:beforeAutospacing="0" w:after="0" w:afterAutospacing="0"/>
              <w:ind w:left="0" w:right="0"/>
              <w:rPr>
                <w:rFonts w:hint="default" w:ascii="宋体" w:hAnsi="宋体" w:cs="宋体"/>
                <w:b w:val="0"/>
                <w:bCs/>
                <w:szCs w:val="21"/>
                <w:highlight w:val="none"/>
              </w:rPr>
            </w:pPr>
            <w:r>
              <w:rPr>
                <w:rFonts w:hint="eastAsia" w:ascii="宋体" w:hAnsi="宋体" w:cs="宋体"/>
                <w:b w:val="0"/>
                <w:bCs/>
                <w:szCs w:val="21"/>
                <w:highlight w:val="none"/>
              </w:rPr>
              <w:t>（7）与本招标项目的代建人或招标代理机构同为一个法定代表人；</w:t>
            </w:r>
          </w:p>
          <w:p>
            <w:pPr>
              <w:keepNext w:val="0"/>
              <w:keepLines w:val="0"/>
              <w:suppressLineNumbers w:val="0"/>
              <w:spacing w:before="0" w:beforeAutospacing="0" w:after="0" w:afterAutospacing="0"/>
              <w:ind w:left="0" w:right="0"/>
              <w:rPr>
                <w:rFonts w:hint="default" w:ascii="宋体" w:hAnsi="宋体" w:cs="宋体"/>
                <w:b w:val="0"/>
                <w:bCs/>
                <w:szCs w:val="21"/>
                <w:highlight w:val="none"/>
              </w:rPr>
            </w:pPr>
            <w:r>
              <w:rPr>
                <w:rFonts w:hint="eastAsia" w:ascii="宋体" w:hAnsi="宋体" w:cs="宋体"/>
                <w:b w:val="0"/>
                <w:bCs/>
                <w:szCs w:val="21"/>
                <w:highlight w:val="none"/>
              </w:rPr>
              <w:t>（8）与本招标项目的代建人或招标代理机构存在控股或参股关系；</w:t>
            </w:r>
          </w:p>
          <w:p>
            <w:pPr>
              <w:keepNext w:val="0"/>
              <w:keepLines w:val="0"/>
              <w:suppressLineNumbers w:val="0"/>
              <w:spacing w:before="0" w:beforeAutospacing="0" w:after="0" w:afterAutospacing="0"/>
              <w:ind w:left="0" w:right="0"/>
              <w:rPr>
                <w:rFonts w:hint="default" w:ascii="宋体" w:hAnsi="宋体" w:cs="宋体"/>
                <w:b w:val="0"/>
                <w:bCs/>
                <w:szCs w:val="21"/>
                <w:highlight w:val="none"/>
                <w:u w:val="single"/>
              </w:rPr>
            </w:pPr>
            <w:r>
              <w:rPr>
                <w:rFonts w:hint="eastAsia" w:ascii="宋体" w:hAnsi="宋体" w:cs="宋体"/>
                <w:b w:val="0"/>
                <w:bCs/>
                <w:szCs w:val="21"/>
                <w:highlight w:val="none"/>
              </w:rPr>
              <w:t>（9）被依法暂停或者取消投标资格；</w:t>
            </w:r>
            <w:r>
              <w:rPr>
                <w:rFonts w:hint="eastAsia" w:ascii="宋体" w:hAnsi="宋体" w:cs="宋体"/>
                <w:b w:val="0"/>
                <w:bCs/>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pPr>
              <w:keepNext w:val="0"/>
              <w:keepLines w:val="0"/>
              <w:suppressLineNumbers w:val="0"/>
              <w:spacing w:before="0" w:beforeAutospacing="0" w:after="0" w:afterAutospacing="0"/>
              <w:ind w:left="0" w:right="0"/>
              <w:rPr>
                <w:rFonts w:hint="default" w:ascii="宋体" w:hAnsi="宋体" w:cs="宋体"/>
                <w:b w:val="0"/>
                <w:bCs/>
                <w:szCs w:val="21"/>
                <w:highlight w:val="none"/>
                <w:u w:val="single"/>
              </w:rPr>
            </w:pPr>
            <w:r>
              <w:rPr>
                <w:rFonts w:hint="eastAsia" w:ascii="宋体" w:hAnsi="宋体" w:cs="宋体"/>
                <w:b w:val="0"/>
                <w:bCs/>
                <w:szCs w:val="21"/>
                <w:highlight w:val="none"/>
              </w:rPr>
              <w:t>（10）被责令停产停业、暂扣或者吊销许可证、暂扣或者吊销执照；</w:t>
            </w:r>
            <w:r>
              <w:rPr>
                <w:rFonts w:hint="eastAsia" w:ascii="宋体" w:hAnsi="宋体" w:cs="宋体"/>
                <w:b w:val="0"/>
                <w:bCs/>
                <w:szCs w:val="21"/>
                <w:highlight w:val="none"/>
                <w:u w:val="single"/>
              </w:rPr>
              <w:t>（本项事实应当以根据《中华人民共和国行政处罚法》依法作出并已经生效的行政处罚决定为认定依据。）</w:t>
            </w:r>
          </w:p>
          <w:p>
            <w:pPr>
              <w:keepNext w:val="0"/>
              <w:keepLines w:val="0"/>
              <w:suppressLineNumbers w:val="0"/>
              <w:spacing w:before="0" w:beforeAutospacing="0" w:after="0" w:afterAutospacing="0"/>
              <w:ind w:left="0" w:right="0"/>
              <w:rPr>
                <w:rFonts w:hint="default" w:ascii="宋体" w:hAnsi="宋体" w:cs="宋体"/>
                <w:b w:val="0"/>
                <w:bCs/>
                <w:szCs w:val="21"/>
                <w:highlight w:val="none"/>
                <w:u w:val="none"/>
              </w:rPr>
            </w:pPr>
            <w:r>
              <w:rPr>
                <w:rFonts w:hint="eastAsia" w:ascii="宋体" w:hAnsi="宋体" w:cs="宋体"/>
                <w:b w:val="0"/>
                <w:bCs/>
                <w:szCs w:val="21"/>
                <w:highlight w:val="none"/>
                <w:u w:val="none"/>
              </w:rPr>
              <w:t>（11）进入清算程序，或被宣告破产，或其他丧失履约能力的情形；</w:t>
            </w:r>
          </w:p>
          <w:p>
            <w:pPr>
              <w:keepNext w:val="0"/>
              <w:keepLines w:val="0"/>
              <w:suppressLineNumbers w:val="0"/>
              <w:spacing w:before="0" w:beforeAutospacing="0" w:after="0" w:afterAutospacing="0"/>
              <w:ind w:left="0" w:right="0"/>
              <w:rPr>
                <w:rFonts w:hint="default" w:ascii="宋体" w:hAnsi="宋体" w:cs="宋体"/>
                <w:b w:val="0"/>
                <w:bCs/>
                <w:szCs w:val="21"/>
                <w:highlight w:val="none"/>
                <w:u w:val="single"/>
              </w:rPr>
            </w:pPr>
            <w:r>
              <w:rPr>
                <w:rFonts w:hint="eastAsia" w:ascii="宋体" w:hAnsi="宋体" w:cs="宋体"/>
                <w:b w:val="0"/>
                <w:bCs/>
                <w:szCs w:val="21"/>
                <w:highlight w:val="none"/>
              </w:rPr>
              <w:t>（12）在最近三年内发生重大设计质量问题；</w:t>
            </w:r>
            <w:r>
              <w:rPr>
                <w:rFonts w:hint="eastAsia" w:ascii="宋体" w:hAnsi="宋体" w:cs="宋体"/>
                <w:b w:val="0"/>
                <w:bCs/>
                <w:szCs w:val="21"/>
                <w:highlight w:val="none"/>
                <w:u w:val="single"/>
              </w:rPr>
              <w:t xml:space="preserve">（“重大设计质量问题”应当以相关行业主管部门的行政处罚决定或者司法机关出具的有关法律文书为准。“最近三年”是指从投标截止时间之日起逆推三年，以相关行业主管部门、司法机关出具的生效文件的落款时间起计算） </w:t>
            </w:r>
          </w:p>
          <w:p>
            <w:pPr>
              <w:keepNext w:val="0"/>
              <w:keepLines w:val="0"/>
              <w:suppressLineNumbers w:val="0"/>
              <w:spacing w:before="0" w:beforeAutospacing="0" w:after="0" w:afterAutospacing="0"/>
              <w:ind w:left="0" w:right="0"/>
              <w:rPr>
                <w:rFonts w:hint="default" w:ascii="宋体" w:hAnsi="宋体" w:eastAsia="宋体" w:cs="宋体"/>
                <w:b/>
                <w:szCs w:val="21"/>
                <w:highlight w:val="none"/>
              </w:rPr>
            </w:pPr>
            <w:r>
              <w:rPr>
                <w:rFonts w:hint="eastAsia" w:ascii="宋体" w:hAnsi="宋体" w:cs="宋体"/>
                <w:b w:val="0"/>
                <w:bCs/>
                <w:szCs w:val="21"/>
                <w:highlight w:val="none"/>
                <w:u w:val="single"/>
              </w:rPr>
              <w:t>（13）法律法规或投标人须知前附表规定的其他情形。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2.1.3</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澄清或答疑纪要是招标文件的组成部分，对投标人起约束作用。若招标答疑纪要或澄清与招标文件有矛盾时，以交易平台网站最后发布的答疑纪要或澄清为准。</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b/>
                <w:szCs w:val="21"/>
                <w:highlight w:val="none"/>
              </w:rPr>
              <w:t>修改：</w:t>
            </w:r>
            <w:r>
              <w:rPr>
                <w:rFonts w:hint="eastAsia" w:ascii="宋体" w:hAnsi="宋体" w:eastAsia="宋体" w:cs="宋体"/>
                <w:szCs w:val="21"/>
                <w:highlight w:val="none"/>
              </w:rPr>
              <w:t>澄清或答疑纪要是招标文件的组成部分，对投标人起约束作用。若招标答疑纪要或澄清与招标文件有矛盾时，以交易平台网站最后发布的答疑纪要或澄清为准。</w:t>
            </w:r>
            <w:r>
              <w:rPr>
                <w:rFonts w:hint="eastAsia" w:ascii="宋体" w:hAnsi="宋体" w:eastAsia="宋体" w:cs="Times New Roman"/>
                <w:szCs w:val="21"/>
                <w:highlight w:val="none"/>
                <w:u w:val="single"/>
              </w:rPr>
              <w:t>招标文件的澄清或修改一经在交易平台网站发布，视作已发放给所有投标人。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cs="Times New Roman"/>
                <w:szCs w:val="21"/>
                <w:highlight w:val="none"/>
                <w:lang w:val="en-US" w:eastAsia="zh-CN"/>
              </w:rPr>
              <w:t>4</w:t>
            </w:r>
          </w:p>
        </w:tc>
        <w:tc>
          <w:tcPr>
            <w:tcW w:w="104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highlight w:val="none"/>
              </w:rPr>
            </w:pPr>
            <w:r>
              <w:rPr>
                <w:rFonts w:hint="eastAsia" w:ascii="宋体" w:hAnsi="宋体" w:eastAsia="宋体" w:cs="Times New Roman"/>
                <w:szCs w:val="21"/>
                <w:highlight w:val="none"/>
              </w:rPr>
              <w:t>2.4.1</w:t>
            </w:r>
          </w:p>
        </w:tc>
        <w:tc>
          <w:tcPr>
            <w:tcW w:w="440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highlight w:val="none"/>
              </w:rPr>
            </w:pPr>
            <w:r>
              <w:rPr>
                <w:rFonts w:hint="eastAsia" w:ascii="宋体" w:hAnsi="宋体" w:eastAsia="宋体" w:cs="Times New Roman"/>
                <w:szCs w:val="21"/>
                <w:highlight w:val="none"/>
              </w:rPr>
              <w:t>投标人应按第五章《投标文件格式》的要求进行报价并填写《勘察设计费报价表》</w:t>
            </w:r>
          </w:p>
        </w:tc>
        <w:tc>
          <w:tcPr>
            <w:tcW w:w="412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highlight w:val="none"/>
              </w:rPr>
            </w:pPr>
            <w:r>
              <w:rPr>
                <w:rFonts w:hint="eastAsia" w:ascii="宋体" w:hAnsi="宋体" w:eastAsia="宋体" w:cs="Times New Roman"/>
                <w:szCs w:val="21"/>
                <w:highlight w:val="none"/>
              </w:rPr>
              <w:t>投标人应按第五章《投标文件格式》的要求进行报价并填写《投标报价汇总表》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highlight w:val="none"/>
              </w:rPr>
              <w:t>2.4.4</w:t>
            </w:r>
          </w:p>
        </w:tc>
        <w:tc>
          <w:tcPr>
            <w:tcW w:w="4407" w:type="dxa"/>
            <w:noWrap w:val="0"/>
            <w:vAlign w:val="top"/>
          </w:tcPr>
          <w:p>
            <w:pPr>
              <w:keepNext w:val="0"/>
              <w:keepLines w:val="0"/>
              <w:suppressLineNumbers w:val="0"/>
              <w:adjustRightInd w:val="0"/>
              <w:snapToGrid w:val="0"/>
              <w:spacing w:before="0" w:beforeAutospacing="0" w:after="0" w:afterAutospacing="0"/>
              <w:ind w:left="718" w:right="0" w:hanging="718" w:hangingChars="342"/>
              <w:rPr>
                <w:rFonts w:hint="eastAsia" w:ascii="宋体" w:hAnsi="宋体" w:eastAsia="宋体" w:cs="宋体"/>
                <w:highlight w:val="none"/>
              </w:rPr>
            </w:pPr>
            <w:r>
              <w:rPr>
                <w:rFonts w:hint="eastAsia" w:ascii="宋体" w:hAnsi="宋体" w:eastAsia="宋体" w:cs="宋体"/>
                <w:highlight w:val="none"/>
              </w:rPr>
              <w:t>投标人在投标截止时间前修改投标函中的投</w:t>
            </w:r>
          </w:p>
          <w:p>
            <w:pPr>
              <w:keepNext w:val="0"/>
              <w:keepLines w:val="0"/>
              <w:suppressLineNumbers w:val="0"/>
              <w:adjustRightInd w:val="0"/>
              <w:snapToGrid w:val="0"/>
              <w:spacing w:before="0" w:beforeAutospacing="0" w:after="0" w:afterAutospacing="0"/>
              <w:ind w:left="718" w:right="0" w:hanging="718" w:hangingChars="342"/>
              <w:rPr>
                <w:rFonts w:hint="eastAsia" w:ascii="宋体" w:hAnsi="宋体" w:eastAsia="宋体" w:cs="宋体"/>
                <w:highlight w:val="none"/>
              </w:rPr>
            </w:pPr>
            <w:r>
              <w:rPr>
                <w:rFonts w:hint="eastAsia" w:ascii="宋体" w:hAnsi="宋体" w:eastAsia="宋体" w:cs="宋体"/>
                <w:highlight w:val="none"/>
              </w:rPr>
              <w:t>标报价总额，应同时修改投标文件《勘察设</w:t>
            </w:r>
          </w:p>
          <w:p>
            <w:pPr>
              <w:keepNext w:val="0"/>
              <w:keepLines w:val="0"/>
              <w:suppressLineNumbers w:val="0"/>
              <w:adjustRightInd w:val="0"/>
              <w:snapToGrid w:val="0"/>
              <w:spacing w:before="0" w:beforeAutospacing="0" w:after="0" w:afterAutospacing="0"/>
              <w:ind w:left="718" w:right="0" w:hanging="718" w:hangingChars="342"/>
              <w:rPr>
                <w:rFonts w:hint="eastAsia" w:ascii="宋体" w:hAnsi="宋体" w:eastAsia="宋体" w:cs="宋体"/>
                <w:szCs w:val="21"/>
                <w:highlight w:val="none"/>
              </w:rPr>
            </w:pPr>
            <w:r>
              <w:rPr>
                <w:rFonts w:hint="eastAsia" w:ascii="宋体" w:hAnsi="宋体" w:eastAsia="宋体" w:cs="宋体"/>
                <w:highlight w:val="none"/>
              </w:rPr>
              <w:t>计费报价表》中的相应报价。</w:t>
            </w:r>
          </w:p>
        </w:tc>
        <w:tc>
          <w:tcPr>
            <w:tcW w:w="4124" w:type="dxa"/>
            <w:noWrap w:val="0"/>
            <w:vAlign w:val="top"/>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highlight w:val="none"/>
              </w:rPr>
            </w:pPr>
            <w:r>
              <w:rPr>
                <w:rFonts w:hint="eastAsia" w:ascii="宋体" w:hAnsi="宋体" w:eastAsia="宋体" w:cs="宋体"/>
                <w:highlight w:val="none"/>
              </w:rPr>
              <w:t>投标人在投标截止时间前修改投标函中的投标报价总额，应同时修改投标文件《投报价汇总表》中的相应报价。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6</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2.6</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b/>
                <w:bCs/>
                <w:highlight w:val="none"/>
              </w:rPr>
              <w:t>2.6 投标保证金</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2.6.1 投标人应按投标须知前附表所述金额和时间递交投标保证金。招标人可委托广州交易集团有限公司（广州公共资源交易中心）具体实施保证金的收取和退还工作，并按照《广东省实施&lt;中华人民共和国招标投标法&gt;办法》第二十五条规定，按期退回投标保证金。</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2.6.2 所有投标保证金必须由投标单位的银行基本账户转出。</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2.6.3 如采用转帐、现金、支票、汇票形式提交的，可委托广州交易集团有限公司（广州公共资源交易中心）代收投标保证金的，其缴纳情况以广州公共资源交易平台数据库记录的信息为准。缴费的操作详见广州交易集团有限公司（广州公共资源交易中心）网站操作指引。</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2.6.4 如采用保函或保险形式提交的，银行保函需开具给招标人，银行保函有效期不少于投标有效期。保证保险须开具给招标人（受益人须为招标人），保证保险有效期不少于投标有效期。纸质保函或保险等凭证需在投标截止时间前将原件单独密封（封口处加盖投标人单位公章）递交至开标室。</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2.6.5 投标人未按要求递交投标保证金的，其投标文件将被否决。</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2.6.6 有下列情形之一的，投标保证金将不予退还：</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 xml:space="preserve">（1）投标人在投标有效期内撤销投标文件； </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（2）中标人在收到中标通知书后，无正当理由不与招标人订立合同，在签订合同时向招标人提出附加条件，或者不按照招标文件要求提交履约保证金。</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修改：</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b/>
                <w:bCs/>
                <w:highlight w:val="none"/>
              </w:rPr>
              <w:t>2.6 投标保证金</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7</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lang w:eastAsia="zh-CN"/>
              </w:rPr>
            </w:pPr>
            <w:r>
              <w:rPr>
                <w:rFonts w:hint="eastAsia" w:ascii="宋体" w:hAnsi="宋体" w:eastAsia="宋体" w:cs="宋体"/>
                <w:szCs w:val="21"/>
                <w:highlight w:val="none"/>
              </w:rPr>
              <w:t>2.7.</w:t>
            </w:r>
            <w:r>
              <w:rPr>
                <w:rFonts w:hint="eastAsia" w:ascii="宋体" w:hAnsi="宋体" w:cs="宋体"/>
                <w:szCs w:val="21"/>
                <w:highlight w:val="none"/>
                <w:lang w:val="en-US" w:eastAsia="zh-CN"/>
              </w:rPr>
              <w:t>4</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cs="宋体"/>
                <w:szCs w:val="21"/>
                <w:highlight w:val="none"/>
              </w:rPr>
              <w:t>逾期送达的投标文件，交易平台将予以拒收。</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cs="宋体"/>
                <w:b/>
                <w:szCs w:val="21"/>
                <w:highlight w:val="none"/>
                <w:lang w:val="en-US" w:eastAsia="zh-CN"/>
              </w:rPr>
              <w:t>修改</w:t>
            </w:r>
            <w:r>
              <w:rPr>
                <w:rFonts w:hint="eastAsia" w:ascii="宋体" w:hAnsi="宋体" w:eastAsia="宋体" w:cs="宋体"/>
                <w:b/>
                <w:szCs w:val="21"/>
                <w:highlight w:val="none"/>
              </w:rPr>
              <w:t>：</w:t>
            </w:r>
            <w:r>
              <w:rPr>
                <w:rFonts w:hint="eastAsia" w:ascii="宋体" w:hAnsi="宋体" w:cs="宋体"/>
                <w:szCs w:val="21"/>
                <w:highlight w:val="none"/>
              </w:rPr>
              <w:t>逾期送达的投标文件，交易平台将予以拒收。</w:t>
            </w:r>
          </w:p>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u w:val="single"/>
              </w:rPr>
              <w:t>拒绝接收投标文件光盘（备用）的情况：</w:t>
            </w:r>
          </w:p>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u w:val="single"/>
              </w:rPr>
              <w:t>（1）逾期或未在指定地点递交投标文件光盘（备用）；</w:t>
            </w:r>
          </w:p>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u w:val="single"/>
              </w:rPr>
              <w:t>（2）投标人递交的投标文件光盘（备用）未按招标文件要求密封或未在密封处盖章的；</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u w:val="single"/>
              </w:rPr>
              <w:t>（3）投标人代表未凭法定代表人证明书原件（格式见招标文件附录）、法定代表人授权委托书原件（非法定代表人递交投标文件光盘时提供，格式见招标文件附录）、本人身份证复印件（提供原件核对）递交投标文件光盘（备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8</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2.9.1</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提交投标文件光盘备用</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b/>
                <w:szCs w:val="21"/>
                <w:highlight w:val="none"/>
              </w:rPr>
              <w:t>修改：</w:t>
            </w:r>
            <w:r>
              <w:rPr>
                <w:rFonts w:hint="eastAsia" w:ascii="宋体" w:hAnsi="宋体" w:eastAsia="宋体" w:cs="宋体"/>
                <w:szCs w:val="21"/>
                <w:highlight w:val="none"/>
              </w:rPr>
              <w:t>提交投标文件光盘备用</w:t>
            </w:r>
          </w:p>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rPr>
              <w:t xml:space="preserve">投标人可制作非加密的电子投标文件刻入光盘（1份），在招标公告规定的时间、地点提交备用。       </w:t>
            </w:r>
            <w:r>
              <w:rPr>
                <w:rFonts w:hint="eastAsia" w:ascii="宋体" w:hAnsi="宋体" w:eastAsia="宋体" w:cs="宋体"/>
                <w:szCs w:val="21"/>
                <w:highlight w:val="none"/>
                <w:u w:val="single"/>
              </w:rPr>
              <w:t>投标文件光盘（备用）1份包括“开标文件光盘”“资格审查文件光盘”“商务文件光盘”“技术文件（设计方案）光盘”“保密文件光盘”共5只光盘。</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（1）</w:t>
            </w:r>
            <w:r>
              <w:rPr>
                <w:rFonts w:hint="eastAsia" w:ascii="宋体" w:hAnsi="宋体" w:eastAsia="宋体" w:cs="宋体"/>
                <w:b/>
                <w:szCs w:val="21"/>
                <w:highlight w:val="none"/>
                <w:u w:val="single"/>
              </w:rPr>
              <w:t>开标文件光盘</w:t>
            </w:r>
            <w:r>
              <w:rPr>
                <w:rFonts w:hint="eastAsia" w:ascii="宋体" w:hAnsi="宋体" w:eastAsia="宋体" w:cs="宋体"/>
                <w:szCs w:val="21"/>
                <w:highlight w:val="none"/>
                <w:u w:val="single"/>
              </w:rPr>
              <w:t>包括下列内容：</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(a)一套PDF格式制作的电子版开标信封文本文件。</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（2）</w:t>
            </w:r>
            <w:r>
              <w:rPr>
                <w:rFonts w:hint="eastAsia" w:ascii="宋体" w:hAnsi="宋体" w:eastAsia="宋体" w:cs="宋体"/>
                <w:b/>
                <w:szCs w:val="21"/>
                <w:highlight w:val="none"/>
                <w:u w:val="single"/>
              </w:rPr>
              <w:t>资格审查文件光盘</w:t>
            </w:r>
            <w:r>
              <w:rPr>
                <w:rFonts w:hint="eastAsia" w:ascii="宋体" w:hAnsi="宋体" w:eastAsia="宋体" w:cs="宋体"/>
                <w:szCs w:val="21"/>
                <w:highlight w:val="none"/>
                <w:u w:val="single"/>
              </w:rPr>
              <w:t>包括下列内容：</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(a)一套PDF格式制作的电子版资格审查文件文本文件。</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（3）</w:t>
            </w:r>
            <w:r>
              <w:rPr>
                <w:rFonts w:hint="eastAsia" w:ascii="宋体" w:hAnsi="宋体" w:eastAsia="宋体" w:cs="宋体"/>
                <w:b/>
                <w:szCs w:val="21"/>
                <w:highlight w:val="none"/>
                <w:u w:val="single"/>
              </w:rPr>
              <w:t>商务文件光盘</w:t>
            </w:r>
            <w:r>
              <w:rPr>
                <w:rFonts w:hint="eastAsia" w:ascii="宋体" w:hAnsi="宋体" w:eastAsia="宋体" w:cs="宋体"/>
                <w:szCs w:val="21"/>
                <w:highlight w:val="none"/>
                <w:u w:val="single"/>
              </w:rPr>
              <w:t>包括下列内容：</w:t>
            </w:r>
          </w:p>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u w:val="single"/>
              </w:rPr>
              <w:t>(a)一套PDF格式制作的电子版商务文件文本文件。</w:t>
            </w:r>
          </w:p>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（4）</w:t>
            </w:r>
            <w:r>
              <w:rPr>
                <w:rFonts w:hint="eastAsia" w:ascii="宋体" w:hAnsi="宋体" w:eastAsia="宋体" w:cs="宋体"/>
                <w:b/>
                <w:szCs w:val="21"/>
                <w:highlight w:val="none"/>
                <w:u w:val="single"/>
              </w:rPr>
              <w:t>技术文件（设计方案）光盘</w:t>
            </w:r>
            <w:r>
              <w:rPr>
                <w:rFonts w:hint="eastAsia" w:ascii="宋体" w:hAnsi="宋体" w:eastAsia="宋体" w:cs="宋体"/>
                <w:szCs w:val="21"/>
                <w:highlight w:val="none"/>
                <w:u w:val="single"/>
              </w:rPr>
              <w:t>包括下列内容：</w:t>
            </w:r>
          </w:p>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u w:val="single"/>
              </w:rPr>
              <w:t>(a)一套PDF格式制作的电子版技术文件（设计方案）文本文件。</w:t>
            </w:r>
          </w:p>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u w:val="single"/>
              </w:rPr>
              <w:t>（5）</w:t>
            </w:r>
            <w:r>
              <w:rPr>
                <w:rFonts w:hint="eastAsia" w:ascii="宋体" w:hAnsi="宋体" w:eastAsia="宋体" w:cs="宋体"/>
                <w:b/>
                <w:szCs w:val="21"/>
                <w:highlight w:val="none"/>
                <w:u w:val="single"/>
              </w:rPr>
              <w:t>保密文件光盘</w:t>
            </w:r>
            <w:r>
              <w:rPr>
                <w:rFonts w:hint="eastAsia" w:ascii="宋体" w:hAnsi="宋体" w:eastAsia="宋体" w:cs="宋体"/>
                <w:szCs w:val="21"/>
                <w:highlight w:val="none"/>
                <w:u w:val="single"/>
              </w:rPr>
              <w:t>包括下列内容：</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u w:val="single"/>
              </w:rPr>
              <w:t>(a)一张JPG格式内容为表现图的图形文件，加盖投标人公章，项目负责人署名。表现图内容应与设计方案一致（并注明表现图在设计方案中的页码或图号），用于分辨投标文件对应的投标人身份。</w:t>
            </w:r>
            <w:r>
              <w:rPr>
                <w:rFonts w:hint="eastAsia" w:ascii="宋体" w:hAnsi="宋体" w:eastAsia="宋体" w:cs="宋体"/>
                <w:szCs w:val="21"/>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szCs w:val="21"/>
                <w:highlight w:val="none"/>
                <w:u w:val="single"/>
              </w:rPr>
            </w:pPr>
            <w:r>
              <w:rPr>
                <w:rFonts w:hint="eastAsia" w:ascii="宋体" w:hAnsi="宋体" w:eastAsia="宋体" w:cs="宋体"/>
                <w:szCs w:val="21"/>
                <w:highlight w:val="none"/>
              </w:rPr>
              <w:t>（b）</w:t>
            </w:r>
            <w:r>
              <w:rPr>
                <w:rFonts w:hint="eastAsia" w:ascii="宋体" w:hAnsi="宋体" w:eastAsia="宋体" w:cs="宋体"/>
                <w:szCs w:val="21"/>
                <w:highlight w:val="none"/>
                <w:u w:val="single"/>
              </w:rPr>
              <w:t>刻录好的投标文件光盘分别密封在</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u w:val="single"/>
              </w:rPr>
              <w:t>不透明的密封袋并作标记，其中“开标文件光盘”“资格审查文件光盘”“商务文件光盘”应分别在密封袋上写明（1）招标人名称；（2）“[工程名称][开标文件光盘或资格审查文件光盘或商务文件光盘]”字样；（3）投标人名称；并在封口处加盖投标人单位公章；“技术文件（设计方案）光盘”“保密文件光盘”应仅在密封袋上写明（1）招标人名称；（2）“[工程名称][技术文件（设计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但应自行承担不提交光盘（备用）的风险。</w:t>
            </w:r>
            <w:r>
              <w:rPr>
                <w:rFonts w:hint="eastAsia" w:ascii="宋体" w:hAnsi="宋体" w:eastAsia="宋体" w:cs="宋体"/>
                <w:szCs w:val="21"/>
                <w:highlight w:val="none"/>
              </w:rPr>
              <w:t xml:space="preserve">    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9</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3.1.6 (3)</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（3）投标人未按要求递交投标保证金的。</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3.4.1（8）</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（8）评标委员会专家按附件6《投标报价得分表》对各投标单位的报价进行评分。</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1</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3.4.1（9）</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（9）评标委员会按投标须知前附表的规定计算各投标人的综合得分，填写附件7《综合得分汇总表》。</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综合评分法一：投标人综合得分＝商务文件得分×30%+技术文件得分×70%。</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综合评分法二：投标人综合得分＝商务文件得分×20%+技术文件得分×70%+投标报价得分×10%。</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修改：</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u w:val="single"/>
              </w:rPr>
              <w:t>（8）</w:t>
            </w:r>
            <w:r>
              <w:rPr>
                <w:rFonts w:hint="eastAsia" w:ascii="宋体" w:hAnsi="宋体" w:eastAsia="宋体" w:cs="宋体"/>
                <w:szCs w:val="21"/>
                <w:highlight w:val="none"/>
              </w:rPr>
              <w:t>评标委员会按投标须知前附表的规定计算各投标人的综合得分，填写附件7《综合得分汇总表》。</w:t>
            </w:r>
            <w:r>
              <w:rPr>
                <w:rFonts w:hint="eastAsia" w:ascii="宋体" w:hAnsi="宋体" w:eastAsia="宋体" w:cs="宋体"/>
                <w:szCs w:val="21"/>
                <w:highlight w:val="none"/>
                <w:u w:val="single"/>
              </w:rPr>
              <w:t>综合得分相同的，则以技术文件得分较高的排前；若技术文件得分仍相同的，以投标报价较低的排前；如仍存在相同情况，则对具有相同情况的投标人，由评标委员会采用记名投票方式，确定投标人最终名次的排序。</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综合评分法一：投标人综合得分＝商务文件得分×30%+技术文件得分×70%。</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trike/>
                <w:szCs w:val="21"/>
                <w:highlight w:val="none"/>
              </w:rPr>
              <w:t>综合评分法二：投标人综合得分＝商务文件得分×20%+技术文件得分×70%+投标报价得分×10%。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2</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3.4.1（10）</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10）评标委员会编写、签署评标报告。不采用评定分离的，评标委员会向招标人推荐按综合得分结果排序的中标候选人；采用评定分离的，评标委员会向招标人推荐不排序的中标候选人。评标报告由评标委员会全体成员签名，对评标结论持有异议的评标委员会成员可以书面方式阐述其不同意见和理由。</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修改：</w:t>
            </w:r>
          </w:p>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szCs w:val="21"/>
                <w:highlight w:val="none"/>
                <w:u w:val="single"/>
              </w:rPr>
              <w:t>（9）</w:t>
            </w:r>
            <w:r>
              <w:rPr>
                <w:rFonts w:hint="eastAsia" w:ascii="宋体" w:hAnsi="宋体" w:eastAsia="宋体" w:cs="宋体"/>
                <w:szCs w:val="21"/>
                <w:highlight w:val="none"/>
              </w:rPr>
              <w:t>评标委员会编写、签署评标报告。不采用评定分离的，评标委员会向招标人推荐按综合得分结果排序的中标候选人；采用评定分离的，评标委员会向招标人推荐不排序的中标候选人。评标报告由评标委员会全体成员签名，对评标结论持有异议的评标委员会成员可以书面方式阐述其不同意见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3</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3.4.1（11）</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（11）招标人（或招标代理机构）提前将揭晓评标结果的会议时间和地点通知所有投标人，并邀请投标人出席。公开展示所有投标文件，并根据请求告知已投标但未出席会议的投标人。</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修改：</w:t>
            </w:r>
          </w:p>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szCs w:val="21"/>
                <w:highlight w:val="none"/>
                <w:u w:val="single"/>
              </w:rPr>
              <w:t>（10）</w:t>
            </w:r>
            <w:r>
              <w:rPr>
                <w:rFonts w:hint="eastAsia" w:ascii="宋体" w:hAnsi="宋体" w:eastAsia="宋体" w:cs="宋体"/>
                <w:szCs w:val="21"/>
                <w:highlight w:val="none"/>
              </w:rPr>
              <w:t>招标人（或招标代理机构）提前将揭晓评标结果的会议时间和地点通知所有投标人，并邀请投标人出席。公开展示所有投标文件，并根据请求告知已投标但未出席会议的投标人。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4</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3.4.1（12）</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（12）评标委员会向招标人提交书面评标报告后即告解散，评标过程中使用的文件、表格以及其他资料应当即时归还招标人（或招标代理机构）。</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修改：</w:t>
            </w:r>
          </w:p>
          <w:p>
            <w:pPr>
              <w:keepNext w:val="0"/>
              <w:keepLines w:val="0"/>
              <w:suppressLineNumbers w:val="0"/>
              <w:tabs>
                <w:tab w:val="left" w:pos="1027"/>
              </w:tabs>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szCs w:val="21"/>
                <w:highlight w:val="none"/>
                <w:u w:val="single"/>
              </w:rPr>
              <w:t>（11）</w:t>
            </w:r>
            <w:r>
              <w:rPr>
                <w:rFonts w:hint="eastAsia" w:ascii="宋体" w:hAnsi="宋体" w:eastAsia="宋体" w:cs="宋体"/>
                <w:szCs w:val="21"/>
                <w:highlight w:val="none"/>
              </w:rPr>
              <w:t>评标委员会向招标人提交书面评标报告后即告解散，评标过程中使用的文件、表格以及其他资料应当即时归还招标人（或招标代理机构）。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5</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3.4.2</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bCs/>
                <w:szCs w:val="21"/>
                <w:highlight w:val="none"/>
              </w:rPr>
            </w:pPr>
            <w:r>
              <w:rPr>
                <w:rFonts w:hint="eastAsia" w:ascii="宋体" w:hAnsi="宋体" w:eastAsia="宋体" w:cs="宋体"/>
                <w:b/>
                <w:bCs/>
                <w:szCs w:val="21"/>
                <w:highlight w:val="none"/>
              </w:rPr>
              <w:t>办法二   投票法</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6</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highlight w:val="none"/>
              </w:rPr>
              <w:t>附件1</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bCs/>
                <w:szCs w:val="21"/>
                <w:highlight w:val="none"/>
              </w:rPr>
            </w:pPr>
            <w:r>
              <w:rPr>
                <w:rFonts w:hint="eastAsia" w:ascii="宋体" w:hAnsi="宋体" w:eastAsia="宋体" w:cs="宋体"/>
                <w:bCs/>
                <w:szCs w:val="21"/>
                <w:highlight w:val="none"/>
              </w:rPr>
              <w:t>资格审查表</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b/>
                <w:szCs w:val="21"/>
                <w:highlight w:val="none"/>
              </w:rPr>
              <w:t>修改：</w:t>
            </w:r>
            <w:r>
              <w:rPr>
                <w:rFonts w:hint="eastAsia" w:ascii="宋体" w:hAnsi="宋体" w:eastAsia="宋体" w:cs="宋体"/>
                <w:szCs w:val="21"/>
                <w:highlight w:val="none"/>
              </w:rPr>
              <w:t>详见《</w:t>
            </w:r>
            <w:r>
              <w:rPr>
                <w:rFonts w:hint="eastAsia" w:ascii="宋体" w:hAnsi="宋体" w:eastAsia="宋体" w:cs="宋体"/>
                <w:bCs/>
                <w:szCs w:val="21"/>
                <w:highlight w:val="none"/>
              </w:rPr>
              <w:t>资格审查表</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7</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附件2</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bCs/>
                <w:szCs w:val="21"/>
                <w:highlight w:val="none"/>
              </w:rPr>
            </w:pPr>
            <w:r>
              <w:rPr>
                <w:rFonts w:hint="eastAsia" w:ascii="宋体" w:hAnsi="宋体" w:eastAsia="宋体" w:cs="宋体"/>
                <w:szCs w:val="21"/>
                <w:highlight w:val="none"/>
              </w:rPr>
              <w:t>投标文件有效性审查表</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b/>
                <w:szCs w:val="21"/>
                <w:highlight w:val="none"/>
              </w:rPr>
              <w:t>修改：</w:t>
            </w:r>
            <w:r>
              <w:rPr>
                <w:rFonts w:hint="eastAsia" w:ascii="宋体" w:hAnsi="宋体" w:eastAsia="宋体" w:cs="宋体"/>
                <w:szCs w:val="21"/>
                <w:highlight w:val="none"/>
              </w:rPr>
              <w:t>详见《投标文件有效性审查表》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8</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附件4</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技术文件综合评分表（适用于综合评分法）</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b/>
                <w:szCs w:val="21"/>
                <w:highlight w:val="none"/>
              </w:rPr>
              <w:t>修改：</w:t>
            </w:r>
            <w:r>
              <w:rPr>
                <w:rFonts w:hint="eastAsia" w:ascii="宋体" w:hAnsi="宋体" w:eastAsia="宋体" w:cs="宋体"/>
                <w:szCs w:val="21"/>
                <w:highlight w:val="none"/>
              </w:rPr>
              <w:t>详见《技术文件综合评分表》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cs="宋体"/>
                <w:szCs w:val="21"/>
                <w:highlight w:val="none"/>
                <w:lang w:val="en-US" w:eastAsia="zh-CN"/>
              </w:rPr>
              <w:t>9</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附件5</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商务文件综合评分表（适用于综合评分法）</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b/>
                <w:szCs w:val="21"/>
                <w:highlight w:val="none"/>
              </w:rPr>
              <w:t>修改：</w:t>
            </w:r>
            <w:r>
              <w:rPr>
                <w:rFonts w:hint="eastAsia" w:ascii="宋体" w:hAnsi="宋体" w:eastAsia="宋体" w:cs="宋体"/>
                <w:szCs w:val="21"/>
                <w:highlight w:val="none"/>
              </w:rPr>
              <w:t>详见《商务文件综合评分表》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附件6</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投标报价得分表（适用于综合评分法二）</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cs="宋体"/>
                <w:szCs w:val="21"/>
                <w:highlight w:val="none"/>
                <w:lang w:val="en-US" w:eastAsia="zh-CN"/>
              </w:rPr>
              <w:t>1</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附件8</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设计方案评审记录表（适用于投票法）</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cs="宋体"/>
                <w:szCs w:val="21"/>
                <w:highlight w:val="none"/>
                <w:lang w:val="en-US" w:eastAsia="zh-CN"/>
              </w:rPr>
              <w:t>2</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附件9</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投标方案评语（适用于投票法）</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cs="宋体"/>
                <w:szCs w:val="21"/>
                <w:highlight w:val="none"/>
                <w:lang w:val="en-US" w:eastAsia="zh-CN"/>
              </w:rPr>
              <w:t>3</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附件10</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投票表格（适用于投票法）</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cs="宋体"/>
                <w:szCs w:val="21"/>
                <w:highlight w:val="none"/>
                <w:lang w:val="en-US" w:eastAsia="zh-CN"/>
              </w:rPr>
              <w:t>4</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附件11</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投票汇总表格（适用于投票法）</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cs="宋体"/>
                <w:szCs w:val="21"/>
                <w:highlight w:val="none"/>
                <w:lang w:val="en-US" w:eastAsia="zh-CN"/>
              </w:rPr>
              <w:t>5</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附件12</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定标委员会组建及定标办法</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cs="宋体"/>
                <w:szCs w:val="21"/>
                <w:highlight w:val="none"/>
                <w:lang w:val="en-US" w:eastAsia="zh-CN"/>
              </w:rPr>
              <w:t>6</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附件13</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定标办法设置说明</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cs="宋体"/>
                <w:szCs w:val="21"/>
                <w:highlight w:val="none"/>
                <w:lang w:val="en-US" w:eastAsia="zh-CN"/>
              </w:rPr>
              <w:t>7</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附件14</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勘察设计招标文件编制要求</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b/>
                <w:szCs w:val="21"/>
                <w:highlight w:val="none"/>
              </w:rPr>
              <w:t>修改：</w:t>
            </w:r>
            <w:r>
              <w:rPr>
                <w:rFonts w:hint="eastAsia" w:ascii="宋体" w:hAnsi="宋体" w:eastAsia="宋体" w:cs="宋体"/>
                <w:szCs w:val="21"/>
                <w:highlight w:val="none"/>
              </w:rPr>
              <w:t>详见《设计招标文件编制要求》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cs="宋体"/>
                <w:szCs w:val="21"/>
                <w:highlight w:val="none"/>
                <w:lang w:val="en-US" w:eastAsia="zh-CN"/>
              </w:rPr>
              <w:t>8</w:t>
            </w:r>
          </w:p>
        </w:tc>
        <w:tc>
          <w:tcPr>
            <w:tcW w:w="104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Times New Roman"/>
                <w:szCs w:val="21"/>
                <w:highlight w:val="none"/>
              </w:rPr>
              <w:t>附件15</w:t>
            </w:r>
          </w:p>
        </w:tc>
        <w:tc>
          <w:tcPr>
            <w:tcW w:w="440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Times New Roman"/>
                <w:szCs w:val="21"/>
                <w:highlight w:val="none"/>
              </w:rPr>
              <w:t>投标函</w:t>
            </w:r>
          </w:p>
        </w:tc>
        <w:tc>
          <w:tcPr>
            <w:tcW w:w="412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Times New Roman"/>
                <w:b/>
                <w:szCs w:val="21"/>
                <w:highlight w:val="none"/>
              </w:rPr>
              <w:t>修改：</w:t>
            </w:r>
            <w:r>
              <w:rPr>
                <w:rFonts w:hint="eastAsia" w:ascii="宋体" w:hAnsi="宋体" w:eastAsia="宋体" w:cs="Times New Roman"/>
                <w:szCs w:val="21"/>
                <w:highlight w:val="none"/>
              </w:rPr>
              <w:t>详见《投标函》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cs="宋体"/>
                <w:szCs w:val="21"/>
                <w:highlight w:val="none"/>
                <w:lang w:val="en-US" w:eastAsia="zh-CN"/>
              </w:rPr>
              <w:t>9</w:t>
            </w:r>
          </w:p>
        </w:tc>
        <w:tc>
          <w:tcPr>
            <w:tcW w:w="1047" w:type="dxa"/>
            <w:noWrap w:val="0"/>
            <w:vAlign w:val="center"/>
          </w:tcPr>
          <w:p>
            <w:pPr>
              <w:keepNext w:val="0"/>
              <w:keepLines w:val="0"/>
              <w:suppressLineNumbers w:val="0"/>
              <w:spacing w:before="0" w:beforeAutospacing="0" w:after="0" w:afterAutospacing="0"/>
              <w:ind w:left="0" w:right="0"/>
              <w:rPr>
                <w:rFonts w:hint="default" w:ascii="宋体" w:hAnsi="宋体" w:eastAsia="宋体" w:cs="宋体"/>
                <w:szCs w:val="21"/>
                <w:highlight w:val="none"/>
              </w:rPr>
            </w:pPr>
            <w:r>
              <w:rPr>
                <w:rFonts w:hint="eastAsia" w:ascii="宋体" w:hAnsi="宋体" w:eastAsia="宋体" w:cs="Times New Roman"/>
                <w:szCs w:val="21"/>
                <w:highlight w:val="none"/>
              </w:rPr>
              <w:t>附件18</w:t>
            </w:r>
          </w:p>
        </w:tc>
        <w:tc>
          <w:tcPr>
            <w:tcW w:w="440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eastAsia="宋体" w:cs="Times New Roman"/>
                <w:bCs/>
                <w:szCs w:val="21"/>
                <w:highlight w:val="none"/>
              </w:rPr>
              <w:t>联合体投标协议</w:t>
            </w:r>
          </w:p>
        </w:tc>
        <w:tc>
          <w:tcPr>
            <w:tcW w:w="412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Times New Roman"/>
                <w:b/>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30</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附录19</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勘察设计费报价表</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szCs w:val="21"/>
                <w:highlight w:val="none"/>
              </w:rPr>
            </w:pPr>
            <w:r>
              <w:rPr>
                <w:rFonts w:hint="eastAsia" w:ascii="宋体" w:hAnsi="宋体" w:eastAsia="宋体" w:cs="宋体"/>
                <w:b/>
                <w:szCs w:val="21"/>
                <w:highlight w:val="none"/>
              </w:rPr>
              <w:t>修改：</w:t>
            </w:r>
            <w:r>
              <w:rPr>
                <w:rFonts w:hint="eastAsia" w:ascii="宋体" w:hAnsi="宋体" w:eastAsia="宋体" w:cs="宋体"/>
                <w:szCs w:val="21"/>
                <w:highlight w:val="none"/>
              </w:rPr>
              <w:t>详见附件19</w:t>
            </w:r>
            <w:r>
              <w:rPr>
                <w:rFonts w:hint="eastAsia" w:ascii="宋体" w:hAnsi="宋体" w:eastAsia="宋体" w:cs="宋体"/>
                <w:highlight w:val="none"/>
              </w:rPr>
              <w:t>《</w:t>
            </w:r>
            <w:r>
              <w:rPr>
                <w:rFonts w:hint="eastAsia" w:ascii="宋体" w:hAnsi="宋体" w:eastAsia="宋体" w:cs="宋体"/>
                <w:szCs w:val="21"/>
                <w:highlight w:val="none"/>
              </w:rPr>
              <w:t>投标报价汇总表</w:t>
            </w: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3</w:t>
            </w:r>
            <w:r>
              <w:rPr>
                <w:rFonts w:hint="eastAsia" w:ascii="宋体" w:hAnsi="宋体" w:cs="宋体"/>
                <w:szCs w:val="21"/>
                <w:highlight w:val="none"/>
                <w:lang w:val="en-US" w:eastAsia="zh-CN"/>
              </w:rPr>
              <w:t>1</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附录20</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无</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b/>
                <w:bCs/>
                <w:szCs w:val="21"/>
                <w:highlight w:val="none"/>
              </w:rPr>
              <w:t>增加：</w:t>
            </w:r>
            <w:r>
              <w:rPr>
                <w:rFonts w:hint="eastAsia" w:ascii="宋体" w:hAnsi="宋体" w:eastAsia="宋体" w:cs="宋体"/>
                <w:highlight w:val="none"/>
              </w:rPr>
              <w:t>附件20《投标人已完成项目情况》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3</w:t>
            </w:r>
            <w:r>
              <w:rPr>
                <w:rFonts w:hint="eastAsia" w:ascii="宋体" w:hAnsi="宋体" w:cs="宋体"/>
                <w:szCs w:val="21"/>
                <w:highlight w:val="none"/>
                <w:lang w:val="en-US" w:eastAsia="zh-CN"/>
              </w:rPr>
              <w:t>2</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附录21</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无</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highlight w:val="none"/>
              </w:rPr>
            </w:pPr>
            <w:r>
              <w:rPr>
                <w:rFonts w:hint="eastAsia" w:ascii="宋体" w:hAnsi="宋体" w:eastAsia="宋体" w:cs="宋体"/>
                <w:b/>
                <w:bCs/>
                <w:szCs w:val="21"/>
                <w:highlight w:val="none"/>
              </w:rPr>
              <w:t>增加：</w:t>
            </w:r>
            <w:r>
              <w:rPr>
                <w:rFonts w:hint="eastAsia" w:ascii="宋体" w:hAnsi="宋体" w:eastAsia="宋体" w:cs="宋体"/>
                <w:highlight w:val="none"/>
              </w:rPr>
              <w:t>附件21《本项目拟投入的人员基本情况表</w:t>
            </w:r>
            <w:r>
              <w:rPr>
                <w:rFonts w:hint="eastAsia" w:ascii="宋体" w:hAnsi="宋体" w:eastAsia="宋体" w:cs="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3</w:t>
            </w:r>
            <w:r>
              <w:rPr>
                <w:rFonts w:hint="eastAsia" w:ascii="宋体" w:hAnsi="宋体" w:cs="宋体"/>
                <w:szCs w:val="21"/>
                <w:highlight w:val="none"/>
                <w:lang w:val="en-US" w:eastAsia="zh-CN"/>
              </w:rPr>
              <w:t>3</w:t>
            </w:r>
          </w:p>
        </w:tc>
        <w:tc>
          <w:tcPr>
            <w:tcW w:w="104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附录22</w:t>
            </w:r>
          </w:p>
        </w:tc>
        <w:tc>
          <w:tcPr>
            <w:tcW w:w="4407"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无</w:t>
            </w:r>
          </w:p>
        </w:tc>
        <w:tc>
          <w:tcPr>
            <w:tcW w:w="412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bCs/>
                <w:szCs w:val="21"/>
                <w:highlight w:val="none"/>
              </w:rPr>
            </w:pPr>
            <w:r>
              <w:rPr>
                <w:rFonts w:hint="eastAsia" w:ascii="宋体" w:hAnsi="宋体" w:eastAsia="宋体" w:cs="宋体"/>
                <w:b/>
                <w:bCs/>
                <w:szCs w:val="21"/>
                <w:highlight w:val="none"/>
              </w:rPr>
              <w:t>增加</w:t>
            </w:r>
            <w:r>
              <w:rPr>
                <w:rFonts w:hint="eastAsia" w:ascii="宋体" w:hAnsi="宋体" w:eastAsia="宋体" w:cs="宋体"/>
                <w:b/>
                <w:highlight w:val="none"/>
              </w:rPr>
              <w:t>：</w:t>
            </w:r>
            <w:r>
              <w:rPr>
                <w:rFonts w:hint="eastAsia" w:ascii="宋体" w:hAnsi="宋体" w:eastAsia="宋体" w:cs="宋体"/>
                <w:highlight w:val="none"/>
              </w:rPr>
              <w:t>附件22《投标文件光盘（备用）接收记录表格》</w:t>
            </w:r>
          </w:p>
        </w:tc>
      </w:tr>
    </w:tbl>
    <w:p>
      <w:pPr>
        <w:rPr>
          <w:rFonts w:hint="eastAsia" w:ascii="宋体" w:hAnsi="宋体" w:cs="宋体"/>
          <w:highlight w:val="none"/>
        </w:rPr>
      </w:pPr>
    </w:p>
    <w:p>
      <w:pPr>
        <w:adjustRightInd w:val="0"/>
        <w:snapToGrid w:val="0"/>
        <w:spacing w:line="360" w:lineRule="auto"/>
        <w:jc w:val="center"/>
        <w:rPr>
          <w:rStyle w:val="34"/>
          <w:rFonts w:hint="eastAsia" w:ascii="宋体" w:hAnsi="宋体"/>
          <w:highlight w:val="none"/>
        </w:rPr>
      </w:pPr>
      <w:bookmarkStart w:id="7" w:name="_Toc28297"/>
    </w:p>
    <w:p>
      <w:pPr>
        <w:adjustRightInd w:val="0"/>
        <w:snapToGrid w:val="0"/>
        <w:spacing w:line="360" w:lineRule="auto"/>
        <w:jc w:val="center"/>
        <w:rPr>
          <w:rFonts w:hint="eastAsia" w:ascii="宋体" w:hAnsi="宋体" w:cs="宋体"/>
          <w:b/>
          <w:sz w:val="36"/>
          <w:szCs w:val="36"/>
          <w:highlight w:val="none"/>
        </w:rPr>
      </w:pPr>
      <w:r>
        <w:rPr>
          <w:rStyle w:val="34"/>
          <w:rFonts w:hint="eastAsia" w:ascii="宋体" w:hAnsi="宋体"/>
          <w:highlight w:val="none"/>
        </w:rPr>
        <w:br w:type="page"/>
      </w:r>
      <w:r>
        <w:rPr>
          <w:rStyle w:val="34"/>
          <w:rFonts w:hint="eastAsia" w:ascii="宋体" w:hAnsi="宋体"/>
          <w:highlight w:val="none"/>
        </w:rPr>
        <w:t>三、投标须知通用条款</w:t>
      </w:r>
      <w:bookmarkEnd w:id="7"/>
    </w:p>
    <w:p>
      <w:pPr>
        <w:pStyle w:val="5"/>
        <w:rPr>
          <w:rFonts w:hint="eastAsia" w:ascii="宋体" w:hAnsi="宋体" w:cs="宋体"/>
          <w:highlight w:val="none"/>
        </w:rPr>
      </w:pPr>
      <w:bookmarkStart w:id="8" w:name="_Toc21289"/>
      <w:r>
        <w:rPr>
          <w:rFonts w:hint="eastAsia" w:ascii="宋体" w:hAnsi="宋体" w:cs="宋体"/>
          <w:highlight w:val="none"/>
        </w:rPr>
        <w:t>（一） 招标</w:t>
      </w:r>
      <w:bookmarkEnd w:id="8"/>
    </w:p>
    <w:p>
      <w:pPr>
        <w:adjustRightInd w:val="0"/>
        <w:snapToGrid w:val="0"/>
        <w:spacing w:line="360" w:lineRule="auto"/>
        <w:ind w:left="721" w:hanging="721" w:hangingChars="342"/>
        <w:rPr>
          <w:rFonts w:hint="eastAsia" w:ascii="宋体" w:hAnsi="宋体" w:cs="宋体"/>
          <w:highlight w:val="none"/>
        </w:rPr>
      </w:pPr>
      <w:r>
        <w:rPr>
          <w:rFonts w:hint="eastAsia" w:ascii="宋体" w:hAnsi="宋体" w:cs="宋体"/>
          <w:b/>
          <w:highlight w:val="none"/>
        </w:rPr>
        <w:t>1.1    定义</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1.1.1  “招标人”是指提出招标项目、进行招标的法人或者其他组织。</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1.1.2  “招标代理机构”是指从事招标代理业务并提供相关服务的社会中介组织。</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1.1.3  “投标人”是指响应招标、参加投标竞争的法人或者其他组织。</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1.1.4  “招标监督机构”是指招标活动的监督机构。</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1.1.5  “交易服务机构”是指为招标人和投标人提供场所、信息和咨询服务，见证招标过程，确认中标通知书的服务机构。</w:t>
      </w:r>
    </w:p>
    <w:p>
      <w:pPr>
        <w:adjustRightInd w:val="0"/>
        <w:snapToGrid w:val="0"/>
        <w:spacing w:line="360" w:lineRule="auto"/>
        <w:ind w:left="721" w:hanging="721" w:hangingChars="342"/>
        <w:rPr>
          <w:rFonts w:hint="eastAsia" w:ascii="宋体" w:hAnsi="宋体" w:cs="宋体"/>
          <w:b/>
          <w:bCs/>
          <w:highlight w:val="none"/>
        </w:rPr>
      </w:pPr>
    </w:p>
    <w:p>
      <w:pPr>
        <w:adjustRightInd w:val="0"/>
        <w:snapToGrid w:val="0"/>
        <w:spacing w:line="360" w:lineRule="auto"/>
        <w:ind w:left="721" w:hanging="721" w:hangingChars="342"/>
        <w:rPr>
          <w:rFonts w:hint="eastAsia" w:ascii="宋体" w:hAnsi="宋体" w:cs="宋体"/>
          <w:b/>
          <w:bCs/>
          <w:highlight w:val="none"/>
        </w:rPr>
      </w:pPr>
      <w:r>
        <w:rPr>
          <w:rFonts w:hint="eastAsia" w:ascii="宋体" w:hAnsi="宋体" w:cs="宋体"/>
          <w:b/>
          <w:bCs/>
          <w:highlight w:val="none"/>
        </w:rPr>
        <w:t>1.2    招标项目概况</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1.2.1  工程名称、工程建设地点、工程建设规模、招标内容、投资总额、设计服务期限：见投标须知前附表。</w:t>
      </w:r>
    </w:p>
    <w:p>
      <w:pPr>
        <w:adjustRightInd w:val="0"/>
        <w:snapToGrid w:val="0"/>
        <w:spacing w:line="360" w:lineRule="auto"/>
        <w:ind w:left="721" w:hanging="721" w:hangingChars="342"/>
        <w:rPr>
          <w:rFonts w:hint="eastAsia" w:ascii="宋体" w:hAnsi="宋体" w:cs="宋体"/>
          <w:b/>
          <w:bCs/>
          <w:highlight w:val="none"/>
        </w:rPr>
      </w:pPr>
    </w:p>
    <w:p>
      <w:pPr>
        <w:adjustRightInd w:val="0"/>
        <w:snapToGrid w:val="0"/>
        <w:spacing w:line="360" w:lineRule="auto"/>
        <w:ind w:left="721" w:hanging="721" w:hangingChars="342"/>
        <w:rPr>
          <w:rFonts w:hint="eastAsia" w:ascii="宋体" w:hAnsi="宋体" w:cs="宋体"/>
          <w:b/>
          <w:bCs/>
          <w:highlight w:val="none"/>
        </w:rPr>
      </w:pPr>
      <w:r>
        <w:rPr>
          <w:rFonts w:hint="eastAsia" w:ascii="宋体" w:hAnsi="宋体" w:cs="宋体"/>
          <w:b/>
          <w:bCs/>
          <w:highlight w:val="none"/>
        </w:rPr>
        <w:t>1.3    投标人资格要求</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1.3.1  资质要求、项目负责人资格要求、业绩要求等：见投标须知前附表。</w:t>
      </w:r>
    </w:p>
    <w:p>
      <w:pPr>
        <w:adjustRightInd w:val="0"/>
        <w:snapToGrid w:val="0"/>
        <w:spacing w:line="360" w:lineRule="auto"/>
        <w:ind w:left="718" w:hanging="718" w:hangingChars="342"/>
        <w:rPr>
          <w:rFonts w:hint="eastAsia" w:ascii="宋体" w:hAnsi="宋体" w:cs="宋体"/>
          <w:highlight w:val="none"/>
        </w:rPr>
      </w:pPr>
    </w:p>
    <w:p>
      <w:pPr>
        <w:adjustRightInd w:val="0"/>
        <w:snapToGrid w:val="0"/>
        <w:spacing w:line="360" w:lineRule="auto"/>
        <w:ind w:left="721" w:hanging="721" w:hangingChars="342"/>
        <w:rPr>
          <w:rFonts w:hint="eastAsia" w:ascii="宋体" w:hAnsi="宋体" w:cs="宋体"/>
          <w:b/>
          <w:bCs/>
          <w:highlight w:val="none"/>
        </w:rPr>
      </w:pPr>
      <w:r>
        <w:rPr>
          <w:rFonts w:hint="eastAsia" w:ascii="宋体" w:hAnsi="宋体" w:cs="宋体"/>
          <w:b/>
          <w:bCs/>
          <w:highlight w:val="none"/>
        </w:rPr>
        <w:t xml:space="preserve">1.4   </w:t>
      </w:r>
      <w:bookmarkStart w:id="9" w:name="_Toc507162759"/>
      <w:r>
        <w:rPr>
          <w:rFonts w:hint="eastAsia" w:ascii="宋体" w:hAnsi="宋体" w:cs="宋体"/>
          <w:b/>
          <w:bCs/>
          <w:highlight w:val="none"/>
        </w:rPr>
        <w:t xml:space="preserve"> 关于联合体投标</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1.4.1   投标须知前附表规定接受联合体投标的，除应符合招标公告和投标须知前附表的要求外，还应遵守以下规定：</w:t>
      </w:r>
      <w:bookmarkEnd w:id="9"/>
      <w:r>
        <w:rPr>
          <w:rFonts w:hint="eastAsia" w:ascii="宋体" w:hAnsi="宋体" w:cs="宋体"/>
          <w:highlight w:val="none"/>
        </w:rPr>
        <w:t xml:space="preserve"> </w:t>
      </w:r>
    </w:p>
    <w:p>
      <w:pPr>
        <w:adjustRightInd w:val="0"/>
        <w:snapToGrid w:val="0"/>
        <w:spacing w:line="360" w:lineRule="auto"/>
        <w:ind w:left="714" w:leftChars="299" w:hanging="86" w:hangingChars="41"/>
        <w:rPr>
          <w:rFonts w:hint="eastAsia" w:ascii="宋体" w:hAnsi="宋体" w:cs="宋体"/>
          <w:highlight w:val="none"/>
        </w:rPr>
      </w:pPr>
      <w:r>
        <w:rPr>
          <w:rFonts w:hint="eastAsia" w:ascii="宋体" w:hAnsi="宋体" w:cs="宋体"/>
          <w:highlight w:val="none"/>
        </w:rPr>
        <w:t>（1）联合体各方应按招标文件提供的格式签订联合体协议书，明确联合体牵头人和各方权利义务；</w:t>
      </w:r>
    </w:p>
    <w:p>
      <w:pPr>
        <w:adjustRightInd w:val="0"/>
        <w:snapToGrid w:val="0"/>
        <w:spacing w:line="360" w:lineRule="auto"/>
        <w:ind w:left="714" w:leftChars="299" w:hanging="86" w:hangingChars="41"/>
        <w:rPr>
          <w:rFonts w:hint="eastAsia" w:ascii="宋体" w:hAnsi="宋体" w:cs="宋体"/>
          <w:highlight w:val="none"/>
        </w:rPr>
      </w:pPr>
      <w:r>
        <w:rPr>
          <w:rFonts w:hint="eastAsia" w:ascii="宋体" w:hAnsi="宋体" w:cs="宋体"/>
          <w:highlight w:val="none"/>
        </w:rPr>
        <w:t>（2）由同一专业的单位组成的联合体，按照资质等级较低的单位确定资质等级；</w:t>
      </w:r>
    </w:p>
    <w:p>
      <w:pPr>
        <w:adjustRightInd w:val="0"/>
        <w:snapToGrid w:val="0"/>
        <w:spacing w:line="360" w:lineRule="auto"/>
        <w:ind w:left="714" w:leftChars="299" w:hanging="86" w:hangingChars="41"/>
        <w:rPr>
          <w:rFonts w:hint="eastAsia" w:ascii="宋体" w:hAnsi="宋体" w:cs="宋体"/>
          <w:highlight w:val="none"/>
        </w:rPr>
      </w:pPr>
      <w:r>
        <w:rPr>
          <w:rFonts w:hint="eastAsia" w:ascii="宋体" w:hAnsi="宋体" w:cs="宋体"/>
          <w:highlight w:val="none"/>
        </w:rPr>
        <w:t>（3）联合体各方不得再以自己名义单独或参加其他联合体在本招标项目中投标，否则各相关投标均无效。</w:t>
      </w:r>
    </w:p>
    <w:p>
      <w:pPr>
        <w:adjustRightInd w:val="0"/>
        <w:snapToGrid w:val="0"/>
        <w:spacing w:line="360" w:lineRule="auto"/>
        <w:ind w:left="718" w:hanging="718" w:hangingChars="342"/>
        <w:rPr>
          <w:rFonts w:hint="eastAsia" w:ascii="宋体" w:hAnsi="宋体" w:cs="宋体"/>
          <w:highlight w:val="none"/>
        </w:rPr>
      </w:pPr>
    </w:p>
    <w:p>
      <w:pPr>
        <w:pStyle w:val="15"/>
        <w:adjustRightInd w:val="0"/>
        <w:snapToGrid w:val="0"/>
        <w:spacing w:line="360" w:lineRule="auto"/>
        <w:rPr>
          <w:rFonts w:hint="eastAsia" w:hAnsi="宋体" w:cs="宋体"/>
          <w:highlight w:val="none"/>
        </w:rPr>
      </w:pPr>
      <w:r>
        <w:rPr>
          <w:rFonts w:hint="eastAsia" w:hAnsi="宋体" w:cs="宋体"/>
          <w:b/>
          <w:bCs/>
          <w:szCs w:val="24"/>
          <w:highlight w:val="none"/>
        </w:rPr>
        <w:t>1.5    投标人存在下列情形之一的，不得参加投标</w:t>
      </w:r>
    </w:p>
    <w:p>
      <w:pPr>
        <w:pStyle w:val="15"/>
        <w:adjustRightInd w:val="0"/>
        <w:snapToGrid w:val="0"/>
        <w:spacing w:line="360" w:lineRule="auto"/>
        <w:ind w:firstLine="420" w:firstLineChars="200"/>
        <w:rPr>
          <w:rFonts w:hint="eastAsia" w:hAnsi="宋体" w:cs="宋体"/>
          <w:highlight w:val="none"/>
        </w:rPr>
      </w:pPr>
      <w:r>
        <w:rPr>
          <w:rFonts w:hint="eastAsia" w:hAnsi="宋体" w:cs="宋体"/>
          <w:highlight w:val="none"/>
        </w:rPr>
        <w:t>（1）为招标人不具有独立法人资格的附属机构（单位）；</w:t>
      </w:r>
    </w:p>
    <w:p>
      <w:pPr>
        <w:pStyle w:val="15"/>
        <w:adjustRightInd w:val="0"/>
        <w:snapToGrid w:val="0"/>
        <w:spacing w:line="360" w:lineRule="auto"/>
        <w:ind w:firstLine="420" w:firstLineChars="200"/>
        <w:rPr>
          <w:rFonts w:hint="eastAsia" w:hAnsi="宋体" w:cs="宋体"/>
          <w:highlight w:val="none"/>
        </w:rPr>
      </w:pPr>
      <w:r>
        <w:rPr>
          <w:rFonts w:hint="eastAsia" w:hAnsi="宋体" w:cs="宋体"/>
          <w:highlight w:val="none"/>
        </w:rPr>
        <w:t>（2）与招标人存在利害关系且可能影响招标公正性；</w:t>
      </w:r>
    </w:p>
    <w:p>
      <w:pPr>
        <w:pStyle w:val="15"/>
        <w:adjustRightInd w:val="0"/>
        <w:snapToGrid w:val="0"/>
        <w:spacing w:line="360" w:lineRule="auto"/>
        <w:ind w:firstLine="420" w:firstLineChars="200"/>
        <w:rPr>
          <w:rFonts w:hint="eastAsia" w:hAnsi="宋体" w:cs="宋体"/>
          <w:highlight w:val="none"/>
        </w:rPr>
      </w:pPr>
      <w:r>
        <w:rPr>
          <w:rFonts w:hint="eastAsia" w:hAnsi="宋体" w:cs="宋体"/>
          <w:highlight w:val="none"/>
        </w:rPr>
        <w:t>（3）与本招标项目的其他投标人为同一个单位负责人；</w:t>
      </w:r>
    </w:p>
    <w:p>
      <w:pPr>
        <w:pStyle w:val="15"/>
        <w:adjustRightInd w:val="0"/>
        <w:snapToGrid w:val="0"/>
        <w:spacing w:line="360" w:lineRule="auto"/>
        <w:ind w:firstLine="420" w:firstLineChars="200"/>
        <w:rPr>
          <w:rFonts w:hint="eastAsia" w:hAnsi="宋体" w:cs="宋体"/>
          <w:highlight w:val="none"/>
        </w:rPr>
      </w:pPr>
      <w:r>
        <w:rPr>
          <w:rFonts w:hint="eastAsia" w:hAnsi="宋体" w:cs="宋体"/>
          <w:highlight w:val="none"/>
        </w:rPr>
        <w:t>（4）与本招标项目的其他投标人存在控股、管理关系；</w:t>
      </w:r>
    </w:p>
    <w:p>
      <w:pPr>
        <w:pStyle w:val="15"/>
        <w:adjustRightInd w:val="0"/>
        <w:snapToGrid w:val="0"/>
        <w:spacing w:line="360" w:lineRule="auto"/>
        <w:ind w:firstLine="420" w:firstLineChars="200"/>
        <w:rPr>
          <w:rFonts w:hint="eastAsia" w:hAnsi="宋体" w:cs="宋体"/>
          <w:highlight w:val="none"/>
        </w:rPr>
      </w:pPr>
      <w:r>
        <w:rPr>
          <w:rFonts w:hint="eastAsia" w:hAnsi="宋体" w:cs="宋体"/>
          <w:highlight w:val="none"/>
        </w:rPr>
        <w:t>（5）为本招标项目的代建人；</w:t>
      </w:r>
    </w:p>
    <w:p>
      <w:pPr>
        <w:pStyle w:val="15"/>
        <w:adjustRightInd w:val="0"/>
        <w:snapToGrid w:val="0"/>
        <w:spacing w:line="360" w:lineRule="auto"/>
        <w:ind w:firstLine="420" w:firstLineChars="200"/>
        <w:rPr>
          <w:rFonts w:hint="eastAsia" w:hAnsi="宋体" w:cs="宋体"/>
          <w:highlight w:val="none"/>
        </w:rPr>
      </w:pPr>
      <w:r>
        <w:rPr>
          <w:rFonts w:hint="eastAsia" w:hAnsi="宋体" w:cs="宋体"/>
          <w:highlight w:val="none"/>
        </w:rPr>
        <w:t>（6）为本招标项目的招标代理机构；</w:t>
      </w:r>
    </w:p>
    <w:p>
      <w:pPr>
        <w:pStyle w:val="15"/>
        <w:adjustRightInd w:val="0"/>
        <w:snapToGrid w:val="0"/>
        <w:spacing w:line="360" w:lineRule="auto"/>
        <w:ind w:firstLine="420" w:firstLineChars="200"/>
        <w:rPr>
          <w:rFonts w:hint="eastAsia" w:hAnsi="宋体" w:cs="宋体"/>
          <w:highlight w:val="none"/>
        </w:rPr>
      </w:pPr>
      <w:r>
        <w:rPr>
          <w:rFonts w:hint="eastAsia" w:hAnsi="宋体" w:cs="宋体"/>
          <w:highlight w:val="none"/>
        </w:rPr>
        <w:t>（7）与本招标项目的代建人或招标代理机构同为一个法定代表人；</w:t>
      </w:r>
    </w:p>
    <w:p>
      <w:pPr>
        <w:pStyle w:val="15"/>
        <w:adjustRightInd w:val="0"/>
        <w:snapToGrid w:val="0"/>
        <w:spacing w:line="360" w:lineRule="auto"/>
        <w:ind w:firstLine="420" w:firstLineChars="200"/>
        <w:rPr>
          <w:rFonts w:hint="eastAsia" w:hAnsi="宋体" w:cs="宋体"/>
          <w:highlight w:val="none"/>
        </w:rPr>
      </w:pPr>
      <w:r>
        <w:rPr>
          <w:rFonts w:hint="eastAsia" w:hAnsi="宋体" w:cs="宋体"/>
          <w:highlight w:val="none"/>
        </w:rPr>
        <w:t>（8）与本招标项目的代建人或招标代理机构存在控股或参股关系；</w:t>
      </w:r>
    </w:p>
    <w:p>
      <w:pPr>
        <w:pStyle w:val="15"/>
        <w:adjustRightInd w:val="0"/>
        <w:snapToGrid w:val="0"/>
        <w:spacing w:line="360" w:lineRule="auto"/>
        <w:ind w:firstLine="420" w:firstLineChars="200"/>
        <w:rPr>
          <w:rFonts w:hint="eastAsia" w:hAnsi="宋体" w:cs="宋体"/>
          <w:highlight w:val="none"/>
        </w:rPr>
      </w:pPr>
      <w:r>
        <w:rPr>
          <w:rFonts w:hint="eastAsia" w:hAnsi="宋体" w:cs="宋体"/>
          <w:highlight w:val="none"/>
        </w:rPr>
        <w:t>（9）被依法暂停或者取消投标资格；</w:t>
      </w:r>
      <w:r>
        <w:rPr>
          <w:rFonts w:hint="eastAsia" w:hAnsi="宋体" w:cs="宋体"/>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15"/>
        <w:adjustRightInd w:val="0"/>
        <w:snapToGrid w:val="0"/>
        <w:spacing w:line="360" w:lineRule="auto"/>
        <w:ind w:firstLine="420" w:firstLineChars="200"/>
        <w:rPr>
          <w:rFonts w:hint="eastAsia" w:hAnsi="宋体" w:cs="宋体"/>
          <w:highlight w:val="none"/>
        </w:rPr>
      </w:pPr>
      <w:r>
        <w:rPr>
          <w:rFonts w:hint="eastAsia" w:hAnsi="宋体" w:cs="宋体"/>
          <w:highlight w:val="none"/>
        </w:rPr>
        <w:t>（10）被责令停产停业、暂扣或者吊销许可证、暂扣或者吊销执照；</w:t>
      </w:r>
      <w:r>
        <w:rPr>
          <w:rFonts w:hint="eastAsia" w:hAnsi="宋体" w:cs="宋体"/>
          <w:highlight w:val="none"/>
          <w:u w:val="single"/>
        </w:rPr>
        <w:t>（本项事实应当以根据《中华人民共和国行政处罚法》依法作出并已经生效的行政处罚决定为认定依据。）</w:t>
      </w:r>
    </w:p>
    <w:p>
      <w:pPr>
        <w:pStyle w:val="15"/>
        <w:adjustRightInd w:val="0"/>
        <w:snapToGrid w:val="0"/>
        <w:spacing w:line="360" w:lineRule="auto"/>
        <w:ind w:firstLine="420" w:firstLineChars="200"/>
        <w:rPr>
          <w:rFonts w:hint="eastAsia" w:hAnsi="宋体" w:cs="宋体"/>
          <w:highlight w:val="none"/>
        </w:rPr>
      </w:pPr>
      <w:r>
        <w:rPr>
          <w:rFonts w:hint="eastAsia" w:hAnsi="宋体" w:cs="宋体"/>
          <w:highlight w:val="none"/>
        </w:rPr>
        <w:t>（11）进入清算程序，或被宣告破产，或其他丧失履约能力的情形；</w:t>
      </w:r>
    </w:p>
    <w:p>
      <w:pPr>
        <w:pStyle w:val="15"/>
        <w:adjustRightInd w:val="0"/>
        <w:snapToGrid w:val="0"/>
        <w:spacing w:line="360" w:lineRule="auto"/>
        <w:ind w:left="609" w:leftChars="190" w:hanging="210" w:hangingChars="100"/>
        <w:rPr>
          <w:rFonts w:hint="eastAsia" w:hAnsi="宋体" w:cs="宋体"/>
          <w:highlight w:val="none"/>
        </w:rPr>
      </w:pPr>
      <w:r>
        <w:rPr>
          <w:rFonts w:hint="eastAsia" w:hAnsi="宋体" w:cs="宋体"/>
          <w:highlight w:val="none"/>
        </w:rPr>
        <w:t>（12）在最近三年内发生重大设计质量问题</w:t>
      </w:r>
      <w:r>
        <w:rPr>
          <w:rFonts w:hint="eastAsia" w:hAnsi="宋体" w:cs="宋体"/>
          <w:highlight w:val="none"/>
          <w:u w:val="single"/>
        </w:rPr>
        <w:t>（“重大设计质量问题”应当以相关行业主管部门的行政处罚决定或者司法机关出具的有关法律文书为准。“最近三年”是指从投标截止时间之日起逆推三年，以相关行业主管部门、司法机关出具的生效文件的落款时间起计算）</w:t>
      </w:r>
      <w:r>
        <w:rPr>
          <w:rFonts w:hint="eastAsia" w:hAnsi="宋体" w:cs="宋体"/>
          <w:highlight w:val="none"/>
        </w:rPr>
        <w:t xml:space="preserve"> ；</w:t>
      </w:r>
    </w:p>
    <w:p>
      <w:pPr>
        <w:pStyle w:val="15"/>
        <w:adjustRightInd w:val="0"/>
        <w:snapToGrid w:val="0"/>
        <w:spacing w:line="360" w:lineRule="auto"/>
        <w:ind w:left="609" w:leftChars="190" w:hanging="210" w:hangingChars="100"/>
        <w:rPr>
          <w:rFonts w:hint="eastAsia" w:hAnsi="宋体" w:cs="宋体"/>
          <w:highlight w:val="none"/>
        </w:rPr>
      </w:pPr>
      <w:r>
        <w:rPr>
          <w:rFonts w:hint="eastAsia" w:ascii="宋体" w:hAnsi="宋体" w:cs="宋体"/>
          <w:bCs/>
          <w:szCs w:val="21"/>
          <w:highlight w:val="none"/>
          <w:u w:val="single"/>
        </w:rPr>
        <w:t>（13）法律法规或投标人须知前附表规定的其他情形。</w:t>
      </w:r>
    </w:p>
    <w:p>
      <w:pPr>
        <w:pStyle w:val="15"/>
        <w:adjustRightInd w:val="0"/>
        <w:snapToGrid w:val="0"/>
        <w:spacing w:line="360" w:lineRule="auto"/>
        <w:ind w:firstLine="420" w:firstLineChars="200"/>
        <w:rPr>
          <w:rFonts w:hint="eastAsia" w:hAnsi="宋体" w:cs="宋体"/>
          <w:strike/>
          <w:highlight w:val="none"/>
        </w:rPr>
      </w:pPr>
      <w:r>
        <w:rPr>
          <w:rFonts w:hint="eastAsia" w:hAnsi="宋体" w:cs="宋体"/>
          <w:strike/>
          <w:highlight w:val="none"/>
        </w:rPr>
        <w:t>（13）被工商行政管理机关在全国企业信用信息公示系统中列入严重违法失信企业名单；</w:t>
      </w:r>
    </w:p>
    <w:p>
      <w:pPr>
        <w:pStyle w:val="15"/>
        <w:adjustRightInd w:val="0"/>
        <w:snapToGrid w:val="0"/>
        <w:spacing w:line="360" w:lineRule="auto"/>
        <w:ind w:firstLine="420" w:firstLineChars="200"/>
        <w:rPr>
          <w:rFonts w:hint="eastAsia" w:hAnsi="宋体" w:cs="宋体"/>
          <w:strike/>
          <w:highlight w:val="none"/>
        </w:rPr>
      </w:pPr>
      <w:r>
        <w:rPr>
          <w:rFonts w:hint="eastAsia" w:hAnsi="宋体" w:cs="宋体"/>
          <w:strike/>
          <w:highlight w:val="none"/>
        </w:rPr>
        <w:t>（14）被最高人民法院在“信用中国”网站（www.creditchina.gov.cn）或各级信用信息</w:t>
      </w:r>
    </w:p>
    <w:p>
      <w:pPr>
        <w:pStyle w:val="15"/>
        <w:adjustRightInd w:val="0"/>
        <w:snapToGrid w:val="0"/>
        <w:spacing w:line="360" w:lineRule="auto"/>
        <w:ind w:firstLine="420" w:firstLineChars="200"/>
        <w:rPr>
          <w:rFonts w:hint="eastAsia" w:hAnsi="宋体" w:cs="宋体"/>
          <w:strike/>
          <w:highlight w:val="none"/>
        </w:rPr>
      </w:pPr>
      <w:r>
        <w:rPr>
          <w:rFonts w:hint="eastAsia" w:hAnsi="宋体" w:cs="宋体"/>
          <w:strike/>
          <w:highlight w:val="none"/>
        </w:rPr>
        <w:t>共享平台中列入失信被执行人名单；</w:t>
      </w:r>
    </w:p>
    <w:p>
      <w:pPr>
        <w:pStyle w:val="15"/>
        <w:adjustRightInd w:val="0"/>
        <w:snapToGrid w:val="0"/>
        <w:spacing w:line="360" w:lineRule="auto"/>
        <w:ind w:left="420" w:leftChars="200"/>
        <w:rPr>
          <w:rFonts w:hint="eastAsia" w:hAnsi="宋体" w:cs="宋体"/>
          <w:strike/>
          <w:highlight w:val="none"/>
        </w:rPr>
      </w:pPr>
      <w:r>
        <w:rPr>
          <w:rFonts w:hint="eastAsia" w:hAnsi="宋体" w:cs="宋体"/>
          <w:strike/>
          <w:highlight w:val="none"/>
        </w:rPr>
        <w:t>(15)被列入国家、省、市失信联合惩戒名单（具体名单以递交投标文件截止时间“信用广州”网站公布的“失信联合惩戒黑名单——国家下发”为准），或因失信行为被本项目所在地行政主管部门作出限制参与工程建设项目投标的决定。</w:t>
      </w:r>
    </w:p>
    <w:p>
      <w:pPr>
        <w:pStyle w:val="15"/>
        <w:adjustRightInd w:val="0"/>
        <w:snapToGrid w:val="0"/>
        <w:spacing w:line="360" w:lineRule="auto"/>
        <w:ind w:firstLine="630" w:firstLineChars="300"/>
        <w:rPr>
          <w:rFonts w:hint="eastAsia" w:hAnsi="宋体" w:cs="宋体"/>
          <w:highlight w:val="none"/>
        </w:rPr>
      </w:pPr>
    </w:p>
    <w:p>
      <w:pPr>
        <w:adjustRightInd w:val="0"/>
        <w:snapToGrid w:val="0"/>
        <w:spacing w:line="360" w:lineRule="auto"/>
        <w:jc w:val="left"/>
        <w:rPr>
          <w:rFonts w:hint="eastAsia" w:ascii="宋体" w:hAnsi="宋体" w:cs="宋体"/>
          <w:b/>
          <w:highlight w:val="none"/>
        </w:rPr>
      </w:pPr>
      <w:r>
        <w:rPr>
          <w:rFonts w:hint="eastAsia" w:ascii="宋体" w:hAnsi="宋体" w:cs="宋体"/>
          <w:b/>
          <w:highlight w:val="none"/>
        </w:rPr>
        <w:t>1.6    踏勘现场</w:t>
      </w:r>
    </w:p>
    <w:p>
      <w:pPr>
        <w:adjustRightInd w:val="0"/>
        <w:snapToGrid w:val="0"/>
        <w:spacing w:line="360" w:lineRule="auto"/>
        <w:ind w:left="718" w:hanging="718" w:hangingChars="342"/>
        <w:jc w:val="left"/>
        <w:rPr>
          <w:rFonts w:hint="eastAsia" w:ascii="宋体" w:hAnsi="宋体" w:cs="宋体"/>
          <w:highlight w:val="none"/>
        </w:rPr>
      </w:pPr>
      <w:r>
        <w:rPr>
          <w:rFonts w:hint="eastAsia" w:ascii="宋体" w:hAnsi="宋体" w:cs="宋体"/>
          <w:highlight w:val="none"/>
        </w:rPr>
        <w:t xml:space="preserve">1.6.1  投标人须知前附表规定组织踏勘现场的，招标人按投标人须知前附表规定的时间、地点组织投标人踏勘项目现场。部分投标人未按时参加踏勘现场的，不影响踏勘现场的正常进行。 </w:t>
      </w:r>
    </w:p>
    <w:p>
      <w:pPr>
        <w:adjustRightInd w:val="0"/>
        <w:snapToGrid w:val="0"/>
        <w:spacing w:line="360" w:lineRule="auto"/>
        <w:ind w:left="718" w:hanging="718" w:hangingChars="342"/>
        <w:jc w:val="left"/>
        <w:rPr>
          <w:rFonts w:hint="eastAsia" w:ascii="宋体" w:hAnsi="宋体" w:cs="宋体"/>
          <w:highlight w:val="none"/>
        </w:rPr>
      </w:pPr>
      <w:r>
        <w:rPr>
          <w:rFonts w:hint="eastAsia" w:ascii="宋体" w:hAnsi="宋体" w:cs="宋体"/>
          <w:highlight w:val="none"/>
        </w:rPr>
        <w:t xml:space="preserve">1.6.2  投标人踏勘现场发生的费用自理。 </w:t>
      </w:r>
    </w:p>
    <w:p>
      <w:pPr>
        <w:adjustRightInd w:val="0"/>
        <w:snapToGrid w:val="0"/>
        <w:spacing w:line="360" w:lineRule="auto"/>
        <w:ind w:left="718" w:hanging="718" w:hangingChars="342"/>
        <w:jc w:val="left"/>
        <w:rPr>
          <w:rFonts w:hint="eastAsia" w:ascii="宋体" w:hAnsi="宋体" w:cs="宋体"/>
          <w:highlight w:val="none"/>
        </w:rPr>
      </w:pPr>
      <w:r>
        <w:rPr>
          <w:rFonts w:hint="eastAsia" w:ascii="宋体" w:hAnsi="宋体" w:cs="宋体"/>
          <w:highlight w:val="none"/>
        </w:rPr>
        <w:t xml:space="preserve">1.6.3  除招标人的原因外，投标人自行负责在踏勘现场中所发生的人员伤亡和财产损失。 </w:t>
      </w:r>
    </w:p>
    <w:p>
      <w:pPr>
        <w:adjustRightInd w:val="0"/>
        <w:snapToGrid w:val="0"/>
        <w:spacing w:line="360" w:lineRule="auto"/>
        <w:jc w:val="left"/>
        <w:rPr>
          <w:rFonts w:hint="eastAsia" w:ascii="宋体" w:hAnsi="宋体" w:cs="宋体"/>
          <w:highlight w:val="none"/>
        </w:rPr>
      </w:pPr>
      <w:r>
        <w:rPr>
          <w:rFonts w:hint="eastAsia" w:ascii="宋体" w:hAnsi="宋体" w:cs="宋体"/>
          <w:highlight w:val="none"/>
        </w:rPr>
        <w:t xml:space="preserve">1.6.4  招标人在踏勘现场中介绍的工程场地和相关的周边环境情况，供投标人在编制投标文 </w:t>
      </w:r>
    </w:p>
    <w:p>
      <w:pPr>
        <w:adjustRightInd w:val="0"/>
        <w:snapToGrid w:val="0"/>
        <w:spacing w:line="360" w:lineRule="auto"/>
        <w:ind w:firstLine="840" w:firstLineChars="400"/>
        <w:jc w:val="left"/>
        <w:rPr>
          <w:rFonts w:hint="eastAsia" w:ascii="宋体" w:hAnsi="宋体" w:cs="宋体"/>
          <w:highlight w:val="none"/>
        </w:rPr>
      </w:pPr>
      <w:r>
        <w:rPr>
          <w:rFonts w:hint="eastAsia" w:ascii="宋体" w:hAnsi="宋体" w:cs="宋体"/>
          <w:highlight w:val="none"/>
        </w:rPr>
        <w:t xml:space="preserve">件时参考，招标人不对投标人据此作出的判断和决策负责。 </w:t>
      </w:r>
    </w:p>
    <w:p>
      <w:pPr>
        <w:adjustRightInd w:val="0"/>
        <w:snapToGrid w:val="0"/>
        <w:spacing w:line="360" w:lineRule="auto"/>
        <w:ind w:left="714" w:leftChars="299" w:hanging="86" w:hangingChars="41"/>
        <w:jc w:val="left"/>
        <w:rPr>
          <w:rFonts w:hint="eastAsia" w:ascii="宋体" w:hAnsi="宋体" w:cs="宋体"/>
          <w:b/>
          <w:bCs/>
          <w:highlight w:val="none"/>
        </w:rPr>
      </w:pPr>
    </w:p>
    <w:p>
      <w:pPr>
        <w:adjustRightInd w:val="0"/>
        <w:snapToGrid w:val="0"/>
        <w:spacing w:line="360" w:lineRule="auto"/>
        <w:ind w:left="721" w:hanging="721" w:hangingChars="342"/>
        <w:jc w:val="left"/>
        <w:rPr>
          <w:rFonts w:hint="eastAsia" w:ascii="宋体" w:hAnsi="宋体" w:cs="宋体"/>
          <w:b/>
          <w:bCs/>
          <w:highlight w:val="none"/>
        </w:rPr>
      </w:pPr>
      <w:r>
        <w:rPr>
          <w:rFonts w:hint="eastAsia" w:ascii="宋体" w:hAnsi="宋体" w:cs="宋体"/>
          <w:b/>
          <w:bCs/>
          <w:highlight w:val="none"/>
        </w:rPr>
        <w:t>1.7   费用承担</w:t>
      </w:r>
    </w:p>
    <w:p>
      <w:pPr>
        <w:adjustRightInd w:val="0"/>
        <w:snapToGrid w:val="0"/>
        <w:spacing w:line="360" w:lineRule="auto"/>
        <w:ind w:left="840" w:hanging="840" w:hangingChars="400"/>
        <w:jc w:val="left"/>
        <w:rPr>
          <w:rFonts w:hint="eastAsia" w:ascii="宋体" w:hAnsi="宋体" w:cs="宋体"/>
          <w:szCs w:val="21"/>
          <w:highlight w:val="none"/>
        </w:rPr>
      </w:pPr>
      <w:r>
        <w:rPr>
          <w:rFonts w:hint="eastAsia" w:ascii="宋体" w:hAnsi="宋体" w:cs="宋体"/>
          <w:highlight w:val="none"/>
        </w:rPr>
        <w:t xml:space="preserve">1.7.1  </w:t>
      </w:r>
      <w:r>
        <w:rPr>
          <w:rFonts w:hint="eastAsia" w:ascii="宋体" w:hAnsi="宋体" w:cs="宋体"/>
          <w:szCs w:val="21"/>
          <w:highlight w:val="none"/>
        </w:rPr>
        <w:t>投标人应承担其现场考察、编制和提交投标文件有关的一切费用、损害和人身伤亡事故责任，不管投标结果如何，招标人对上述费用不负任何责任。</w:t>
      </w:r>
    </w:p>
    <w:p>
      <w:pPr>
        <w:adjustRightInd w:val="0"/>
        <w:snapToGrid w:val="0"/>
        <w:spacing w:line="360" w:lineRule="auto"/>
        <w:ind w:left="840" w:hanging="840" w:hangingChars="400"/>
        <w:jc w:val="left"/>
        <w:rPr>
          <w:rFonts w:hint="eastAsia" w:ascii="宋体" w:hAnsi="宋体" w:cs="宋体"/>
          <w:szCs w:val="21"/>
          <w:highlight w:val="none"/>
        </w:rPr>
      </w:pPr>
    </w:p>
    <w:p>
      <w:pPr>
        <w:adjustRightInd w:val="0"/>
        <w:snapToGrid w:val="0"/>
        <w:spacing w:line="360" w:lineRule="auto"/>
        <w:ind w:left="840" w:hanging="840" w:hangingChars="400"/>
        <w:jc w:val="left"/>
        <w:rPr>
          <w:rFonts w:hint="eastAsia" w:ascii="宋体" w:hAnsi="宋体" w:cs="宋体"/>
          <w:szCs w:val="21"/>
          <w:highlight w:val="none"/>
        </w:rPr>
      </w:pPr>
    </w:p>
    <w:p>
      <w:pPr>
        <w:adjustRightInd w:val="0"/>
        <w:snapToGrid w:val="0"/>
        <w:spacing w:line="360" w:lineRule="auto"/>
        <w:ind w:left="840" w:hanging="840" w:hangingChars="400"/>
        <w:jc w:val="left"/>
        <w:rPr>
          <w:rFonts w:hint="eastAsia" w:ascii="宋体" w:hAnsi="宋体" w:cs="宋体"/>
          <w:szCs w:val="21"/>
          <w:highlight w:val="none"/>
        </w:rPr>
      </w:pPr>
    </w:p>
    <w:p>
      <w:pPr>
        <w:adjustRightInd w:val="0"/>
        <w:snapToGrid w:val="0"/>
        <w:spacing w:line="360" w:lineRule="auto"/>
        <w:ind w:left="840" w:hanging="840" w:hangingChars="400"/>
        <w:jc w:val="left"/>
        <w:rPr>
          <w:rFonts w:hint="eastAsia" w:ascii="宋体" w:hAnsi="宋体" w:cs="宋体"/>
          <w:szCs w:val="21"/>
          <w:highlight w:val="none"/>
        </w:rPr>
      </w:pPr>
    </w:p>
    <w:p>
      <w:pPr>
        <w:adjustRightInd w:val="0"/>
        <w:snapToGrid w:val="0"/>
        <w:spacing w:line="360" w:lineRule="auto"/>
        <w:ind w:left="840" w:hanging="840" w:hangingChars="400"/>
        <w:jc w:val="left"/>
        <w:rPr>
          <w:rFonts w:hint="eastAsia" w:ascii="宋体" w:hAnsi="宋体" w:cs="宋体"/>
          <w:szCs w:val="21"/>
          <w:highlight w:val="none"/>
        </w:rPr>
      </w:pPr>
    </w:p>
    <w:p>
      <w:pPr>
        <w:adjustRightInd w:val="0"/>
        <w:snapToGrid w:val="0"/>
        <w:spacing w:line="360" w:lineRule="auto"/>
        <w:ind w:left="840" w:hanging="840" w:hangingChars="400"/>
        <w:jc w:val="left"/>
        <w:rPr>
          <w:rFonts w:hint="eastAsia" w:ascii="宋体" w:hAnsi="宋体" w:cs="宋体"/>
          <w:szCs w:val="21"/>
          <w:highlight w:val="none"/>
        </w:rPr>
      </w:pPr>
    </w:p>
    <w:p>
      <w:pPr>
        <w:adjustRightInd w:val="0"/>
        <w:snapToGrid w:val="0"/>
        <w:spacing w:line="360" w:lineRule="auto"/>
        <w:jc w:val="left"/>
        <w:rPr>
          <w:rFonts w:hint="eastAsia" w:ascii="宋体" w:hAnsi="宋体" w:cs="宋体"/>
          <w:szCs w:val="21"/>
          <w:highlight w:val="none"/>
          <w:lang w:val="zh-CN"/>
        </w:rPr>
      </w:pPr>
    </w:p>
    <w:p>
      <w:pPr>
        <w:pStyle w:val="5"/>
        <w:numPr>
          <w:ilvl w:val="0"/>
          <w:numId w:val="3"/>
        </w:numPr>
        <w:rPr>
          <w:rFonts w:hint="eastAsia" w:ascii="宋体" w:hAnsi="宋体" w:cs="宋体"/>
          <w:highlight w:val="none"/>
        </w:rPr>
      </w:pPr>
      <w:r>
        <w:rPr>
          <w:rFonts w:hint="eastAsia" w:ascii="宋体" w:hAnsi="宋体" w:cs="宋体"/>
          <w:highlight w:val="none"/>
        </w:rPr>
        <w:t xml:space="preserve"> </w:t>
      </w:r>
      <w:bookmarkStart w:id="10" w:name="_Toc16063"/>
      <w:r>
        <w:rPr>
          <w:rFonts w:hint="eastAsia" w:ascii="宋体" w:hAnsi="宋体" w:cs="宋体"/>
          <w:highlight w:val="none"/>
        </w:rPr>
        <w:t>投标</w:t>
      </w:r>
      <w:bookmarkEnd w:id="10"/>
    </w:p>
    <w:p>
      <w:pPr>
        <w:adjustRightInd w:val="0"/>
        <w:snapToGrid w:val="0"/>
        <w:spacing w:line="360" w:lineRule="auto"/>
        <w:jc w:val="left"/>
        <w:rPr>
          <w:rFonts w:hint="eastAsia" w:ascii="宋体" w:hAnsi="宋体" w:cs="宋体"/>
          <w:b/>
          <w:bCs/>
          <w:highlight w:val="none"/>
        </w:rPr>
      </w:pPr>
    </w:p>
    <w:p>
      <w:pPr>
        <w:adjustRightInd w:val="0"/>
        <w:snapToGrid w:val="0"/>
        <w:spacing w:line="360" w:lineRule="auto"/>
        <w:ind w:left="721" w:hanging="721" w:hangingChars="342"/>
        <w:jc w:val="left"/>
        <w:rPr>
          <w:rFonts w:hint="eastAsia" w:ascii="宋体" w:hAnsi="宋体" w:cs="宋体"/>
          <w:b/>
          <w:bCs/>
          <w:highlight w:val="none"/>
        </w:rPr>
      </w:pPr>
      <w:r>
        <w:rPr>
          <w:rFonts w:hint="eastAsia" w:ascii="宋体" w:hAnsi="宋体" w:cs="宋体"/>
          <w:b/>
          <w:bCs/>
          <w:highlight w:val="none"/>
        </w:rPr>
        <w:t>2．1  招标答疑与澄清</w:t>
      </w:r>
    </w:p>
    <w:p>
      <w:pPr>
        <w:adjustRightInd w:val="0"/>
        <w:snapToGrid w:val="0"/>
        <w:spacing w:line="360" w:lineRule="auto"/>
        <w:ind w:left="718" w:hanging="718" w:hangingChars="342"/>
        <w:jc w:val="left"/>
        <w:rPr>
          <w:rFonts w:hint="eastAsia" w:ascii="宋体" w:hAnsi="宋体" w:cs="宋体"/>
          <w:highlight w:val="none"/>
        </w:rPr>
      </w:pPr>
      <w:r>
        <w:rPr>
          <w:rFonts w:hint="eastAsia" w:ascii="宋体" w:hAnsi="宋体" w:cs="宋体"/>
          <w:highlight w:val="none"/>
        </w:rPr>
        <w:t>2.1.1  招标答疑采用网上答疑方式。投标人若对招标文件有疑问，可在规定时间内通过广州公共资源交易中心网站进入提问区域提交问题，提交问题时一律不得署名。</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2.1.2  投标人需要澄清的问题应在招标公告发布之日起3天内提出，按交易平台的操作指引上传至交易平台网站。招标人应在投标截止时间15日前解答投标人对招标文件提出的疑问，形成的澄清或答疑纪要在交易平台发布。不足15日的，招标人应当顺延投标文件的截止时间。</w:t>
      </w:r>
    </w:p>
    <w:p>
      <w:pPr>
        <w:adjustRightInd w:val="0"/>
        <w:snapToGrid w:val="0"/>
        <w:spacing w:line="360" w:lineRule="auto"/>
        <w:ind w:left="718" w:hanging="718" w:hangingChars="342"/>
        <w:jc w:val="left"/>
        <w:rPr>
          <w:rFonts w:hint="eastAsia" w:ascii="宋体" w:hAnsi="宋体" w:cs="宋体"/>
          <w:szCs w:val="21"/>
          <w:highlight w:val="none"/>
        </w:rPr>
      </w:pPr>
      <w:r>
        <w:rPr>
          <w:rFonts w:hint="eastAsia" w:ascii="宋体" w:hAnsi="宋体" w:cs="宋体"/>
          <w:szCs w:val="21"/>
          <w:highlight w:val="none"/>
        </w:rPr>
        <w:t>2.1.3  澄清或答疑纪要是招标文件的组成部分，对投标人起约束作用。若招标答疑纪要或澄清与招标文件有矛盾时，以交易平台网站最后发布的答疑纪要或澄清为准。</w:t>
      </w:r>
      <w:r>
        <w:rPr>
          <w:rFonts w:hint="eastAsia" w:ascii="宋体" w:hAnsi="宋体"/>
          <w:szCs w:val="21"/>
          <w:highlight w:val="none"/>
          <w:u w:val="single"/>
        </w:rPr>
        <w:t>招标文件的澄清或修改一经在交易平台网站发布，视作已发放给所有投标人。</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2.1.4  网上答疑的具体操作详见交易平台发布的相关操作指引。</w:t>
      </w:r>
    </w:p>
    <w:p>
      <w:pPr>
        <w:adjustRightInd w:val="0"/>
        <w:snapToGrid w:val="0"/>
        <w:spacing w:line="360" w:lineRule="auto"/>
        <w:ind w:left="721" w:hanging="721" w:hangingChars="342"/>
        <w:jc w:val="left"/>
        <w:rPr>
          <w:rFonts w:hint="eastAsia" w:ascii="宋体" w:hAnsi="宋体" w:cs="宋体"/>
          <w:b/>
          <w:bCs/>
          <w:highlight w:val="none"/>
        </w:rPr>
      </w:pPr>
    </w:p>
    <w:p>
      <w:pPr>
        <w:adjustRightInd w:val="0"/>
        <w:snapToGrid w:val="0"/>
        <w:spacing w:line="360" w:lineRule="auto"/>
        <w:ind w:left="721" w:hanging="721" w:hangingChars="342"/>
        <w:jc w:val="left"/>
        <w:rPr>
          <w:rFonts w:hint="eastAsia" w:ascii="宋体" w:hAnsi="宋体" w:cs="宋体"/>
          <w:b/>
          <w:bCs/>
          <w:highlight w:val="none"/>
        </w:rPr>
      </w:pPr>
      <w:r>
        <w:rPr>
          <w:rFonts w:hint="eastAsia" w:ascii="宋体" w:hAnsi="宋体" w:cs="宋体"/>
          <w:b/>
          <w:bCs/>
          <w:highlight w:val="none"/>
        </w:rPr>
        <w:t xml:space="preserve">2.2    招标文件的异议 </w:t>
      </w:r>
    </w:p>
    <w:p>
      <w:pPr>
        <w:adjustRightInd w:val="0"/>
        <w:snapToGrid w:val="0"/>
        <w:spacing w:line="360" w:lineRule="auto"/>
        <w:ind w:left="840" w:hanging="840" w:hangingChars="400"/>
        <w:jc w:val="left"/>
        <w:rPr>
          <w:rFonts w:hint="eastAsia" w:ascii="宋体" w:hAnsi="宋体" w:cs="宋体"/>
          <w:highlight w:val="none"/>
        </w:rPr>
      </w:pPr>
      <w:r>
        <w:rPr>
          <w:rFonts w:hint="eastAsia" w:ascii="宋体" w:hAnsi="宋体" w:cs="宋体"/>
          <w:highlight w:val="none"/>
        </w:rPr>
        <w:t xml:space="preserve">2.2.1  投标人或者其他利害关系人对招标文件有异议的，应当在投标截止时间 10 日前以书面形式向招标人提出。招标人应当自收到异议之日起 3 日内作出答复；作出答复前，应当暂停招标投标活动。 </w:t>
      </w:r>
    </w:p>
    <w:p>
      <w:pPr>
        <w:adjustRightInd w:val="0"/>
        <w:snapToGrid w:val="0"/>
        <w:spacing w:line="360" w:lineRule="auto"/>
        <w:rPr>
          <w:rFonts w:hint="eastAsia" w:ascii="宋体" w:hAnsi="宋体" w:cs="宋体"/>
          <w:highlight w:val="none"/>
        </w:rPr>
      </w:pPr>
    </w:p>
    <w:p>
      <w:pPr>
        <w:adjustRightInd w:val="0"/>
        <w:snapToGrid w:val="0"/>
        <w:spacing w:line="360" w:lineRule="auto"/>
        <w:rPr>
          <w:rFonts w:hint="eastAsia" w:ascii="宋体" w:hAnsi="宋体" w:cs="宋体"/>
          <w:highlight w:val="none"/>
        </w:rPr>
      </w:pPr>
      <w:r>
        <w:rPr>
          <w:rFonts w:hint="eastAsia" w:ascii="宋体" w:hAnsi="宋体" w:cs="宋体"/>
          <w:b/>
          <w:bCs/>
          <w:highlight w:val="none"/>
        </w:rPr>
        <w:t>2.3    投标文件编制要求</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2.3.1  投标文件应做到清晰、完整，文本、图纸文件大小应满足交易平台的要求，具体投标文件编制要求详见第五章《投标文件格式》。技术文件页数不宜超过200页，不包括封面及目录页。除非另有规定，否则投标文件的计量单位宜采用国际标准计量单位，尺寸齐全、准确，所有文字说明和文字标注以中文为准，报价均为人民币，时间均为北京时间。</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2.3.2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 xml:space="preserve">2.3.3  </w:t>
      </w:r>
      <w:r>
        <w:rPr>
          <w:rFonts w:hint="eastAsia" w:ascii="宋体" w:hAnsi="宋体" w:cs="宋体"/>
          <w:strike/>
          <w:highlight w:val="none"/>
        </w:rPr>
        <w:t>联合体投标的，除《联合体投标协议》必须由联合体各方按要求签字或盖章外，其他资料可由联合体主办方签字或盖章，“投标人”应填写联合体各方的单位全称【格式：（主）XX公司；（成）XX公司】。法定代表人证明书及法定代表人授权书可由联合体主办方出具。</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2.3.4  投标文件加密要求</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highlight w:val="none"/>
        </w:rPr>
        <w:t>（1）递交的电子投标文件必须进行加密。具体操作详见交易平台发布的相关操作指引。</w:t>
      </w:r>
    </w:p>
    <w:p>
      <w:pPr>
        <w:adjustRightInd w:val="0"/>
        <w:snapToGrid w:val="0"/>
        <w:spacing w:line="360" w:lineRule="auto"/>
        <w:ind w:left="714" w:leftChars="299" w:hanging="86" w:hangingChars="41"/>
        <w:rPr>
          <w:rFonts w:hint="eastAsia" w:ascii="宋体" w:hAnsi="宋体" w:cs="宋体"/>
          <w:highlight w:val="none"/>
        </w:rPr>
      </w:pPr>
      <w:r>
        <w:rPr>
          <w:rFonts w:hint="eastAsia" w:ascii="宋体" w:hAnsi="宋体" w:cs="宋体"/>
          <w:highlight w:val="none"/>
        </w:rPr>
        <w:t>（2）未按要求加密的投标文件，交易平台将予以拒收。</w:t>
      </w:r>
    </w:p>
    <w:p>
      <w:pPr>
        <w:adjustRightInd w:val="0"/>
        <w:snapToGrid w:val="0"/>
        <w:spacing w:line="360" w:lineRule="auto"/>
        <w:ind w:left="721" w:hanging="721" w:hangingChars="342"/>
        <w:rPr>
          <w:rFonts w:hint="eastAsia" w:ascii="宋体" w:hAnsi="宋体" w:cs="宋体"/>
          <w:b/>
          <w:bCs/>
          <w:highlight w:val="none"/>
        </w:rPr>
      </w:pPr>
    </w:p>
    <w:p>
      <w:pPr>
        <w:adjustRightInd w:val="0"/>
        <w:snapToGrid w:val="0"/>
        <w:spacing w:line="360" w:lineRule="auto"/>
        <w:ind w:left="721" w:hanging="721" w:hangingChars="342"/>
        <w:rPr>
          <w:rFonts w:hint="eastAsia" w:ascii="宋体" w:hAnsi="宋体" w:cs="宋体"/>
          <w:b/>
          <w:bCs/>
          <w:highlight w:val="none"/>
        </w:rPr>
      </w:pPr>
      <w:r>
        <w:rPr>
          <w:rFonts w:hint="eastAsia" w:ascii="宋体" w:hAnsi="宋体" w:cs="宋体"/>
          <w:b/>
          <w:bCs/>
          <w:highlight w:val="none"/>
        </w:rPr>
        <w:t xml:space="preserve">2.4    投标报价 </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2.4.1  投标人应按第五章《投标文件格式》的要求进行报价并填写</w:t>
      </w:r>
      <w:r>
        <w:rPr>
          <w:rFonts w:hint="eastAsia" w:ascii="宋体" w:hAnsi="宋体" w:cs="宋体"/>
          <w:highlight w:val="none"/>
          <w:u w:val="single"/>
        </w:rPr>
        <w:t>《投标报价汇总表》</w:t>
      </w:r>
      <w:r>
        <w:rPr>
          <w:rFonts w:hint="eastAsia" w:ascii="宋体" w:hAnsi="宋体" w:cs="宋体"/>
          <w:highlight w:val="none"/>
        </w:rPr>
        <w:t xml:space="preserve">。 </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 xml:space="preserve">2.4.2  投标人应充分了解该项目的总体情况以及影响投标报价的其他要素。 </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 xml:space="preserve">2.4.3  招标人设有最高投标限价的，投标人的投标报价不得超过最高投标限价，最高投标限 </w:t>
      </w:r>
    </w:p>
    <w:p>
      <w:pPr>
        <w:adjustRightInd w:val="0"/>
        <w:snapToGrid w:val="0"/>
        <w:spacing w:line="360" w:lineRule="auto"/>
        <w:ind w:left="208" w:leftChars="99" w:firstLine="539" w:firstLineChars="257"/>
        <w:rPr>
          <w:rFonts w:hint="eastAsia" w:ascii="宋体" w:hAnsi="宋体" w:cs="宋体"/>
          <w:highlight w:val="none"/>
        </w:rPr>
      </w:pPr>
      <w:r>
        <w:rPr>
          <w:rFonts w:hint="eastAsia" w:ascii="宋体" w:hAnsi="宋体" w:cs="宋体"/>
          <w:highlight w:val="none"/>
        </w:rPr>
        <w:t>价在投标人须知前附表中载明。</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2.4.4  投标人在投标截止时间前修改投标函中的投标报价总额，应同时修改投标文件</w:t>
      </w:r>
      <w:r>
        <w:rPr>
          <w:rFonts w:hint="eastAsia" w:ascii="宋体" w:hAnsi="宋体" w:cs="宋体"/>
          <w:highlight w:val="none"/>
          <w:u w:val="single"/>
        </w:rPr>
        <w:t>《投标报价汇总表》</w:t>
      </w:r>
      <w:r>
        <w:rPr>
          <w:rFonts w:hint="eastAsia" w:ascii="宋体" w:hAnsi="宋体" w:cs="宋体"/>
          <w:highlight w:val="none"/>
        </w:rPr>
        <w:t>中的相应报价。</w:t>
      </w:r>
    </w:p>
    <w:p>
      <w:pPr>
        <w:adjustRightInd w:val="0"/>
        <w:snapToGrid w:val="0"/>
        <w:spacing w:line="360" w:lineRule="auto"/>
        <w:ind w:left="718" w:hanging="718" w:hangingChars="342"/>
        <w:rPr>
          <w:rFonts w:hint="eastAsia" w:ascii="宋体" w:hAnsi="宋体" w:cs="宋体"/>
          <w:highlight w:val="none"/>
        </w:rPr>
      </w:pPr>
      <w:r>
        <w:rPr>
          <w:rFonts w:hint="eastAsia" w:ascii="宋体" w:hAnsi="宋体" w:cs="宋体"/>
          <w:highlight w:val="none"/>
        </w:rPr>
        <w:t xml:space="preserve">2.4.5  投标报价的其他要求见投标人须知前附表。 </w:t>
      </w:r>
    </w:p>
    <w:p>
      <w:pPr>
        <w:adjustRightInd w:val="0"/>
        <w:snapToGrid w:val="0"/>
        <w:spacing w:line="360" w:lineRule="auto"/>
        <w:rPr>
          <w:rFonts w:hint="eastAsia" w:ascii="宋体" w:hAnsi="宋体" w:cs="宋体"/>
          <w:highlight w:val="none"/>
        </w:rPr>
      </w:pPr>
    </w:p>
    <w:p>
      <w:pPr>
        <w:pStyle w:val="15"/>
        <w:adjustRightInd w:val="0"/>
        <w:snapToGrid w:val="0"/>
        <w:spacing w:line="360" w:lineRule="auto"/>
        <w:ind w:left="721" w:hanging="721" w:hangingChars="342"/>
        <w:rPr>
          <w:rFonts w:hint="eastAsia" w:hAnsi="宋体" w:cs="宋体"/>
          <w:b/>
          <w:bCs/>
          <w:highlight w:val="none"/>
        </w:rPr>
      </w:pPr>
      <w:r>
        <w:rPr>
          <w:rFonts w:hint="eastAsia" w:hAnsi="宋体" w:cs="宋体"/>
          <w:b/>
          <w:bCs/>
          <w:highlight w:val="none"/>
        </w:rPr>
        <w:t>2.5    投标有效期</w:t>
      </w:r>
    </w:p>
    <w:p>
      <w:pPr>
        <w:pStyle w:val="15"/>
        <w:adjustRightInd w:val="0"/>
        <w:snapToGrid w:val="0"/>
        <w:spacing w:line="360" w:lineRule="auto"/>
        <w:ind w:left="718" w:hanging="718" w:hangingChars="342"/>
        <w:rPr>
          <w:rFonts w:hint="eastAsia" w:hAnsi="宋体" w:cs="宋体"/>
          <w:szCs w:val="21"/>
          <w:highlight w:val="none"/>
        </w:rPr>
      </w:pPr>
      <w:r>
        <w:rPr>
          <w:rFonts w:hint="eastAsia" w:hAnsi="宋体" w:cs="宋体"/>
          <w:szCs w:val="21"/>
          <w:highlight w:val="none"/>
        </w:rPr>
        <w:t>2.5.1  投标有效期见投标须知前附表。在此期限内，凡符合本招标文件要求的投标文件均保持有效。在提交投标文件截止时间后到招标文件规定的投标有效期终止之前，投标人不得补充、修改或者撤回其投标文件，否则其保证金将被没收。</w:t>
      </w:r>
    </w:p>
    <w:p>
      <w:pPr>
        <w:pStyle w:val="15"/>
        <w:adjustRightInd w:val="0"/>
        <w:snapToGrid w:val="0"/>
        <w:spacing w:line="360" w:lineRule="auto"/>
        <w:ind w:left="718" w:hanging="718" w:hangingChars="342"/>
        <w:rPr>
          <w:rFonts w:hint="eastAsia" w:hAnsi="宋体" w:cs="宋体"/>
          <w:szCs w:val="21"/>
          <w:highlight w:val="none"/>
        </w:rPr>
      </w:pPr>
      <w:r>
        <w:rPr>
          <w:rFonts w:hint="eastAsia" w:hAnsi="宋体" w:cs="宋体"/>
          <w:szCs w:val="21"/>
          <w:highlight w:val="none"/>
        </w:rPr>
        <w:t>2.5.2 招标人因特殊情况需要延长投标有效期的，应当通知所有投标人延长投标有效期。同意延长投标有效期的投标人应当相应延长其投标保证金的有效期，但不得修改投标文件的实质性内容，在延长期内本招标文件的规定仍然适用。拒绝延长投标有效期的投标人有权收回投标保证金。</w:t>
      </w:r>
    </w:p>
    <w:p>
      <w:pPr>
        <w:pStyle w:val="15"/>
        <w:adjustRightInd w:val="0"/>
        <w:snapToGrid w:val="0"/>
        <w:spacing w:line="360" w:lineRule="auto"/>
        <w:ind w:left="718" w:hanging="718" w:hangingChars="342"/>
        <w:rPr>
          <w:rFonts w:hint="eastAsia" w:hAnsi="宋体" w:cs="宋体"/>
          <w:szCs w:val="21"/>
          <w:highlight w:val="none"/>
        </w:rPr>
      </w:pPr>
    </w:p>
    <w:p>
      <w:pPr>
        <w:adjustRightInd w:val="0"/>
        <w:snapToGrid w:val="0"/>
        <w:spacing w:line="360" w:lineRule="auto"/>
        <w:rPr>
          <w:rFonts w:hint="eastAsia" w:ascii="宋体" w:hAnsi="宋体" w:cs="宋体"/>
          <w:b/>
          <w:bCs/>
          <w:highlight w:val="none"/>
        </w:rPr>
      </w:pPr>
      <w:r>
        <w:rPr>
          <w:rFonts w:hint="eastAsia" w:ascii="宋体" w:hAnsi="宋体" w:cs="宋体"/>
          <w:b/>
          <w:bCs/>
          <w:highlight w:val="none"/>
        </w:rPr>
        <w:t>2.6    投标保证金</w:t>
      </w:r>
    </w:p>
    <w:p>
      <w:pPr>
        <w:pStyle w:val="15"/>
        <w:adjustRightInd w:val="0"/>
        <w:snapToGrid w:val="0"/>
        <w:spacing w:line="360" w:lineRule="auto"/>
        <w:ind w:firstLine="630" w:firstLineChars="300"/>
        <w:rPr>
          <w:rFonts w:hint="eastAsia" w:hAnsi="宋体" w:cs="宋体"/>
          <w:szCs w:val="21"/>
          <w:highlight w:val="none"/>
          <w:u w:val="single"/>
        </w:rPr>
      </w:pPr>
      <w:r>
        <w:rPr>
          <w:rFonts w:hint="eastAsia" w:hAnsi="宋体" w:cs="宋体"/>
          <w:szCs w:val="21"/>
          <w:highlight w:val="none"/>
          <w:u w:val="single"/>
        </w:rPr>
        <w:t xml:space="preserve"> 投标人不需要提交投标保证金。</w:t>
      </w:r>
    </w:p>
    <w:p>
      <w:pPr>
        <w:adjustRightInd w:val="0"/>
        <w:snapToGrid w:val="0"/>
        <w:spacing w:line="360" w:lineRule="auto"/>
        <w:rPr>
          <w:rFonts w:hint="eastAsia" w:ascii="宋体" w:hAnsi="宋体" w:cs="宋体"/>
          <w:highlight w:val="none"/>
        </w:rPr>
      </w:pPr>
    </w:p>
    <w:p>
      <w:pPr>
        <w:adjustRightInd w:val="0"/>
        <w:snapToGrid w:val="0"/>
        <w:spacing w:line="360" w:lineRule="auto"/>
        <w:ind w:left="746" w:hanging="746" w:hangingChars="354"/>
        <w:rPr>
          <w:rFonts w:hint="eastAsia" w:ascii="宋体" w:hAnsi="宋体" w:cs="宋体"/>
          <w:szCs w:val="21"/>
          <w:highlight w:val="none"/>
        </w:rPr>
      </w:pPr>
      <w:r>
        <w:rPr>
          <w:rFonts w:hint="eastAsia" w:ascii="宋体" w:hAnsi="宋体" w:cs="宋体"/>
          <w:b/>
          <w:bCs/>
          <w:szCs w:val="21"/>
          <w:highlight w:val="none"/>
        </w:rPr>
        <w:t>2.7    投标文件的递交</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2.7.1  投标人代表应按投标须知前附表规定的时间和地点向递交投标文件。</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2.7.2  投标人完成电子投标文件上传后，广州公共资源交易平台即时向投标人发出递交回执通知。递交时间以递交回执通知载明的传输完成时间为准。</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2.7.3  如按招标公告要求需要提交投标文件光盘（备用），备用光盘不得加密。如使用投标文件光盘（备用）时无法读取或</w:t>
      </w:r>
      <w:r>
        <w:rPr>
          <w:rFonts w:hint="eastAsia" w:ascii="宋体" w:hAnsi="宋体" w:cs="宋体"/>
          <w:highlight w:val="none"/>
        </w:rPr>
        <w:t>导入</w:t>
      </w:r>
      <w:r>
        <w:rPr>
          <w:rFonts w:hint="eastAsia" w:ascii="宋体" w:hAnsi="宋体" w:cs="宋体"/>
          <w:szCs w:val="21"/>
          <w:highlight w:val="none"/>
        </w:rPr>
        <w:t>的，则视为未提交投标文件。</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2.7.4  逾期送达的投标文件，交易平台将予以拒收。</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拒绝接收投标文件光盘（备用）的情况：</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（1）逾期或未在指定地点递交投标文件光盘（备用）；</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（2）投标人递交的投标文件光盘（备用）未按招标文件要求密封或未在密封处盖章的；</w:t>
      </w:r>
    </w:p>
    <w:p>
      <w:pPr>
        <w:adjustRightInd w:val="0"/>
        <w:snapToGrid w:val="0"/>
        <w:spacing w:line="360" w:lineRule="auto"/>
        <w:ind w:left="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 xml:space="preserve">（3）投标人代表未凭法定代表人证明书原件（格式见招标文件附录）、法定代表人授权委托书     </w:t>
      </w:r>
    </w:p>
    <w:p>
      <w:pPr>
        <w:adjustRightInd w:val="0"/>
        <w:snapToGrid w:val="0"/>
        <w:spacing w:line="360" w:lineRule="auto"/>
        <w:ind w:left="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 xml:space="preserve">原件（非法定代表人递交投标文件光盘时提供，格式见招标文件附录）、本人身份证复印件（提 </w:t>
      </w:r>
    </w:p>
    <w:p>
      <w:pPr>
        <w:adjustRightInd w:val="0"/>
        <w:snapToGrid w:val="0"/>
        <w:spacing w:line="360" w:lineRule="auto"/>
        <w:ind w:left="2"/>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供原件核对）递交投标文件光盘（备用）的。</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2.7.</w:t>
      </w:r>
      <w:r>
        <w:rPr>
          <w:rFonts w:hint="eastAsia" w:ascii="宋体" w:hAnsi="宋体" w:cs="宋体"/>
          <w:szCs w:val="21"/>
          <w:highlight w:val="none"/>
          <w:lang w:val="en-US" w:eastAsia="zh-CN"/>
        </w:rPr>
        <w:t>5</w:t>
      </w:r>
      <w:r>
        <w:rPr>
          <w:rFonts w:hint="eastAsia" w:ascii="宋体" w:hAnsi="宋体" w:cs="宋体"/>
          <w:szCs w:val="21"/>
          <w:highlight w:val="none"/>
        </w:rPr>
        <w:t xml:space="preserve">  到投标截止时间止，招标人收到的投标文件少于3家的，招标人将重新组织招标（当N个标段同时招标且不允许兼中时，若有效投标人不足N+2家，则重新组织招标）。</w:t>
      </w:r>
    </w:p>
    <w:p>
      <w:pPr>
        <w:adjustRightInd w:val="0"/>
        <w:snapToGrid w:val="0"/>
        <w:spacing w:line="360" w:lineRule="auto"/>
        <w:ind w:left="718" w:hanging="718" w:hangingChars="342"/>
        <w:rPr>
          <w:rFonts w:hint="eastAsia" w:ascii="宋体" w:hAnsi="宋体" w:cs="宋体"/>
          <w:szCs w:val="21"/>
          <w:highlight w:val="none"/>
        </w:rPr>
      </w:pPr>
    </w:p>
    <w:p>
      <w:pPr>
        <w:adjustRightInd w:val="0"/>
        <w:snapToGrid w:val="0"/>
        <w:spacing w:line="360" w:lineRule="auto"/>
        <w:ind w:left="746" w:hanging="746" w:hangingChars="354"/>
        <w:jc w:val="left"/>
        <w:rPr>
          <w:rFonts w:hint="eastAsia" w:ascii="宋体" w:hAnsi="宋体" w:cs="宋体"/>
          <w:b/>
          <w:szCs w:val="21"/>
          <w:highlight w:val="none"/>
        </w:rPr>
      </w:pPr>
      <w:r>
        <w:rPr>
          <w:rFonts w:hint="eastAsia" w:ascii="宋体" w:hAnsi="宋体" w:cs="宋体"/>
          <w:b/>
          <w:szCs w:val="21"/>
          <w:highlight w:val="none"/>
        </w:rPr>
        <w:t>2.8    投标文件的修改与撤回</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2.8.1  在规定的投标截止时间前，投标人可以修改或撤回已递交的投标文件。</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2.8.2  投标人修改或撤回已递交的投标文件，需在交易平台发出撤回通知，并按要求加盖电子印章。电子招标投标交易平台收到通知后，即时向投标人发布确认回执通知。</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2.8.3  在投标截止时间后，投标人不得补充、修改或更换投标文件。</w:t>
      </w:r>
    </w:p>
    <w:p>
      <w:pPr>
        <w:adjustRightInd w:val="0"/>
        <w:snapToGrid w:val="0"/>
        <w:spacing w:line="360" w:lineRule="auto"/>
        <w:ind w:left="718" w:hanging="718" w:hangingChars="342"/>
        <w:rPr>
          <w:rFonts w:hint="eastAsia" w:ascii="宋体" w:hAnsi="宋体" w:cs="宋体"/>
          <w:szCs w:val="21"/>
          <w:highlight w:val="none"/>
        </w:rPr>
      </w:pPr>
    </w:p>
    <w:p>
      <w:pPr>
        <w:adjustRightInd w:val="0"/>
        <w:snapToGrid w:val="0"/>
        <w:spacing w:line="360" w:lineRule="auto"/>
        <w:ind w:left="746" w:hanging="746" w:hangingChars="354"/>
        <w:jc w:val="left"/>
        <w:rPr>
          <w:rFonts w:hint="eastAsia" w:ascii="宋体" w:hAnsi="宋体" w:cs="宋体"/>
          <w:b/>
          <w:szCs w:val="21"/>
          <w:highlight w:val="none"/>
        </w:rPr>
      </w:pPr>
      <w:r>
        <w:rPr>
          <w:rFonts w:hint="eastAsia" w:ascii="宋体" w:hAnsi="宋体" w:cs="宋体"/>
          <w:b/>
          <w:szCs w:val="21"/>
          <w:highlight w:val="none"/>
        </w:rPr>
        <w:t>2.9    电子招标投标解密失败及突发状况的补救</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2.9.1  交投标文件</w:t>
      </w:r>
      <w:r>
        <w:rPr>
          <w:rFonts w:hint="eastAsia" w:ascii="宋体" w:hAnsi="宋体" w:cs="宋体"/>
          <w:highlight w:val="none"/>
        </w:rPr>
        <w:t>光盘</w:t>
      </w:r>
      <w:r>
        <w:rPr>
          <w:rFonts w:hint="eastAsia" w:ascii="宋体" w:hAnsi="宋体" w:cs="宋体"/>
          <w:szCs w:val="21"/>
          <w:highlight w:val="none"/>
        </w:rPr>
        <w:t>备用</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 xml:space="preserve">       投标人可制作非加密的电子投标文件刻入光盘（1份），在招标公告规定的时间、地点提交备用。</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投标文件光盘（备用）1份包括“开标文件光盘”“资格审查文件光盘”“商务文件光盘”“技术文件（设计方案）光盘”“保密文件光盘”共5只光盘。</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（1）</w:t>
      </w:r>
      <w:r>
        <w:rPr>
          <w:rFonts w:hint="eastAsia" w:ascii="宋体" w:hAnsi="宋体" w:cs="宋体"/>
          <w:b/>
          <w:szCs w:val="21"/>
          <w:highlight w:val="none"/>
          <w:u w:val="single"/>
        </w:rPr>
        <w:t>开标文件光盘</w:t>
      </w:r>
      <w:r>
        <w:rPr>
          <w:rFonts w:hint="eastAsia" w:ascii="宋体" w:hAnsi="宋体" w:cs="宋体"/>
          <w:szCs w:val="21"/>
          <w:highlight w:val="none"/>
          <w:u w:val="single"/>
        </w:rPr>
        <w:t>包括下列内容：</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(a) 一套PDF格式制作的电子版开标信封文本文件。</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（2）</w:t>
      </w:r>
      <w:r>
        <w:rPr>
          <w:rFonts w:hint="eastAsia" w:ascii="宋体" w:hAnsi="宋体" w:cs="宋体"/>
          <w:b/>
          <w:szCs w:val="21"/>
          <w:highlight w:val="none"/>
          <w:u w:val="single"/>
        </w:rPr>
        <w:t>资格审查文件光盘</w:t>
      </w:r>
      <w:r>
        <w:rPr>
          <w:rFonts w:hint="eastAsia" w:ascii="宋体" w:hAnsi="宋体" w:cs="宋体"/>
          <w:szCs w:val="21"/>
          <w:highlight w:val="none"/>
          <w:u w:val="single"/>
        </w:rPr>
        <w:t>包括下列内容：</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(a) 一套PDF格式制作的电子版资格审查文件文本文件。</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（3）</w:t>
      </w:r>
      <w:r>
        <w:rPr>
          <w:rFonts w:hint="eastAsia" w:ascii="宋体" w:hAnsi="宋体" w:cs="宋体"/>
          <w:b/>
          <w:szCs w:val="21"/>
          <w:highlight w:val="none"/>
          <w:u w:val="single"/>
        </w:rPr>
        <w:t>商务文件光盘</w:t>
      </w:r>
      <w:r>
        <w:rPr>
          <w:rFonts w:hint="eastAsia" w:ascii="宋体" w:hAnsi="宋体" w:cs="宋体"/>
          <w:szCs w:val="21"/>
          <w:highlight w:val="none"/>
          <w:u w:val="single"/>
        </w:rPr>
        <w:t>包括下列内容：</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(a) 一套PDF格式制作的电子版商务文件文本文件。</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（4）</w:t>
      </w:r>
      <w:r>
        <w:rPr>
          <w:rFonts w:hint="eastAsia" w:ascii="宋体" w:hAnsi="宋体" w:cs="宋体"/>
          <w:b/>
          <w:szCs w:val="21"/>
          <w:highlight w:val="none"/>
          <w:u w:val="single"/>
        </w:rPr>
        <w:t>技术文件（设计方案）光盘</w:t>
      </w:r>
      <w:r>
        <w:rPr>
          <w:rFonts w:hint="eastAsia" w:ascii="宋体" w:hAnsi="宋体" w:cs="宋体"/>
          <w:szCs w:val="21"/>
          <w:highlight w:val="none"/>
          <w:u w:val="single"/>
        </w:rPr>
        <w:t>包括下列内容：</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(a) 一套PDF格式制作的电子版技术文件（设计方案）文本文件。</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（5）</w:t>
      </w:r>
      <w:r>
        <w:rPr>
          <w:rFonts w:hint="eastAsia" w:ascii="宋体" w:hAnsi="宋体" w:cs="宋体"/>
          <w:b/>
          <w:szCs w:val="21"/>
          <w:highlight w:val="none"/>
          <w:u w:val="single"/>
        </w:rPr>
        <w:t>保密文件光盘</w:t>
      </w:r>
      <w:r>
        <w:rPr>
          <w:rFonts w:hint="eastAsia" w:ascii="宋体" w:hAnsi="宋体" w:cs="宋体"/>
          <w:szCs w:val="21"/>
          <w:highlight w:val="none"/>
          <w:u w:val="single"/>
        </w:rPr>
        <w:t>包括下列内容：</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(a) 一张JPG格式内容为表现图的图形文件，加盖投标人公章，项目负责人署名。表现图内容应与设计方案一致（并注明表现图在设计方案中的页码或图号），用于分辨投标文件对应的投标人身份。</w:t>
      </w:r>
    </w:p>
    <w:p>
      <w:pPr>
        <w:adjustRightInd w:val="0"/>
        <w:snapToGrid w:val="0"/>
        <w:spacing w:line="360" w:lineRule="auto"/>
        <w:ind w:left="718" w:hanging="718" w:hangingChars="342"/>
        <w:rPr>
          <w:rFonts w:hint="eastAsia" w:ascii="宋体" w:hAnsi="宋体" w:cs="宋体"/>
          <w:szCs w:val="21"/>
          <w:highlight w:val="none"/>
          <w:u w:val="single"/>
        </w:rPr>
      </w:pPr>
      <w:r>
        <w:rPr>
          <w:rFonts w:hint="eastAsia" w:ascii="宋体" w:hAnsi="宋体" w:cs="宋体"/>
          <w:szCs w:val="21"/>
          <w:highlight w:val="none"/>
        </w:rPr>
        <w:t xml:space="preserve">       （b）</w:t>
      </w:r>
      <w:r>
        <w:rPr>
          <w:rFonts w:hint="eastAsia" w:ascii="宋体" w:hAnsi="宋体" w:cs="宋体"/>
          <w:szCs w:val="21"/>
          <w:highlight w:val="none"/>
          <w:u w:val="single"/>
        </w:rPr>
        <w:t>刻录好的投标文件光盘分别密封在不透明的密封袋并作标记，其中“开标文件光盘”“资格审查文件光盘”“商务文件光盘”应分别在密封袋上写明（1）招标人名称；（2）“[工程名称][开标文件光盘或资格审查文件光盘或商务文件光盘]”字样；（3）投标人名称；并在封口处加盖投标人单位公章；“技术文件（设计方案）光盘”“保密文件光盘”应仅在密封袋上写明（1）招标人名称；（2）“[工程名称][技术文件（设计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但应自行承担不提交光盘（备用）的风险。</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 xml:space="preserve">       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2.9.2  补救</w:t>
      </w:r>
      <w:r>
        <w:rPr>
          <w:rFonts w:hint="eastAsia" w:ascii="宋体" w:hAnsi="宋体" w:cs="宋体"/>
          <w:highlight w:val="none"/>
        </w:rPr>
        <w:t>方案</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 xml:space="preserve">       （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 xml:space="preserve">       （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 xml:space="preserve">       （3）除发生上述情况外，开标评标均以投标人通过交易平台网上递交的电子投标文件为准。</w:t>
      </w:r>
    </w:p>
    <w:p>
      <w:pPr>
        <w:adjustRightInd w:val="0"/>
        <w:snapToGrid w:val="0"/>
        <w:spacing w:line="360" w:lineRule="auto"/>
        <w:ind w:left="718" w:hanging="718" w:hangingChars="342"/>
        <w:rPr>
          <w:rFonts w:hint="eastAsia" w:ascii="宋体" w:hAnsi="宋体" w:cs="宋体"/>
          <w:szCs w:val="21"/>
          <w:highlight w:val="none"/>
        </w:rPr>
      </w:pPr>
    </w:p>
    <w:p>
      <w:pPr>
        <w:pStyle w:val="5"/>
        <w:rPr>
          <w:rFonts w:hint="eastAsia" w:ascii="宋体" w:hAnsi="宋体" w:cs="宋体"/>
          <w:highlight w:val="none"/>
        </w:rPr>
      </w:pPr>
      <w:bookmarkStart w:id="11" w:name="_Toc17352"/>
      <w:r>
        <w:rPr>
          <w:rFonts w:hint="eastAsia" w:ascii="宋体" w:hAnsi="宋体" w:cs="宋体"/>
          <w:highlight w:val="none"/>
        </w:rPr>
        <w:t>（三） 开标、评标</w:t>
      </w:r>
      <w:bookmarkEnd w:id="11"/>
    </w:p>
    <w:p>
      <w:pPr>
        <w:pStyle w:val="15"/>
        <w:rPr>
          <w:rFonts w:hint="eastAsia" w:hAnsi="宋体" w:cs="宋体"/>
          <w:highlight w:val="none"/>
        </w:rPr>
      </w:pPr>
    </w:p>
    <w:p>
      <w:pPr>
        <w:adjustRightInd w:val="0"/>
        <w:snapToGrid w:val="0"/>
        <w:spacing w:line="360" w:lineRule="auto"/>
        <w:rPr>
          <w:rFonts w:hint="eastAsia" w:ascii="宋体" w:hAnsi="宋体" w:cs="宋体"/>
          <w:szCs w:val="21"/>
          <w:highlight w:val="none"/>
        </w:rPr>
      </w:pPr>
      <w:r>
        <w:rPr>
          <w:rFonts w:hint="eastAsia" w:ascii="宋体" w:hAnsi="宋体" w:cs="宋体"/>
          <w:b/>
          <w:bCs/>
          <w:highlight w:val="none"/>
        </w:rPr>
        <w:t>3.1    开标及投标文件编号</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3.1.1  在投标截止时间后半小时内，投标人通过广州公共资源交易平台对已递交的电子投标文件进行解密。投标人完成解密后，再由招标人进行解密。解密完成后，公布招标项目名称、投标人名称、开标信封文件、资格审查文件、商务文件（如有）。未在规定时间内解密的投标文件不参与开标、评标。</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3.1.2  技术文件（设计方案）开标时不得开启，在评标时由开标系统随机编号后开启，交由评标委员会进行评审。编号所对应的投标人在投票结束前不得告知评标委员会、交易平台工作人员、招标人或招标代理机构。</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3.1.3  截标后，开标开始时间因故推迟的，相关评标信息仍以原定的开标开始时间的信息为准。</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3.1.4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3.1.5  开标方式采用电子开标。投标人可准时在线参加开标，或在开标室参与开标，也可不参加开标。参加在线开标的投标人登录交易平台实时查看开标、唱标情况。交易平台生成开标记录并向社会公众公布。</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 xml:space="preserve">      （1）在开标室参加开标的投标人对开标结果有异议的，应当在开标现场提出，招标人应当当场作出答复，并制作记录。</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 xml:space="preserve">      （2）参加在线开标的投标人对开标结果有异议的，应当在唱标结束后的半小时内，使用单位数字证书登录交易平台后通过开标系统提出。招标人授权招标代理机构工作人员使用招标代理机构数字证书登录开标系统答复异议，异议答复是招标人真实意思表示。未答复的，开标程序不得结束。</w:t>
      </w:r>
    </w:p>
    <w:p>
      <w:pPr>
        <w:adjustRightInd w:val="0"/>
        <w:snapToGrid w:val="0"/>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（3）投标人未参加开标或在规定的时间内未提出异议的，视为对开标无异议。</w:t>
      </w:r>
    </w:p>
    <w:p>
      <w:pPr>
        <w:adjustRightInd w:val="0"/>
        <w:snapToGrid w:val="0"/>
        <w:spacing w:line="360" w:lineRule="auto"/>
        <w:ind w:left="718" w:hanging="718" w:hangingChars="342"/>
        <w:rPr>
          <w:rFonts w:hint="eastAsia" w:ascii="宋体" w:hAnsi="宋体" w:cs="宋体"/>
          <w:szCs w:val="21"/>
          <w:highlight w:val="none"/>
        </w:rPr>
      </w:pPr>
      <w:r>
        <w:rPr>
          <w:rFonts w:hint="eastAsia" w:ascii="宋体" w:hAnsi="宋体" w:cs="宋体"/>
          <w:szCs w:val="21"/>
          <w:highlight w:val="none"/>
        </w:rPr>
        <w:t>3.1.6  开标时，出现下列情形之一的投标人，不参与下一程序，其投标文件作无效处理：</w:t>
      </w:r>
    </w:p>
    <w:p>
      <w:pPr>
        <w:adjustRightInd w:val="0"/>
        <w:snapToGrid w:val="0"/>
        <w:spacing w:line="360" w:lineRule="auto"/>
        <w:ind w:firstLine="667" w:firstLineChars="318"/>
        <w:rPr>
          <w:rFonts w:hint="eastAsia" w:ascii="宋体" w:hAnsi="宋体" w:cs="宋体"/>
          <w:szCs w:val="21"/>
          <w:highlight w:val="none"/>
        </w:rPr>
      </w:pPr>
      <w:r>
        <w:rPr>
          <w:rFonts w:hint="eastAsia" w:ascii="宋体" w:hAnsi="宋体" w:cs="宋体"/>
          <w:szCs w:val="21"/>
          <w:highlight w:val="none"/>
        </w:rPr>
        <w:t>（1）未成功递交或因投标人原因未成功导入投标文件的；</w:t>
      </w:r>
    </w:p>
    <w:p>
      <w:pPr>
        <w:adjustRightInd w:val="0"/>
        <w:snapToGrid w:val="0"/>
        <w:spacing w:line="360" w:lineRule="auto"/>
        <w:ind w:firstLine="667" w:firstLineChars="318"/>
        <w:rPr>
          <w:rFonts w:hint="eastAsia" w:ascii="宋体" w:hAnsi="宋体" w:cs="宋体"/>
          <w:szCs w:val="21"/>
          <w:highlight w:val="none"/>
        </w:rPr>
      </w:pPr>
      <w:r>
        <w:rPr>
          <w:rFonts w:hint="eastAsia" w:ascii="宋体" w:hAnsi="宋体" w:cs="宋体"/>
          <w:szCs w:val="21"/>
          <w:highlight w:val="none"/>
        </w:rPr>
        <w:t>（2）因投标人原因造成投标文件未解密的；</w:t>
      </w:r>
    </w:p>
    <w:p>
      <w:pPr>
        <w:adjustRightInd w:val="0"/>
        <w:snapToGrid w:val="0"/>
        <w:spacing w:line="360" w:lineRule="auto"/>
        <w:ind w:firstLine="667" w:firstLineChars="318"/>
        <w:rPr>
          <w:rFonts w:hint="eastAsia" w:ascii="宋体" w:hAnsi="宋体" w:cs="宋体"/>
          <w:strike/>
          <w:szCs w:val="21"/>
          <w:highlight w:val="none"/>
        </w:rPr>
      </w:pPr>
      <w:r>
        <w:rPr>
          <w:rFonts w:hint="eastAsia" w:ascii="宋体" w:hAnsi="宋体" w:cs="宋体"/>
          <w:strike/>
          <w:szCs w:val="21"/>
          <w:highlight w:val="none"/>
        </w:rPr>
        <w:t>（3）投标人未按要求递交投标保证金的。</w:t>
      </w:r>
    </w:p>
    <w:p>
      <w:pPr>
        <w:adjustRightInd w:val="0"/>
        <w:snapToGrid w:val="0"/>
        <w:spacing w:line="360" w:lineRule="auto"/>
        <w:rPr>
          <w:rFonts w:hint="eastAsia" w:ascii="宋体" w:hAnsi="宋体" w:cs="宋体"/>
          <w:b/>
          <w:bCs/>
          <w:highlight w:val="none"/>
        </w:rPr>
      </w:pPr>
    </w:p>
    <w:p>
      <w:pPr>
        <w:adjustRightInd w:val="0"/>
        <w:snapToGrid w:val="0"/>
        <w:spacing w:line="360" w:lineRule="auto"/>
        <w:rPr>
          <w:rFonts w:hint="eastAsia" w:ascii="宋体" w:hAnsi="宋体" w:cs="宋体"/>
          <w:highlight w:val="none"/>
        </w:rPr>
      </w:pPr>
      <w:r>
        <w:rPr>
          <w:rFonts w:hint="eastAsia" w:ascii="宋体" w:hAnsi="宋体" w:cs="宋体"/>
          <w:b/>
          <w:bCs/>
          <w:highlight w:val="none"/>
        </w:rPr>
        <w:t>3.2    否决投标</w:t>
      </w:r>
    </w:p>
    <w:p>
      <w:pPr>
        <w:adjustRightInd w:val="0"/>
        <w:snapToGrid w:val="0"/>
        <w:spacing w:line="360" w:lineRule="auto"/>
        <w:rPr>
          <w:rFonts w:hint="eastAsia" w:ascii="宋体" w:hAnsi="宋体" w:cs="宋体"/>
          <w:highlight w:val="none"/>
        </w:rPr>
      </w:pPr>
      <w:r>
        <w:rPr>
          <w:rFonts w:hint="eastAsia" w:ascii="宋体" w:hAnsi="宋体" w:cs="宋体"/>
          <w:highlight w:val="none"/>
        </w:rPr>
        <w:t xml:space="preserve">3.2.1  </w:t>
      </w:r>
      <w:r>
        <w:rPr>
          <w:rFonts w:hint="eastAsia" w:ascii="宋体" w:hAnsi="宋体" w:cs="宋体"/>
          <w:szCs w:val="21"/>
          <w:highlight w:val="none"/>
        </w:rPr>
        <w:t>投标文件有下列情况之一的，</w:t>
      </w:r>
      <w:r>
        <w:rPr>
          <w:rFonts w:hint="eastAsia" w:ascii="宋体" w:hAnsi="宋体" w:cs="宋体"/>
          <w:highlight w:val="none"/>
        </w:rPr>
        <w:t>评标委员会应当否决其投标：</w:t>
      </w:r>
    </w:p>
    <w:p>
      <w:pPr>
        <w:adjustRightInd w:val="0"/>
        <w:snapToGrid w:val="0"/>
        <w:spacing w:line="360" w:lineRule="auto"/>
        <w:ind w:firstLine="630" w:firstLineChars="300"/>
        <w:rPr>
          <w:rFonts w:hint="eastAsia" w:ascii="宋体" w:hAnsi="宋体" w:cs="宋体"/>
          <w:szCs w:val="21"/>
          <w:highlight w:val="none"/>
        </w:rPr>
      </w:pPr>
      <w:r>
        <w:rPr>
          <w:rFonts w:hint="eastAsia" w:ascii="宋体" w:hAnsi="宋体" w:cs="宋体"/>
          <w:highlight w:val="none"/>
        </w:rPr>
        <w:t>（1）</w:t>
      </w:r>
      <w:r>
        <w:rPr>
          <w:rFonts w:hint="eastAsia" w:ascii="宋体" w:hAnsi="宋体" w:cs="宋体"/>
          <w:szCs w:val="21"/>
          <w:highlight w:val="none"/>
        </w:rPr>
        <w:t>以联合体形式投标的，未提交共同投标协议；</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szCs w:val="21"/>
          <w:highlight w:val="none"/>
        </w:rPr>
        <w:t>（2）投标人与招标人、评标委员会成员或者其他投标人串通投标；</w:t>
      </w:r>
    </w:p>
    <w:p>
      <w:pPr>
        <w:adjustRightInd w:val="0"/>
        <w:snapToGrid w:val="0"/>
        <w:spacing w:line="360" w:lineRule="auto"/>
        <w:rPr>
          <w:rFonts w:hint="eastAsia" w:ascii="宋体" w:hAnsi="宋体" w:cs="宋体"/>
          <w:highlight w:val="none"/>
        </w:rPr>
      </w:pPr>
      <w:r>
        <w:rPr>
          <w:rFonts w:hint="eastAsia" w:ascii="宋体" w:hAnsi="宋体" w:cs="宋体"/>
          <w:highlight w:val="none"/>
        </w:rPr>
        <w:t xml:space="preserve">      （3）《投标函》或《投标人声明》</w:t>
      </w:r>
      <w:r>
        <w:rPr>
          <w:rFonts w:hint="eastAsia" w:ascii="宋体" w:hAnsi="宋体" w:cs="宋体"/>
          <w:szCs w:val="21"/>
          <w:highlight w:val="none"/>
        </w:rPr>
        <w:t>未加盖投标人公章，也未经法定代表人或者其授权代表签字</w:t>
      </w:r>
      <w:r>
        <w:rPr>
          <w:rFonts w:hint="eastAsia" w:ascii="宋体" w:hAnsi="宋体" w:cs="宋体"/>
          <w:highlight w:val="none"/>
        </w:rPr>
        <w:t>；</w:t>
      </w:r>
    </w:p>
    <w:p>
      <w:pPr>
        <w:adjustRightInd w:val="0"/>
        <w:snapToGrid w:val="0"/>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（4）不同投标人加密打包投标文件的电脑机器特征码一致的；</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szCs w:val="21"/>
          <w:highlight w:val="none"/>
        </w:rPr>
        <w:t>（5）</w:t>
      </w:r>
      <w:r>
        <w:rPr>
          <w:rFonts w:hint="eastAsia" w:ascii="宋体" w:hAnsi="宋体" w:cs="宋体"/>
          <w:highlight w:val="none"/>
        </w:rPr>
        <w:t>投标报价高于最高投标限价的，或未按招标文件要求报价的；</w:t>
      </w:r>
    </w:p>
    <w:p>
      <w:pPr>
        <w:adjustRightInd w:val="0"/>
        <w:snapToGrid w:val="0"/>
        <w:spacing w:line="360" w:lineRule="auto"/>
        <w:ind w:left="1050" w:leftChars="300" w:hanging="420" w:hangingChars="200"/>
        <w:rPr>
          <w:rFonts w:hint="eastAsia" w:ascii="宋体" w:hAnsi="宋体" w:cs="宋体"/>
          <w:highlight w:val="none"/>
        </w:rPr>
      </w:pPr>
      <w:r>
        <w:rPr>
          <w:rFonts w:hint="eastAsia" w:ascii="宋体" w:hAnsi="宋体" w:cs="宋体"/>
          <w:highlight w:val="none"/>
        </w:rPr>
        <w:t>（6）投标人在设计方案内标注名称、印章、商标、图形等记认符号，使人辨认出投标人或其专业技术人员的身份；</w:t>
      </w:r>
    </w:p>
    <w:p>
      <w:pPr>
        <w:adjustRightInd w:val="0"/>
        <w:snapToGrid w:val="0"/>
        <w:spacing w:line="360" w:lineRule="auto"/>
        <w:ind w:left="1050" w:leftChars="300" w:hanging="420" w:hangingChars="200"/>
        <w:rPr>
          <w:rFonts w:hint="eastAsia" w:ascii="宋体" w:hAnsi="宋体" w:cs="宋体"/>
          <w:highlight w:val="none"/>
        </w:rPr>
      </w:pPr>
      <w:r>
        <w:rPr>
          <w:rFonts w:hint="eastAsia" w:ascii="宋体" w:hAnsi="宋体" w:cs="宋体"/>
          <w:highlight w:val="none"/>
        </w:rPr>
        <w:t>（7）投标人之间存在《广东省实施&lt;中华人民共和国招标投标法&gt;》第十六条所禁止的情形的。</w:t>
      </w:r>
    </w:p>
    <w:p>
      <w:pPr>
        <w:adjustRightInd w:val="0"/>
        <w:snapToGrid w:val="0"/>
        <w:spacing w:line="360" w:lineRule="auto"/>
        <w:rPr>
          <w:rFonts w:hint="eastAsia" w:ascii="宋体" w:hAnsi="宋体" w:cs="宋体"/>
          <w:highlight w:val="none"/>
        </w:rPr>
      </w:pPr>
      <w:r>
        <w:rPr>
          <w:rFonts w:hint="eastAsia" w:ascii="宋体" w:hAnsi="宋体" w:cs="宋体"/>
          <w:highlight w:val="none"/>
        </w:rPr>
        <w:t>3.2.4  投标人有</w:t>
      </w:r>
      <w:r>
        <w:rPr>
          <w:rFonts w:hint="eastAsia" w:ascii="宋体" w:hAnsi="宋体" w:cs="宋体"/>
          <w:szCs w:val="21"/>
          <w:highlight w:val="none"/>
        </w:rPr>
        <w:t>下列情况之一的，</w:t>
      </w:r>
      <w:r>
        <w:rPr>
          <w:rFonts w:hint="eastAsia" w:ascii="宋体" w:hAnsi="宋体" w:cs="宋体"/>
          <w:highlight w:val="none"/>
        </w:rPr>
        <w:t>确定为串通投标：</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highlight w:val="none"/>
        </w:rPr>
        <w:t>（1）递交投标文件前，投标人私下向招标人或其雇员出示或告知投标文件内容；</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highlight w:val="none"/>
        </w:rPr>
        <w:t>（2）评标表决结束前，投标人私下向评标委员会成员出示或告知投标文件内容；</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highlight w:val="none"/>
        </w:rPr>
        <w:t>（3）评标结果揭晓前，投标人与招标人就投标价格、投标方案等实质性内容进行谈判。</w:t>
      </w:r>
    </w:p>
    <w:p>
      <w:pPr>
        <w:adjustRightInd w:val="0"/>
        <w:snapToGrid w:val="0"/>
        <w:spacing w:line="360" w:lineRule="auto"/>
        <w:rPr>
          <w:rFonts w:hint="eastAsia" w:ascii="宋体" w:hAnsi="宋体" w:cs="宋体"/>
          <w:highlight w:val="none"/>
        </w:rPr>
      </w:pPr>
      <w:r>
        <w:rPr>
          <w:rFonts w:hint="eastAsia" w:ascii="宋体" w:hAnsi="宋体" w:cs="宋体"/>
          <w:highlight w:val="none"/>
        </w:rPr>
        <w:t>3.2.5  发生下列情形之一的，招标人应当重新组织招标：</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highlight w:val="none"/>
        </w:rPr>
        <w:t>（1）递交投标文件或通过资格审查的投标人不足三人；</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highlight w:val="none"/>
        </w:rPr>
        <w:t>（2）所有投标被否决，或者经评议有效投标的投标人少于三人；</w:t>
      </w:r>
    </w:p>
    <w:p>
      <w:pPr>
        <w:adjustRightInd w:val="0"/>
        <w:snapToGrid w:val="0"/>
        <w:spacing w:line="360" w:lineRule="auto"/>
        <w:ind w:firstLine="630" w:firstLineChars="300"/>
        <w:rPr>
          <w:rFonts w:hint="eastAsia" w:ascii="宋体" w:hAnsi="宋体" w:cs="宋体"/>
          <w:highlight w:val="none"/>
        </w:rPr>
      </w:pPr>
      <w:r>
        <w:rPr>
          <w:rFonts w:hint="eastAsia" w:ascii="宋体" w:hAnsi="宋体" w:cs="宋体"/>
          <w:highlight w:val="none"/>
        </w:rPr>
        <w:t>（3）经项目审批部门会同行业主管部门裁定招标投标结果无效。</w:t>
      </w:r>
    </w:p>
    <w:p>
      <w:pPr>
        <w:adjustRightInd w:val="0"/>
        <w:snapToGrid w:val="0"/>
        <w:spacing w:line="360" w:lineRule="auto"/>
        <w:rPr>
          <w:rFonts w:hint="eastAsia" w:ascii="宋体" w:hAnsi="宋体" w:cs="宋体"/>
          <w:highlight w:val="none"/>
        </w:rPr>
      </w:pPr>
      <w:r>
        <w:rPr>
          <w:rFonts w:hint="eastAsia" w:ascii="宋体" w:hAnsi="宋体" w:cs="宋体"/>
          <w:highlight w:val="none"/>
        </w:rPr>
        <w:t>3.2.6  否决投标的决定由评标委员会作出，其他投标人无权干涉。</w:t>
      </w:r>
    </w:p>
    <w:p>
      <w:pPr>
        <w:adjustRightInd w:val="0"/>
        <w:snapToGrid w:val="0"/>
        <w:spacing w:line="360" w:lineRule="auto"/>
        <w:rPr>
          <w:rFonts w:hint="eastAsia" w:ascii="宋体" w:hAnsi="宋体" w:cs="宋体"/>
          <w:highlight w:val="none"/>
        </w:rPr>
      </w:pPr>
      <w:r>
        <w:rPr>
          <w:rFonts w:hint="eastAsia" w:ascii="宋体" w:hAnsi="宋体" w:cs="宋体"/>
          <w:highlight w:val="none"/>
        </w:rPr>
        <w:t>3.2.7  投标文件如果隐瞒不符合评审标准的事实，一切法律责任由投标人承担。</w:t>
      </w:r>
    </w:p>
    <w:p>
      <w:pPr>
        <w:adjustRightInd w:val="0"/>
        <w:snapToGrid w:val="0"/>
        <w:spacing w:line="360" w:lineRule="auto"/>
        <w:rPr>
          <w:rFonts w:hint="eastAsia" w:ascii="宋体" w:hAnsi="宋体" w:cs="宋体"/>
          <w:highlight w:val="none"/>
        </w:rPr>
      </w:pPr>
    </w:p>
    <w:p>
      <w:pPr>
        <w:pStyle w:val="15"/>
        <w:adjustRightInd w:val="0"/>
        <w:snapToGrid w:val="0"/>
        <w:spacing w:line="360" w:lineRule="auto"/>
        <w:rPr>
          <w:rFonts w:hint="eastAsia" w:hAnsi="宋体" w:cs="宋体"/>
          <w:highlight w:val="none"/>
        </w:rPr>
      </w:pPr>
      <w:r>
        <w:rPr>
          <w:rFonts w:hint="eastAsia" w:hAnsi="宋体" w:cs="宋体"/>
          <w:b/>
          <w:bCs/>
          <w:highlight w:val="none"/>
        </w:rPr>
        <w:t>3.3    评标委员会</w:t>
      </w:r>
    </w:p>
    <w:p>
      <w:pPr>
        <w:pStyle w:val="15"/>
        <w:adjustRightInd w:val="0"/>
        <w:snapToGrid w:val="0"/>
        <w:spacing w:line="360" w:lineRule="auto"/>
        <w:ind w:left="840" w:hanging="840" w:hangingChars="400"/>
        <w:rPr>
          <w:rFonts w:hint="eastAsia" w:hAnsi="宋体" w:cs="宋体"/>
          <w:highlight w:val="none"/>
        </w:rPr>
      </w:pPr>
      <w:r>
        <w:rPr>
          <w:rFonts w:hint="eastAsia" w:hAnsi="宋体" w:cs="宋体"/>
          <w:highlight w:val="none"/>
        </w:rPr>
        <w:t>3.3.1  评标由招标人依法组建的评标委员会负责。评标委员会由招标人的代表和有关技术、经济等方面的专家组成，成员人数为5人以上单数，其中技术、经济等方面的专家不得少于成员总数的三分之二。专家一般从政府评标专家库随机抽取，技术特别复杂、专业性要求特别高或者国家有特别要求的项目，采取随机抽取方式确定的专家难以胜任的，可以由招标人直接确定。</w:t>
      </w:r>
    </w:p>
    <w:p>
      <w:pPr>
        <w:pStyle w:val="15"/>
        <w:adjustRightInd w:val="0"/>
        <w:snapToGrid w:val="0"/>
        <w:spacing w:line="360" w:lineRule="auto"/>
        <w:ind w:left="718" w:hanging="718" w:hangingChars="342"/>
        <w:rPr>
          <w:rFonts w:hint="eastAsia" w:hAnsi="宋体" w:cs="宋体"/>
          <w:highlight w:val="none"/>
        </w:rPr>
      </w:pPr>
      <w:r>
        <w:rPr>
          <w:rFonts w:hint="eastAsia" w:hAnsi="宋体" w:cs="宋体"/>
          <w:highlight w:val="none"/>
        </w:rPr>
        <w:t>3.3.2  评标委员会成员有下列情形之一的，应当回避：</w:t>
      </w:r>
    </w:p>
    <w:p>
      <w:pPr>
        <w:pStyle w:val="15"/>
        <w:adjustRightInd w:val="0"/>
        <w:snapToGrid w:val="0"/>
        <w:spacing w:line="360" w:lineRule="auto"/>
        <w:ind w:left="540" w:hanging="539" w:hangingChars="257"/>
        <w:rPr>
          <w:rFonts w:hint="eastAsia" w:hAnsi="宋体" w:cs="宋体"/>
          <w:highlight w:val="none"/>
        </w:rPr>
      </w:pPr>
      <w:r>
        <w:rPr>
          <w:rFonts w:hint="eastAsia" w:hAnsi="宋体" w:cs="宋体"/>
          <w:highlight w:val="none"/>
        </w:rPr>
        <w:t xml:space="preserve">       （1）从事相关领域工作不满八年（招标人代表除外）；</w:t>
      </w:r>
    </w:p>
    <w:p>
      <w:pPr>
        <w:pStyle w:val="15"/>
        <w:adjustRightInd w:val="0"/>
        <w:snapToGrid w:val="0"/>
        <w:spacing w:line="360" w:lineRule="auto"/>
        <w:ind w:left="359" w:hanging="359" w:hangingChars="171"/>
        <w:rPr>
          <w:rFonts w:hint="eastAsia" w:hAnsi="宋体" w:cs="宋体"/>
          <w:highlight w:val="none"/>
        </w:rPr>
      </w:pPr>
      <w:r>
        <w:rPr>
          <w:rFonts w:hint="eastAsia" w:hAnsi="宋体" w:cs="宋体"/>
          <w:highlight w:val="none"/>
        </w:rPr>
        <w:t xml:space="preserve">       （2）不具有高级职称或者同等专业水平（招标人代表除外）；</w:t>
      </w:r>
    </w:p>
    <w:p>
      <w:pPr>
        <w:pStyle w:val="15"/>
        <w:adjustRightInd w:val="0"/>
        <w:snapToGrid w:val="0"/>
        <w:spacing w:line="360" w:lineRule="auto"/>
        <w:ind w:left="359" w:hanging="359" w:hangingChars="171"/>
        <w:rPr>
          <w:rFonts w:hint="eastAsia" w:hAnsi="宋体" w:cs="宋体"/>
          <w:highlight w:val="none"/>
        </w:rPr>
      </w:pPr>
      <w:r>
        <w:rPr>
          <w:rFonts w:hint="eastAsia" w:hAnsi="宋体" w:cs="宋体"/>
          <w:highlight w:val="none"/>
        </w:rPr>
        <w:t xml:space="preserve">       （3）不熟悉评审本项目所必须的专业知识（招标人代表除外）；</w:t>
      </w:r>
    </w:p>
    <w:p>
      <w:pPr>
        <w:pStyle w:val="15"/>
        <w:adjustRightInd w:val="0"/>
        <w:snapToGrid w:val="0"/>
        <w:spacing w:line="360" w:lineRule="auto"/>
        <w:ind w:left="359" w:hanging="359" w:hangingChars="171"/>
        <w:rPr>
          <w:rFonts w:hint="eastAsia" w:hAnsi="宋体" w:cs="宋体"/>
          <w:highlight w:val="none"/>
        </w:rPr>
      </w:pPr>
      <w:r>
        <w:rPr>
          <w:rFonts w:hint="eastAsia" w:hAnsi="宋体" w:cs="宋体"/>
          <w:highlight w:val="none"/>
        </w:rPr>
        <w:t xml:space="preserve">       （4）评标前浏览过本项目的某个投标文件；</w:t>
      </w:r>
    </w:p>
    <w:p>
      <w:pPr>
        <w:pStyle w:val="15"/>
        <w:adjustRightInd w:val="0"/>
        <w:snapToGrid w:val="0"/>
        <w:spacing w:line="360" w:lineRule="auto"/>
        <w:ind w:left="359" w:hanging="359" w:hangingChars="171"/>
        <w:rPr>
          <w:rFonts w:hint="eastAsia" w:hAnsi="宋体" w:cs="宋体"/>
          <w:highlight w:val="none"/>
        </w:rPr>
      </w:pPr>
      <w:r>
        <w:rPr>
          <w:rFonts w:hint="eastAsia" w:hAnsi="宋体" w:cs="宋体"/>
          <w:highlight w:val="none"/>
        </w:rPr>
        <w:t xml:space="preserve">       （5）与投标人有利害关系；</w:t>
      </w:r>
    </w:p>
    <w:p>
      <w:pPr>
        <w:pStyle w:val="15"/>
        <w:adjustRightInd w:val="0"/>
        <w:snapToGrid w:val="0"/>
        <w:spacing w:line="360" w:lineRule="auto"/>
        <w:rPr>
          <w:rFonts w:hint="eastAsia" w:hAnsi="宋体" w:cs="宋体"/>
          <w:highlight w:val="none"/>
        </w:rPr>
      </w:pPr>
      <w:r>
        <w:rPr>
          <w:rFonts w:hint="eastAsia" w:hAnsi="宋体" w:cs="宋体"/>
          <w:highlight w:val="none"/>
        </w:rPr>
        <w:t xml:space="preserve">       （6）招标代理机构的工作人员。</w:t>
      </w:r>
    </w:p>
    <w:p>
      <w:pPr>
        <w:pStyle w:val="15"/>
        <w:adjustRightInd w:val="0"/>
        <w:snapToGrid w:val="0"/>
        <w:spacing w:line="360" w:lineRule="auto"/>
        <w:ind w:left="359" w:hanging="359" w:hangingChars="171"/>
        <w:rPr>
          <w:rFonts w:hint="eastAsia" w:hAnsi="宋体" w:cs="宋体"/>
          <w:highlight w:val="none"/>
        </w:rPr>
      </w:pPr>
      <w:r>
        <w:rPr>
          <w:rFonts w:hint="eastAsia" w:hAnsi="宋体" w:cs="宋体"/>
          <w:highlight w:val="none"/>
        </w:rPr>
        <w:t>3.3.3  评标委员会的职责及守则</w:t>
      </w:r>
    </w:p>
    <w:p>
      <w:pPr>
        <w:pStyle w:val="15"/>
        <w:adjustRightInd w:val="0"/>
        <w:snapToGrid w:val="0"/>
        <w:spacing w:line="360" w:lineRule="auto"/>
        <w:ind w:left="630" w:leftChars="300"/>
        <w:rPr>
          <w:rFonts w:hint="eastAsia" w:hAnsi="宋体" w:cs="宋体"/>
          <w:highlight w:val="none"/>
        </w:rPr>
      </w:pPr>
      <w:r>
        <w:rPr>
          <w:rFonts w:hint="eastAsia" w:hAnsi="宋体" w:cs="宋体"/>
          <w:highlight w:val="none"/>
        </w:rPr>
        <w:t xml:space="preserve">（1）评标委员会根据招标文件规定的评标细则，对投标文件进行认真评审。招标文件中没有规定的评审因素和标准不得作为评标依据。 </w:t>
      </w:r>
    </w:p>
    <w:p>
      <w:pPr>
        <w:pStyle w:val="15"/>
        <w:adjustRightInd w:val="0"/>
        <w:snapToGrid w:val="0"/>
        <w:spacing w:line="360" w:lineRule="auto"/>
        <w:ind w:left="418" w:leftChars="199" w:firstLine="268" w:firstLineChars="128"/>
        <w:rPr>
          <w:rFonts w:hint="eastAsia" w:hAnsi="宋体" w:cs="宋体"/>
          <w:highlight w:val="none"/>
        </w:rPr>
      </w:pPr>
      <w:r>
        <w:rPr>
          <w:rFonts w:hint="eastAsia" w:hAnsi="宋体" w:cs="宋体"/>
          <w:highlight w:val="none"/>
        </w:rPr>
        <w:t>（2）评标完成后，提交书面评标报告和中标候选人名单。</w:t>
      </w:r>
    </w:p>
    <w:p>
      <w:pPr>
        <w:pStyle w:val="15"/>
        <w:adjustRightInd w:val="0"/>
        <w:snapToGrid w:val="0"/>
        <w:spacing w:line="360" w:lineRule="auto"/>
        <w:ind w:left="418" w:leftChars="199" w:firstLine="268" w:firstLineChars="128"/>
        <w:rPr>
          <w:rFonts w:hint="eastAsia" w:hAnsi="宋体" w:cs="宋体"/>
          <w:highlight w:val="none"/>
        </w:rPr>
      </w:pPr>
      <w:r>
        <w:rPr>
          <w:rFonts w:hint="eastAsia" w:hAnsi="宋体" w:cs="宋体"/>
          <w:highlight w:val="none"/>
        </w:rPr>
        <w:t>（3）评标委员会成员不得私下接触投标人，不得收受投标人的财物或者其他好处。</w:t>
      </w:r>
    </w:p>
    <w:p>
      <w:pPr>
        <w:pStyle w:val="15"/>
        <w:adjustRightInd w:val="0"/>
        <w:snapToGrid w:val="0"/>
        <w:spacing w:line="360" w:lineRule="auto"/>
        <w:ind w:left="840" w:leftChars="300" w:hanging="210" w:hangingChars="100"/>
        <w:rPr>
          <w:rFonts w:hint="eastAsia" w:hAnsi="宋体" w:cs="宋体"/>
          <w:highlight w:val="none"/>
        </w:rPr>
      </w:pPr>
      <w:r>
        <w:rPr>
          <w:rFonts w:hint="eastAsia" w:hAnsi="宋体" w:cs="宋体"/>
          <w:highlight w:val="none"/>
        </w:rPr>
        <w:t>（4）评标委员会成员必须遵守国家、地方政府制定的有关工程招标投标的法则、规定，遵守有关工程招标投标的保密制度；如有违反者，给予行政处分；情节严重，构成犯罪的，由司法机关依法追究其刑事责任。</w:t>
      </w:r>
    </w:p>
    <w:p>
      <w:pPr>
        <w:pStyle w:val="15"/>
        <w:adjustRightInd w:val="0"/>
        <w:snapToGrid w:val="0"/>
        <w:spacing w:line="360" w:lineRule="auto"/>
        <w:ind w:left="840" w:hanging="840" w:hangingChars="400"/>
        <w:rPr>
          <w:rFonts w:hint="eastAsia" w:hAnsi="宋体" w:cs="宋体"/>
          <w:highlight w:val="none"/>
        </w:rPr>
      </w:pPr>
      <w:r>
        <w:rPr>
          <w:rFonts w:hint="eastAsia" w:hAnsi="宋体" w:cs="宋体"/>
          <w:highlight w:val="none"/>
        </w:rPr>
        <w:t>3.3.4  评标完成后，评标委员会应当向招标人提交书面评标报告和中标候选人名单。评标委员会推荐中标候选人的人数见投标须知前附表。</w:t>
      </w:r>
    </w:p>
    <w:p>
      <w:pPr>
        <w:adjustRightInd w:val="0"/>
        <w:snapToGrid w:val="0"/>
        <w:spacing w:line="360" w:lineRule="auto"/>
        <w:rPr>
          <w:rFonts w:hint="eastAsia" w:ascii="宋体" w:hAnsi="宋体" w:cs="宋体"/>
          <w:highlight w:val="none"/>
        </w:rPr>
      </w:pPr>
    </w:p>
    <w:p>
      <w:pPr>
        <w:adjustRightInd w:val="0"/>
        <w:snapToGrid w:val="0"/>
        <w:spacing w:line="360" w:lineRule="auto"/>
        <w:rPr>
          <w:rFonts w:hint="eastAsia" w:ascii="宋体" w:hAnsi="宋体" w:cs="宋体"/>
          <w:szCs w:val="21"/>
          <w:highlight w:val="none"/>
        </w:rPr>
      </w:pPr>
      <w:r>
        <w:rPr>
          <w:rFonts w:hint="eastAsia" w:ascii="宋体" w:hAnsi="宋体" w:cs="宋体"/>
          <w:b/>
          <w:bCs/>
          <w:highlight w:val="none"/>
        </w:rPr>
        <w:t>3.4    评标办法及评标程序</w:t>
      </w:r>
    </w:p>
    <w:p>
      <w:pPr>
        <w:adjustRightInd w:val="0"/>
        <w:snapToGrid w:val="0"/>
        <w:spacing w:line="360" w:lineRule="auto"/>
        <w:rPr>
          <w:rFonts w:hint="eastAsia" w:ascii="宋体" w:hAnsi="宋体" w:cs="宋体"/>
          <w:szCs w:val="21"/>
          <w:highlight w:val="none"/>
        </w:rPr>
      </w:pPr>
      <w:r>
        <w:rPr>
          <w:rFonts w:hint="eastAsia" w:ascii="宋体" w:hAnsi="宋体" w:cs="宋体"/>
          <w:b/>
          <w:bCs/>
          <w:szCs w:val="21"/>
          <w:highlight w:val="none"/>
        </w:rPr>
        <w:t>3.4.1  办法一   综合评分法</w:t>
      </w:r>
      <w:bookmarkStart w:id="12" w:name="_Toc36623011"/>
    </w:p>
    <w:p>
      <w:pPr>
        <w:adjustRightInd w:val="0"/>
        <w:snapToGrid w:val="0"/>
        <w:spacing w:line="360" w:lineRule="auto"/>
        <w:ind w:left="420" w:leftChars="200"/>
        <w:jc w:val="left"/>
        <w:rPr>
          <w:rFonts w:hint="eastAsia" w:ascii="宋体" w:hAnsi="宋体" w:cs="宋体"/>
          <w:szCs w:val="21"/>
          <w:highlight w:val="none"/>
        </w:rPr>
      </w:pPr>
      <w:r>
        <w:rPr>
          <w:rFonts w:hint="eastAsia" w:ascii="宋体" w:hAnsi="宋体" w:cs="宋体"/>
          <w:szCs w:val="21"/>
          <w:highlight w:val="none"/>
        </w:rPr>
        <w:t>（1）评标委员会专家按附件1《资格审查表》对各投标文件进行资格审查，编写资格审查报告。只有通过资格审查的投标文件方可进入下一阶段的评审。如果有否决投标提议，则评标委员会成员共同表决，按照少数服从多数的原则决定是否否决。</w:t>
      </w:r>
    </w:p>
    <w:bookmarkEnd w:id="12"/>
    <w:p>
      <w:pPr>
        <w:adjustRightInd w:val="0"/>
        <w:snapToGrid w:val="0"/>
        <w:spacing w:line="360" w:lineRule="auto"/>
        <w:ind w:left="418" w:leftChars="199" w:firstLine="16" w:firstLineChars="8"/>
        <w:jc w:val="left"/>
        <w:rPr>
          <w:rFonts w:hint="eastAsia" w:ascii="宋体" w:hAnsi="宋体" w:cs="宋体"/>
          <w:szCs w:val="21"/>
          <w:highlight w:val="none"/>
        </w:rPr>
      </w:pPr>
      <w:r>
        <w:rPr>
          <w:rFonts w:hint="eastAsia" w:ascii="宋体" w:hAnsi="宋体" w:cs="宋体"/>
          <w:szCs w:val="21"/>
          <w:highlight w:val="none"/>
        </w:rPr>
        <w:t>（2）评标委员会专家按附件2《投标文件有效性审查表》对各投标文件进行评审，只有通过投标文件有效性审查的投标文件方可进入下一阶段的评审。如果有否决投标提议，则评标委员会成员共同表决，按照少数服从多数的原则决定是否否决。</w:t>
      </w:r>
    </w:p>
    <w:p>
      <w:pPr>
        <w:adjustRightInd w:val="0"/>
        <w:snapToGrid w:val="0"/>
        <w:spacing w:line="360" w:lineRule="auto"/>
        <w:ind w:left="418" w:leftChars="199" w:firstLine="16" w:firstLineChars="8"/>
        <w:jc w:val="left"/>
        <w:rPr>
          <w:rFonts w:hint="eastAsia" w:ascii="宋体" w:hAnsi="宋体" w:cs="宋体"/>
          <w:szCs w:val="21"/>
          <w:highlight w:val="none"/>
        </w:rPr>
      </w:pPr>
      <w:r>
        <w:rPr>
          <w:rFonts w:hint="eastAsia" w:ascii="宋体" w:hAnsi="宋体" w:cs="宋体"/>
          <w:szCs w:val="21"/>
          <w:highlight w:val="none"/>
        </w:rPr>
        <w:t>（3）评标委员会专家按附件3《技术文件有效性审查表》对各投标文件进行评审，只有通过技术有效性审查的投标文件方可进入下一阶段的评审。如果有否决投标提议，则评标委员会成员共同表决，按照少数服从多数的原则决定是否否决。</w:t>
      </w:r>
    </w:p>
    <w:p>
      <w:pPr>
        <w:adjustRightInd w:val="0"/>
        <w:snapToGrid w:val="0"/>
        <w:spacing w:line="360" w:lineRule="auto"/>
        <w:ind w:left="418" w:leftChars="199" w:firstLine="16" w:firstLineChars="8"/>
        <w:jc w:val="left"/>
        <w:rPr>
          <w:rFonts w:hint="eastAsia" w:ascii="宋体" w:hAnsi="宋体" w:cs="宋体"/>
          <w:szCs w:val="21"/>
          <w:highlight w:val="none"/>
        </w:rPr>
      </w:pPr>
      <w:r>
        <w:rPr>
          <w:rFonts w:hint="eastAsia" w:ascii="宋体" w:hAnsi="宋体" w:cs="宋体"/>
          <w:szCs w:val="21"/>
          <w:highlight w:val="none"/>
        </w:rPr>
        <w:t>（4）评标委员会专家按附件4《技术文件综合评分表》对各投标单位的技术文件（设计方案）进行综合评分。</w:t>
      </w:r>
    </w:p>
    <w:p>
      <w:pPr>
        <w:adjustRightInd w:val="0"/>
        <w:snapToGrid w:val="0"/>
        <w:spacing w:line="360" w:lineRule="auto"/>
        <w:ind w:left="420" w:leftChars="200"/>
        <w:jc w:val="left"/>
        <w:rPr>
          <w:rFonts w:hint="eastAsia" w:ascii="宋体" w:hAnsi="宋体" w:cs="宋体"/>
          <w:szCs w:val="21"/>
          <w:highlight w:val="none"/>
        </w:rPr>
      </w:pPr>
      <w:r>
        <w:rPr>
          <w:rFonts w:hint="eastAsia" w:ascii="宋体" w:hAnsi="宋体" w:cs="宋体"/>
          <w:szCs w:val="21"/>
          <w:highlight w:val="none"/>
        </w:rPr>
        <w:t>（5）评标委员会专家揭晓技术文件评审结果。</w:t>
      </w:r>
    </w:p>
    <w:p>
      <w:pPr>
        <w:adjustRightInd w:val="0"/>
        <w:snapToGrid w:val="0"/>
        <w:spacing w:line="360" w:lineRule="auto"/>
        <w:ind w:left="420" w:leftChars="200"/>
        <w:jc w:val="left"/>
        <w:rPr>
          <w:rFonts w:hint="eastAsia" w:ascii="宋体" w:hAnsi="宋体" w:cs="宋体"/>
          <w:szCs w:val="21"/>
          <w:highlight w:val="none"/>
        </w:rPr>
      </w:pPr>
      <w:r>
        <w:rPr>
          <w:rFonts w:hint="eastAsia" w:ascii="宋体" w:hAnsi="宋体" w:cs="宋体"/>
          <w:szCs w:val="21"/>
          <w:highlight w:val="none"/>
        </w:rPr>
        <w:t>（6）评标委员会专家按附件5《商务文件综合评分表》对各投标单位的商务文件进行综合评分。</w:t>
      </w:r>
    </w:p>
    <w:p>
      <w:pPr>
        <w:adjustRightInd w:val="0"/>
        <w:snapToGrid w:val="0"/>
        <w:spacing w:line="360" w:lineRule="auto"/>
        <w:ind w:left="418" w:leftChars="199" w:firstLine="16" w:firstLineChars="8"/>
        <w:jc w:val="left"/>
        <w:rPr>
          <w:rFonts w:hint="eastAsia" w:ascii="宋体" w:hAnsi="宋体" w:cs="宋体"/>
          <w:szCs w:val="21"/>
          <w:highlight w:val="none"/>
        </w:rPr>
      </w:pPr>
      <w:r>
        <w:rPr>
          <w:rFonts w:hint="eastAsia" w:ascii="宋体" w:hAnsi="宋体" w:cs="宋体"/>
          <w:szCs w:val="21"/>
          <w:highlight w:val="none"/>
        </w:rPr>
        <w:t>（7）评标委员会专家评出各投标人商务和技术文件的分数，按投标须知前附表规定计算每个投标人的商务和技术文件得分。分数出现小数点，保留小数点后二位，第三位小数四舍五入。</w:t>
      </w:r>
    </w:p>
    <w:p>
      <w:pPr>
        <w:adjustRightInd w:val="0"/>
        <w:snapToGrid w:val="0"/>
        <w:spacing w:line="360" w:lineRule="auto"/>
        <w:ind w:left="420" w:leftChars="200"/>
        <w:jc w:val="left"/>
        <w:rPr>
          <w:rFonts w:hint="eastAsia" w:ascii="宋体" w:hAnsi="宋体" w:cs="宋体"/>
          <w:strike/>
          <w:szCs w:val="21"/>
          <w:highlight w:val="none"/>
        </w:rPr>
      </w:pPr>
      <w:r>
        <w:rPr>
          <w:rFonts w:hint="eastAsia" w:ascii="宋体" w:hAnsi="宋体" w:cs="宋体"/>
          <w:strike/>
          <w:szCs w:val="21"/>
          <w:highlight w:val="none"/>
        </w:rPr>
        <w:t>（8）评标委员会专家按附件6《投标报价得分表》对各投标单位的报价进行评分。</w:t>
      </w:r>
    </w:p>
    <w:p>
      <w:pPr>
        <w:adjustRightInd w:val="0"/>
        <w:snapToGrid w:val="0"/>
        <w:spacing w:line="360" w:lineRule="auto"/>
        <w:ind w:left="420" w:leftChars="200"/>
        <w:jc w:val="left"/>
        <w:rPr>
          <w:rFonts w:hint="eastAsia" w:ascii="宋体" w:hAnsi="宋体" w:cs="宋体"/>
          <w:szCs w:val="21"/>
          <w:highlight w:val="none"/>
        </w:rPr>
      </w:pPr>
      <w:r>
        <w:rPr>
          <w:rFonts w:hint="eastAsia" w:ascii="宋体" w:hAnsi="宋体" w:cs="宋体"/>
          <w:szCs w:val="21"/>
          <w:highlight w:val="none"/>
          <w:u w:val="single"/>
        </w:rPr>
        <w:t>（8）</w:t>
      </w:r>
      <w:r>
        <w:rPr>
          <w:rFonts w:hint="eastAsia" w:ascii="宋体" w:hAnsi="宋体" w:cs="宋体"/>
          <w:szCs w:val="21"/>
          <w:highlight w:val="none"/>
        </w:rPr>
        <w:t>评标委员会按投标须知前附表的规定计算各投标人的综合得分，填写附件7《综合得分汇总表》。</w:t>
      </w:r>
    </w:p>
    <w:p>
      <w:pPr>
        <w:adjustRightInd w:val="0"/>
        <w:snapToGrid w:val="0"/>
        <w:spacing w:line="360" w:lineRule="auto"/>
        <w:ind w:left="420" w:leftChars="200"/>
        <w:jc w:val="left"/>
        <w:rPr>
          <w:rFonts w:hint="eastAsia" w:ascii="宋体" w:hAnsi="宋体" w:cs="宋体"/>
          <w:szCs w:val="21"/>
          <w:highlight w:val="none"/>
        </w:rPr>
      </w:pPr>
      <w:r>
        <w:rPr>
          <w:rFonts w:hint="eastAsia" w:ascii="宋体" w:hAnsi="宋体" w:cs="宋体"/>
          <w:szCs w:val="21"/>
          <w:highlight w:val="none"/>
        </w:rPr>
        <w:t>综合评分法一：投标人综合得分＝商务文件得分×30%+技术文件得分×70%。</w:t>
      </w:r>
    </w:p>
    <w:p>
      <w:pPr>
        <w:adjustRightInd w:val="0"/>
        <w:snapToGrid w:val="0"/>
        <w:spacing w:line="360" w:lineRule="auto"/>
        <w:ind w:left="420" w:leftChars="200"/>
        <w:jc w:val="left"/>
        <w:rPr>
          <w:rFonts w:hint="eastAsia" w:ascii="宋体" w:hAnsi="宋体" w:cs="宋体"/>
          <w:strike/>
          <w:szCs w:val="21"/>
          <w:highlight w:val="none"/>
        </w:rPr>
      </w:pPr>
      <w:r>
        <w:rPr>
          <w:rFonts w:hint="eastAsia" w:ascii="宋体" w:hAnsi="宋体" w:cs="宋体"/>
          <w:strike/>
          <w:szCs w:val="21"/>
          <w:highlight w:val="none"/>
        </w:rPr>
        <w:t>综合评分法二：投标人综合得分＝商务文件得分×20%+技术文件得分×70%+投标报价得分×10%。</w:t>
      </w:r>
    </w:p>
    <w:p>
      <w:pPr>
        <w:adjustRightInd w:val="0"/>
        <w:snapToGrid w:val="0"/>
        <w:spacing w:line="360" w:lineRule="auto"/>
        <w:ind w:left="420" w:leftChars="200"/>
        <w:jc w:val="left"/>
        <w:rPr>
          <w:rFonts w:hint="eastAsia" w:ascii="宋体" w:hAnsi="宋体" w:cs="宋体"/>
          <w:szCs w:val="21"/>
          <w:highlight w:val="none"/>
        </w:rPr>
      </w:pPr>
      <w:r>
        <w:rPr>
          <w:rFonts w:hint="eastAsia" w:ascii="宋体" w:hAnsi="宋体" w:cs="宋体"/>
          <w:szCs w:val="21"/>
          <w:highlight w:val="none"/>
          <w:u w:val="single"/>
        </w:rPr>
        <w:t>（9）</w:t>
      </w:r>
      <w:r>
        <w:rPr>
          <w:rFonts w:hint="eastAsia" w:ascii="宋体" w:hAnsi="宋体" w:cs="宋体"/>
          <w:szCs w:val="21"/>
          <w:highlight w:val="none"/>
        </w:rPr>
        <w:t>评标委员会编写、签署评标报告。不采用评定分离的，评标委员会向招标人推荐按投票结果排序的中标候选人；采用评定分离的，评标委员会向招标人推荐不排序的中标候选人。评标报告由评标委员会全体成员签名，对评标结论持有异议的评标委员会成员可以书面方式阐述其不同意见和理由。</w:t>
      </w:r>
    </w:p>
    <w:p>
      <w:pPr>
        <w:adjustRightInd w:val="0"/>
        <w:snapToGrid w:val="0"/>
        <w:spacing w:line="360" w:lineRule="auto"/>
        <w:ind w:left="420" w:leftChars="200"/>
        <w:jc w:val="left"/>
        <w:rPr>
          <w:rFonts w:hint="eastAsia" w:ascii="宋体" w:hAnsi="宋体" w:cs="宋体"/>
          <w:szCs w:val="21"/>
          <w:highlight w:val="none"/>
        </w:rPr>
      </w:pPr>
      <w:r>
        <w:rPr>
          <w:rFonts w:hint="eastAsia" w:ascii="宋体" w:hAnsi="宋体" w:cs="宋体"/>
          <w:szCs w:val="21"/>
          <w:highlight w:val="none"/>
          <w:u w:val="single"/>
        </w:rPr>
        <w:t>（10）</w:t>
      </w:r>
      <w:r>
        <w:rPr>
          <w:rFonts w:hint="eastAsia" w:ascii="宋体" w:hAnsi="宋体" w:cs="宋体"/>
          <w:szCs w:val="21"/>
          <w:highlight w:val="none"/>
        </w:rPr>
        <w:t>招标人（或招标代理机构）提前将揭晓评标结果的会议时间和地点通知所有投标人，并邀请投标人出席。公开展示所有投标文件，并根据请求告知已投标但未出席会议的投标人。</w:t>
      </w:r>
    </w:p>
    <w:p>
      <w:pPr>
        <w:adjustRightInd w:val="0"/>
        <w:snapToGrid w:val="0"/>
        <w:spacing w:line="360" w:lineRule="auto"/>
        <w:ind w:left="420" w:leftChars="200"/>
        <w:jc w:val="left"/>
        <w:rPr>
          <w:rFonts w:hint="eastAsia" w:ascii="宋体" w:hAnsi="宋体" w:cs="宋体"/>
          <w:szCs w:val="21"/>
          <w:highlight w:val="none"/>
        </w:rPr>
      </w:pPr>
      <w:r>
        <w:rPr>
          <w:rFonts w:hint="eastAsia" w:ascii="宋体" w:hAnsi="宋体" w:cs="宋体"/>
          <w:szCs w:val="21"/>
          <w:highlight w:val="none"/>
          <w:u w:val="single"/>
        </w:rPr>
        <w:t>（11）</w:t>
      </w:r>
      <w:r>
        <w:rPr>
          <w:rFonts w:hint="eastAsia" w:ascii="宋体" w:hAnsi="宋体" w:cs="宋体"/>
          <w:szCs w:val="21"/>
          <w:highlight w:val="none"/>
        </w:rPr>
        <w:t>评标委员会向招标人提交书面评标报告后即告解散，评标过程中使用的文件、表格以及其他资料应当即时归还招标人（或招标代理机构）。</w:t>
      </w:r>
    </w:p>
    <w:p>
      <w:pPr>
        <w:adjustRightInd w:val="0"/>
        <w:snapToGrid w:val="0"/>
        <w:spacing w:line="360" w:lineRule="auto"/>
        <w:jc w:val="left"/>
        <w:rPr>
          <w:rFonts w:hint="eastAsia" w:ascii="宋体" w:hAnsi="宋体" w:cs="宋体"/>
          <w:szCs w:val="21"/>
          <w:highlight w:val="none"/>
        </w:rPr>
      </w:pPr>
    </w:p>
    <w:p>
      <w:pPr>
        <w:adjustRightInd w:val="0"/>
        <w:snapToGrid w:val="0"/>
        <w:spacing w:line="360" w:lineRule="auto"/>
        <w:rPr>
          <w:rFonts w:hint="eastAsia" w:ascii="宋体" w:hAnsi="宋体" w:cs="宋体"/>
          <w:b/>
          <w:bCs/>
          <w:strike/>
          <w:szCs w:val="21"/>
          <w:highlight w:val="none"/>
        </w:rPr>
      </w:pPr>
      <w:r>
        <w:rPr>
          <w:rFonts w:hint="eastAsia" w:ascii="宋体" w:hAnsi="宋体" w:cs="宋体"/>
          <w:b/>
          <w:bCs/>
          <w:strike/>
          <w:szCs w:val="21"/>
          <w:highlight w:val="none"/>
        </w:rPr>
        <w:t>3.4.2  办法二   投票法</w:t>
      </w:r>
    </w:p>
    <w:p>
      <w:pPr>
        <w:adjustRightInd w:val="0"/>
        <w:snapToGrid w:val="0"/>
        <w:spacing w:line="360" w:lineRule="auto"/>
        <w:ind w:left="420" w:leftChars="200"/>
        <w:jc w:val="left"/>
        <w:rPr>
          <w:rFonts w:hint="eastAsia" w:ascii="宋体" w:hAnsi="宋体" w:cs="宋体"/>
          <w:strike/>
          <w:szCs w:val="21"/>
          <w:highlight w:val="none"/>
        </w:rPr>
      </w:pPr>
      <w:r>
        <w:rPr>
          <w:rFonts w:hint="eastAsia" w:ascii="宋体" w:hAnsi="宋体" w:cs="宋体"/>
          <w:strike/>
          <w:szCs w:val="21"/>
          <w:highlight w:val="none"/>
        </w:rPr>
        <w:t>（1）评标委员会专家首先按附件1《资格审查表》对各投标文件进行资格审查，编写资格审查报告。只有通过资格审查的投标文件方可进入下一阶段的评审。如果有否决投标提议，则评标委员会成员共同表决，按照少数服从多数的原则决定是否否决。</w:t>
      </w:r>
    </w:p>
    <w:p>
      <w:pPr>
        <w:adjustRightInd w:val="0"/>
        <w:snapToGrid w:val="0"/>
        <w:spacing w:line="360" w:lineRule="auto"/>
        <w:ind w:left="420" w:leftChars="200"/>
        <w:jc w:val="left"/>
        <w:rPr>
          <w:rFonts w:hint="eastAsia" w:ascii="宋体" w:hAnsi="宋体" w:cs="宋体"/>
          <w:strike/>
          <w:szCs w:val="21"/>
          <w:highlight w:val="none"/>
        </w:rPr>
      </w:pPr>
      <w:r>
        <w:rPr>
          <w:rFonts w:hint="eastAsia" w:ascii="宋体" w:hAnsi="宋体" w:cs="宋体"/>
          <w:strike/>
          <w:szCs w:val="21"/>
          <w:highlight w:val="none"/>
        </w:rPr>
        <w:t>（2）评标委员会专家首先按附件2《投标文件有效性审查表》对各投标文件进行评审，只有通过投标文件有效性审查的投标文件方可进入下一阶段的评审。如果有废标提议，则评标委员会成员共同表决，按照少数服从多数的原则决定是否废标。</w:t>
      </w:r>
    </w:p>
    <w:p>
      <w:pPr>
        <w:adjustRightInd w:val="0"/>
        <w:snapToGrid w:val="0"/>
        <w:spacing w:line="360" w:lineRule="auto"/>
        <w:ind w:left="420" w:leftChars="200"/>
        <w:jc w:val="left"/>
        <w:rPr>
          <w:rFonts w:hint="eastAsia" w:ascii="宋体" w:hAnsi="宋体" w:cs="宋体"/>
          <w:strike/>
          <w:szCs w:val="21"/>
          <w:highlight w:val="none"/>
        </w:rPr>
      </w:pPr>
      <w:r>
        <w:rPr>
          <w:rFonts w:hint="eastAsia" w:ascii="宋体" w:hAnsi="宋体" w:cs="宋体"/>
          <w:strike/>
          <w:szCs w:val="21"/>
          <w:highlight w:val="none"/>
        </w:rPr>
        <w:t>（3）评标委员会专家按附件3《技术文件有效性审查表》对各投标文件进行评审，只有通过技术有效性审查的投标文件方可进入下一阶段的评审。如果有否决投标提议，则评标委员会成员共同表决，按照少数服从多数的原则决定是否否决。</w:t>
      </w:r>
    </w:p>
    <w:p>
      <w:pPr>
        <w:adjustRightInd w:val="0"/>
        <w:snapToGrid w:val="0"/>
        <w:spacing w:line="360" w:lineRule="auto"/>
        <w:ind w:left="420" w:leftChars="200"/>
        <w:jc w:val="left"/>
        <w:rPr>
          <w:rFonts w:hint="eastAsia" w:ascii="宋体" w:hAnsi="宋体" w:cs="宋体"/>
          <w:strike/>
          <w:szCs w:val="21"/>
          <w:highlight w:val="none"/>
        </w:rPr>
      </w:pPr>
      <w:r>
        <w:rPr>
          <w:rFonts w:hint="eastAsia" w:ascii="宋体" w:hAnsi="宋体" w:cs="宋体"/>
          <w:strike/>
          <w:szCs w:val="21"/>
          <w:highlight w:val="none"/>
        </w:rPr>
        <w:t>（4）评标委员会专家对各投标单位的技术文件（设计方案）进行综合评审，以差额选举逐轮淘汰的记名投票方式选出投标方案的排序(评标表格详见附件8-11)。</w:t>
      </w:r>
    </w:p>
    <w:p>
      <w:pPr>
        <w:adjustRightInd w:val="0"/>
        <w:snapToGrid w:val="0"/>
        <w:spacing w:line="360" w:lineRule="auto"/>
        <w:ind w:left="420" w:leftChars="200"/>
        <w:jc w:val="left"/>
        <w:rPr>
          <w:rFonts w:hint="eastAsia" w:ascii="宋体" w:hAnsi="宋体" w:cs="宋体"/>
          <w:strike/>
          <w:szCs w:val="21"/>
          <w:highlight w:val="none"/>
        </w:rPr>
      </w:pPr>
      <w:r>
        <w:rPr>
          <w:rFonts w:hint="eastAsia" w:ascii="宋体" w:hAnsi="宋体" w:cs="宋体"/>
          <w:strike/>
          <w:szCs w:val="21"/>
          <w:highlight w:val="none"/>
        </w:rPr>
        <w:t>（5）评标委员会专家揭晓技术文件评审结果。</w:t>
      </w:r>
    </w:p>
    <w:p>
      <w:pPr>
        <w:adjustRightInd w:val="0"/>
        <w:snapToGrid w:val="0"/>
        <w:spacing w:line="360" w:lineRule="auto"/>
        <w:ind w:left="420" w:leftChars="200"/>
        <w:jc w:val="left"/>
        <w:rPr>
          <w:rFonts w:hint="eastAsia" w:ascii="宋体" w:hAnsi="宋体" w:cs="宋体"/>
          <w:strike/>
          <w:szCs w:val="21"/>
          <w:highlight w:val="none"/>
        </w:rPr>
      </w:pPr>
      <w:r>
        <w:rPr>
          <w:rFonts w:hint="eastAsia" w:ascii="宋体" w:hAnsi="宋体" w:cs="宋体"/>
          <w:strike/>
          <w:szCs w:val="21"/>
          <w:highlight w:val="none"/>
        </w:rPr>
        <w:t>（6）评标委员会编写、签署评标报告。不采用评定分离的，评标委员会向招标人推荐按投票结果排序的中标候选人；采用评定分离的，评标委员会向招标人推荐不排序的中标候选人。评标报告由评标委员会全体成员签名，对评标结论持有异议的评标委员会成员可以书面方式阐述其不同意见和理由。</w:t>
      </w:r>
    </w:p>
    <w:p>
      <w:pPr>
        <w:adjustRightInd w:val="0"/>
        <w:snapToGrid w:val="0"/>
        <w:spacing w:line="360" w:lineRule="auto"/>
        <w:ind w:left="420" w:leftChars="200"/>
        <w:jc w:val="left"/>
        <w:rPr>
          <w:rFonts w:hint="eastAsia" w:ascii="宋体" w:hAnsi="宋体" w:cs="宋体"/>
          <w:strike/>
          <w:szCs w:val="21"/>
          <w:highlight w:val="none"/>
        </w:rPr>
      </w:pPr>
      <w:r>
        <w:rPr>
          <w:rFonts w:hint="eastAsia" w:ascii="宋体" w:hAnsi="宋体" w:cs="宋体"/>
          <w:strike/>
          <w:szCs w:val="21"/>
          <w:highlight w:val="none"/>
        </w:rPr>
        <w:t>（7）招标人（或招标代理机构）提前将揭晓评标结果的会议时间和地点通知所有投标人，并邀请投标人出席。公开展示所有投标文件，并根据请求告知已投标但未出席会议的投标人。</w:t>
      </w:r>
    </w:p>
    <w:p>
      <w:pPr>
        <w:adjustRightInd w:val="0"/>
        <w:snapToGrid w:val="0"/>
        <w:spacing w:line="360" w:lineRule="auto"/>
        <w:ind w:left="420" w:leftChars="200"/>
        <w:jc w:val="left"/>
        <w:rPr>
          <w:rFonts w:hint="eastAsia" w:ascii="宋体" w:hAnsi="宋体" w:cs="宋体"/>
          <w:strike/>
          <w:szCs w:val="21"/>
          <w:highlight w:val="none"/>
        </w:rPr>
      </w:pPr>
      <w:r>
        <w:rPr>
          <w:rFonts w:hint="eastAsia" w:ascii="宋体" w:hAnsi="宋体" w:cs="宋体"/>
          <w:strike/>
          <w:szCs w:val="21"/>
          <w:highlight w:val="none"/>
        </w:rPr>
        <w:t>（8）评标委员会向招标人提交书面评标报告后即告解散，评标过程中使用的文件、表格以及其他资料应当即时归还招标人（或招标代理机构）。</w:t>
      </w:r>
    </w:p>
    <w:p>
      <w:pPr>
        <w:adjustRightInd w:val="0"/>
        <w:snapToGrid w:val="0"/>
        <w:spacing w:line="360" w:lineRule="auto"/>
        <w:ind w:left="420" w:leftChars="200"/>
        <w:jc w:val="left"/>
        <w:rPr>
          <w:rFonts w:hint="eastAsia" w:ascii="宋体" w:hAnsi="宋体" w:cs="宋体"/>
          <w:szCs w:val="21"/>
          <w:highlight w:val="none"/>
        </w:rPr>
      </w:pPr>
    </w:p>
    <w:p>
      <w:pPr>
        <w:pStyle w:val="5"/>
        <w:rPr>
          <w:rFonts w:hint="eastAsia" w:ascii="宋体" w:hAnsi="宋体" w:cs="宋体"/>
          <w:b w:val="0"/>
          <w:highlight w:val="none"/>
        </w:rPr>
      </w:pPr>
      <w:bookmarkStart w:id="13" w:name="_Toc24768"/>
      <w:r>
        <w:rPr>
          <w:rFonts w:hint="eastAsia" w:ascii="宋体" w:hAnsi="宋体" w:cs="宋体"/>
          <w:highlight w:val="none"/>
        </w:rPr>
        <w:t>（四） 定标</w:t>
      </w:r>
      <w:bookmarkEnd w:id="13"/>
    </w:p>
    <w:p>
      <w:pPr>
        <w:adjustRightInd w:val="0"/>
        <w:snapToGrid w:val="0"/>
        <w:spacing w:line="360" w:lineRule="auto"/>
        <w:ind w:left="632" w:hanging="632" w:hangingChars="300"/>
        <w:rPr>
          <w:rFonts w:hint="eastAsia" w:ascii="宋体" w:hAnsi="宋体" w:cs="宋体"/>
          <w:b/>
          <w:bCs/>
          <w:szCs w:val="21"/>
          <w:highlight w:val="none"/>
        </w:rPr>
      </w:pPr>
    </w:p>
    <w:p>
      <w:pPr>
        <w:adjustRightInd w:val="0"/>
        <w:snapToGrid w:val="0"/>
        <w:spacing w:line="360" w:lineRule="auto"/>
        <w:ind w:left="632" w:hanging="632" w:hangingChars="300"/>
        <w:rPr>
          <w:rFonts w:hint="eastAsia" w:ascii="宋体" w:hAnsi="宋体" w:cs="宋体"/>
          <w:b/>
          <w:bCs/>
          <w:szCs w:val="21"/>
          <w:highlight w:val="none"/>
        </w:rPr>
      </w:pPr>
      <w:r>
        <w:rPr>
          <w:rFonts w:hint="eastAsia" w:ascii="宋体" w:hAnsi="宋体" w:cs="宋体"/>
          <w:b/>
          <w:bCs/>
          <w:szCs w:val="21"/>
          <w:highlight w:val="none"/>
        </w:rPr>
        <w:t>4.1    公示中标候选人</w:t>
      </w:r>
    </w:p>
    <w:p>
      <w:pPr>
        <w:adjustRightInd w:val="0"/>
        <w:snapToGrid w:val="0"/>
        <w:spacing w:line="360" w:lineRule="auto"/>
        <w:ind w:left="840" w:hanging="840" w:hangingChars="400"/>
        <w:rPr>
          <w:rFonts w:hint="eastAsia" w:ascii="宋体" w:hAnsi="宋体" w:cs="宋体"/>
          <w:szCs w:val="21"/>
          <w:highlight w:val="none"/>
        </w:rPr>
      </w:pPr>
      <w:r>
        <w:rPr>
          <w:rFonts w:hint="eastAsia" w:ascii="宋体" w:hAnsi="宋体" w:cs="宋体"/>
          <w:szCs w:val="21"/>
          <w:highlight w:val="none"/>
        </w:rPr>
        <w:t>4.1.1  招标人应按规定在广州交易集团有限公司（广州公共资源交易中心）网站公示中标候选人，公示期不得少于3日。</w:t>
      </w:r>
    </w:p>
    <w:p>
      <w:pPr>
        <w:adjustRightInd w:val="0"/>
        <w:snapToGrid w:val="0"/>
        <w:spacing w:line="360" w:lineRule="auto"/>
        <w:ind w:left="630" w:hanging="630" w:hangingChars="300"/>
        <w:rPr>
          <w:rFonts w:hint="eastAsia" w:ascii="宋体" w:hAnsi="宋体" w:cs="宋体"/>
          <w:szCs w:val="21"/>
          <w:highlight w:val="none"/>
        </w:rPr>
      </w:pPr>
      <w:r>
        <w:rPr>
          <w:rFonts w:hint="eastAsia" w:ascii="宋体" w:hAnsi="宋体" w:cs="宋体"/>
          <w:szCs w:val="21"/>
          <w:highlight w:val="none"/>
        </w:rPr>
        <w:t>4.1.2  招标人应当将中标候选人的投标文件商务部分电子版（报价清单、施工方案等涉及商业秘密的内容除外）在广州交易集团有限公司（广州公共资源交易中心）网站公开。</w:t>
      </w:r>
    </w:p>
    <w:p>
      <w:pPr>
        <w:adjustRightInd w:val="0"/>
        <w:snapToGrid w:val="0"/>
        <w:spacing w:line="360" w:lineRule="auto"/>
        <w:ind w:left="840" w:hanging="840" w:hangingChars="400"/>
        <w:rPr>
          <w:rFonts w:hint="eastAsia" w:ascii="宋体" w:hAnsi="宋体" w:cs="宋体"/>
          <w:szCs w:val="21"/>
          <w:highlight w:val="none"/>
        </w:rPr>
      </w:pPr>
      <w:r>
        <w:rPr>
          <w:rFonts w:hint="eastAsia" w:ascii="宋体" w:hAnsi="宋体" w:cs="宋体"/>
          <w:szCs w:val="21"/>
          <w:highlight w:val="none"/>
        </w:rPr>
        <w:t xml:space="preserve">4.1.3  投标人或者其他利害关系人对评标结果有异议的，应当在中标候选人公示期间提出。招标人将在收到异议之日起 3 日内作出答复；作出答复前，应当暂停招标投标活动。 </w:t>
      </w:r>
    </w:p>
    <w:p>
      <w:pPr>
        <w:adjustRightInd w:val="0"/>
        <w:snapToGrid w:val="0"/>
        <w:spacing w:line="360" w:lineRule="auto"/>
        <w:ind w:left="840" w:hanging="840" w:hangingChars="400"/>
        <w:rPr>
          <w:rFonts w:hint="eastAsia" w:ascii="宋体" w:hAnsi="宋体" w:cs="宋体"/>
          <w:szCs w:val="21"/>
          <w:highlight w:val="none"/>
        </w:rPr>
      </w:pPr>
    </w:p>
    <w:p>
      <w:pPr>
        <w:adjustRightInd w:val="0"/>
        <w:snapToGrid w:val="0"/>
        <w:spacing w:line="360" w:lineRule="auto"/>
        <w:jc w:val="left"/>
        <w:rPr>
          <w:rFonts w:hint="eastAsia" w:ascii="宋体" w:hAnsi="宋体" w:cs="宋体"/>
          <w:b/>
          <w:highlight w:val="none"/>
        </w:rPr>
      </w:pPr>
      <w:r>
        <w:rPr>
          <w:rFonts w:hint="eastAsia" w:ascii="宋体" w:hAnsi="宋体" w:cs="宋体"/>
          <w:b/>
          <w:highlight w:val="none"/>
        </w:rPr>
        <w:t>4.2    确定中标人</w:t>
      </w:r>
    </w:p>
    <w:p>
      <w:pPr>
        <w:adjustRightInd w:val="0"/>
        <w:snapToGrid w:val="0"/>
        <w:spacing w:line="360" w:lineRule="auto"/>
        <w:ind w:left="630" w:hanging="630" w:hangingChars="300"/>
        <w:rPr>
          <w:rFonts w:hint="eastAsia" w:ascii="宋体" w:hAnsi="宋体" w:cs="宋体"/>
          <w:szCs w:val="21"/>
          <w:highlight w:val="none"/>
        </w:rPr>
      </w:pPr>
      <w:r>
        <w:rPr>
          <w:rFonts w:hint="eastAsia" w:ascii="宋体" w:hAnsi="宋体" w:cs="宋体"/>
          <w:szCs w:val="21"/>
          <w:highlight w:val="none"/>
        </w:rPr>
        <w:t xml:space="preserve">4.2.1  </w:t>
      </w:r>
      <w:r>
        <w:rPr>
          <w:rFonts w:hint="eastAsia" w:ascii="宋体" w:hAnsi="宋体" w:cs="宋体"/>
          <w:bCs/>
          <w:highlight w:val="none"/>
        </w:rPr>
        <w:t>不采用评定分离的，由</w:t>
      </w:r>
      <w:r>
        <w:rPr>
          <w:rFonts w:hint="eastAsia" w:ascii="宋体" w:hAnsi="宋体" w:cs="宋体"/>
          <w:bCs/>
          <w:szCs w:val="21"/>
          <w:highlight w:val="none"/>
        </w:rPr>
        <w:t>招标人在</w:t>
      </w:r>
      <w:r>
        <w:rPr>
          <w:rFonts w:hint="eastAsia" w:ascii="宋体" w:hAnsi="宋体" w:cs="宋体"/>
          <w:szCs w:val="21"/>
          <w:highlight w:val="none"/>
        </w:rPr>
        <w:t>中标候选人中确定中标人。</w:t>
      </w:r>
    </w:p>
    <w:p>
      <w:pPr>
        <w:adjustRightInd w:val="0"/>
        <w:snapToGrid w:val="0"/>
        <w:spacing w:line="360" w:lineRule="auto"/>
        <w:ind w:left="630" w:leftChars="300"/>
        <w:rPr>
          <w:rFonts w:hint="eastAsia" w:ascii="宋体" w:hAnsi="宋体" w:cs="宋体"/>
          <w:szCs w:val="21"/>
          <w:highlight w:val="none"/>
        </w:rPr>
      </w:pPr>
      <w:r>
        <w:rPr>
          <w:rFonts w:hint="eastAsia" w:ascii="宋体" w:hAnsi="宋体" w:cs="宋体"/>
          <w:szCs w:val="21"/>
          <w:highlight w:val="none"/>
        </w:rPr>
        <w:t>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adjustRightInd w:val="0"/>
        <w:snapToGrid w:val="0"/>
        <w:spacing w:line="360" w:lineRule="auto"/>
        <w:ind w:left="630" w:hanging="630" w:hangingChars="300"/>
        <w:rPr>
          <w:rFonts w:hint="eastAsia" w:ascii="宋体" w:hAnsi="宋体" w:cs="宋体"/>
          <w:szCs w:val="21"/>
          <w:highlight w:val="none"/>
        </w:rPr>
      </w:pPr>
      <w:r>
        <w:rPr>
          <w:rFonts w:hint="eastAsia" w:ascii="宋体" w:hAnsi="宋体" w:cs="宋体"/>
          <w:szCs w:val="21"/>
          <w:highlight w:val="none"/>
        </w:rPr>
        <w:t xml:space="preserve">4.2.2  </w:t>
      </w:r>
      <w:r>
        <w:rPr>
          <w:rFonts w:hint="eastAsia" w:ascii="宋体" w:hAnsi="宋体" w:cs="宋体"/>
          <w:bCs/>
          <w:highlight w:val="none"/>
        </w:rPr>
        <w:t>采用评定分离的，由</w:t>
      </w:r>
      <w:r>
        <w:rPr>
          <w:rFonts w:hint="eastAsia" w:ascii="宋体" w:hAnsi="宋体" w:cs="宋体"/>
          <w:bCs/>
          <w:szCs w:val="21"/>
          <w:highlight w:val="none"/>
        </w:rPr>
        <w:t>定标委</w:t>
      </w:r>
      <w:r>
        <w:rPr>
          <w:rFonts w:hint="eastAsia" w:ascii="宋体" w:hAnsi="宋体" w:cs="宋体"/>
          <w:szCs w:val="21"/>
          <w:highlight w:val="none"/>
        </w:rPr>
        <w:t>员会在中标候选人中确定中标人。</w:t>
      </w:r>
    </w:p>
    <w:p>
      <w:pPr>
        <w:adjustRightInd w:val="0"/>
        <w:snapToGrid w:val="0"/>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招标人自行制定定标委员会组建及定标办法（附件12-13），并与招标文件同时发布。</w:t>
      </w:r>
    </w:p>
    <w:p>
      <w:pPr>
        <w:adjustRightInd w:val="0"/>
        <w:snapToGrid w:val="0"/>
        <w:spacing w:line="360" w:lineRule="auto"/>
        <w:rPr>
          <w:rFonts w:hint="eastAsia" w:ascii="宋体" w:hAnsi="宋体" w:cs="宋体"/>
          <w:szCs w:val="21"/>
          <w:highlight w:val="none"/>
        </w:rPr>
      </w:pPr>
    </w:p>
    <w:p>
      <w:pPr>
        <w:adjustRightInd w:val="0"/>
        <w:snapToGrid w:val="0"/>
        <w:spacing w:line="360" w:lineRule="auto"/>
        <w:jc w:val="left"/>
        <w:rPr>
          <w:rFonts w:hint="eastAsia" w:ascii="宋体" w:hAnsi="宋体" w:cs="宋体"/>
          <w:highlight w:val="none"/>
        </w:rPr>
      </w:pPr>
      <w:r>
        <w:rPr>
          <w:rFonts w:hint="eastAsia" w:ascii="宋体" w:hAnsi="宋体" w:cs="宋体"/>
          <w:b/>
          <w:highlight w:val="none"/>
        </w:rPr>
        <w:t>4.3    中标通知</w:t>
      </w:r>
    </w:p>
    <w:p>
      <w:pPr>
        <w:adjustRightInd w:val="0"/>
        <w:snapToGrid w:val="0"/>
        <w:spacing w:line="360" w:lineRule="auto"/>
        <w:ind w:left="718" w:hanging="718" w:hangingChars="342"/>
        <w:jc w:val="left"/>
        <w:rPr>
          <w:rFonts w:hint="eastAsia" w:ascii="宋体" w:hAnsi="宋体" w:cs="宋体"/>
          <w:szCs w:val="21"/>
          <w:highlight w:val="none"/>
        </w:rPr>
      </w:pPr>
      <w:r>
        <w:rPr>
          <w:rFonts w:hint="eastAsia" w:ascii="宋体" w:hAnsi="宋体" w:cs="宋体"/>
          <w:szCs w:val="21"/>
          <w:highlight w:val="none"/>
        </w:rPr>
        <w:t xml:space="preserve">4.3.1  </w:t>
      </w:r>
      <w:r>
        <w:rPr>
          <w:rFonts w:hint="eastAsia" w:ascii="宋体" w:hAnsi="宋体" w:cs="宋体"/>
          <w:highlight w:val="none"/>
        </w:rPr>
        <w:t>中标人确定后，招标人（招标代理机构）通过广州交易集团有限公司（广州公共资源交易中心）网站和广东省招标投标监管网公示中标结果，向中标人发出中标通知书，并同时将中标结果通知所有未中标的投标人。</w:t>
      </w:r>
    </w:p>
    <w:p>
      <w:pPr>
        <w:adjustRightInd w:val="0"/>
        <w:snapToGrid w:val="0"/>
        <w:spacing w:line="360" w:lineRule="auto"/>
        <w:ind w:left="718" w:hanging="718" w:hangingChars="342"/>
        <w:jc w:val="left"/>
        <w:rPr>
          <w:rFonts w:hint="eastAsia" w:ascii="宋体" w:hAnsi="宋体" w:cs="宋体"/>
          <w:highlight w:val="none"/>
        </w:rPr>
      </w:pPr>
      <w:r>
        <w:rPr>
          <w:rFonts w:hint="eastAsia" w:ascii="宋体" w:hAnsi="宋体" w:cs="宋体"/>
          <w:szCs w:val="21"/>
          <w:highlight w:val="none"/>
        </w:rPr>
        <w:t xml:space="preserve">4.3.2  </w:t>
      </w:r>
      <w:r>
        <w:rPr>
          <w:rFonts w:hint="eastAsia" w:ascii="宋体" w:hAnsi="宋体" w:cs="宋体"/>
          <w:highlight w:val="none"/>
        </w:rPr>
        <w:t>招标人应当自确定中标人之日起十五日内，向招标管理机构提交招标投标情况的书面报告。采用评定分离的，</w:t>
      </w:r>
      <w:r>
        <w:rPr>
          <w:rFonts w:hint="eastAsia" w:ascii="宋体" w:hAnsi="宋体" w:cs="宋体"/>
          <w:kern w:val="0"/>
          <w:szCs w:val="21"/>
          <w:highlight w:val="none"/>
        </w:rPr>
        <w:t>招标人</w:t>
      </w:r>
      <w:r>
        <w:rPr>
          <w:rFonts w:hint="eastAsia" w:ascii="宋体" w:hAnsi="宋体" w:cs="宋体"/>
          <w:highlight w:val="none"/>
        </w:rPr>
        <w:t>应当同时提交</w:t>
      </w:r>
      <w:r>
        <w:rPr>
          <w:rFonts w:hint="eastAsia" w:ascii="宋体" w:hAnsi="宋体" w:cs="宋体"/>
          <w:kern w:val="0"/>
          <w:szCs w:val="21"/>
          <w:highlight w:val="none"/>
        </w:rPr>
        <w:t>定标报告。定标报告应包括定标委员会的产生过程、定标程序及定标结果等内容，同时附上定标委员会成员名单及定标会过程资料等。</w:t>
      </w:r>
    </w:p>
    <w:p>
      <w:pPr>
        <w:adjustRightInd w:val="0"/>
        <w:snapToGrid w:val="0"/>
        <w:spacing w:line="360" w:lineRule="auto"/>
        <w:ind w:left="721" w:hanging="721" w:hangingChars="342"/>
        <w:jc w:val="left"/>
        <w:rPr>
          <w:rFonts w:hint="eastAsia" w:ascii="宋体" w:hAnsi="宋体" w:cs="宋体"/>
          <w:b/>
          <w:bCs/>
          <w:highlight w:val="none"/>
        </w:rPr>
      </w:pPr>
    </w:p>
    <w:p>
      <w:pPr>
        <w:adjustRightInd w:val="0"/>
        <w:snapToGrid w:val="0"/>
        <w:spacing w:line="360" w:lineRule="auto"/>
        <w:ind w:left="721" w:hanging="721" w:hangingChars="342"/>
        <w:jc w:val="left"/>
        <w:rPr>
          <w:rFonts w:hint="eastAsia" w:ascii="宋体" w:hAnsi="宋体" w:cs="宋体"/>
          <w:b/>
          <w:bCs/>
          <w:highlight w:val="none"/>
        </w:rPr>
      </w:pPr>
      <w:r>
        <w:rPr>
          <w:rFonts w:hint="eastAsia" w:ascii="宋体" w:hAnsi="宋体" w:cs="宋体"/>
          <w:b/>
          <w:bCs/>
          <w:highlight w:val="none"/>
        </w:rPr>
        <w:t>4.4   技术成果经济补偿</w:t>
      </w:r>
    </w:p>
    <w:p>
      <w:pPr>
        <w:adjustRightInd w:val="0"/>
        <w:snapToGrid w:val="0"/>
        <w:spacing w:line="360" w:lineRule="auto"/>
        <w:ind w:left="718" w:hanging="718" w:hangingChars="342"/>
        <w:jc w:val="left"/>
        <w:rPr>
          <w:rFonts w:hint="eastAsia" w:ascii="宋体" w:hAnsi="宋体" w:cs="宋体"/>
          <w:highlight w:val="none"/>
        </w:rPr>
      </w:pPr>
      <w:r>
        <w:rPr>
          <w:rFonts w:hint="eastAsia" w:ascii="宋体" w:hAnsi="宋体" w:cs="宋体"/>
          <w:highlight w:val="none"/>
        </w:rPr>
        <w:t>4.4.1  招标人对符合招标文件规定的未中标人的技术成果进行补偿的，按投标须知前附表规定的标准给予经济补偿，未中标人在投标文件中声明放弃技术成果经济补偿费的除外。</w:t>
      </w:r>
    </w:p>
    <w:p>
      <w:pPr>
        <w:adjustRightInd w:val="0"/>
        <w:snapToGrid w:val="0"/>
        <w:spacing w:line="360" w:lineRule="auto"/>
        <w:rPr>
          <w:rFonts w:hint="eastAsia" w:ascii="宋体" w:hAnsi="宋体" w:cs="宋体"/>
          <w:b/>
          <w:bCs/>
          <w:highlight w:val="none"/>
        </w:rPr>
      </w:pPr>
    </w:p>
    <w:p>
      <w:pPr>
        <w:adjustRightInd w:val="0"/>
        <w:snapToGrid w:val="0"/>
        <w:spacing w:line="360" w:lineRule="auto"/>
        <w:rPr>
          <w:rFonts w:hint="eastAsia" w:ascii="宋体" w:hAnsi="宋体" w:cs="宋体"/>
          <w:b/>
          <w:bCs/>
          <w:highlight w:val="none"/>
        </w:rPr>
      </w:pPr>
      <w:r>
        <w:rPr>
          <w:rFonts w:hint="eastAsia" w:ascii="宋体" w:hAnsi="宋体" w:cs="宋体"/>
          <w:b/>
          <w:bCs/>
          <w:highlight w:val="none"/>
        </w:rPr>
        <w:t>4.5   履约担保</w:t>
      </w:r>
    </w:p>
    <w:p>
      <w:pPr>
        <w:adjustRightInd w:val="0"/>
        <w:snapToGrid w:val="0"/>
        <w:spacing w:line="360" w:lineRule="auto"/>
        <w:ind w:left="840" w:hanging="840" w:hangingChars="400"/>
        <w:rPr>
          <w:rFonts w:hint="eastAsia" w:ascii="宋体" w:hAnsi="宋体" w:cs="宋体"/>
          <w:szCs w:val="21"/>
          <w:highlight w:val="none"/>
        </w:rPr>
      </w:pPr>
      <w:r>
        <w:rPr>
          <w:rFonts w:hint="eastAsia" w:ascii="宋体" w:hAnsi="宋体" w:cs="宋体"/>
          <w:szCs w:val="21"/>
          <w:highlight w:val="none"/>
        </w:rPr>
        <w:t>4.5.1  中标人应按本须知前附表的规定向招标人提交履约担保。若履约担保以金融机构保函或保证保险的形式提供，则应由在中国注册的金融机构或保险公司开具。</w:t>
      </w:r>
    </w:p>
    <w:p>
      <w:pPr>
        <w:adjustRightInd w:val="0"/>
        <w:snapToGrid w:val="0"/>
        <w:spacing w:line="360" w:lineRule="auto"/>
        <w:ind w:left="840" w:hanging="840" w:hangingChars="400"/>
        <w:rPr>
          <w:rFonts w:hint="eastAsia" w:ascii="宋体" w:hAnsi="宋体" w:cs="宋体"/>
          <w:szCs w:val="21"/>
          <w:highlight w:val="none"/>
        </w:rPr>
      </w:pPr>
      <w:r>
        <w:rPr>
          <w:rFonts w:hint="eastAsia" w:ascii="宋体" w:hAnsi="宋体" w:cs="宋体"/>
          <w:szCs w:val="21"/>
          <w:highlight w:val="none"/>
        </w:rPr>
        <w:t>4.5.2  中标人未按上款规定提交履约担保的，招标人将解除中标通知书，原中标人的投标保证金不予退还，且依法承担相应法律责任。原中标人给招标人造成的损失超过投标保证金数额的，还应当对超过部分予以赔偿。</w:t>
      </w:r>
    </w:p>
    <w:p>
      <w:pPr>
        <w:adjustRightInd w:val="0"/>
        <w:snapToGrid w:val="0"/>
        <w:spacing w:line="360" w:lineRule="auto"/>
        <w:rPr>
          <w:rFonts w:hint="eastAsia" w:ascii="宋体" w:hAnsi="宋体" w:cs="宋体"/>
          <w:b/>
          <w:bCs/>
          <w:highlight w:val="none"/>
        </w:rPr>
      </w:pPr>
    </w:p>
    <w:p>
      <w:pPr>
        <w:adjustRightInd w:val="0"/>
        <w:snapToGrid w:val="0"/>
        <w:spacing w:line="360" w:lineRule="auto"/>
        <w:ind w:left="843" w:hanging="843" w:hangingChars="400"/>
        <w:rPr>
          <w:rFonts w:hint="eastAsia" w:ascii="宋体" w:hAnsi="宋体" w:cs="宋体"/>
          <w:b/>
          <w:bCs/>
          <w:szCs w:val="21"/>
          <w:highlight w:val="none"/>
        </w:rPr>
      </w:pPr>
      <w:r>
        <w:rPr>
          <w:rFonts w:hint="eastAsia" w:ascii="宋体" w:hAnsi="宋体" w:cs="宋体"/>
          <w:b/>
          <w:bCs/>
          <w:szCs w:val="21"/>
          <w:highlight w:val="none"/>
        </w:rPr>
        <w:t>4.6   签订合同</w:t>
      </w:r>
    </w:p>
    <w:p>
      <w:pPr>
        <w:adjustRightInd w:val="0"/>
        <w:snapToGrid w:val="0"/>
        <w:spacing w:line="360" w:lineRule="auto"/>
        <w:ind w:left="630" w:hanging="630" w:hangingChars="300"/>
        <w:rPr>
          <w:rFonts w:hint="eastAsia" w:ascii="宋体" w:hAnsi="宋体" w:cs="宋体"/>
          <w:szCs w:val="21"/>
          <w:highlight w:val="none"/>
        </w:rPr>
      </w:pPr>
      <w:r>
        <w:rPr>
          <w:rFonts w:hint="eastAsia" w:ascii="宋体" w:hAnsi="宋体" w:cs="宋体"/>
          <w:szCs w:val="21"/>
          <w:highlight w:val="none"/>
        </w:rPr>
        <w:t>4.6.1  招标人与中标人应当在中标通知书发出之日起30日内，按照招标文件和中标人的投标文件商定和签订合同，招标人和中标人不得再行订立背离合同实质性内容的其他协议。</w:t>
      </w:r>
    </w:p>
    <w:p>
      <w:pPr>
        <w:adjustRightInd w:val="0"/>
        <w:snapToGrid w:val="0"/>
        <w:spacing w:line="360" w:lineRule="auto"/>
        <w:ind w:left="630" w:hanging="630" w:hangingChars="300"/>
        <w:rPr>
          <w:rFonts w:hint="eastAsia" w:ascii="宋体" w:hAnsi="宋体" w:cs="宋体"/>
          <w:szCs w:val="21"/>
          <w:highlight w:val="none"/>
        </w:rPr>
      </w:pPr>
      <w:r>
        <w:rPr>
          <w:rFonts w:hint="eastAsia" w:ascii="宋体" w:hAnsi="宋体" w:cs="宋体"/>
          <w:szCs w:val="21"/>
          <w:highlight w:val="none"/>
        </w:rPr>
        <w:t>4.6.2  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w:t>
      </w:r>
    </w:p>
    <w:p>
      <w:pPr>
        <w:adjustRightInd w:val="0"/>
        <w:snapToGrid w:val="0"/>
        <w:spacing w:line="360" w:lineRule="auto"/>
        <w:ind w:left="630" w:hanging="630" w:hangingChars="300"/>
        <w:rPr>
          <w:rFonts w:hint="eastAsia" w:ascii="宋体" w:hAnsi="宋体" w:cs="宋体"/>
          <w:highlight w:val="none"/>
        </w:rPr>
      </w:pPr>
      <w:r>
        <w:rPr>
          <w:rFonts w:hint="eastAsia" w:ascii="宋体" w:hAnsi="宋体" w:cs="宋体"/>
          <w:szCs w:val="21"/>
          <w:highlight w:val="none"/>
        </w:rPr>
        <w:t>4.6.3  联合体中标的，由所有联合体成员法定代表人签署授权委托书，指定牵头人或代表，授权其代表所有联合体成员与招标人签订合同，负责整个合同实施阶段的协调工作。招标人认为必要时，</w:t>
      </w:r>
      <w:r>
        <w:rPr>
          <w:rFonts w:hint="eastAsia" w:ascii="宋体" w:hAnsi="宋体" w:cs="宋体"/>
          <w:highlight w:val="none"/>
        </w:rPr>
        <w:t>联合体各方应当共同与招标人签订合同，就中标项目向招标人承担连带责任。</w:t>
      </w:r>
    </w:p>
    <w:p>
      <w:pPr>
        <w:adjustRightInd w:val="0"/>
        <w:snapToGrid w:val="0"/>
        <w:spacing w:line="360" w:lineRule="auto"/>
        <w:ind w:left="632" w:hanging="632" w:hangingChars="300"/>
        <w:rPr>
          <w:rFonts w:hint="eastAsia" w:ascii="宋体" w:hAnsi="宋体" w:cs="宋体"/>
          <w:b/>
          <w:bCs/>
          <w:highlight w:val="none"/>
        </w:rPr>
      </w:pPr>
    </w:p>
    <w:p>
      <w:pPr>
        <w:adjustRightInd w:val="0"/>
        <w:snapToGrid w:val="0"/>
        <w:spacing w:line="360" w:lineRule="auto"/>
        <w:ind w:left="843" w:hanging="843" w:hangingChars="400"/>
        <w:rPr>
          <w:rFonts w:hint="eastAsia" w:ascii="宋体" w:hAnsi="宋体" w:cs="宋体"/>
          <w:b/>
          <w:bCs/>
          <w:szCs w:val="21"/>
          <w:highlight w:val="none"/>
        </w:rPr>
      </w:pPr>
      <w:bookmarkStart w:id="14" w:name="_Toc300834994"/>
      <w:bookmarkStart w:id="15" w:name="_Toc507590752"/>
      <w:bookmarkStart w:id="16" w:name="_Toc507162806"/>
      <w:bookmarkStart w:id="17" w:name="_Toc144974542"/>
      <w:bookmarkStart w:id="18" w:name="_Toc247513998"/>
      <w:bookmarkStart w:id="19" w:name="_Toc152045574"/>
      <w:bookmarkStart w:id="20" w:name="_Toc152042350"/>
      <w:bookmarkStart w:id="21" w:name="_Toc247527599"/>
      <w:r>
        <w:rPr>
          <w:rFonts w:hint="eastAsia" w:ascii="宋体" w:hAnsi="宋体" w:cs="宋体"/>
          <w:b/>
          <w:bCs/>
          <w:szCs w:val="21"/>
          <w:highlight w:val="none"/>
        </w:rPr>
        <w:t>4.7    纪律和监督</w:t>
      </w:r>
      <w:bookmarkEnd w:id="14"/>
      <w:bookmarkEnd w:id="15"/>
      <w:bookmarkEnd w:id="16"/>
      <w:bookmarkEnd w:id="17"/>
      <w:bookmarkEnd w:id="18"/>
      <w:bookmarkEnd w:id="19"/>
      <w:bookmarkEnd w:id="20"/>
      <w:bookmarkEnd w:id="21"/>
    </w:p>
    <w:p>
      <w:pPr>
        <w:adjustRightInd w:val="0"/>
        <w:snapToGrid w:val="0"/>
        <w:spacing w:line="360" w:lineRule="auto"/>
        <w:ind w:left="840" w:hanging="840" w:hangingChars="400"/>
        <w:rPr>
          <w:rFonts w:hint="eastAsia" w:ascii="宋体" w:hAnsi="宋体" w:cs="宋体"/>
          <w:szCs w:val="21"/>
          <w:highlight w:val="none"/>
        </w:rPr>
      </w:pPr>
      <w:bookmarkStart w:id="22" w:name="_Toc247527600"/>
      <w:bookmarkStart w:id="23" w:name="_Toc152042351"/>
      <w:bookmarkStart w:id="24" w:name="_Toc144974543"/>
      <w:bookmarkStart w:id="25" w:name="_Toc152045575"/>
      <w:bookmarkStart w:id="26" w:name="_Toc507162807"/>
      <w:bookmarkStart w:id="27" w:name="_Toc247513999"/>
      <w:bookmarkStart w:id="28" w:name="_Toc507590753"/>
      <w:bookmarkStart w:id="29" w:name="_Toc300834995"/>
      <w:r>
        <w:rPr>
          <w:rFonts w:hint="eastAsia" w:ascii="宋体" w:hAnsi="宋体" w:cs="宋体"/>
          <w:szCs w:val="21"/>
          <w:highlight w:val="none"/>
        </w:rPr>
        <w:t>4.7.1  对招标人的纪律要求</w:t>
      </w:r>
      <w:bookmarkEnd w:id="22"/>
      <w:bookmarkEnd w:id="23"/>
      <w:bookmarkEnd w:id="24"/>
      <w:bookmarkEnd w:id="25"/>
      <w:bookmarkEnd w:id="26"/>
      <w:bookmarkEnd w:id="27"/>
      <w:bookmarkEnd w:id="28"/>
      <w:bookmarkEnd w:id="29"/>
    </w:p>
    <w:p>
      <w:pPr>
        <w:adjustRightInd w:val="0"/>
        <w:snapToGrid w:val="0"/>
        <w:spacing w:line="360" w:lineRule="auto"/>
        <w:ind w:left="630" w:leftChars="300"/>
        <w:rPr>
          <w:rFonts w:hint="eastAsia"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pPr>
        <w:adjustRightInd w:val="0"/>
        <w:snapToGrid w:val="0"/>
        <w:spacing w:line="360" w:lineRule="auto"/>
        <w:ind w:left="840" w:hanging="840" w:hangingChars="400"/>
        <w:rPr>
          <w:rFonts w:hint="eastAsia" w:ascii="宋体" w:hAnsi="宋体" w:cs="宋体"/>
          <w:szCs w:val="21"/>
          <w:highlight w:val="none"/>
        </w:rPr>
      </w:pPr>
      <w:bookmarkStart w:id="30" w:name="_Toc144974544"/>
      <w:bookmarkStart w:id="31" w:name="_Toc152045576"/>
      <w:bookmarkStart w:id="32" w:name="_Toc152042352"/>
      <w:bookmarkStart w:id="33" w:name="_Toc247527601"/>
      <w:bookmarkStart w:id="34" w:name="_Toc507162808"/>
      <w:bookmarkStart w:id="35" w:name="_Toc300834996"/>
      <w:bookmarkStart w:id="36" w:name="_Toc507590754"/>
      <w:bookmarkStart w:id="37" w:name="_Toc247514000"/>
      <w:r>
        <w:rPr>
          <w:rFonts w:hint="eastAsia" w:ascii="宋体" w:hAnsi="宋体" w:cs="宋体"/>
          <w:szCs w:val="21"/>
          <w:highlight w:val="none"/>
        </w:rPr>
        <w:t>4.7.2  对投标人的纪律要求</w:t>
      </w:r>
      <w:bookmarkEnd w:id="30"/>
      <w:bookmarkEnd w:id="31"/>
      <w:bookmarkEnd w:id="32"/>
      <w:bookmarkEnd w:id="33"/>
      <w:bookmarkEnd w:id="34"/>
      <w:bookmarkEnd w:id="35"/>
      <w:bookmarkEnd w:id="36"/>
      <w:bookmarkEnd w:id="37"/>
    </w:p>
    <w:p>
      <w:pPr>
        <w:adjustRightInd w:val="0"/>
        <w:snapToGrid w:val="0"/>
        <w:spacing w:line="360" w:lineRule="auto"/>
        <w:ind w:left="630" w:leftChars="300"/>
        <w:rPr>
          <w:rFonts w:hint="eastAsia"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ind w:left="840" w:hanging="840" w:hangingChars="400"/>
        <w:rPr>
          <w:rFonts w:hint="eastAsia" w:ascii="宋体" w:hAnsi="宋体" w:cs="宋体"/>
          <w:szCs w:val="21"/>
          <w:highlight w:val="none"/>
        </w:rPr>
      </w:pPr>
      <w:bookmarkStart w:id="38" w:name="_Toc152042353"/>
      <w:bookmarkStart w:id="39" w:name="_Toc507590755"/>
      <w:bookmarkStart w:id="40" w:name="_Toc247527602"/>
      <w:bookmarkStart w:id="41" w:name="_Toc144974545"/>
      <w:bookmarkStart w:id="42" w:name="_Toc300834997"/>
      <w:bookmarkStart w:id="43" w:name="_Toc507162809"/>
      <w:bookmarkStart w:id="44" w:name="_Toc152045577"/>
      <w:bookmarkStart w:id="45" w:name="_Toc247514001"/>
      <w:r>
        <w:rPr>
          <w:rFonts w:hint="eastAsia" w:ascii="宋体" w:hAnsi="宋体" w:cs="宋体"/>
          <w:szCs w:val="21"/>
          <w:highlight w:val="none"/>
        </w:rPr>
        <w:t>4.7.3  对评标委员会成员的纪律要求</w:t>
      </w:r>
      <w:bookmarkEnd w:id="38"/>
      <w:bookmarkEnd w:id="39"/>
      <w:bookmarkEnd w:id="40"/>
      <w:bookmarkEnd w:id="41"/>
      <w:bookmarkEnd w:id="42"/>
      <w:bookmarkEnd w:id="43"/>
      <w:bookmarkEnd w:id="44"/>
      <w:bookmarkEnd w:id="45"/>
    </w:p>
    <w:p>
      <w:pPr>
        <w:adjustRightInd w:val="0"/>
        <w:snapToGrid w:val="0"/>
        <w:spacing w:line="360" w:lineRule="auto"/>
        <w:ind w:left="630" w:leftChars="300"/>
        <w:rPr>
          <w:rFonts w:hint="eastAsia" w:ascii="宋体" w:hAnsi="宋体" w:cs="宋体"/>
          <w:szCs w:val="21"/>
          <w:highlight w:val="none"/>
        </w:rPr>
      </w:pPr>
      <w:bookmarkStart w:id="46" w:name="_Toc507590756"/>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本招标文件没有规定的评审因素和标准进行评标。</w:t>
      </w:r>
      <w:bookmarkEnd w:id="46"/>
    </w:p>
    <w:p>
      <w:pPr>
        <w:adjustRightInd w:val="0"/>
        <w:snapToGrid w:val="0"/>
        <w:spacing w:line="360" w:lineRule="auto"/>
        <w:ind w:left="840" w:hanging="840" w:hangingChars="400"/>
        <w:rPr>
          <w:rFonts w:hint="eastAsia" w:ascii="宋体" w:hAnsi="宋体" w:cs="宋体"/>
          <w:szCs w:val="21"/>
          <w:highlight w:val="none"/>
        </w:rPr>
      </w:pPr>
      <w:bookmarkStart w:id="47" w:name="_Toc247527603"/>
      <w:bookmarkStart w:id="48" w:name="_Toc247514002"/>
      <w:bookmarkStart w:id="49" w:name="_Toc507162810"/>
      <w:bookmarkStart w:id="50" w:name="_Toc152045578"/>
      <w:bookmarkStart w:id="51" w:name="_Toc300834998"/>
      <w:bookmarkStart w:id="52" w:name="_Toc507590757"/>
      <w:bookmarkStart w:id="53" w:name="_Toc152042354"/>
      <w:bookmarkStart w:id="54" w:name="_Toc144974546"/>
      <w:r>
        <w:rPr>
          <w:rFonts w:hint="eastAsia" w:ascii="宋体" w:hAnsi="宋体" w:cs="宋体"/>
          <w:szCs w:val="21"/>
          <w:highlight w:val="none"/>
        </w:rPr>
        <w:t>4.7.4  对与评标活动有关的工作人员的纪律要求</w:t>
      </w:r>
      <w:bookmarkEnd w:id="47"/>
      <w:bookmarkEnd w:id="48"/>
      <w:bookmarkEnd w:id="49"/>
      <w:bookmarkEnd w:id="50"/>
      <w:bookmarkEnd w:id="51"/>
      <w:bookmarkEnd w:id="52"/>
      <w:bookmarkEnd w:id="53"/>
    </w:p>
    <w:p>
      <w:pPr>
        <w:adjustRightInd w:val="0"/>
        <w:snapToGrid w:val="0"/>
        <w:spacing w:line="360" w:lineRule="auto"/>
        <w:ind w:left="630" w:leftChars="300"/>
        <w:rPr>
          <w:rFonts w:hint="eastAsia" w:ascii="宋体" w:hAnsi="宋体" w:cs="宋体"/>
          <w:szCs w:val="21"/>
          <w:highlight w:val="none"/>
        </w:rPr>
      </w:pPr>
      <w:bookmarkStart w:id="55"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5"/>
    </w:p>
    <w:p>
      <w:pPr>
        <w:adjustRightInd w:val="0"/>
        <w:snapToGrid w:val="0"/>
        <w:spacing w:line="360" w:lineRule="auto"/>
        <w:ind w:left="840" w:hanging="840" w:hangingChars="400"/>
        <w:rPr>
          <w:rFonts w:hint="eastAsia" w:ascii="宋体" w:hAnsi="宋体" w:cs="宋体"/>
          <w:szCs w:val="21"/>
          <w:highlight w:val="none"/>
        </w:rPr>
      </w:pPr>
      <w:bookmarkStart w:id="56" w:name="_Toc507162811"/>
      <w:bookmarkStart w:id="57" w:name="_Toc247527604"/>
      <w:bookmarkStart w:id="58" w:name="_Toc507590758"/>
      <w:bookmarkStart w:id="59" w:name="_Toc247514003"/>
      <w:bookmarkStart w:id="60" w:name="_Toc152042356"/>
      <w:bookmarkStart w:id="61" w:name="_Toc300834999"/>
      <w:bookmarkStart w:id="62" w:name="_Toc152045579"/>
      <w:r>
        <w:rPr>
          <w:rFonts w:hint="eastAsia" w:ascii="宋体" w:hAnsi="宋体" w:cs="宋体"/>
          <w:szCs w:val="21"/>
          <w:highlight w:val="none"/>
        </w:rPr>
        <w:t>4.7.5  投诉</w:t>
      </w:r>
      <w:bookmarkEnd w:id="54"/>
      <w:bookmarkEnd w:id="56"/>
      <w:bookmarkEnd w:id="57"/>
      <w:bookmarkEnd w:id="58"/>
      <w:bookmarkEnd w:id="59"/>
      <w:bookmarkEnd w:id="60"/>
      <w:bookmarkEnd w:id="61"/>
      <w:bookmarkEnd w:id="62"/>
    </w:p>
    <w:p>
      <w:pPr>
        <w:adjustRightInd w:val="0"/>
        <w:snapToGrid w:val="0"/>
        <w:spacing w:line="360" w:lineRule="auto"/>
        <w:ind w:left="630" w:leftChars="300"/>
        <w:rPr>
          <w:rFonts w:hint="eastAsia" w:ascii="宋体" w:hAnsi="宋体" w:cs="宋体"/>
          <w:highlight w:val="none"/>
        </w:rPr>
      </w:pPr>
      <w:r>
        <w:rPr>
          <w:rFonts w:hint="eastAsia" w:ascii="宋体" w:hAnsi="宋体" w:cs="宋体"/>
          <w:szCs w:val="21"/>
          <w:highlight w:val="none"/>
        </w:rPr>
        <w:t>投标人和其他利害关系人认为本次招标活动违反法律、法规和规章规定的，有权向有关行政监督部门投诉。</w:t>
      </w:r>
      <w:bookmarkStart w:id="63" w:name="_Toc15187"/>
    </w:p>
    <w:p>
      <w:pPr>
        <w:pStyle w:val="6"/>
        <w:spacing w:before="156" w:after="156"/>
        <w:ind w:left="0" w:firstLine="0"/>
        <w:rPr>
          <w:rFonts w:hint="eastAsia" w:ascii="宋体" w:hAnsi="宋体" w:cs="宋体"/>
          <w:highlight w:val="none"/>
        </w:rPr>
      </w:pPr>
      <w:r>
        <w:rPr>
          <w:rFonts w:hint="eastAsia" w:ascii="宋体" w:hAnsi="宋体" w:cs="宋体"/>
          <w:highlight w:val="none"/>
        </w:rPr>
        <w:br w:type="page"/>
      </w:r>
      <w:r>
        <w:rPr>
          <w:rFonts w:hint="eastAsia" w:ascii="宋体" w:hAnsi="宋体" w:cs="宋体"/>
          <w:highlight w:val="none"/>
        </w:rPr>
        <w:t>附件1 资格审查表</w:t>
      </w:r>
      <w:bookmarkEnd w:id="63"/>
    </w:p>
    <w:p>
      <w:pPr>
        <w:jc w:val="center"/>
        <w:rPr>
          <w:rFonts w:hint="eastAsia" w:ascii="宋体" w:hAnsi="宋体" w:cs="宋体"/>
          <w:b/>
          <w:sz w:val="32"/>
          <w:szCs w:val="20"/>
          <w:highlight w:val="none"/>
        </w:rPr>
      </w:pPr>
      <w:r>
        <w:rPr>
          <w:rFonts w:hint="eastAsia" w:ascii="宋体" w:hAnsi="宋体" w:cs="宋体"/>
          <w:b/>
          <w:sz w:val="32"/>
          <w:szCs w:val="20"/>
          <w:highlight w:val="none"/>
        </w:rPr>
        <w:t>资格审查表</w:t>
      </w:r>
    </w:p>
    <w:p>
      <w:pPr>
        <w:pStyle w:val="15"/>
        <w:rPr>
          <w:rFonts w:hint="eastAsia" w:hAnsi="宋体" w:cs="宋体"/>
          <w:b/>
          <w:sz w:val="32"/>
          <w:highlight w:val="none"/>
        </w:rPr>
      </w:pPr>
      <w:r>
        <w:rPr>
          <w:rFonts w:hint="eastAsia" w:hAnsi="宋体" w:cs="宋体"/>
          <w:highlight w:val="none"/>
        </w:rPr>
        <w:t>项目名称：</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5149"/>
        <w:gridCol w:w="1337"/>
        <w:gridCol w:w="1179"/>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4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jc w:val="center"/>
              <w:rPr>
                <w:rFonts w:hint="eastAsia" w:hAnsi="宋体" w:eastAsia="宋体" w:cs="宋体"/>
                <w:szCs w:val="21"/>
                <w:highlight w:val="none"/>
                <w:lang w:val="en-US" w:eastAsia="zh-CN"/>
              </w:rPr>
            </w:pPr>
            <w:r>
              <w:rPr>
                <w:rFonts w:hint="eastAsia" w:hAnsi="宋体" w:eastAsia="宋体" w:cs="宋体"/>
                <w:szCs w:val="21"/>
                <w:highlight w:val="none"/>
                <w:lang w:val="en-US" w:eastAsia="zh-CN"/>
              </w:rPr>
              <w:t>序号</w:t>
            </w:r>
          </w:p>
        </w:tc>
        <w:tc>
          <w:tcPr>
            <w:tcW w:w="2585"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szCs w:val="21"/>
                <w:highlight w:val="none"/>
                <w:lang w:val="en-US" w:eastAsia="zh-CN"/>
              </w:rPr>
            </w:pPr>
            <w:r>
              <w:rPr>
                <w:rFonts w:hint="eastAsia" w:hAnsi="宋体" w:eastAsia="宋体" w:cs="宋体"/>
                <w:szCs w:val="21"/>
                <w:highlight w:val="none"/>
                <w:lang w:val="en-US" w:eastAsia="zh-CN"/>
              </w:rPr>
              <w:t xml:space="preserve">                      投标人名称</w:t>
            </w:r>
          </w:p>
          <w:p>
            <w:pPr>
              <w:pStyle w:val="15"/>
              <w:keepNext w:val="0"/>
              <w:keepLines w:val="0"/>
              <w:suppressLineNumbers w:val="0"/>
              <w:spacing w:before="0" w:beforeAutospacing="0" w:after="0" w:afterAutospacing="0"/>
              <w:ind w:left="0" w:right="0"/>
              <w:rPr>
                <w:rFonts w:hint="eastAsia" w:hAnsi="宋体" w:eastAsia="宋体" w:cs="宋体"/>
                <w:b/>
                <w:szCs w:val="21"/>
                <w:highlight w:val="none"/>
                <w:lang w:val="en-US" w:eastAsia="zh-CN"/>
              </w:rPr>
            </w:pPr>
            <w:r>
              <w:rPr>
                <w:rFonts w:hint="eastAsia" w:hAnsi="宋体" w:eastAsia="宋体" w:cs="宋体"/>
                <w:szCs w:val="21"/>
                <w:highlight w:val="none"/>
                <w:lang w:val="en-US" w:eastAsia="zh-CN"/>
              </w:rPr>
              <w:t>审查项目</w:t>
            </w:r>
          </w:p>
        </w:tc>
        <w:tc>
          <w:tcPr>
            <w:tcW w:w="671"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592"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605"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jc w:val="center"/>
              <w:rPr>
                <w:rFonts w:hint="eastAsia" w:hAnsi="宋体" w:eastAsia="宋体" w:cs="宋体"/>
                <w:szCs w:val="21"/>
                <w:highlight w:val="none"/>
                <w:lang w:val="en-US" w:eastAsia="zh-CN"/>
              </w:rPr>
            </w:pPr>
            <w:r>
              <w:rPr>
                <w:rFonts w:hint="eastAsia" w:hAnsi="宋体" w:eastAsia="宋体" w:cs="宋体"/>
                <w:szCs w:val="21"/>
                <w:highlight w:val="none"/>
                <w:lang w:val="en-US" w:eastAsia="zh-CN"/>
              </w:rPr>
              <w:t>1</w:t>
            </w:r>
          </w:p>
        </w:tc>
        <w:tc>
          <w:tcPr>
            <w:tcW w:w="258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rPr>
                <w:rFonts w:hint="eastAsia" w:hAnsi="宋体" w:eastAsia="宋体" w:cs="宋体"/>
                <w:szCs w:val="21"/>
                <w:highlight w:val="none"/>
                <w:lang w:val="en-US" w:eastAsia="zh-CN"/>
              </w:rPr>
            </w:pPr>
            <w:r>
              <w:rPr>
                <w:rFonts w:hint="eastAsia" w:hAnsi="宋体" w:eastAsia="宋体" w:cs="宋体"/>
                <w:szCs w:val="21"/>
                <w:highlight w:val="none"/>
                <w:lang w:val="en-US" w:eastAsia="zh-CN"/>
              </w:rPr>
              <w:t>投标文件中有法定代表人证明书，如投标文件为委托代理人签署应同时附上法定代表人证明书和法定代表人授权书。</w:t>
            </w:r>
          </w:p>
        </w:tc>
        <w:tc>
          <w:tcPr>
            <w:tcW w:w="671"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592"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605"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jc w:val="center"/>
              <w:rPr>
                <w:rFonts w:hint="eastAsia" w:hAnsi="宋体" w:eastAsia="宋体" w:cs="宋体"/>
                <w:szCs w:val="21"/>
                <w:highlight w:val="none"/>
                <w:lang w:val="en-US" w:eastAsia="zh-CN"/>
              </w:rPr>
            </w:pPr>
            <w:r>
              <w:rPr>
                <w:rFonts w:hint="eastAsia" w:hAnsi="宋体" w:eastAsia="宋体" w:cs="宋体"/>
                <w:szCs w:val="21"/>
                <w:highlight w:val="none"/>
                <w:lang w:val="en-US" w:eastAsia="zh-CN"/>
              </w:rPr>
              <w:t>2</w:t>
            </w:r>
          </w:p>
        </w:tc>
        <w:tc>
          <w:tcPr>
            <w:tcW w:w="258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rPr>
                <w:rFonts w:hint="eastAsia" w:hAnsi="宋体" w:eastAsia="宋体" w:cs="宋体"/>
                <w:szCs w:val="21"/>
                <w:highlight w:val="none"/>
                <w:lang w:val="en-US" w:eastAsia="zh-CN"/>
              </w:rPr>
            </w:pPr>
            <w:r>
              <w:rPr>
                <w:rFonts w:hint="eastAsia" w:hAnsi="宋体" w:eastAsia="宋体" w:cs="宋体"/>
                <w:szCs w:val="21"/>
                <w:highlight w:val="none"/>
                <w:lang w:val="en-US" w:eastAsia="zh-CN"/>
              </w:rPr>
              <w:t>投标人的资质满足招标公告规定。</w:t>
            </w:r>
          </w:p>
        </w:tc>
        <w:tc>
          <w:tcPr>
            <w:tcW w:w="671"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592"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605"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jc w:val="center"/>
              <w:rPr>
                <w:rFonts w:hint="eastAsia" w:hAnsi="宋体" w:eastAsia="宋体" w:cs="宋体"/>
                <w:szCs w:val="21"/>
                <w:highlight w:val="none"/>
                <w:lang w:val="en-US" w:eastAsia="zh-CN"/>
              </w:rPr>
            </w:pPr>
            <w:r>
              <w:rPr>
                <w:rFonts w:hint="eastAsia" w:hAnsi="宋体" w:eastAsia="宋体" w:cs="宋体"/>
                <w:szCs w:val="21"/>
                <w:highlight w:val="none"/>
                <w:lang w:val="en-US" w:eastAsia="zh-CN"/>
              </w:rPr>
              <w:t>3</w:t>
            </w:r>
          </w:p>
        </w:tc>
        <w:tc>
          <w:tcPr>
            <w:tcW w:w="258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rPr>
                <w:rFonts w:hint="eastAsia" w:hAnsi="宋体" w:eastAsia="宋体" w:cs="宋体"/>
                <w:szCs w:val="21"/>
                <w:highlight w:val="none"/>
                <w:lang w:val="en-US" w:eastAsia="zh-CN"/>
              </w:rPr>
            </w:pPr>
            <w:r>
              <w:rPr>
                <w:rFonts w:hint="eastAsia" w:hAnsi="宋体" w:eastAsia="宋体" w:cs="宋体"/>
                <w:szCs w:val="21"/>
                <w:highlight w:val="none"/>
                <w:lang w:val="en-US" w:eastAsia="zh-CN"/>
              </w:rPr>
              <w:t>投标人委派项目负责人资格满足招标公告规定。</w:t>
            </w:r>
          </w:p>
        </w:tc>
        <w:tc>
          <w:tcPr>
            <w:tcW w:w="671"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592"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605"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4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jc w:val="center"/>
              <w:rPr>
                <w:rFonts w:hint="eastAsia" w:hAnsi="宋体" w:eastAsia="宋体" w:cs="宋体"/>
                <w:szCs w:val="21"/>
                <w:highlight w:val="none"/>
                <w:lang w:val="en-US" w:eastAsia="zh-CN"/>
              </w:rPr>
            </w:pPr>
            <w:r>
              <w:rPr>
                <w:rFonts w:hint="eastAsia" w:hAnsi="宋体" w:eastAsia="宋体" w:cs="宋体"/>
                <w:szCs w:val="21"/>
                <w:highlight w:val="none"/>
                <w:lang w:val="en-US" w:eastAsia="zh-CN"/>
              </w:rPr>
              <w:t>4</w:t>
            </w:r>
          </w:p>
        </w:tc>
        <w:tc>
          <w:tcPr>
            <w:tcW w:w="258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rPr>
                <w:rFonts w:hint="eastAsia" w:hAnsi="宋体" w:eastAsia="宋体" w:cs="宋体"/>
                <w:szCs w:val="21"/>
                <w:highlight w:val="none"/>
                <w:lang w:val="en-US" w:eastAsia="zh-CN"/>
              </w:rPr>
            </w:pPr>
            <w:r>
              <w:rPr>
                <w:rFonts w:hint="eastAsia" w:hAnsi="宋体" w:eastAsia="宋体" w:cs="宋体"/>
                <w:szCs w:val="21"/>
                <w:highlight w:val="none"/>
                <w:lang w:val="en-US" w:eastAsia="zh-CN"/>
              </w:rPr>
              <w:t>投标人已按招标文件规定的格式及内容要求签署《投标人声明》。</w:t>
            </w:r>
          </w:p>
        </w:tc>
        <w:tc>
          <w:tcPr>
            <w:tcW w:w="671"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592"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605"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4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jc w:val="center"/>
              <w:rPr>
                <w:rFonts w:hint="eastAsia" w:hAnsi="宋体" w:eastAsia="宋体" w:cs="宋体"/>
                <w:szCs w:val="21"/>
                <w:highlight w:val="none"/>
                <w:lang w:val="en-US" w:eastAsia="zh-CN"/>
              </w:rPr>
            </w:pPr>
            <w:r>
              <w:rPr>
                <w:rFonts w:hint="eastAsia" w:hAnsi="宋体" w:eastAsia="宋体" w:cs="宋体"/>
                <w:szCs w:val="21"/>
                <w:highlight w:val="none"/>
                <w:lang w:val="en-US" w:eastAsia="zh-CN"/>
              </w:rPr>
              <w:t>5</w:t>
            </w:r>
          </w:p>
        </w:tc>
        <w:tc>
          <w:tcPr>
            <w:tcW w:w="258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rPr>
                <w:rFonts w:hint="eastAsia" w:hAnsi="宋体" w:eastAsia="宋体" w:cs="宋体"/>
                <w:szCs w:val="21"/>
                <w:highlight w:val="none"/>
                <w:lang w:val="en-US" w:eastAsia="zh-CN"/>
              </w:rPr>
            </w:pPr>
            <w:r>
              <w:rPr>
                <w:rFonts w:hint="eastAsia" w:hAnsi="宋体" w:eastAsia="宋体" w:cs="宋体"/>
                <w:szCs w:val="21"/>
                <w:highlight w:val="none"/>
                <w:lang w:val="en-US" w:eastAsia="zh-CN"/>
              </w:rPr>
              <w:t>投标人不存在不得参加投标的情形（详见第二章《投标须知通用条款》第1.5款）。</w:t>
            </w:r>
          </w:p>
        </w:tc>
        <w:tc>
          <w:tcPr>
            <w:tcW w:w="671"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592"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605"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jc w:val="center"/>
              <w:rPr>
                <w:rFonts w:hint="eastAsia" w:hAnsi="宋体" w:eastAsia="宋体" w:cs="宋体"/>
                <w:szCs w:val="21"/>
                <w:highlight w:val="none"/>
                <w:lang w:val="en-US" w:eastAsia="zh-CN"/>
              </w:rPr>
            </w:pPr>
            <w:r>
              <w:rPr>
                <w:rFonts w:hint="eastAsia" w:hAnsi="宋体" w:eastAsia="宋体" w:cs="宋体"/>
                <w:szCs w:val="21"/>
                <w:highlight w:val="none"/>
                <w:lang w:val="en-US" w:eastAsia="zh-CN"/>
              </w:rPr>
              <w:t>6</w:t>
            </w:r>
          </w:p>
        </w:tc>
        <w:tc>
          <w:tcPr>
            <w:tcW w:w="258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rPr>
                <w:rFonts w:hint="eastAsia" w:hAnsi="宋体" w:eastAsia="宋体" w:cs="宋体"/>
                <w:szCs w:val="21"/>
                <w:highlight w:val="none"/>
                <w:lang w:val="en-US" w:eastAsia="zh-CN"/>
              </w:rPr>
            </w:pPr>
            <w:r>
              <w:rPr>
                <w:rFonts w:hint="eastAsia" w:hAnsi="宋体" w:eastAsia="宋体" w:cs="宋体"/>
                <w:szCs w:val="21"/>
                <w:highlight w:val="none"/>
                <w:lang w:val="en-US" w:eastAsia="zh-CN"/>
              </w:rPr>
              <w:t>外国或香港、澳门、台湾的设计企业申请投标的，已按规定选择一家符合资质条件的企业进行合作设计，但符合本公告要求独立参加投标条件的香港企业，可按本公告要求独立投标。</w:t>
            </w:r>
          </w:p>
        </w:tc>
        <w:tc>
          <w:tcPr>
            <w:tcW w:w="671"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592"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605"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4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jc w:val="center"/>
              <w:rPr>
                <w:rFonts w:hint="eastAsia" w:hAnsi="宋体" w:eastAsia="宋体" w:cs="宋体"/>
                <w:szCs w:val="21"/>
                <w:highlight w:val="none"/>
                <w:lang w:val="en-US" w:eastAsia="zh-CN"/>
              </w:rPr>
            </w:pPr>
            <w:r>
              <w:rPr>
                <w:rFonts w:hint="eastAsia" w:hAnsi="宋体" w:eastAsia="宋体" w:cs="宋体"/>
                <w:szCs w:val="21"/>
                <w:highlight w:val="none"/>
                <w:lang w:val="en-US" w:eastAsia="zh-CN"/>
              </w:rPr>
              <w:t>7</w:t>
            </w:r>
          </w:p>
        </w:tc>
        <w:tc>
          <w:tcPr>
            <w:tcW w:w="258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rPr>
                <w:rFonts w:hint="eastAsia" w:hAnsi="宋体" w:eastAsia="宋体" w:cs="宋体"/>
                <w:szCs w:val="21"/>
                <w:highlight w:val="none"/>
                <w:lang w:val="en-US" w:eastAsia="zh-CN"/>
              </w:rPr>
            </w:pPr>
            <w:r>
              <w:rPr>
                <w:rFonts w:hint="eastAsia" w:hAnsi="宋体" w:eastAsia="宋体" w:cs="宋体"/>
                <w:szCs w:val="21"/>
                <w:highlight w:val="none"/>
                <w:lang w:val="en-US" w:eastAsia="zh-CN"/>
              </w:rPr>
              <w:t>投标人已在广州公共资源交易平台企业库办理企业信息登记，拟担任本工程项目负责人须是本企业信息登记中的在册人员。</w:t>
            </w:r>
          </w:p>
        </w:tc>
        <w:tc>
          <w:tcPr>
            <w:tcW w:w="671"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592"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605"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jc w:val="center"/>
              <w:rPr>
                <w:rFonts w:hint="eastAsia" w:hAnsi="宋体" w:eastAsia="宋体" w:cs="宋体"/>
                <w:szCs w:val="21"/>
                <w:highlight w:val="none"/>
                <w:lang w:val="en-US" w:eastAsia="zh-CN"/>
              </w:rPr>
            </w:pPr>
            <w:r>
              <w:rPr>
                <w:rFonts w:hint="eastAsia" w:hAnsi="宋体" w:eastAsia="宋体" w:cs="宋体"/>
                <w:szCs w:val="21"/>
                <w:highlight w:val="none"/>
                <w:lang w:val="en-US" w:eastAsia="zh-CN"/>
              </w:rPr>
              <w:t>8</w:t>
            </w:r>
          </w:p>
        </w:tc>
        <w:tc>
          <w:tcPr>
            <w:tcW w:w="258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rPr>
                <w:rFonts w:hint="eastAsia" w:hAnsi="宋体" w:eastAsia="宋体" w:cs="宋体"/>
                <w:szCs w:val="21"/>
                <w:highlight w:val="none"/>
                <w:lang w:val="en-US" w:eastAsia="zh-CN"/>
              </w:rPr>
            </w:pPr>
            <w:r>
              <w:rPr>
                <w:rFonts w:hint="eastAsia" w:hAnsi="宋体" w:eastAsia="宋体" w:cs="宋体"/>
                <w:szCs w:val="21"/>
                <w:highlight w:val="none"/>
                <w:lang w:val="en-US" w:eastAsia="zh-CN"/>
              </w:rPr>
              <w:t>联合体投标：本项目不接受联合体投标</w:t>
            </w:r>
          </w:p>
        </w:tc>
        <w:tc>
          <w:tcPr>
            <w:tcW w:w="671"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592"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605"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4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jc w:val="center"/>
              <w:rPr>
                <w:rFonts w:hint="eastAsia" w:hAnsi="宋体" w:eastAsia="宋体" w:cs="宋体"/>
                <w:szCs w:val="21"/>
                <w:highlight w:val="none"/>
                <w:lang w:val="en-US" w:eastAsia="zh-CN"/>
              </w:rPr>
            </w:pPr>
            <w:r>
              <w:rPr>
                <w:rFonts w:hint="eastAsia" w:hAnsi="宋体" w:eastAsia="宋体" w:cs="宋体"/>
                <w:szCs w:val="21"/>
                <w:highlight w:val="none"/>
                <w:lang w:val="en-US" w:eastAsia="zh-CN"/>
              </w:rPr>
              <w:t>9</w:t>
            </w:r>
          </w:p>
        </w:tc>
        <w:tc>
          <w:tcPr>
            <w:tcW w:w="258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rPr>
                <w:rFonts w:hint="eastAsia" w:hAnsi="宋体" w:eastAsia="宋体" w:cs="宋体"/>
                <w:szCs w:val="21"/>
                <w:highlight w:val="none"/>
                <w:lang w:val="en-US" w:eastAsia="zh-CN"/>
              </w:rPr>
            </w:pPr>
            <w:r>
              <w:rPr>
                <w:rFonts w:hint="eastAsia" w:hAnsi="宋体" w:eastAsia="宋体" w:cs="宋体"/>
                <w:szCs w:val="21"/>
                <w:highlight w:val="none"/>
                <w:lang w:val="en-US" w:eastAsia="zh-CN"/>
              </w:rPr>
              <w:t>未被列入拖欠农民工工资失信联合惩戒对象名单。（投标人无需提供资料，按交易系统比对的结果进行评审）</w:t>
            </w:r>
          </w:p>
        </w:tc>
        <w:tc>
          <w:tcPr>
            <w:tcW w:w="671"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592"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605"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jc w:val="center"/>
              <w:rPr>
                <w:rFonts w:hint="eastAsia" w:hAnsi="宋体" w:eastAsia="宋体" w:cs="宋体"/>
                <w:szCs w:val="21"/>
                <w:highlight w:val="none"/>
                <w:lang w:val="en-US" w:eastAsia="zh-CN"/>
              </w:rPr>
            </w:pPr>
            <w:r>
              <w:rPr>
                <w:rFonts w:hint="eastAsia" w:hAnsi="宋体" w:eastAsia="宋体" w:cs="宋体"/>
                <w:szCs w:val="21"/>
                <w:highlight w:val="none"/>
                <w:lang w:val="en-US" w:eastAsia="zh-CN"/>
              </w:rPr>
              <w:t>结论</w:t>
            </w:r>
          </w:p>
        </w:tc>
        <w:tc>
          <w:tcPr>
            <w:tcW w:w="2585" w:type="pct"/>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suppressLineNumbers w:val="0"/>
              <w:spacing w:before="0" w:beforeAutospacing="0" w:after="0" w:afterAutospacing="0"/>
              <w:ind w:left="0" w:right="0"/>
              <w:rPr>
                <w:rFonts w:hint="eastAsia" w:hAnsi="宋体" w:eastAsia="宋体" w:cs="宋体"/>
                <w:szCs w:val="21"/>
                <w:highlight w:val="none"/>
                <w:lang w:val="en-US" w:eastAsia="zh-CN"/>
              </w:rPr>
            </w:pPr>
            <w:r>
              <w:rPr>
                <w:rFonts w:hint="eastAsia" w:hAnsi="宋体" w:eastAsia="宋体" w:cs="宋体"/>
                <w:szCs w:val="21"/>
                <w:highlight w:val="none"/>
                <w:lang w:val="en-US" w:eastAsia="zh-CN"/>
              </w:rPr>
              <w:t>是否通过并进入下一阶段评审。</w:t>
            </w:r>
          </w:p>
        </w:tc>
        <w:tc>
          <w:tcPr>
            <w:tcW w:w="671"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592"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c>
          <w:tcPr>
            <w:tcW w:w="605" w:type="pct"/>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suppressLineNumbers w:val="0"/>
              <w:spacing w:before="0" w:beforeAutospacing="0" w:after="0" w:afterAutospacing="0"/>
              <w:ind w:left="0" w:right="0"/>
              <w:jc w:val="center"/>
              <w:rPr>
                <w:rFonts w:hint="eastAsia" w:hAnsi="宋体" w:eastAsia="宋体" w:cs="宋体"/>
                <w:b/>
                <w:sz w:val="32"/>
                <w:highlight w:val="none"/>
                <w:lang w:val="en-US" w:eastAsia="zh-CN"/>
              </w:rPr>
            </w:pPr>
          </w:p>
        </w:tc>
      </w:tr>
    </w:tbl>
    <w:p>
      <w:pPr>
        <w:tabs>
          <w:tab w:val="left" w:pos="720"/>
        </w:tabs>
        <w:adjustRightInd w:val="0"/>
        <w:snapToGrid w:val="0"/>
        <w:rPr>
          <w:rFonts w:hint="eastAsia" w:ascii="宋体" w:hAnsi="宋体" w:cs="宋体"/>
          <w:szCs w:val="21"/>
          <w:highlight w:val="none"/>
        </w:rPr>
      </w:pPr>
      <w:r>
        <w:rPr>
          <w:rFonts w:hint="eastAsia" w:ascii="宋体" w:hAnsi="宋体" w:cs="宋体"/>
          <w:szCs w:val="21"/>
          <w:highlight w:val="none"/>
        </w:rPr>
        <w:t>备注：1.根据本表的审查项目，填“是”或“否”。</w:t>
      </w:r>
    </w:p>
    <w:p>
      <w:pPr>
        <w:tabs>
          <w:tab w:val="left" w:pos="720"/>
        </w:tabs>
        <w:adjustRightInd w:val="0"/>
        <w:snapToGrid w:val="0"/>
        <w:ind w:firstLine="630" w:firstLineChars="300"/>
        <w:rPr>
          <w:rFonts w:hint="eastAsia" w:ascii="宋体" w:hAnsi="宋体" w:cs="宋体"/>
          <w:szCs w:val="21"/>
          <w:highlight w:val="none"/>
        </w:rPr>
      </w:pPr>
      <w:r>
        <w:rPr>
          <w:rFonts w:hint="eastAsia" w:ascii="宋体" w:hAnsi="宋体" w:cs="宋体"/>
          <w:szCs w:val="21"/>
          <w:highlight w:val="none"/>
        </w:rPr>
        <w:t>2.表中出现一个或以上“否”，即该投标人的评审“结论”为“否”，即该投标人不进入下一阶段评审</w:t>
      </w:r>
      <w:r>
        <w:rPr>
          <w:rFonts w:hint="eastAsia" w:ascii="宋体" w:hAnsi="宋体" w:cs="宋体"/>
          <w:sz w:val="24"/>
          <w:highlight w:val="none"/>
        </w:rPr>
        <w:t>。</w:t>
      </w:r>
    </w:p>
    <w:p>
      <w:pPr>
        <w:tabs>
          <w:tab w:val="left" w:pos="720"/>
        </w:tabs>
        <w:adjustRightInd w:val="0"/>
        <w:snapToGrid w:val="0"/>
        <w:ind w:firstLine="630" w:firstLineChars="300"/>
        <w:rPr>
          <w:rFonts w:hint="eastAsia" w:ascii="宋体" w:hAnsi="宋体" w:cs="宋体"/>
          <w:szCs w:val="21"/>
          <w:highlight w:val="none"/>
        </w:rPr>
      </w:pPr>
      <w:r>
        <w:rPr>
          <w:rFonts w:hint="eastAsia" w:ascii="宋体" w:hAnsi="宋体" w:cs="宋体"/>
          <w:szCs w:val="21"/>
          <w:highlight w:val="none"/>
        </w:rPr>
        <w:t>3.表中全部评审结果为“是”，视为同意进入下一阶段评审。</w:t>
      </w:r>
    </w:p>
    <w:p>
      <w:pPr>
        <w:tabs>
          <w:tab w:val="left" w:pos="720"/>
        </w:tabs>
        <w:adjustRightInd w:val="0"/>
        <w:snapToGrid w:val="0"/>
        <w:ind w:firstLine="630" w:firstLineChars="300"/>
        <w:rPr>
          <w:rFonts w:hint="eastAsia" w:ascii="宋体" w:hAnsi="宋体" w:cs="宋体"/>
          <w:szCs w:val="21"/>
          <w:highlight w:val="none"/>
          <w:u w:val="single"/>
        </w:rPr>
      </w:pPr>
      <w:r>
        <w:rPr>
          <w:rFonts w:hint="eastAsia" w:ascii="宋体" w:hAnsi="宋体" w:cs="宋体"/>
          <w:szCs w:val="21"/>
          <w:highlight w:val="none"/>
        </w:rPr>
        <w:t>4.若评委意见不一致时，则按少数服从多数的原则，作为评标委员会对该情形的认定结论。</w:t>
      </w:r>
      <w:r>
        <w:rPr>
          <w:rFonts w:hint="eastAsia" w:ascii="宋体" w:hAnsi="宋体" w:cs="宋体"/>
          <w:szCs w:val="21"/>
          <w:highlight w:val="none"/>
          <w:u w:val="singl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tabs>
          <w:tab w:val="left" w:pos="720"/>
        </w:tabs>
        <w:adjustRightInd w:val="0"/>
        <w:snapToGrid w:val="0"/>
        <w:rPr>
          <w:rFonts w:hint="eastAsia" w:ascii="宋体" w:hAnsi="宋体" w:cs="宋体"/>
          <w:sz w:val="18"/>
          <w:szCs w:val="18"/>
          <w:highlight w:val="none"/>
          <w:u w:val="single"/>
        </w:rPr>
      </w:pPr>
    </w:p>
    <w:p>
      <w:pPr>
        <w:pStyle w:val="15"/>
        <w:adjustRightInd w:val="0"/>
        <w:snapToGrid w:val="0"/>
        <w:rPr>
          <w:rFonts w:hint="eastAsia" w:hAnsi="宋体" w:cs="宋体"/>
          <w:szCs w:val="21"/>
          <w:highlight w:val="none"/>
        </w:rPr>
      </w:pPr>
      <w:r>
        <w:rPr>
          <w:rFonts w:hint="eastAsia" w:hAnsi="宋体" w:cs="宋体"/>
          <w:szCs w:val="21"/>
          <w:highlight w:val="none"/>
        </w:rPr>
        <w:t>评委签名：                                     日期：</w:t>
      </w:r>
    </w:p>
    <w:p>
      <w:pPr>
        <w:pStyle w:val="15"/>
        <w:adjustRightInd w:val="0"/>
        <w:snapToGrid w:val="0"/>
        <w:rPr>
          <w:rFonts w:hint="eastAsia" w:hAnsi="宋体" w:cs="宋体"/>
          <w:szCs w:val="21"/>
          <w:highlight w:val="none"/>
        </w:rPr>
      </w:pPr>
    </w:p>
    <w:p>
      <w:pPr>
        <w:pStyle w:val="15"/>
        <w:adjustRightInd w:val="0"/>
        <w:snapToGrid w:val="0"/>
        <w:rPr>
          <w:rFonts w:hint="eastAsia" w:hAnsi="宋体" w:cs="宋体"/>
          <w:szCs w:val="21"/>
          <w:highlight w:val="none"/>
        </w:rPr>
        <w:sectPr>
          <w:headerReference r:id="rId6" w:type="default"/>
          <w:footerReference r:id="rId7" w:type="default"/>
          <w:type w:val="nextColumn"/>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6"/>
        <w:spacing w:before="120" w:after="120"/>
        <w:ind w:left="0" w:firstLine="0"/>
        <w:rPr>
          <w:rFonts w:hint="eastAsia" w:ascii="宋体" w:hAnsi="宋体" w:cs="宋体"/>
          <w:b w:val="0"/>
          <w:bCs w:val="0"/>
          <w:highlight w:val="none"/>
        </w:rPr>
      </w:pPr>
      <w:bookmarkStart w:id="64" w:name="_Toc13847"/>
      <w:r>
        <w:rPr>
          <w:rFonts w:hint="eastAsia" w:ascii="宋体" w:hAnsi="宋体" w:cs="宋体"/>
          <w:highlight w:val="none"/>
        </w:rPr>
        <w:t>附件2 投标文件有效性审查表</w:t>
      </w:r>
      <w:bookmarkEnd w:id="64"/>
    </w:p>
    <w:p>
      <w:pPr>
        <w:pStyle w:val="15"/>
        <w:rPr>
          <w:rFonts w:hint="eastAsia" w:hAnsi="宋体" w:cs="宋体"/>
          <w:b/>
          <w:bCs/>
          <w:sz w:val="24"/>
          <w:highlight w:val="none"/>
        </w:rPr>
      </w:pPr>
    </w:p>
    <w:p>
      <w:pPr>
        <w:pStyle w:val="15"/>
        <w:jc w:val="center"/>
        <w:rPr>
          <w:rFonts w:hint="eastAsia" w:hAnsi="宋体" w:cs="宋体"/>
          <w:b/>
          <w:sz w:val="32"/>
          <w:highlight w:val="none"/>
        </w:rPr>
      </w:pPr>
      <w:r>
        <w:rPr>
          <w:rFonts w:hint="eastAsia" w:hAnsi="宋体" w:cs="宋体"/>
          <w:b/>
          <w:sz w:val="32"/>
          <w:highlight w:val="none"/>
        </w:rPr>
        <w:t>投标文件有效性审查表</w:t>
      </w:r>
    </w:p>
    <w:p>
      <w:pPr>
        <w:tabs>
          <w:tab w:val="left" w:pos="720"/>
        </w:tabs>
        <w:snapToGrid w:val="0"/>
        <w:spacing w:line="360" w:lineRule="auto"/>
        <w:rPr>
          <w:rFonts w:hint="eastAsia" w:ascii="宋体" w:hAnsi="宋体" w:cs="宋体"/>
          <w:bCs/>
          <w:szCs w:val="21"/>
          <w:highlight w:val="none"/>
        </w:rPr>
      </w:pPr>
      <w:r>
        <w:rPr>
          <w:rFonts w:hint="eastAsia" w:ascii="宋体" w:hAnsi="宋体" w:cs="宋体"/>
          <w:bCs/>
          <w:szCs w:val="21"/>
          <w:highlight w:val="none"/>
        </w:rPr>
        <w:t>项目名称：</w:t>
      </w:r>
    </w:p>
    <w:tbl>
      <w:tblPr>
        <w:tblStyle w:val="26"/>
        <w:tblW w:w="0" w:type="auto"/>
        <w:tblInd w:w="3" w:type="dxa"/>
        <w:tblLayout w:type="fixed"/>
        <w:tblCellMar>
          <w:top w:w="0" w:type="dxa"/>
          <w:left w:w="108" w:type="dxa"/>
          <w:bottom w:w="0" w:type="dxa"/>
          <w:right w:w="108" w:type="dxa"/>
        </w:tblCellMar>
      </w:tblPr>
      <w:tblGrid>
        <w:gridCol w:w="735"/>
        <w:gridCol w:w="5670"/>
        <w:gridCol w:w="1512"/>
        <w:gridCol w:w="1512"/>
        <w:gridCol w:w="1512"/>
        <w:gridCol w:w="1512"/>
        <w:gridCol w:w="1512"/>
      </w:tblGrid>
      <w:tr>
        <w:tblPrEx>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5670"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 xml:space="preserve">                                      投标人名称</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审查项目</w:t>
            </w: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53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未发现投标人与招标人、评标委员会成员或者其他投标人串通投标。</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53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不存在与其他投标人加密打包投标文件的电脑机器特征码一致的情况。</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00" w:lineRule="atLeast"/>
              <w:ind w:left="0" w:right="0"/>
              <w:rPr>
                <w:rFonts w:hint="eastAsia" w:ascii="宋体" w:hAnsi="宋体" w:eastAsia="宋体" w:cs="宋体"/>
                <w:szCs w:val="21"/>
                <w:highlight w:val="none"/>
              </w:rPr>
            </w:pPr>
            <w:r>
              <w:rPr>
                <w:rFonts w:hint="eastAsia" w:ascii="宋体" w:hAnsi="宋体" w:eastAsia="宋体" w:cs="宋体"/>
                <w:szCs w:val="21"/>
                <w:highlight w:val="none"/>
              </w:rPr>
              <w:t>《投标函》和《投标人声明》按招标文件规定的格式填写，已完成签字和盖章，没有出现内容不全或者关键字迹模糊无法辨认。</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396"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未发现证明材料弄虚作假。</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472"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按照招标文件编制要求编制投标文件。</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328"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按照招标文件要求进行投标报价。</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328"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按照要求（必要时）对投标文件进行澄清、说明或者补正。</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53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结论</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是否通过并进入下一阶段评审。</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bl>
    <w:p>
      <w:pPr>
        <w:tabs>
          <w:tab w:val="left" w:pos="720"/>
        </w:tabs>
        <w:adjustRightInd w:val="0"/>
        <w:snapToGrid w:val="0"/>
        <w:rPr>
          <w:rFonts w:hint="eastAsia" w:ascii="宋体" w:hAnsi="宋体" w:cs="宋体"/>
          <w:szCs w:val="21"/>
          <w:highlight w:val="none"/>
        </w:rPr>
      </w:pPr>
    </w:p>
    <w:p>
      <w:pPr>
        <w:tabs>
          <w:tab w:val="left" w:pos="720"/>
        </w:tabs>
        <w:adjustRightInd w:val="0"/>
        <w:snapToGrid w:val="0"/>
        <w:rPr>
          <w:rFonts w:hint="eastAsia" w:ascii="宋体" w:hAnsi="宋体" w:cs="宋体"/>
          <w:szCs w:val="21"/>
          <w:highlight w:val="none"/>
        </w:rPr>
      </w:pPr>
      <w:r>
        <w:rPr>
          <w:rFonts w:hint="eastAsia" w:ascii="宋体" w:hAnsi="宋体" w:cs="宋体"/>
          <w:szCs w:val="21"/>
          <w:highlight w:val="none"/>
        </w:rPr>
        <w:t>备注：1、根据本表的审查项目，填“是”或“否”。</w:t>
      </w:r>
    </w:p>
    <w:p>
      <w:pPr>
        <w:tabs>
          <w:tab w:val="left" w:pos="720"/>
        </w:tabs>
        <w:adjustRightInd w:val="0"/>
        <w:snapToGrid w:val="0"/>
        <w:ind w:firstLine="630" w:firstLineChars="300"/>
        <w:rPr>
          <w:rFonts w:hint="eastAsia" w:ascii="宋体" w:hAnsi="宋体" w:cs="宋体"/>
          <w:szCs w:val="21"/>
          <w:highlight w:val="none"/>
        </w:rPr>
      </w:pPr>
      <w:r>
        <w:rPr>
          <w:rFonts w:hint="eastAsia" w:ascii="宋体" w:hAnsi="宋体" w:cs="宋体"/>
          <w:szCs w:val="21"/>
          <w:highlight w:val="none"/>
        </w:rPr>
        <w:t>2、表中出现一个或以上“否”，即该投标人的评审“结论”为“否”，即该投标人不进入下一阶段评审</w:t>
      </w:r>
      <w:r>
        <w:rPr>
          <w:rFonts w:hint="eastAsia" w:ascii="宋体" w:hAnsi="宋体" w:cs="宋体"/>
          <w:sz w:val="24"/>
          <w:highlight w:val="none"/>
        </w:rPr>
        <w:t>。</w:t>
      </w:r>
    </w:p>
    <w:p>
      <w:pPr>
        <w:tabs>
          <w:tab w:val="left" w:pos="720"/>
        </w:tabs>
        <w:adjustRightInd w:val="0"/>
        <w:snapToGrid w:val="0"/>
        <w:ind w:firstLine="630" w:firstLineChars="300"/>
        <w:rPr>
          <w:rFonts w:hint="eastAsia" w:ascii="宋体" w:hAnsi="宋体" w:cs="宋体"/>
          <w:szCs w:val="21"/>
          <w:highlight w:val="none"/>
        </w:rPr>
      </w:pPr>
      <w:r>
        <w:rPr>
          <w:rFonts w:hint="eastAsia" w:ascii="宋体" w:hAnsi="宋体" w:cs="宋体"/>
          <w:szCs w:val="21"/>
          <w:highlight w:val="none"/>
        </w:rPr>
        <w:t>3、表中全部评审结果为“是”，视为同意进入下一阶段评审。</w:t>
      </w:r>
    </w:p>
    <w:p>
      <w:pPr>
        <w:tabs>
          <w:tab w:val="left" w:pos="720"/>
        </w:tabs>
        <w:snapToGrid w:val="0"/>
        <w:ind w:firstLine="630" w:firstLineChars="300"/>
        <w:rPr>
          <w:rFonts w:hint="eastAsia" w:ascii="宋体" w:hAnsi="宋体" w:cs="宋体"/>
          <w:szCs w:val="21"/>
          <w:highlight w:val="none"/>
        </w:rPr>
      </w:pPr>
      <w:r>
        <w:rPr>
          <w:rFonts w:hint="eastAsia" w:ascii="宋体" w:hAnsi="宋体" w:cs="宋体"/>
          <w:szCs w:val="21"/>
          <w:highlight w:val="none"/>
        </w:rPr>
        <w:t>4、若评委意见不一致时，则按少数服从多数的原则，作为评标委员会对该情形的认定结论。</w:t>
      </w:r>
      <w:r>
        <w:rPr>
          <w:rFonts w:hint="eastAsia" w:ascii="宋体" w:hAnsi="宋体" w:cs="宋体"/>
          <w:szCs w:val="21"/>
          <w:highlight w:val="none"/>
          <w:u w:val="singl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tabs>
          <w:tab w:val="left" w:pos="720"/>
        </w:tabs>
        <w:snapToGrid w:val="0"/>
        <w:ind w:firstLine="630" w:firstLineChars="300"/>
        <w:rPr>
          <w:rFonts w:hint="eastAsia" w:ascii="宋体" w:hAnsi="宋体" w:cs="宋体"/>
          <w:szCs w:val="21"/>
          <w:highlight w:val="none"/>
        </w:rPr>
      </w:pPr>
    </w:p>
    <w:p>
      <w:pPr>
        <w:adjustRightInd w:val="0"/>
        <w:snapToGrid w:val="0"/>
        <w:rPr>
          <w:rFonts w:hint="eastAsia" w:ascii="宋体" w:hAnsi="宋体" w:cs="宋体"/>
          <w:b/>
          <w:bCs/>
          <w:highlight w:val="none"/>
        </w:rPr>
      </w:pPr>
      <w:r>
        <w:rPr>
          <w:rFonts w:hint="eastAsia" w:ascii="宋体" w:hAnsi="宋体" w:cs="宋体"/>
          <w:szCs w:val="21"/>
          <w:highlight w:val="none"/>
        </w:rPr>
        <w:t>评委签名：                                                           日期：</w:t>
      </w:r>
    </w:p>
    <w:p>
      <w:pPr>
        <w:pStyle w:val="6"/>
        <w:spacing w:before="120" w:after="120"/>
        <w:ind w:left="0" w:firstLine="0"/>
        <w:rPr>
          <w:rFonts w:hint="eastAsia" w:ascii="宋体" w:hAnsi="宋体" w:cs="宋体"/>
          <w:highlight w:val="none"/>
        </w:rPr>
      </w:pPr>
      <w:bookmarkStart w:id="65" w:name="_Toc2430"/>
      <w:r>
        <w:rPr>
          <w:rFonts w:hint="eastAsia" w:ascii="宋体" w:hAnsi="宋体" w:cs="宋体"/>
          <w:highlight w:val="none"/>
        </w:rPr>
        <w:br w:type="page"/>
      </w:r>
      <w:r>
        <w:rPr>
          <w:rFonts w:hint="eastAsia" w:ascii="宋体" w:hAnsi="宋体" w:cs="宋体"/>
          <w:highlight w:val="none"/>
        </w:rPr>
        <w:t>附件3 技术文件有效性审查表</w:t>
      </w:r>
      <w:bookmarkEnd w:id="65"/>
    </w:p>
    <w:p>
      <w:pPr>
        <w:pStyle w:val="15"/>
        <w:rPr>
          <w:rFonts w:hint="eastAsia" w:hAnsi="宋体" w:cs="宋体"/>
          <w:b/>
          <w:bCs/>
          <w:sz w:val="24"/>
          <w:highlight w:val="none"/>
        </w:rPr>
      </w:pPr>
    </w:p>
    <w:p>
      <w:pPr>
        <w:pStyle w:val="15"/>
        <w:jc w:val="center"/>
        <w:rPr>
          <w:rFonts w:hint="eastAsia" w:hAnsi="宋体" w:cs="宋体"/>
          <w:b/>
          <w:sz w:val="32"/>
          <w:highlight w:val="none"/>
        </w:rPr>
      </w:pPr>
    </w:p>
    <w:p>
      <w:pPr>
        <w:pStyle w:val="15"/>
        <w:jc w:val="center"/>
        <w:rPr>
          <w:rFonts w:hint="eastAsia" w:hAnsi="宋体" w:cs="宋体"/>
          <w:b/>
          <w:sz w:val="32"/>
          <w:highlight w:val="none"/>
        </w:rPr>
      </w:pPr>
      <w:r>
        <w:rPr>
          <w:rFonts w:hint="eastAsia" w:hAnsi="宋体" w:cs="宋体"/>
          <w:b/>
          <w:sz w:val="32"/>
          <w:highlight w:val="none"/>
        </w:rPr>
        <w:t>技术文件有效性审查表</w:t>
      </w:r>
    </w:p>
    <w:p>
      <w:pPr>
        <w:tabs>
          <w:tab w:val="left" w:pos="720"/>
        </w:tabs>
        <w:snapToGrid w:val="0"/>
        <w:spacing w:line="360" w:lineRule="auto"/>
        <w:rPr>
          <w:rFonts w:hint="eastAsia" w:ascii="宋体" w:hAnsi="宋体" w:cs="宋体"/>
          <w:bCs/>
          <w:szCs w:val="21"/>
          <w:highlight w:val="none"/>
        </w:rPr>
      </w:pPr>
    </w:p>
    <w:p>
      <w:pPr>
        <w:tabs>
          <w:tab w:val="left" w:pos="720"/>
        </w:tabs>
        <w:snapToGrid w:val="0"/>
        <w:spacing w:line="360" w:lineRule="auto"/>
        <w:rPr>
          <w:rFonts w:hint="eastAsia" w:ascii="宋体" w:hAnsi="宋体" w:cs="宋体"/>
          <w:bCs/>
          <w:szCs w:val="21"/>
          <w:highlight w:val="none"/>
        </w:rPr>
      </w:pPr>
      <w:r>
        <w:rPr>
          <w:rFonts w:hint="eastAsia" w:ascii="宋体" w:hAnsi="宋体" w:cs="宋体"/>
          <w:bCs/>
          <w:szCs w:val="21"/>
          <w:highlight w:val="none"/>
        </w:rPr>
        <w:t>项目名称：</w:t>
      </w:r>
    </w:p>
    <w:tbl>
      <w:tblPr>
        <w:tblStyle w:val="26"/>
        <w:tblW w:w="0" w:type="auto"/>
        <w:tblInd w:w="3" w:type="dxa"/>
        <w:tblLayout w:type="fixed"/>
        <w:tblCellMar>
          <w:top w:w="0" w:type="dxa"/>
          <w:left w:w="108" w:type="dxa"/>
          <w:bottom w:w="0" w:type="dxa"/>
          <w:right w:w="108" w:type="dxa"/>
        </w:tblCellMar>
      </w:tblPr>
      <w:tblGrid>
        <w:gridCol w:w="525"/>
        <w:gridCol w:w="5880"/>
        <w:gridCol w:w="1476"/>
        <w:gridCol w:w="1476"/>
        <w:gridCol w:w="1476"/>
        <w:gridCol w:w="1476"/>
        <w:gridCol w:w="1476"/>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 xml:space="preserve">                                      方案编号</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审查项目</w:t>
            </w: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603"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i/>
                <w:szCs w:val="21"/>
                <w:highlight w:val="none"/>
              </w:rPr>
            </w:pPr>
            <w:r>
              <w:rPr>
                <w:rFonts w:hint="eastAsia" w:ascii="宋体" w:hAnsi="宋体" w:eastAsia="宋体" w:cs="宋体"/>
                <w:szCs w:val="21"/>
                <w:highlight w:val="none"/>
              </w:rPr>
              <w:t>未发现投标人在设计方案内标注名称、印章、商标、图形等记认符号，使人辨认出投标人或其专业技术人员的身份</w:t>
            </w:r>
            <w:r>
              <w:rPr>
                <w:rFonts w:hint="eastAsia" w:ascii="宋体" w:hAnsi="宋体" w:eastAsia="宋体" w:cs="宋体"/>
                <w:i/>
                <w:szCs w:val="21"/>
                <w:highlight w:val="none"/>
              </w:rPr>
              <w:t>。</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00" w:lineRule="atLeast"/>
              <w:ind w:left="0" w:right="0"/>
              <w:rPr>
                <w:rFonts w:hint="eastAsia" w:ascii="宋体" w:hAnsi="宋体" w:eastAsia="宋体" w:cs="宋体"/>
                <w:szCs w:val="21"/>
                <w:highlight w:val="none"/>
              </w:rPr>
            </w:pPr>
            <w:r>
              <w:rPr>
                <w:rFonts w:hint="eastAsia" w:ascii="宋体" w:hAnsi="宋体" w:eastAsia="宋体" w:cs="宋体"/>
                <w:szCs w:val="21"/>
                <w:highlight w:val="none"/>
              </w:rPr>
              <w:t>未发现互相雷同和串通投标。</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00" w:lineRule="atLeast"/>
              <w:ind w:left="0" w:right="0"/>
              <w:rPr>
                <w:rFonts w:hint="eastAsia" w:ascii="宋体" w:hAnsi="宋体" w:eastAsia="宋体" w:cs="宋体"/>
                <w:szCs w:val="21"/>
                <w:highlight w:val="none"/>
              </w:rPr>
            </w:pPr>
            <w:r>
              <w:rPr>
                <w:rFonts w:hint="eastAsia" w:ascii="宋体" w:hAnsi="宋体" w:eastAsia="宋体" w:cs="宋体"/>
                <w:szCs w:val="21"/>
                <w:highlight w:val="none"/>
              </w:rPr>
              <w:t>未发现明显抄袭行为。</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00" w:lineRule="atLeast"/>
              <w:ind w:left="0" w:right="0"/>
              <w:rPr>
                <w:rFonts w:hint="eastAsia" w:ascii="宋体" w:hAnsi="宋体" w:eastAsia="宋体" w:cs="宋体"/>
                <w:szCs w:val="21"/>
                <w:highlight w:val="none"/>
              </w:rPr>
            </w:pPr>
            <w:r>
              <w:rPr>
                <w:rFonts w:hint="eastAsia" w:ascii="宋体" w:hAnsi="宋体" w:eastAsia="宋体" w:cs="宋体"/>
                <w:szCs w:val="21"/>
                <w:highlight w:val="none"/>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00" w:lineRule="atLeast"/>
              <w:ind w:left="0" w:right="0"/>
              <w:rPr>
                <w:rFonts w:hint="eastAsia" w:ascii="宋体" w:hAnsi="宋体" w:eastAsia="宋体" w:cs="宋体"/>
                <w:szCs w:val="21"/>
                <w:highlight w:val="none"/>
              </w:rPr>
            </w:pPr>
            <w:r>
              <w:rPr>
                <w:rFonts w:hint="eastAsia" w:ascii="宋体" w:hAnsi="宋体" w:eastAsia="宋体" w:cs="宋体"/>
                <w:szCs w:val="21"/>
                <w:highlight w:val="none"/>
              </w:rPr>
              <w:t>按招标文件要求编制投标文件。</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结论</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shd w:val="pct10" w:color="auto" w:fill="FFFFFF"/>
              </w:rPr>
            </w:pPr>
          </w:p>
        </w:tc>
      </w:tr>
    </w:tbl>
    <w:p>
      <w:pPr>
        <w:tabs>
          <w:tab w:val="left" w:pos="720"/>
        </w:tabs>
        <w:adjustRightInd w:val="0"/>
        <w:snapToGrid w:val="0"/>
        <w:rPr>
          <w:rFonts w:hint="eastAsia" w:ascii="宋体" w:hAnsi="宋体" w:cs="宋体"/>
          <w:szCs w:val="21"/>
          <w:highlight w:val="none"/>
        </w:rPr>
      </w:pPr>
    </w:p>
    <w:p>
      <w:pPr>
        <w:tabs>
          <w:tab w:val="left" w:pos="720"/>
        </w:tabs>
        <w:adjustRightInd w:val="0"/>
        <w:snapToGrid w:val="0"/>
        <w:rPr>
          <w:rFonts w:hint="eastAsia" w:ascii="宋体" w:hAnsi="宋体" w:cs="宋体"/>
          <w:szCs w:val="21"/>
          <w:highlight w:val="none"/>
        </w:rPr>
      </w:pPr>
      <w:r>
        <w:rPr>
          <w:rFonts w:hint="eastAsia" w:ascii="宋体" w:hAnsi="宋体" w:cs="宋体"/>
          <w:szCs w:val="21"/>
          <w:highlight w:val="none"/>
        </w:rPr>
        <w:t>备注：1.根据本表的审查项目，填“是”或“否”。</w:t>
      </w:r>
    </w:p>
    <w:p>
      <w:pPr>
        <w:tabs>
          <w:tab w:val="left" w:pos="720"/>
        </w:tabs>
        <w:adjustRightInd w:val="0"/>
        <w:snapToGrid w:val="0"/>
        <w:ind w:firstLine="630" w:firstLineChars="300"/>
        <w:rPr>
          <w:rFonts w:hint="eastAsia" w:ascii="宋体" w:hAnsi="宋体" w:cs="宋体"/>
          <w:szCs w:val="21"/>
          <w:highlight w:val="none"/>
        </w:rPr>
      </w:pPr>
      <w:r>
        <w:rPr>
          <w:rFonts w:hint="eastAsia" w:ascii="宋体" w:hAnsi="宋体" w:cs="宋体"/>
          <w:szCs w:val="21"/>
          <w:highlight w:val="none"/>
        </w:rPr>
        <w:t>2.表中出现一个或以上“否”，即该投标人的评审“结论”为“否”，即该投标人不进入下一阶段评审</w:t>
      </w:r>
      <w:r>
        <w:rPr>
          <w:rFonts w:hint="eastAsia" w:ascii="宋体" w:hAnsi="宋体" w:cs="宋体"/>
          <w:sz w:val="24"/>
          <w:highlight w:val="none"/>
        </w:rPr>
        <w:t>。</w:t>
      </w:r>
    </w:p>
    <w:p>
      <w:pPr>
        <w:tabs>
          <w:tab w:val="left" w:pos="720"/>
        </w:tabs>
        <w:adjustRightInd w:val="0"/>
        <w:snapToGrid w:val="0"/>
        <w:ind w:firstLine="630" w:firstLineChars="300"/>
        <w:rPr>
          <w:rFonts w:hint="eastAsia" w:ascii="宋体" w:hAnsi="宋体" w:cs="宋体"/>
          <w:szCs w:val="21"/>
          <w:highlight w:val="none"/>
        </w:rPr>
      </w:pPr>
      <w:r>
        <w:rPr>
          <w:rFonts w:hint="eastAsia" w:ascii="宋体" w:hAnsi="宋体" w:cs="宋体"/>
          <w:szCs w:val="21"/>
          <w:highlight w:val="none"/>
        </w:rPr>
        <w:t>3.表中全部评审结果为“是”，视为同意进入下一阶段评审。</w:t>
      </w:r>
    </w:p>
    <w:p>
      <w:pPr>
        <w:tabs>
          <w:tab w:val="left" w:pos="720"/>
        </w:tabs>
        <w:snapToGrid w:val="0"/>
        <w:ind w:firstLine="630" w:firstLineChars="300"/>
        <w:rPr>
          <w:rFonts w:hint="eastAsia" w:ascii="宋体" w:hAnsi="宋体" w:cs="宋体"/>
          <w:szCs w:val="21"/>
          <w:highlight w:val="none"/>
        </w:rPr>
      </w:pPr>
      <w:r>
        <w:rPr>
          <w:rFonts w:hint="eastAsia" w:ascii="宋体" w:hAnsi="宋体" w:cs="宋体"/>
          <w:szCs w:val="21"/>
          <w:highlight w:val="none"/>
        </w:rPr>
        <w:t>4.若评委意见不一致时，则按少数服从多数的原则，作为评标委员会对该情形的认定结论。</w:t>
      </w:r>
      <w:r>
        <w:rPr>
          <w:rFonts w:hint="eastAsia" w:ascii="宋体" w:hAnsi="宋体" w:cs="宋体"/>
          <w:szCs w:val="21"/>
          <w:highlight w:val="none"/>
          <w:u w:val="singl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tabs>
          <w:tab w:val="left" w:pos="720"/>
        </w:tabs>
        <w:adjustRightInd w:val="0"/>
        <w:snapToGrid w:val="0"/>
        <w:rPr>
          <w:rFonts w:hint="eastAsia" w:ascii="宋体" w:hAnsi="宋体" w:cs="宋体"/>
          <w:szCs w:val="21"/>
          <w:highlight w:val="none"/>
        </w:rPr>
      </w:pPr>
    </w:p>
    <w:p>
      <w:pPr>
        <w:tabs>
          <w:tab w:val="left" w:pos="720"/>
        </w:tabs>
        <w:adjustRightInd w:val="0"/>
        <w:snapToGrid w:val="0"/>
        <w:rPr>
          <w:rFonts w:hint="eastAsia" w:ascii="宋体" w:hAnsi="宋体" w:cs="宋体"/>
          <w:sz w:val="18"/>
          <w:szCs w:val="18"/>
          <w:highlight w:val="none"/>
        </w:rPr>
      </w:pPr>
    </w:p>
    <w:p>
      <w:pPr>
        <w:pStyle w:val="15"/>
        <w:adjustRightInd w:val="0"/>
        <w:snapToGrid w:val="0"/>
        <w:rPr>
          <w:rFonts w:hint="eastAsia" w:hAnsi="宋体" w:cs="宋体"/>
          <w:b/>
          <w:sz w:val="32"/>
          <w:highlight w:val="none"/>
        </w:rPr>
      </w:pPr>
      <w:r>
        <w:rPr>
          <w:rFonts w:hint="eastAsia" w:hAnsi="宋体" w:cs="宋体"/>
          <w:szCs w:val="21"/>
          <w:highlight w:val="none"/>
        </w:rPr>
        <w:t>评委签名：                                                         日期：</w:t>
      </w:r>
    </w:p>
    <w:p>
      <w:pPr>
        <w:spacing w:line="360" w:lineRule="auto"/>
        <w:rPr>
          <w:rFonts w:hint="eastAsia" w:ascii="宋体" w:hAnsi="宋体" w:cs="宋体"/>
          <w:b/>
          <w:bCs/>
          <w:szCs w:val="21"/>
          <w:highlight w:val="none"/>
        </w:rPr>
      </w:pPr>
    </w:p>
    <w:p>
      <w:pPr>
        <w:pStyle w:val="15"/>
        <w:rPr>
          <w:rFonts w:hint="eastAsia" w:hAnsi="宋体" w:cs="宋体"/>
          <w:b/>
          <w:bCs/>
          <w:sz w:val="24"/>
          <w:highlight w:val="none"/>
        </w:rPr>
      </w:pPr>
    </w:p>
    <w:p>
      <w:pPr>
        <w:pStyle w:val="6"/>
        <w:spacing w:before="120" w:after="120"/>
        <w:ind w:left="0" w:firstLine="0"/>
        <w:rPr>
          <w:rFonts w:hint="eastAsia" w:ascii="宋体" w:hAnsi="宋体" w:cs="宋体"/>
          <w:highlight w:val="none"/>
        </w:rPr>
      </w:pPr>
      <w:bookmarkStart w:id="66" w:name="_Toc23202"/>
      <w:r>
        <w:rPr>
          <w:rFonts w:hint="eastAsia" w:ascii="宋体" w:hAnsi="宋体" w:cs="宋体"/>
          <w:highlight w:val="none"/>
        </w:rPr>
        <w:t>附件4 技术文件综合评分表（适用于综合评分法）</w:t>
      </w:r>
      <w:bookmarkEnd w:id="66"/>
    </w:p>
    <w:p>
      <w:pPr>
        <w:spacing w:line="360" w:lineRule="auto"/>
        <w:jc w:val="center"/>
        <w:rPr>
          <w:rFonts w:hint="eastAsia" w:ascii="宋体" w:hAnsi="宋体" w:cs="宋体"/>
          <w:b/>
          <w:bCs/>
          <w:sz w:val="32"/>
          <w:szCs w:val="32"/>
          <w:highlight w:val="none"/>
        </w:rPr>
      </w:pPr>
      <w:bookmarkStart w:id="67" w:name="_Toc1566"/>
      <w:r>
        <w:rPr>
          <w:rFonts w:hint="eastAsia" w:ascii="宋体" w:hAnsi="宋体" w:cs="宋体"/>
          <w:b/>
          <w:bCs/>
          <w:sz w:val="32"/>
          <w:szCs w:val="32"/>
          <w:highlight w:val="none"/>
        </w:rPr>
        <w:t>技术文件综合评分表</w:t>
      </w:r>
    </w:p>
    <w:p>
      <w:pPr>
        <w:spacing w:line="360" w:lineRule="auto"/>
        <w:rPr>
          <w:rFonts w:hint="eastAsia" w:ascii="宋体" w:hAnsi="宋体" w:cs="宋体"/>
          <w:highlight w:val="none"/>
        </w:rPr>
      </w:pPr>
      <w:r>
        <w:rPr>
          <w:rFonts w:hint="eastAsia" w:ascii="宋体" w:hAnsi="宋体" w:cs="宋体"/>
          <w:highlight w:val="none"/>
        </w:rPr>
        <w:t>项目名称：</w:t>
      </w:r>
      <w:r>
        <w:rPr>
          <w:rFonts w:hint="eastAsia" w:ascii="宋体" w:hAnsi="宋体" w:cs="宋体"/>
          <w:highlight w:val="none"/>
          <w:u w:val="single"/>
        </w:rPr>
        <w:t xml:space="preserve">                                      </w:t>
      </w:r>
      <w:r>
        <w:rPr>
          <w:rFonts w:hint="eastAsia" w:ascii="宋体" w:hAnsi="宋体" w:cs="宋体"/>
          <w:highlight w:val="none"/>
        </w:rPr>
        <w:t xml:space="preserve">       方案编号</w:t>
      </w:r>
      <w:r>
        <w:rPr>
          <w:rFonts w:hint="eastAsia" w:ascii="宋体" w:hAnsi="宋体" w:cs="宋体"/>
          <w:szCs w:val="21"/>
          <w:highlight w:val="none"/>
          <w:lang w:val="zh-CN"/>
        </w:rPr>
        <w:t>：</w:t>
      </w:r>
      <w:r>
        <w:rPr>
          <w:rFonts w:hint="eastAsia" w:ascii="宋体" w:hAnsi="宋体" w:cs="宋体"/>
          <w:highlight w:val="none"/>
          <w:u w:val="single"/>
        </w:rPr>
        <w:t xml:space="preserve">                                   </w:t>
      </w:r>
    </w:p>
    <w:tbl>
      <w:tblPr>
        <w:tblStyle w:val="2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1000"/>
        <w:gridCol w:w="10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09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评审项目</w:t>
            </w:r>
          </w:p>
        </w:tc>
        <w:tc>
          <w:tcPr>
            <w:tcW w:w="10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取值</w:t>
            </w:r>
          </w:p>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范围</w:t>
            </w:r>
          </w:p>
        </w:tc>
        <w:tc>
          <w:tcPr>
            <w:tcW w:w="1086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09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第一章 概况</w:t>
            </w:r>
          </w:p>
        </w:tc>
        <w:tc>
          <w:tcPr>
            <w:tcW w:w="10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086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Cs w:val="21"/>
                <w:highlight w:val="none"/>
                <w:lang w:val="zh-CN"/>
              </w:rPr>
            </w:pPr>
            <w:r>
              <w:rPr>
                <w:rFonts w:hint="eastAsia" w:ascii="宋体" w:hAnsi="宋体" w:eastAsia="Times New Roman" w:cs="Times New Roman"/>
                <w:highlight w:val="none"/>
              </w:rPr>
              <w:t>概况内容全面，概况概括性强，包括工程概况、工程范围、编制依据等，</w:t>
            </w:r>
            <w:r>
              <w:rPr>
                <w:rFonts w:hint="eastAsia" w:ascii="宋体" w:hAnsi="宋体" w:eastAsia="宋体" w:cs="宋体"/>
                <w:bCs/>
                <w:color w:val="000000"/>
                <w:szCs w:val="21"/>
                <w:highlight w:val="none"/>
                <w:lang w:val="zh-CN"/>
              </w:rPr>
              <w:t>能充分对接上位规划，明确项目用地情况、湿地保护与利用要求。</w:t>
            </w:r>
          </w:p>
          <w:p>
            <w:pPr>
              <w:keepNext w:val="0"/>
              <w:keepLines w:val="0"/>
              <w:suppressLineNumbers w:val="0"/>
              <w:spacing w:before="0" w:beforeAutospacing="0" w:after="0" w:afterAutospacing="0"/>
              <w:ind w:left="0" w:right="0"/>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lang w:val="zh-CN"/>
              </w:rPr>
              <w:t>优得</w:t>
            </w:r>
            <w:r>
              <w:rPr>
                <w:rFonts w:hint="eastAsia" w:ascii="宋体" w:hAnsi="宋体" w:eastAsia="宋体" w:cs="宋体"/>
                <w:bCs/>
                <w:color w:val="000000"/>
                <w:szCs w:val="21"/>
                <w:highlight w:val="none"/>
              </w:rPr>
              <w:t>5</w:t>
            </w:r>
            <w:r>
              <w:rPr>
                <w:rFonts w:hint="eastAsia" w:ascii="宋体" w:hAnsi="宋体" w:eastAsia="宋体" w:cs="宋体"/>
                <w:bCs/>
                <w:color w:val="000000"/>
                <w:szCs w:val="21"/>
                <w:highlight w:val="none"/>
                <w:lang w:val="zh-CN"/>
              </w:rPr>
              <w:t>分，良得</w:t>
            </w:r>
            <w:r>
              <w:rPr>
                <w:rFonts w:hint="eastAsia" w:ascii="宋体" w:hAnsi="宋体" w:eastAsia="宋体" w:cs="宋体"/>
                <w:bCs/>
                <w:color w:val="000000"/>
                <w:szCs w:val="21"/>
                <w:highlight w:val="none"/>
              </w:rPr>
              <w:t>3</w:t>
            </w:r>
            <w:r>
              <w:rPr>
                <w:rFonts w:hint="eastAsia" w:ascii="宋体" w:hAnsi="宋体" w:eastAsia="宋体" w:cs="宋体"/>
                <w:bCs/>
                <w:color w:val="000000"/>
                <w:szCs w:val="21"/>
                <w:highlight w:val="none"/>
                <w:lang w:val="zh-CN"/>
              </w:rPr>
              <w:t>分，中得</w:t>
            </w:r>
            <w:r>
              <w:rPr>
                <w:rFonts w:hint="eastAsia" w:ascii="宋体" w:hAnsi="宋体" w:eastAsia="宋体" w:cs="宋体"/>
                <w:bCs/>
                <w:color w:val="000000"/>
                <w:szCs w:val="21"/>
                <w:highlight w:val="none"/>
              </w:rPr>
              <w:t>1</w:t>
            </w:r>
            <w:r>
              <w:rPr>
                <w:rFonts w:hint="eastAsia" w:ascii="宋体" w:hAnsi="宋体" w:eastAsia="宋体" w:cs="宋体"/>
                <w:bCs/>
                <w:color w:val="000000"/>
                <w:szCs w:val="21"/>
                <w:highlight w:val="none"/>
                <w:lang w:val="zh-CN"/>
              </w:rPr>
              <w:t>分，差得</w:t>
            </w:r>
            <w:r>
              <w:rPr>
                <w:rFonts w:hint="eastAsia" w:ascii="宋体" w:hAnsi="宋体" w:eastAsia="宋体" w:cs="宋体"/>
                <w:bCs/>
                <w:color w:val="000000"/>
                <w:szCs w:val="21"/>
                <w:highlight w:val="none"/>
              </w:rPr>
              <w:t>0</w:t>
            </w:r>
            <w:r>
              <w:rPr>
                <w:rFonts w:hint="eastAsia" w:ascii="宋体" w:hAnsi="宋体" w:eastAsia="宋体" w:cs="宋体"/>
                <w:bCs/>
                <w:color w:val="000000"/>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09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第二章 工作目标与组织架构</w:t>
            </w:r>
          </w:p>
        </w:tc>
        <w:tc>
          <w:tcPr>
            <w:tcW w:w="10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086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了解项目总体情况，编制项目的总体目标、设计目标、质量目标和工期目标等；编制合理的组织架构，满足项目需要。</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bCs/>
                <w:szCs w:val="21"/>
                <w:highlight w:val="none"/>
                <w:lang w:val="zh-CN"/>
              </w:rPr>
              <w:t>优得</w:t>
            </w:r>
            <w:r>
              <w:rPr>
                <w:rFonts w:hint="eastAsia" w:ascii="宋体" w:hAnsi="宋体" w:eastAsia="宋体" w:cs="宋体"/>
                <w:bCs/>
                <w:szCs w:val="21"/>
                <w:highlight w:val="none"/>
              </w:rPr>
              <w:t>3</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良得</w:t>
            </w:r>
            <w:r>
              <w:rPr>
                <w:rFonts w:hint="eastAsia" w:ascii="宋体" w:hAnsi="宋体" w:eastAsia="宋体" w:cs="宋体"/>
                <w:bCs/>
                <w:szCs w:val="21"/>
                <w:highlight w:val="none"/>
              </w:rPr>
              <w:t>2</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中得</w:t>
            </w:r>
            <w:r>
              <w:rPr>
                <w:rFonts w:hint="eastAsia" w:ascii="宋体" w:hAnsi="宋体" w:eastAsia="宋体" w:cs="宋体"/>
                <w:bCs/>
                <w:szCs w:val="21"/>
                <w:highlight w:val="none"/>
              </w:rPr>
              <w:t>1</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差得</w:t>
            </w:r>
            <w:r>
              <w:rPr>
                <w:rFonts w:hint="eastAsia" w:ascii="宋体" w:hAnsi="宋体" w:eastAsia="宋体" w:cs="宋体"/>
                <w:bCs/>
                <w:szCs w:val="21"/>
                <w:highlight w:val="none"/>
              </w:rPr>
              <w:t>0</w:t>
            </w:r>
            <w:r>
              <w:rPr>
                <w:rFonts w:hint="eastAsia" w:ascii="宋体" w:hAnsi="宋体" w:eastAsia="宋体" w:cs="宋体"/>
                <w:bCs/>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9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第三章 现状调研与分析</w:t>
            </w:r>
          </w:p>
        </w:tc>
        <w:tc>
          <w:tcPr>
            <w:tcW w:w="10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10869" w:type="dxa"/>
            <w:noWrap w:val="0"/>
            <w:vAlign w:val="center"/>
          </w:tcPr>
          <w:p>
            <w:pPr>
              <w:keepNext w:val="0"/>
              <w:keepLines w:val="0"/>
              <w:numPr>
                <w:ilvl w:val="0"/>
                <w:numId w:val="4"/>
              </w:numPr>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能充分调研现有自然资源，包括不仅限于鸟类、鱼类、昆虫、植物；。</w:t>
            </w:r>
          </w:p>
          <w:p>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bCs/>
                <w:szCs w:val="21"/>
                <w:highlight w:val="none"/>
                <w:lang w:val="zh-CN"/>
              </w:rPr>
              <w:t>优得</w:t>
            </w:r>
            <w:r>
              <w:rPr>
                <w:rFonts w:hint="eastAsia" w:ascii="宋体" w:hAnsi="宋体" w:eastAsia="宋体" w:cs="宋体"/>
                <w:bCs/>
                <w:szCs w:val="21"/>
                <w:highlight w:val="none"/>
              </w:rPr>
              <w:t>8</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良得</w:t>
            </w:r>
            <w:r>
              <w:rPr>
                <w:rFonts w:hint="default" w:ascii="宋体" w:hAnsi="宋体" w:eastAsia="宋体" w:cs="宋体"/>
                <w:bCs/>
                <w:szCs w:val="21"/>
                <w:highlight w:val="none"/>
              </w:rPr>
              <w:t>5</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中得</w:t>
            </w:r>
            <w:r>
              <w:rPr>
                <w:rFonts w:hint="default" w:ascii="宋体" w:hAnsi="宋体" w:eastAsia="宋体" w:cs="宋体"/>
                <w:bCs/>
                <w:szCs w:val="21"/>
                <w:highlight w:val="none"/>
              </w:rPr>
              <w:t>3</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差得</w:t>
            </w:r>
            <w:r>
              <w:rPr>
                <w:rFonts w:hint="eastAsia" w:ascii="宋体" w:hAnsi="宋体" w:eastAsia="宋体" w:cs="宋体"/>
                <w:bCs/>
                <w:szCs w:val="21"/>
                <w:highlight w:val="none"/>
              </w:rPr>
              <w:t>0</w:t>
            </w:r>
            <w:r>
              <w:rPr>
                <w:rFonts w:hint="eastAsia" w:ascii="宋体" w:hAnsi="宋体" w:eastAsia="宋体" w:cs="宋体"/>
                <w:bCs/>
                <w:szCs w:val="21"/>
                <w:highlight w:val="none"/>
                <w:lang w:val="zh-CN"/>
              </w:rPr>
              <w:t>分。</w:t>
            </w:r>
          </w:p>
          <w:p>
            <w:pPr>
              <w:keepNext w:val="0"/>
              <w:keepLines w:val="0"/>
              <w:numPr>
                <w:ilvl w:val="0"/>
                <w:numId w:val="4"/>
              </w:numPr>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对湿地现有水网系统进行分析，明确与周边水网关系，分析湿地慢行系统与海珠区碧道系统的关联；。</w:t>
            </w:r>
          </w:p>
          <w:p>
            <w:pPr>
              <w:keepNext w:val="0"/>
              <w:keepLines w:val="0"/>
              <w:suppressLineNumbers w:val="0"/>
              <w:spacing w:before="0" w:beforeAutospacing="0" w:after="0" w:afterAutospacing="0"/>
              <w:ind w:left="0" w:right="0"/>
              <w:rPr>
                <w:rFonts w:hint="default" w:ascii="宋体" w:hAnsi="宋体" w:eastAsia="宋体" w:cs="宋体"/>
                <w:bCs/>
                <w:szCs w:val="21"/>
                <w:highlight w:val="none"/>
              </w:rPr>
            </w:pPr>
            <w:r>
              <w:rPr>
                <w:rFonts w:hint="eastAsia" w:ascii="宋体" w:hAnsi="宋体" w:eastAsia="宋体" w:cs="宋体"/>
                <w:bCs/>
                <w:szCs w:val="21"/>
                <w:highlight w:val="none"/>
                <w:lang w:val="zh-CN"/>
              </w:rPr>
              <w:t>优得</w:t>
            </w:r>
            <w:r>
              <w:rPr>
                <w:rFonts w:hint="eastAsia" w:ascii="宋体" w:hAnsi="宋体" w:eastAsia="宋体" w:cs="宋体"/>
                <w:bCs/>
                <w:szCs w:val="21"/>
                <w:highlight w:val="none"/>
              </w:rPr>
              <w:t>8</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良得</w:t>
            </w:r>
            <w:r>
              <w:rPr>
                <w:rFonts w:hint="default" w:ascii="宋体" w:hAnsi="宋体" w:eastAsia="宋体" w:cs="宋体"/>
                <w:bCs/>
                <w:szCs w:val="21"/>
                <w:highlight w:val="none"/>
              </w:rPr>
              <w:t>5</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中得</w:t>
            </w:r>
            <w:r>
              <w:rPr>
                <w:rFonts w:hint="default" w:ascii="宋体" w:hAnsi="宋体" w:eastAsia="宋体" w:cs="宋体"/>
                <w:bCs/>
                <w:szCs w:val="21"/>
                <w:highlight w:val="none"/>
              </w:rPr>
              <w:t>3</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差得</w:t>
            </w:r>
            <w:r>
              <w:rPr>
                <w:rFonts w:hint="eastAsia" w:ascii="宋体" w:hAnsi="宋体" w:eastAsia="宋体" w:cs="宋体"/>
                <w:bCs/>
                <w:szCs w:val="21"/>
                <w:highlight w:val="none"/>
              </w:rPr>
              <w:t>0</w:t>
            </w:r>
            <w:r>
              <w:rPr>
                <w:rFonts w:hint="eastAsia" w:ascii="宋体" w:hAnsi="宋体" w:eastAsia="宋体" w:cs="宋体"/>
                <w:bCs/>
                <w:szCs w:val="21"/>
                <w:highlight w:val="none"/>
                <w:lang w:val="zh-CN"/>
              </w:rPr>
              <w:t>分。</w:t>
            </w:r>
          </w:p>
          <w:p>
            <w:pPr>
              <w:keepNext w:val="0"/>
              <w:keepLines w:val="0"/>
              <w:numPr>
                <w:ilvl w:val="0"/>
                <w:numId w:val="4"/>
              </w:numPr>
              <w:suppressLineNumbers w:val="0"/>
              <w:spacing w:before="0" w:beforeAutospacing="0" w:after="0" w:afterAutospacing="0"/>
              <w:ind w:left="0" w:right="0"/>
              <w:rPr>
                <w:rFonts w:hint="default" w:ascii="宋体" w:hAnsi="宋体" w:eastAsia="宋体" w:cs="宋体"/>
                <w:bCs/>
                <w:szCs w:val="21"/>
                <w:highlight w:val="none"/>
                <w:lang w:val="zh-CN"/>
              </w:rPr>
            </w:pPr>
            <w:r>
              <w:rPr>
                <w:rFonts w:hint="eastAsia" w:ascii="宋体" w:hAnsi="宋体" w:eastAsia="宋体" w:cs="宋体"/>
                <w:bCs/>
                <w:szCs w:val="21"/>
                <w:highlight w:val="none"/>
                <w:lang w:val="zh-CN"/>
              </w:rPr>
              <w:t>对海珠湿地现有设施的短板及维护情况进行详细摸查，明确存在问题。</w:t>
            </w:r>
          </w:p>
          <w:p>
            <w:pPr>
              <w:keepNext w:val="0"/>
              <w:keepLines w:val="0"/>
              <w:suppressLineNumbers w:val="0"/>
              <w:spacing w:before="0" w:beforeAutospacing="0" w:after="0" w:afterAutospacing="0"/>
              <w:ind w:left="0" w:right="0"/>
              <w:rPr>
                <w:rFonts w:hint="eastAsia" w:ascii="宋体" w:hAnsi="宋体" w:eastAsia="宋体" w:cs="宋体"/>
                <w:bCs/>
                <w:szCs w:val="21"/>
                <w:highlight w:val="none"/>
              </w:rPr>
            </w:pPr>
            <w:r>
              <w:rPr>
                <w:rFonts w:hint="eastAsia" w:ascii="宋体" w:hAnsi="宋体" w:eastAsia="宋体" w:cs="宋体"/>
                <w:bCs/>
                <w:szCs w:val="21"/>
                <w:highlight w:val="none"/>
                <w:lang w:val="zh-CN"/>
              </w:rPr>
              <w:t>优得</w:t>
            </w:r>
            <w:r>
              <w:rPr>
                <w:rFonts w:hint="eastAsia" w:ascii="宋体" w:hAnsi="宋体" w:eastAsia="宋体" w:cs="宋体"/>
                <w:bCs/>
                <w:szCs w:val="21"/>
                <w:highlight w:val="none"/>
              </w:rPr>
              <w:t>6</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良得</w:t>
            </w:r>
            <w:r>
              <w:rPr>
                <w:rFonts w:hint="default" w:ascii="宋体" w:hAnsi="宋体" w:eastAsia="宋体" w:cs="宋体"/>
                <w:bCs/>
                <w:szCs w:val="21"/>
                <w:highlight w:val="none"/>
              </w:rPr>
              <w:t>3</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中得</w:t>
            </w:r>
            <w:r>
              <w:rPr>
                <w:rFonts w:hint="default" w:ascii="宋体" w:hAnsi="宋体" w:eastAsia="宋体" w:cs="宋体"/>
                <w:bCs/>
                <w:szCs w:val="21"/>
                <w:highlight w:val="none"/>
              </w:rPr>
              <w:t>1</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差得</w:t>
            </w:r>
            <w:r>
              <w:rPr>
                <w:rFonts w:hint="eastAsia" w:ascii="宋体" w:hAnsi="宋体" w:eastAsia="宋体" w:cs="宋体"/>
                <w:bCs/>
                <w:szCs w:val="21"/>
                <w:highlight w:val="none"/>
              </w:rPr>
              <w:t>0</w:t>
            </w:r>
            <w:r>
              <w:rPr>
                <w:rFonts w:hint="eastAsia" w:ascii="宋体" w:hAnsi="宋体" w:eastAsia="宋体" w:cs="宋体"/>
                <w:bCs/>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09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第四章 设计方案</w:t>
            </w:r>
          </w:p>
        </w:tc>
        <w:tc>
          <w:tcPr>
            <w:tcW w:w="10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[60]</w:t>
            </w:r>
          </w:p>
        </w:tc>
        <w:tc>
          <w:tcPr>
            <w:tcW w:w="10869" w:type="dxa"/>
            <w:noWrap w:val="0"/>
            <w:vAlign w:val="center"/>
          </w:tcPr>
          <w:p>
            <w:pPr>
              <w:pStyle w:val="56"/>
              <w:keepNext w:val="0"/>
              <w:keepLines w:val="0"/>
              <w:numPr>
                <w:ilvl w:val="0"/>
                <w:numId w:val="5"/>
              </w:numPr>
              <w:suppressLineNumbers w:val="0"/>
              <w:autoSpaceDE w:val="0"/>
              <w:autoSpaceDN w:val="0"/>
              <w:adjustRightInd w:val="0"/>
              <w:spacing w:before="0" w:beforeAutospacing="0" w:after="0" w:afterAutospacing="0" w:line="276" w:lineRule="auto"/>
              <w:ind w:left="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能充分衔接国家植物园迁地保护示范区的设计要求。</w:t>
            </w:r>
          </w:p>
          <w:p>
            <w:pPr>
              <w:pStyle w:val="56"/>
              <w:keepNext w:val="0"/>
              <w:keepLines w:val="0"/>
              <w:suppressLineNumbers w:val="0"/>
              <w:autoSpaceDE w:val="0"/>
              <w:autoSpaceDN w:val="0"/>
              <w:adjustRightInd w:val="0"/>
              <w:spacing w:before="0" w:beforeAutospacing="0" w:after="0" w:afterAutospacing="0" w:line="276" w:lineRule="auto"/>
              <w:ind w:left="0" w:right="0" w:firstLine="0" w:firstLineChars="0"/>
              <w:rPr>
                <w:rFonts w:hint="eastAsia" w:ascii="宋体" w:hAnsi="宋体" w:eastAsia="宋体" w:cs="宋体"/>
                <w:szCs w:val="21"/>
                <w:highlight w:val="none"/>
              </w:rPr>
            </w:pPr>
            <w:r>
              <w:rPr>
                <w:rFonts w:hint="eastAsia" w:ascii="宋体" w:hAnsi="宋体" w:eastAsia="宋体" w:cs="宋体"/>
                <w:bCs/>
                <w:szCs w:val="21"/>
                <w:highlight w:val="none"/>
                <w:lang w:val="zh-CN"/>
              </w:rPr>
              <w:t>优得</w:t>
            </w:r>
            <w:r>
              <w:rPr>
                <w:rFonts w:hint="eastAsia" w:ascii="宋体" w:hAnsi="宋体" w:eastAsia="宋体" w:cs="宋体"/>
                <w:bCs/>
                <w:szCs w:val="21"/>
                <w:highlight w:val="none"/>
              </w:rPr>
              <w:t>15</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良得</w:t>
            </w:r>
            <w:r>
              <w:rPr>
                <w:rFonts w:hint="eastAsia" w:ascii="宋体" w:hAnsi="宋体" w:eastAsia="宋体" w:cs="宋体"/>
                <w:bCs/>
                <w:szCs w:val="21"/>
                <w:highlight w:val="none"/>
              </w:rPr>
              <w:t>10</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中得</w:t>
            </w:r>
            <w:r>
              <w:rPr>
                <w:rFonts w:hint="eastAsia" w:ascii="宋体" w:hAnsi="宋体" w:eastAsia="宋体" w:cs="宋体"/>
                <w:bCs/>
                <w:szCs w:val="21"/>
                <w:highlight w:val="none"/>
              </w:rPr>
              <w:t>5</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差得</w:t>
            </w:r>
            <w:r>
              <w:rPr>
                <w:rFonts w:hint="eastAsia" w:ascii="宋体" w:hAnsi="宋体" w:eastAsia="宋体" w:cs="宋体"/>
                <w:bCs/>
                <w:szCs w:val="21"/>
                <w:highlight w:val="none"/>
              </w:rPr>
              <w:t>0</w:t>
            </w:r>
            <w:r>
              <w:rPr>
                <w:rFonts w:hint="eastAsia" w:ascii="宋体" w:hAnsi="宋体" w:eastAsia="宋体" w:cs="宋体"/>
                <w:bCs/>
                <w:szCs w:val="21"/>
                <w:highlight w:val="none"/>
                <w:lang w:val="zh-CN"/>
              </w:rPr>
              <w:t>分。</w:t>
            </w:r>
          </w:p>
          <w:p>
            <w:pPr>
              <w:pStyle w:val="56"/>
              <w:keepNext w:val="0"/>
              <w:keepLines w:val="0"/>
              <w:numPr>
                <w:ilvl w:val="0"/>
                <w:numId w:val="5"/>
              </w:numPr>
              <w:suppressLineNumbers w:val="0"/>
              <w:autoSpaceDE w:val="0"/>
              <w:autoSpaceDN w:val="0"/>
              <w:adjustRightInd w:val="0"/>
              <w:spacing w:before="0" w:beforeAutospacing="0" w:after="0" w:afterAutospacing="0" w:line="276" w:lineRule="auto"/>
              <w:ind w:left="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景观注重生态性，满足绿美海珠建设的设计要求。</w:t>
            </w:r>
          </w:p>
          <w:p>
            <w:pPr>
              <w:pStyle w:val="56"/>
              <w:keepNext w:val="0"/>
              <w:keepLines w:val="0"/>
              <w:suppressLineNumbers w:val="0"/>
              <w:autoSpaceDE w:val="0"/>
              <w:autoSpaceDN w:val="0"/>
              <w:adjustRightInd w:val="0"/>
              <w:spacing w:before="0" w:beforeAutospacing="0" w:after="0" w:afterAutospacing="0" w:line="276" w:lineRule="auto"/>
              <w:ind w:left="0" w:right="0" w:firstLine="0" w:firstLineChars="0"/>
              <w:rPr>
                <w:rFonts w:hint="eastAsia" w:ascii="宋体" w:hAnsi="宋体" w:eastAsia="宋体" w:cs="宋体"/>
                <w:szCs w:val="21"/>
                <w:highlight w:val="none"/>
              </w:rPr>
            </w:pPr>
            <w:r>
              <w:rPr>
                <w:rFonts w:hint="eastAsia" w:ascii="宋体" w:hAnsi="宋体" w:eastAsia="宋体" w:cs="宋体"/>
                <w:bCs/>
                <w:szCs w:val="21"/>
                <w:highlight w:val="none"/>
                <w:lang w:val="zh-CN"/>
              </w:rPr>
              <w:t>优得</w:t>
            </w:r>
            <w:r>
              <w:rPr>
                <w:rFonts w:hint="eastAsia" w:ascii="宋体" w:hAnsi="宋体" w:eastAsia="宋体" w:cs="宋体"/>
                <w:bCs/>
                <w:szCs w:val="21"/>
                <w:highlight w:val="none"/>
              </w:rPr>
              <w:t>15</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良得</w:t>
            </w:r>
            <w:r>
              <w:rPr>
                <w:rFonts w:hint="eastAsia" w:ascii="宋体" w:hAnsi="宋体" w:eastAsia="宋体" w:cs="宋体"/>
                <w:bCs/>
                <w:szCs w:val="21"/>
                <w:highlight w:val="none"/>
              </w:rPr>
              <w:t>10</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中得</w:t>
            </w:r>
            <w:r>
              <w:rPr>
                <w:rFonts w:hint="eastAsia" w:ascii="宋体" w:hAnsi="宋体" w:eastAsia="宋体" w:cs="宋体"/>
                <w:bCs/>
                <w:szCs w:val="21"/>
                <w:highlight w:val="none"/>
              </w:rPr>
              <w:t>5</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差得</w:t>
            </w:r>
            <w:r>
              <w:rPr>
                <w:rFonts w:hint="eastAsia" w:ascii="宋体" w:hAnsi="宋体" w:eastAsia="宋体" w:cs="宋体"/>
                <w:bCs/>
                <w:szCs w:val="21"/>
                <w:highlight w:val="none"/>
              </w:rPr>
              <w:t>0</w:t>
            </w:r>
            <w:r>
              <w:rPr>
                <w:rFonts w:hint="eastAsia" w:ascii="宋体" w:hAnsi="宋体" w:eastAsia="宋体" w:cs="宋体"/>
                <w:bCs/>
                <w:szCs w:val="21"/>
                <w:highlight w:val="none"/>
                <w:lang w:val="zh-CN"/>
              </w:rPr>
              <w:t>分。</w:t>
            </w:r>
          </w:p>
          <w:p>
            <w:pPr>
              <w:pStyle w:val="56"/>
              <w:keepNext w:val="0"/>
              <w:keepLines w:val="0"/>
              <w:numPr>
                <w:ilvl w:val="0"/>
                <w:numId w:val="5"/>
              </w:numPr>
              <w:suppressLineNumbers w:val="0"/>
              <w:autoSpaceDE w:val="0"/>
              <w:autoSpaceDN w:val="0"/>
              <w:adjustRightInd w:val="0"/>
              <w:spacing w:before="0" w:beforeAutospacing="0" w:after="0" w:afterAutospacing="0" w:line="276" w:lineRule="auto"/>
              <w:ind w:left="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建筑修缮和新建公服配套，与湿地风貌协调性好，新建建筑融合自然、科学合理。</w:t>
            </w:r>
          </w:p>
          <w:p>
            <w:pPr>
              <w:pStyle w:val="56"/>
              <w:keepNext w:val="0"/>
              <w:keepLines w:val="0"/>
              <w:suppressLineNumbers w:val="0"/>
              <w:autoSpaceDE w:val="0"/>
              <w:autoSpaceDN w:val="0"/>
              <w:adjustRightInd w:val="0"/>
              <w:spacing w:before="0" w:beforeAutospacing="0" w:after="0" w:afterAutospacing="0" w:line="276" w:lineRule="auto"/>
              <w:ind w:left="0" w:right="0" w:firstLine="0" w:firstLineChars="0"/>
              <w:rPr>
                <w:rFonts w:hint="eastAsia" w:ascii="宋体" w:hAnsi="宋体" w:eastAsia="宋体" w:cs="宋体"/>
                <w:szCs w:val="21"/>
                <w:highlight w:val="none"/>
              </w:rPr>
            </w:pPr>
            <w:r>
              <w:rPr>
                <w:rFonts w:hint="eastAsia" w:ascii="宋体" w:hAnsi="宋体" w:eastAsia="宋体" w:cs="宋体"/>
                <w:bCs/>
                <w:szCs w:val="21"/>
                <w:highlight w:val="none"/>
                <w:lang w:val="zh-CN"/>
              </w:rPr>
              <w:t>优得</w:t>
            </w:r>
            <w:r>
              <w:rPr>
                <w:rFonts w:hint="eastAsia" w:ascii="宋体" w:hAnsi="宋体" w:eastAsia="宋体" w:cs="宋体"/>
                <w:bCs/>
                <w:szCs w:val="21"/>
                <w:highlight w:val="none"/>
              </w:rPr>
              <w:t>15</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良得</w:t>
            </w:r>
            <w:r>
              <w:rPr>
                <w:rFonts w:hint="eastAsia" w:ascii="宋体" w:hAnsi="宋体" w:eastAsia="宋体" w:cs="宋体"/>
                <w:bCs/>
                <w:szCs w:val="21"/>
                <w:highlight w:val="none"/>
              </w:rPr>
              <w:t>10</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中得</w:t>
            </w:r>
            <w:r>
              <w:rPr>
                <w:rFonts w:hint="eastAsia" w:ascii="宋体" w:hAnsi="宋体" w:eastAsia="宋体" w:cs="宋体"/>
                <w:bCs/>
                <w:szCs w:val="21"/>
                <w:highlight w:val="none"/>
              </w:rPr>
              <w:t>5</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差得</w:t>
            </w:r>
            <w:r>
              <w:rPr>
                <w:rFonts w:hint="eastAsia" w:ascii="宋体" w:hAnsi="宋体" w:eastAsia="宋体" w:cs="宋体"/>
                <w:bCs/>
                <w:szCs w:val="21"/>
                <w:highlight w:val="none"/>
              </w:rPr>
              <w:t>0</w:t>
            </w:r>
            <w:r>
              <w:rPr>
                <w:rFonts w:hint="eastAsia" w:ascii="宋体" w:hAnsi="宋体" w:eastAsia="宋体" w:cs="宋体"/>
                <w:bCs/>
                <w:szCs w:val="21"/>
                <w:highlight w:val="none"/>
                <w:lang w:val="zh-CN"/>
              </w:rPr>
              <w:t>分。</w:t>
            </w:r>
          </w:p>
          <w:p>
            <w:pPr>
              <w:pStyle w:val="56"/>
              <w:keepNext w:val="0"/>
              <w:keepLines w:val="0"/>
              <w:numPr>
                <w:ilvl w:val="0"/>
                <w:numId w:val="5"/>
              </w:numPr>
              <w:suppressLineNumbers w:val="0"/>
              <w:autoSpaceDE w:val="0"/>
              <w:autoSpaceDN w:val="0"/>
              <w:adjustRightInd w:val="0"/>
              <w:spacing w:before="0" w:beforeAutospacing="0" w:after="0" w:afterAutospacing="0" w:line="276" w:lineRule="auto"/>
              <w:ind w:left="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公园配套基础设施工程设计专业详尽。</w:t>
            </w:r>
          </w:p>
          <w:p>
            <w:pPr>
              <w:pStyle w:val="56"/>
              <w:keepNext w:val="0"/>
              <w:keepLines w:val="0"/>
              <w:suppressLineNumbers w:val="0"/>
              <w:autoSpaceDE w:val="0"/>
              <w:autoSpaceDN w:val="0"/>
              <w:adjustRightInd w:val="0"/>
              <w:spacing w:before="0" w:beforeAutospacing="0" w:after="0" w:afterAutospacing="0" w:line="276" w:lineRule="auto"/>
              <w:ind w:left="0" w:right="0" w:firstLine="0" w:firstLineChars="0"/>
              <w:rPr>
                <w:rFonts w:hint="eastAsia" w:ascii="宋体" w:hAnsi="宋体" w:eastAsia="宋体" w:cs="宋体"/>
                <w:szCs w:val="21"/>
                <w:highlight w:val="none"/>
              </w:rPr>
            </w:pPr>
            <w:r>
              <w:rPr>
                <w:rFonts w:hint="eastAsia" w:ascii="宋体" w:hAnsi="宋体" w:eastAsia="宋体" w:cs="宋体"/>
                <w:bCs/>
                <w:szCs w:val="21"/>
                <w:highlight w:val="none"/>
                <w:lang w:val="zh-CN"/>
              </w:rPr>
              <w:t>优得</w:t>
            </w:r>
            <w:r>
              <w:rPr>
                <w:rFonts w:hint="eastAsia" w:ascii="宋体" w:hAnsi="宋体" w:eastAsia="宋体" w:cs="宋体"/>
                <w:bCs/>
                <w:szCs w:val="21"/>
                <w:highlight w:val="none"/>
              </w:rPr>
              <w:t>15</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良得</w:t>
            </w:r>
            <w:r>
              <w:rPr>
                <w:rFonts w:hint="eastAsia" w:ascii="宋体" w:hAnsi="宋体" w:eastAsia="宋体" w:cs="宋体"/>
                <w:bCs/>
                <w:szCs w:val="21"/>
                <w:highlight w:val="none"/>
              </w:rPr>
              <w:t>10</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中得</w:t>
            </w:r>
            <w:r>
              <w:rPr>
                <w:rFonts w:hint="eastAsia" w:ascii="宋体" w:hAnsi="宋体" w:eastAsia="宋体" w:cs="宋体"/>
                <w:bCs/>
                <w:szCs w:val="21"/>
                <w:highlight w:val="none"/>
              </w:rPr>
              <w:t>5</w:t>
            </w:r>
            <w:r>
              <w:rPr>
                <w:rFonts w:hint="eastAsia" w:ascii="宋体" w:hAnsi="宋体" w:eastAsia="宋体" w:cs="宋体"/>
                <w:bCs/>
                <w:szCs w:val="21"/>
                <w:highlight w:val="none"/>
                <w:lang w:val="zh-CN"/>
              </w:rPr>
              <w:t>分</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差得</w:t>
            </w:r>
            <w:r>
              <w:rPr>
                <w:rFonts w:hint="eastAsia" w:ascii="宋体" w:hAnsi="宋体" w:eastAsia="宋体" w:cs="宋体"/>
                <w:bCs/>
                <w:szCs w:val="21"/>
                <w:highlight w:val="none"/>
              </w:rPr>
              <w:t>0</w:t>
            </w:r>
            <w:r>
              <w:rPr>
                <w:rFonts w:hint="eastAsia" w:ascii="宋体" w:hAnsi="宋体" w:eastAsia="宋体" w:cs="宋体"/>
                <w:bCs/>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9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第五章 投资估算及控制</w:t>
            </w:r>
          </w:p>
        </w:tc>
        <w:tc>
          <w:tcPr>
            <w:tcW w:w="10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w:t>
            </w:r>
          </w:p>
        </w:tc>
        <w:tc>
          <w:tcPr>
            <w:tcW w:w="1086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工程总投资合理，节约工程总投资的措施及理由合理、可信、可行，投资估算编制依据正确，达到相应的深度要求。</w:t>
            </w:r>
          </w:p>
          <w:p>
            <w:pPr>
              <w:keepNext w:val="0"/>
              <w:keepLines w:val="0"/>
              <w:suppressLineNumbers w:val="0"/>
              <w:spacing w:before="0" w:beforeAutospacing="0" w:after="0" w:afterAutospacing="0"/>
              <w:ind w:left="0" w:right="0"/>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lang w:val="zh-CN"/>
              </w:rPr>
              <w:t>优得</w:t>
            </w:r>
            <w:r>
              <w:rPr>
                <w:rFonts w:hint="eastAsia" w:ascii="宋体" w:hAnsi="宋体" w:eastAsia="宋体" w:cs="宋体"/>
                <w:bCs/>
                <w:color w:val="000000"/>
                <w:szCs w:val="21"/>
                <w:highlight w:val="none"/>
              </w:rPr>
              <w:t>10</w:t>
            </w:r>
            <w:r>
              <w:rPr>
                <w:rFonts w:hint="eastAsia" w:ascii="宋体" w:hAnsi="宋体" w:eastAsia="宋体" w:cs="宋体"/>
                <w:bCs/>
                <w:color w:val="000000"/>
                <w:szCs w:val="21"/>
                <w:highlight w:val="none"/>
                <w:lang w:val="zh-CN"/>
              </w:rPr>
              <w:t>分</w:t>
            </w:r>
            <w:r>
              <w:rPr>
                <w:rFonts w:hint="eastAsia" w:ascii="宋体" w:hAnsi="宋体" w:eastAsia="宋体" w:cs="宋体"/>
                <w:bCs/>
                <w:color w:val="000000"/>
                <w:szCs w:val="21"/>
                <w:highlight w:val="none"/>
              </w:rPr>
              <w:t>，</w:t>
            </w:r>
            <w:r>
              <w:rPr>
                <w:rFonts w:hint="eastAsia" w:ascii="宋体" w:hAnsi="宋体" w:eastAsia="宋体" w:cs="宋体"/>
                <w:bCs/>
                <w:color w:val="000000"/>
                <w:szCs w:val="21"/>
                <w:highlight w:val="none"/>
                <w:lang w:val="zh-CN"/>
              </w:rPr>
              <w:t>良得</w:t>
            </w:r>
            <w:r>
              <w:rPr>
                <w:rFonts w:hint="eastAsia" w:ascii="宋体" w:hAnsi="宋体" w:eastAsia="宋体" w:cs="宋体"/>
                <w:bCs/>
                <w:color w:val="000000"/>
                <w:szCs w:val="21"/>
                <w:highlight w:val="none"/>
              </w:rPr>
              <w:t>7</w:t>
            </w:r>
            <w:r>
              <w:rPr>
                <w:rFonts w:hint="eastAsia" w:ascii="宋体" w:hAnsi="宋体" w:eastAsia="宋体" w:cs="宋体"/>
                <w:bCs/>
                <w:color w:val="000000"/>
                <w:szCs w:val="21"/>
                <w:highlight w:val="none"/>
                <w:lang w:val="zh-CN"/>
              </w:rPr>
              <w:t>分</w:t>
            </w:r>
            <w:r>
              <w:rPr>
                <w:rFonts w:hint="eastAsia" w:ascii="宋体" w:hAnsi="宋体" w:eastAsia="宋体" w:cs="宋体"/>
                <w:bCs/>
                <w:color w:val="000000"/>
                <w:szCs w:val="21"/>
                <w:highlight w:val="none"/>
              </w:rPr>
              <w:t>，</w:t>
            </w:r>
            <w:r>
              <w:rPr>
                <w:rFonts w:hint="eastAsia" w:ascii="宋体" w:hAnsi="宋体" w:eastAsia="宋体" w:cs="宋体"/>
                <w:bCs/>
                <w:color w:val="000000"/>
                <w:szCs w:val="21"/>
                <w:highlight w:val="none"/>
                <w:lang w:val="zh-CN"/>
              </w:rPr>
              <w:t>中得</w:t>
            </w:r>
            <w:r>
              <w:rPr>
                <w:rFonts w:hint="eastAsia" w:ascii="宋体" w:hAnsi="宋体" w:eastAsia="宋体" w:cs="宋体"/>
                <w:bCs/>
                <w:color w:val="000000"/>
                <w:szCs w:val="21"/>
                <w:highlight w:val="none"/>
              </w:rPr>
              <w:t>4</w:t>
            </w:r>
            <w:r>
              <w:rPr>
                <w:rFonts w:hint="eastAsia" w:ascii="宋体" w:hAnsi="宋体" w:eastAsia="宋体" w:cs="宋体"/>
                <w:bCs/>
                <w:color w:val="000000"/>
                <w:szCs w:val="21"/>
                <w:highlight w:val="none"/>
                <w:lang w:val="zh-CN"/>
              </w:rPr>
              <w:t>分</w:t>
            </w:r>
            <w:r>
              <w:rPr>
                <w:rFonts w:hint="eastAsia" w:ascii="宋体" w:hAnsi="宋体" w:eastAsia="宋体" w:cs="宋体"/>
                <w:bCs/>
                <w:color w:val="000000"/>
                <w:szCs w:val="21"/>
                <w:highlight w:val="none"/>
              </w:rPr>
              <w:t>，</w:t>
            </w:r>
            <w:r>
              <w:rPr>
                <w:rFonts w:hint="eastAsia" w:ascii="宋体" w:hAnsi="宋体" w:eastAsia="宋体" w:cs="宋体"/>
                <w:bCs/>
                <w:color w:val="000000"/>
                <w:szCs w:val="21"/>
                <w:highlight w:val="none"/>
                <w:lang w:val="zh-CN"/>
              </w:rPr>
              <w:t>差得</w:t>
            </w:r>
            <w:r>
              <w:rPr>
                <w:rFonts w:hint="eastAsia" w:ascii="宋体" w:hAnsi="宋体" w:eastAsia="宋体" w:cs="宋体"/>
                <w:bCs/>
                <w:color w:val="000000"/>
                <w:szCs w:val="21"/>
                <w:highlight w:val="none"/>
              </w:rPr>
              <w:t>0</w:t>
            </w:r>
            <w:r>
              <w:rPr>
                <w:rFonts w:hint="eastAsia" w:ascii="宋体" w:hAnsi="宋体" w:eastAsia="宋体" w:cs="宋体"/>
                <w:bCs/>
                <w:color w:val="000000"/>
                <w:szCs w:val="21"/>
                <w:highlight w:val="none"/>
                <w:lang w:val="zh-CN"/>
              </w:rPr>
              <w:t>分。</w:t>
            </w:r>
          </w:p>
        </w:tc>
      </w:tr>
    </w:tbl>
    <w:p>
      <w:pPr>
        <w:pStyle w:val="15"/>
        <w:rPr>
          <w:rFonts w:hint="eastAsia" w:hAnsi="宋体" w:cs="宋体"/>
          <w:szCs w:val="21"/>
          <w:highlight w:val="none"/>
        </w:rPr>
      </w:pPr>
    </w:p>
    <w:p>
      <w:pPr>
        <w:pStyle w:val="15"/>
        <w:rPr>
          <w:rFonts w:hint="eastAsia" w:hAnsi="宋体" w:cs="宋体"/>
          <w:szCs w:val="21"/>
          <w:highlight w:val="none"/>
        </w:rPr>
      </w:pPr>
      <w:r>
        <w:rPr>
          <w:rFonts w:hint="eastAsia" w:hAnsi="宋体" w:cs="宋体"/>
          <w:szCs w:val="21"/>
          <w:highlight w:val="none"/>
        </w:rPr>
        <w:t>评委签名：                                                         日期：</w:t>
      </w:r>
    </w:p>
    <w:p>
      <w:pPr>
        <w:pStyle w:val="15"/>
        <w:rPr>
          <w:rFonts w:hint="eastAsia" w:hAnsi="宋体" w:cs="宋体"/>
          <w:sz w:val="24"/>
          <w:highlight w:val="none"/>
        </w:rPr>
      </w:pPr>
    </w:p>
    <w:p>
      <w:pPr>
        <w:pStyle w:val="6"/>
        <w:adjustRightInd w:val="0"/>
        <w:snapToGrid w:val="0"/>
        <w:spacing w:before="0" w:beforeLines="0" w:after="0" w:afterLines="0"/>
        <w:ind w:left="0" w:firstLine="0"/>
        <w:rPr>
          <w:rFonts w:hint="eastAsia" w:ascii="宋体" w:hAnsi="宋体" w:cs="宋体"/>
          <w:b w:val="0"/>
          <w:bCs w:val="0"/>
          <w:highlight w:val="none"/>
        </w:rPr>
      </w:pPr>
      <w:bookmarkStart w:id="68" w:name="_Toc478"/>
      <w:r>
        <w:rPr>
          <w:rFonts w:hint="eastAsia" w:ascii="宋体" w:hAnsi="宋体" w:cs="宋体"/>
          <w:highlight w:val="none"/>
        </w:rPr>
        <w:t>附件5 商务文件综合评分表（适用于综合评分法）</w:t>
      </w:r>
      <w:bookmarkEnd w:id="68"/>
    </w:p>
    <w:p>
      <w:pPr>
        <w:adjustRightInd w:val="0"/>
        <w:snapToGrid w:val="0"/>
        <w:spacing w:line="360" w:lineRule="auto"/>
        <w:jc w:val="center"/>
        <w:rPr>
          <w:rFonts w:hint="eastAsia" w:ascii="宋体" w:hAnsi="宋体" w:eastAsia="宋体" w:cs="宋体"/>
          <w:b/>
          <w:sz w:val="36"/>
          <w:szCs w:val="36"/>
        </w:rPr>
      </w:pPr>
      <w:r>
        <w:rPr>
          <w:rFonts w:hint="eastAsia" w:ascii="宋体" w:hAnsi="宋体" w:eastAsia="宋体" w:cs="宋体"/>
          <w:b/>
          <w:sz w:val="32"/>
          <w:szCs w:val="32"/>
        </w:rPr>
        <w:t>商务文件综合评分表</w:t>
      </w:r>
    </w:p>
    <w:p>
      <w:pPr>
        <w:spacing w:line="360" w:lineRule="auto"/>
        <w:rPr>
          <w:rFonts w:hint="eastAsia" w:ascii="宋体" w:hAnsi="宋体" w:eastAsia="宋体" w:cs="宋体"/>
          <w:bCs/>
          <w:szCs w:val="21"/>
          <w:u w:val="single"/>
        </w:rPr>
      </w:pPr>
      <w:r>
        <w:rPr>
          <w:rFonts w:hint="eastAsia" w:ascii="宋体" w:hAnsi="宋体" w:eastAsia="宋体" w:cs="宋体"/>
          <w:bCs/>
          <w:szCs w:val="21"/>
        </w:rPr>
        <w:t>项目名称：</w:t>
      </w:r>
      <w:r>
        <w:rPr>
          <w:rFonts w:hint="eastAsia" w:ascii="宋体" w:hAnsi="宋体" w:eastAsia="宋体" w:cs="宋体"/>
          <w:bCs/>
          <w:szCs w:val="21"/>
          <w:u w:val="single"/>
        </w:rPr>
        <w:t xml:space="preserve">                                   </w:t>
      </w:r>
      <w:r>
        <w:rPr>
          <w:rFonts w:hint="eastAsia" w:ascii="宋体" w:hAnsi="宋体" w:eastAsia="宋体" w:cs="宋体"/>
          <w:bCs/>
          <w:szCs w:val="21"/>
        </w:rPr>
        <w:t xml:space="preserve">     </w:t>
      </w:r>
      <w:r>
        <w:rPr>
          <w:rFonts w:hint="eastAsia" w:ascii="宋体" w:hAnsi="宋体" w:eastAsia="宋体" w:cs="宋体"/>
          <w:bCs/>
          <w:szCs w:val="21"/>
          <w:lang w:val="zh-CN"/>
        </w:rPr>
        <w:t>投标单位名称：</w:t>
      </w:r>
      <w:r>
        <w:rPr>
          <w:rFonts w:hint="eastAsia" w:ascii="宋体" w:hAnsi="宋体" w:eastAsia="宋体" w:cs="宋体"/>
          <w:bCs/>
          <w:szCs w:val="21"/>
          <w:u w:val="single"/>
        </w:rPr>
        <w:t xml:space="preserve">                               </w:t>
      </w:r>
    </w:p>
    <w:tbl>
      <w:tblPr>
        <w:tblStyle w:val="26"/>
        <w:tblW w:w="13929" w:type="dxa"/>
        <w:jc w:val="center"/>
        <w:tblLayout w:type="fixed"/>
        <w:tblCellMar>
          <w:top w:w="0" w:type="dxa"/>
          <w:left w:w="108" w:type="dxa"/>
          <w:bottom w:w="0" w:type="dxa"/>
          <w:right w:w="108" w:type="dxa"/>
        </w:tblCellMar>
      </w:tblPr>
      <w:tblGrid>
        <w:gridCol w:w="687"/>
        <w:gridCol w:w="742"/>
        <w:gridCol w:w="883"/>
        <w:gridCol w:w="10822"/>
        <w:gridCol w:w="795"/>
      </w:tblGrid>
      <w:tr>
        <w:tblPrEx>
          <w:tblCellMar>
            <w:top w:w="0" w:type="dxa"/>
            <w:left w:w="108" w:type="dxa"/>
            <w:bottom w:w="0" w:type="dxa"/>
            <w:right w:w="108" w:type="dxa"/>
          </w:tblCellMar>
        </w:tblPrEx>
        <w:trPr>
          <w:trHeight w:val="605"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00" w:lineRule="exact"/>
              <w:ind w:left="0" w:right="0"/>
              <w:rPr>
                <w:rFonts w:hint="eastAsia" w:ascii="宋体" w:hAnsi="宋体" w:eastAsia="宋体" w:cs="宋体"/>
              </w:rPr>
            </w:pPr>
            <w:r>
              <w:rPr>
                <w:rFonts w:hint="eastAsia" w:ascii="宋体" w:hAnsi="宋体" w:eastAsia="宋体" w:cs="宋体"/>
              </w:rPr>
              <w:t>序号</w:t>
            </w: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00" w:lineRule="exact"/>
              <w:ind w:left="0" w:right="0"/>
              <w:rPr>
                <w:rFonts w:hint="eastAsia" w:ascii="宋体" w:hAnsi="宋体" w:eastAsia="宋体" w:cs="宋体"/>
              </w:rPr>
            </w:pPr>
            <w:r>
              <w:rPr>
                <w:rFonts w:hint="eastAsia" w:ascii="宋体" w:hAnsi="宋体" w:eastAsia="宋体" w:cs="宋体"/>
              </w:rPr>
              <w:t>项目</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00" w:lineRule="exact"/>
              <w:ind w:left="0" w:right="0"/>
              <w:jc w:val="center"/>
              <w:rPr>
                <w:rFonts w:hint="eastAsia" w:ascii="宋体" w:hAnsi="宋体" w:eastAsia="宋体" w:cs="宋体"/>
              </w:rPr>
            </w:pPr>
            <w:r>
              <w:rPr>
                <w:rFonts w:hint="eastAsia" w:ascii="宋体" w:hAnsi="宋体" w:eastAsia="宋体" w:cs="宋体"/>
              </w:rPr>
              <w:t>分值分配</w:t>
            </w:r>
          </w:p>
        </w:tc>
        <w:tc>
          <w:tcPr>
            <w:tcW w:w="10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00" w:lineRule="exact"/>
              <w:ind w:left="0" w:right="0"/>
              <w:rPr>
                <w:rFonts w:hint="eastAsia" w:ascii="宋体" w:hAnsi="宋体" w:eastAsia="宋体" w:cs="宋体"/>
              </w:rPr>
            </w:pPr>
            <w:r>
              <w:rPr>
                <w:rFonts w:hint="eastAsia" w:ascii="宋体" w:hAnsi="宋体" w:eastAsia="宋体" w:cs="宋体"/>
              </w:rPr>
              <w:t>内     容</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得分</w:t>
            </w:r>
          </w:p>
        </w:tc>
      </w:tr>
      <w:tr>
        <w:tblPrEx>
          <w:tblCellMar>
            <w:top w:w="0" w:type="dxa"/>
            <w:left w:w="108" w:type="dxa"/>
            <w:bottom w:w="0" w:type="dxa"/>
            <w:right w:w="108" w:type="dxa"/>
          </w:tblCellMar>
        </w:tblPrEx>
        <w:trPr>
          <w:trHeight w:val="818"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一</w:t>
            </w: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企业</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类似</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业绩</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[20]</w:t>
            </w:r>
          </w:p>
        </w:tc>
        <w:tc>
          <w:tcPr>
            <w:tcW w:w="10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投标人2018年1月1日至</w:t>
            </w:r>
            <w:bookmarkStart w:id="109" w:name="_GoBack"/>
            <w:bookmarkEnd w:id="109"/>
            <w:r>
              <w:rPr>
                <w:rFonts w:hint="eastAsia" w:ascii="宋体" w:hAnsi="宋体" w:eastAsia="宋体" w:cs="宋体"/>
                <w:szCs w:val="21"/>
              </w:rPr>
              <w:t>今，完成过</w:t>
            </w:r>
            <w:r>
              <w:rPr>
                <w:rFonts w:hint="eastAsia" w:ascii="宋体" w:hAnsi="宋体" w:eastAsia="宋体" w:cs="宋体"/>
                <w:u w:val="none"/>
              </w:rPr>
              <w:t>类似设计业绩的</w:t>
            </w:r>
            <w:r>
              <w:rPr>
                <w:rFonts w:hint="eastAsia" w:ascii="宋体" w:hAnsi="宋体" w:eastAsia="宋体" w:cs="宋体"/>
                <w:szCs w:val="21"/>
                <w:u w:val="none"/>
              </w:rPr>
              <w:t>，</w:t>
            </w:r>
            <w:r>
              <w:rPr>
                <w:rFonts w:hint="eastAsia" w:ascii="宋体" w:hAnsi="宋体" w:eastAsia="宋体" w:cs="宋体"/>
                <w:szCs w:val="21"/>
              </w:rPr>
              <w:t>每项</w:t>
            </w:r>
            <w:r>
              <w:rPr>
                <w:rFonts w:hint="eastAsia" w:ascii="宋体" w:hAnsi="宋体" w:eastAsia="宋体" w:cs="宋体"/>
                <w:szCs w:val="21"/>
                <w:u w:val="none"/>
              </w:rPr>
              <w:t>得 2.5 分</w:t>
            </w:r>
            <w:r>
              <w:rPr>
                <w:rFonts w:hint="eastAsia" w:ascii="宋体" w:hAnsi="宋体" w:eastAsia="宋体" w:cs="宋体"/>
                <w:szCs w:val="21"/>
              </w:rPr>
              <w:t>，本项最高得20分。</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p>
        </w:tc>
      </w:tr>
      <w:tr>
        <w:tblPrEx>
          <w:tblCellMar>
            <w:top w:w="0" w:type="dxa"/>
            <w:left w:w="108" w:type="dxa"/>
            <w:bottom w:w="0" w:type="dxa"/>
            <w:right w:w="108" w:type="dxa"/>
          </w:tblCellMar>
        </w:tblPrEx>
        <w:trPr>
          <w:trHeight w:val="1070"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二</w:t>
            </w: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企业</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业绩</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获奖</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[20]</w:t>
            </w:r>
          </w:p>
        </w:tc>
        <w:tc>
          <w:tcPr>
            <w:tcW w:w="10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Cs w:val="21"/>
              </w:rPr>
              <w:t>2018年1月1日至今，投标人完成的风景园林设计项目业绩获奖，</w:t>
            </w:r>
            <w:r>
              <w:rPr>
                <w:rFonts w:hint="eastAsia" w:ascii="宋体" w:hAnsi="宋体" w:eastAsia="宋体" w:cs="宋体"/>
              </w:rPr>
              <w:t>获国家级或部级奖项的，每项得2分，最高得20分；获省级奖项的，每项得1.5分，最高得15分；获市（副省级）奖项的，每项得1分，最高得10分。</w:t>
            </w:r>
            <w:r>
              <w:rPr>
                <w:rFonts w:hint="eastAsia" w:ascii="宋体" w:hAnsi="宋体" w:eastAsia="宋体" w:cs="宋体"/>
                <w:szCs w:val="21"/>
              </w:rPr>
              <w:t>本项</w:t>
            </w:r>
            <w:r>
              <w:rPr>
                <w:rFonts w:hint="eastAsia" w:ascii="宋体" w:hAnsi="宋体" w:eastAsia="宋体" w:cs="宋体"/>
              </w:rPr>
              <w:t>累计</w:t>
            </w:r>
            <w:r>
              <w:rPr>
                <w:rFonts w:hint="eastAsia" w:ascii="宋体" w:hAnsi="宋体" w:eastAsia="宋体" w:cs="宋体"/>
                <w:szCs w:val="21"/>
              </w:rPr>
              <w:t>最多得20分</w:t>
            </w:r>
            <w:r>
              <w:rPr>
                <w:rFonts w:hint="eastAsia" w:ascii="宋体" w:hAnsi="宋体" w:eastAsia="宋体" w:cs="宋体"/>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p>
        </w:tc>
      </w:tr>
      <w:tr>
        <w:tblPrEx>
          <w:tblCellMar>
            <w:top w:w="0" w:type="dxa"/>
            <w:left w:w="108" w:type="dxa"/>
            <w:bottom w:w="0" w:type="dxa"/>
            <w:right w:w="108" w:type="dxa"/>
          </w:tblCellMar>
        </w:tblPrEx>
        <w:trPr>
          <w:trHeight w:val="1623" w:hRule="atLeast"/>
          <w:jc w:val="center"/>
        </w:trPr>
        <w:tc>
          <w:tcPr>
            <w:tcW w:w="6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三</w:t>
            </w:r>
          </w:p>
        </w:tc>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技术</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力量</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配备</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情况</w:t>
            </w:r>
          </w:p>
        </w:tc>
        <w:tc>
          <w:tcPr>
            <w:tcW w:w="8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[40]</w:t>
            </w:r>
          </w:p>
        </w:tc>
        <w:tc>
          <w:tcPr>
            <w:tcW w:w="10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1、项目负责人设计经历及业务能力：</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（1）具有风景园林</w:t>
            </w:r>
            <w:r>
              <w:rPr>
                <w:rFonts w:hint="eastAsia" w:ascii="宋体" w:hAnsi="宋体" w:eastAsia="宋体" w:cs="宋体"/>
                <w:u w:val="none"/>
              </w:rPr>
              <w:t>（园林绿化类）相关专业正</w:t>
            </w:r>
            <w:r>
              <w:rPr>
                <w:rFonts w:hint="eastAsia" w:ascii="宋体" w:hAnsi="宋体" w:eastAsia="宋体" w:cs="宋体"/>
              </w:rPr>
              <w:t>高级（或教授级）技术职称的得3分。</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（2）2018年1月1日至投标截止，</w:t>
            </w:r>
            <w:r>
              <w:rPr>
                <w:rFonts w:hint="eastAsia" w:ascii="宋体" w:hAnsi="宋体" w:eastAsia="宋体" w:cs="宋体"/>
                <w:u w:val="none"/>
              </w:rPr>
              <w:t>设计</w:t>
            </w:r>
            <w:r>
              <w:rPr>
                <w:rFonts w:hint="eastAsia" w:ascii="宋体" w:hAnsi="宋体" w:eastAsia="宋体" w:cs="宋体"/>
              </w:rPr>
              <w:t>的风景园林类项目，获国家级或部级奖项的，每项得4分，最高得16分；获省级奖项的，每项得2.5分，最高得10分；获市（副省级）奖项的，每项得1.5分，最高得6分。本项累计最高得16分。</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本项（1）、（2）项累计最多得19分。</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p>
        </w:tc>
      </w:tr>
      <w:tr>
        <w:tblPrEx>
          <w:tblCellMar>
            <w:top w:w="0" w:type="dxa"/>
            <w:left w:w="108" w:type="dxa"/>
            <w:bottom w:w="0" w:type="dxa"/>
            <w:right w:w="108" w:type="dxa"/>
          </w:tblCellMar>
        </w:tblPrEx>
        <w:trPr>
          <w:trHeight w:val="2964" w:hRule="atLeast"/>
          <w:jc w:val="center"/>
        </w:trPr>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p>
        </w:tc>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p>
        </w:tc>
        <w:tc>
          <w:tcPr>
            <w:tcW w:w="8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p>
        </w:tc>
        <w:tc>
          <w:tcPr>
            <w:tcW w:w="10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2、各专业负责人设计经历及业务能力：</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（1）园林专业负责人具有风景园林（园林绿化类）相关专业正高级（或教授级）技术职称得9分，没有的不得分；</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（2）给排水专业负责人同时具有注册公用设备工程师（给水排水）、给排水相关专业高级或以上技术职称得6分，具备其中一项得3分，没有的不得分。</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（3）工程造价专业负责人同时具有一级注册造价工程师证书、造价相关专业高级或以上技术职称得6分，具备其中一项得3分，没有的不得分。</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cs="宋体"/>
                <w:lang w:val="en-US" w:eastAsia="zh-CN"/>
              </w:rPr>
              <w:t>本项</w:t>
            </w:r>
            <w:r>
              <w:rPr>
                <w:rFonts w:hint="eastAsia" w:ascii="宋体" w:hAnsi="宋体" w:eastAsia="宋体" w:cs="宋体"/>
              </w:rPr>
              <w:t>（1）、（2）、（3）项累计最多得21分。</w:t>
            </w:r>
          </w:p>
          <w:p>
            <w:pPr>
              <w:keepNext w:val="0"/>
              <w:keepLines w:val="0"/>
              <w:suppressLineNumbers w:val="0"/>
              <w:spacing w:before="0" w:beforeAutospacing="0" w:after="0" w:afterAutospacing="0"/>
              <w:ind w:left="0" w:right="0"/>
              <w:rPr>
                <w:rFonts w:hint="eastAsia" w:ascii="宋体" w:hAnsi="宋体" w:eastAsia="宋体" w:cs="宋体"/>
                <w:u w:val="single"/>
              </w:rPr>
            </w:pPr>
            <w:r>
              <w:rPr>
                <w:rFonts w:hint="eastAsia" w:ascii="宋体" w:hAnsi="宋体" w:eastAsia="宋体" w:cs="宋体"/>
              </w:rPr>
              <w:t>注：1.</w:t>
            </w:r>
            <w:r>
              <w:rPr>
                <w:rFonts w:hint="eastAsia" w:ascii="宋体" w:hAnsi="宋体" w:eastAsia="宋体" w:cs="宋体"/>
                <w:u w:val="single"/>
              </w:rPr>
              <w:t>上述人员包括在广东省住房和城乡建设主管部门备案且备案的业务范围符合上述注册执业要求的香港专业人士。</w:t>
            </w:r>
          </w:p>
          <w:p>
            <w:pPr>
              <w:pStyle w:val="2"/>
              <w:keepNext w:val="0"/>
              <w:keepLines w:val="0"/>
              <w:suppressLineNumbers w:val="0"/>
              <w:spacing w:before="0" w:beforeAutospacing="0" w:after="0" w:afterAutospacing="0"/>
              <w:ind w:left="0" w:right="0"/>
              <w:rPr>
                <w:rFonts w:hint="eastAsia" w:ascii="宋体" w:hAnsi="宋体" w:eastAsia="宋体" w:cs="宋体"/>
                <w:lang w:val="en-US" w:eastAsia="zh-CN"/>
              </w:rPr>
            </w:pPr>
            <w:r>
              <w:rPr>
                <w:rFonts w:hint="eastAsia" w:ascii="宋体" w:hAnsi="宋体" w:eastAsia="宋体" w:cs="宋体"/>
                <w:u w:val="single"/>
                <w:lang w:val="en-US" w:eastAsia="zh-CN"/>
              </w:rPr>
              <w:t>2.按照《造价工程师职业资格制度规定》的规定，根据原人事部、原建设部发布的《造价工程师执业资格制度暂行规定》（人发〔1996〕77号）取得的造价工程师执业资格，并经注册且在有效期内的，等同于一级注册造价工程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p>
        </w:tc>
      </w:tr>
      <w:tr>
        <w:tblPrEx>
          <w:tblCellMar>
            <w:top w:w="0" w:type="dxa"/>
            <w:left w:w="108" w:type="dxa"/>
            <w:bottom w:w="0" w:type="dxa"/>
            <w:right w:w="108" w:type="dxa"/>
          </w:tblCellMar>
        </w:tblPrEx>
        <w:trPr>
          <w:trHeight w:val="2041"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四</w:t>
            </w: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科研创新能力</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[10]</w:t>
            </w:r>
          </w:p>
        </w:tc>
        <w:tc>
          <w:tcPr>
            <w:tcW w:w="10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投标人自2018年1月1日至今获得过科学技术奖项：</w:t>
            </w:r>
          </w:p>
          <w:p>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（1）获得国家级的，每项得2分，本小项最高得10分；</w:t>
            </w:r>
          </w:p>
          <w:p>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（2）获得省级的，每项得1分，本小项最高得5分；</w:t>
            </w:r>
          </w:p>
          <w:p>
            <w:pPr>
              <w:pStyle w:val="2"/>
              <w:keepNext w:val="0"/>
              <w:keepLines w:val="0"/>
              <w:suppressLineNumbers w:val="0"/>
              <w:spacing w:before="0" w:beforeAutospacing="0" w:after="0" w:afterAutospacing="0"/>
              <w:ind w:left="0" w:leftChars="0" w:right="0" w:firstLine="0" w:firstLineChars="0"/>
              <w:rPr>
                <w:rFonts w:hint="eastAsia" w:ascii="宋体" w:hAnsi="宋体" w:eastAsia="宋体" w:cs="宋体"/>
              </w:rPr>
            </w:pPr>
            <w:r>
              <w:rPr>
                <w:rFonts w:hint="eastAsia" w:ascii="宋体" w:hAnsi="宋体" w:eastAsia="宋体" w:cs="宋体"/>
                <w:lang w:val="en-US" w:eastAsia="zh-CN"/>
              </w:rPr>
              <w:t>本</w:t>
            </w:r>
            <w:r>
              <w:rPr>
                <w:rFonts w:hint="eastAsia" w:ascii="宋体" w:hAnsi="宋体" w:eastAsia="宋体" w:cs="宋体"/>
              </w:rPr>
              <w:t>项（1）、（2）项累计最多得10分。</w:t>
            </w:r>
          </w:p>
          <w:p>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注：</w:t>
            </w:r>
            <w:r>
              <w:rPr>
                <w:rFonts w:hint="eastAsia" w:ascii="宋体" w:hAnsi="宋体" w:eastAsia="宋体" w:cs="宋体"/>
                <w:u w:val="single"/>
              </w:rPr>
              <w:t>科学技术奖：包括科学技术奖、科学技术进步奖等。投标人须提供由省级或以上人民政府或行政部门或行业协会（需在民政部门备案）颁发的证书原件扫描件或网上查询结果截图并加盖投标单位电子印章。时间以证书颁发日期为准。同一技术获得多个奖项，只按最高等级计算一次，不重复计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p>
        </w:tc>
      </w:tr>
      <w:tr>
        <w:tblPrEx>
          <w:tblCellMar>
            <w:top w:w="0" w:type="dxa"/>
            <w:left w:w="108" w:type="dxa"/>
            <w:bottom w:w="0" w:type="dxa"/>
            <w:right w:w="108" w:type="dxa"/>
          </w:tblCellMar>
        </w:tblPrEx>
        <w:trPr>
          <w:trHeight w:val="502"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五</w:t>
            </w:r>
          </w:p>
        </w:tc>
        <w:tc>
          <w:tcPr>
            <w:tcW w:w="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信誉</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[10]</w:t>
            </w:r>
          </w:p>
        </w:tc>
        <w:tc>
          <w:tcPr>
            <w:tcW w:w="10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6"/>
              </w:numPr>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投标人获得工程勘察设计行业AAA+质量管理体系升级版认证证书的，得5分；获得工程勘察设计行业AAA质量管理体系升级版认证证书的，得3分；其余情况不得分，本小项最高得5分。</w:t>
            </w:r>
          </w:p>
          <w:p>
            <w:pPr>
              <w:pStyle w:val="2"/>
              <w:keepNext w:val="0"/>
              <w:keepLines w:val="0"/>
              <w:suppressLineNumbers w:val="0"/>
              <w:spacing w:before="0" w:beforeAutospacing="0" w:after="0" w:afterAutospacing="0"/>
              <w:ind w:left="0" w:right="0" w:firstLine="0"/>
              <w:rPr>
                <w:rFonts w:hint="eastAsia" w:ascii="宋体" w:hAnsi="宋体" w:eastAsia="宋体" w:cs="宋体"/>
                <w:lang w:val="en-US" w:eastAsia="zh-CN"/>
              </w:rPr>
            </w:pPr>
            <w:r>
              <w:rPr>
                <w:rFonts w:hint="eastAsia" w:ascii="宋体" w:hAnsi="宋体" w:eastAsia="宋体" w:cs="宋体"/>
                <w:lang w:val="en-US" w:eastAsia="zh-CN"/>
              </w:rPr>
              <w:t>注：投标人须同时提供证书扫描件以及提供在中国勘察设计协会官方网站(https://www.chinaeda.org.cn/）查询结果网页截图加盖投标人电子印章。</w:t>
            </w:r>
          </w:p>
          <w:p>
            <w:pPr>
              <w:keepNext w:val="0"/>
              <w:keepLines w:val="0"/>
              <w:widowControl/>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2、投标人截止至2022（须含2022）年度获税务部门评定的纳税信用等级情况：</w:t>
            </w:r>
          </w:p>
          <w:p>
            <w:pPr>
              <w:keepNext w:val="0"/>
              <w:keepLines w:val="0"/>
              <w:widowControl/>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Cs w:val="21"/>
              </w:rPr>
              <w:t>（1）连续5年或以上获得“A级纳税人”称号的，得5分；</w:t>
            </w:r>
          </w:p>
          <w:p>
            <w:pPr>
              <w:keepNext w:val="0"/>
              <w:keepLines w:val="0"/>
              <w:widowControl/>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（2）不符合以上条件的，不得分。</w:t>
            </w:r>
          </w:p>
          <w:p>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本小项最高得5分。</w:t>
            </w:r>
          </w:p>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Cs w:val="21"/>
              </w:rPr>
              <w:t>1、2项累计最高得10分</w:t>
            </w:r>
          </w:p>
          <w:p>
            <w:pPr>
              <w:pStyle w:val="2"/>
              <w:keepNext w:val="0"/>
              <w:keepLines w:val="0"/>
              <w:suppressLineNumbers w:val="0"/>
              <w:spacing w:before="0" w:beforeAutospacing="0" w:after="0" w:afterAutospacing="0"/>
              <w:ind w:left="0" w:right="0" w:firstLine="0"/>
              <w:rPr>
                <w:rFonts w:hint="eastAsia" w:ascii="宋体" w:hAnsi="宋体" w:eastAsia="宋体" w:cs="宋体"/>
                <w:lang w:val="en-US" w:eastAsia="zh-CN"/>
              </w:rPr>
            </w:pPr>
            <w:r>
              <w:rPr>
                <w:rFonts w:hint="eastAsia" w:ascii="宋体" w:hAnsi="宋体" w:eastAsia="宋体" w:cs="宋体"/>
                <w:lang w:val="en-US" w:eastAsia="zh-CN"/>
              </w:rPr>
              <w:t>注：</w:t>
            </w:r>
            <w:r>
              <w:rPr>
                <w:rFonts w:hint="eastAsia" w:ascii="宋体" w:hAnsi="宋体" w:eastAsia="宋体" w:cs="宋体"/>
                <w:u w:val="single"/>
                <w:lang w:val="en-US" w:eastAsia="zh-CN"/>
              </w:rPr>
              <w:t>“纳税信用A级”证书须包含2022年度，只计算投标人自身（不含投标人的子公司或分公司）。投标人须同时提供税务部门颁发的“纳税信用A级”证书扫描件以及提供省级或以上税务局网站查询结果网页截图加盖投标人电子印章；评定时间以证书上注明的评价（评定）年度为准。</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p>
        </w:tc>
      </w:tr>
      <w:tr>
        <w:tblPrEx>
          <w:tblCellMar>
            <w:top w:w="0" w:type="dxa"/>
            <w:left w:w="108" w:type="dxa"/>
            <w:bottom w:w="0" w:type="dxa"/>
            <w:right w:w="108" w:type="dxa"/>
          </w:tblCellMar>
        </w:tblPrEx>
        <w:trPr>
          <w:trHeight w:val="549" w:hRule="atLeast"/>
          <w:jc w:val="center"/>
        </w:trPr>
        <w:tc>
          <w:tcPr>
            <w:tcW w:w="1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总计</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100</w:t>
            </w:r>
          </w:p>
        </w:tc>
        <w:tc>
          <w:tcPr>
            <w:tcW w:w="10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100</w:t>
            </w:r>
          </w:p>
        </w:tc>
      </w:tr>
      <w:tr>
        <w:tblPrEx>
          <w:tblCellMar>
            <w:top w:w="0" w:type="dxa"/>
            <w:left w:w="108" w:type="dxa"/>
            <w:bottom w:w="0" w:type="dxa"/>
            <w:right w:w="108" w:type="dxa"/>
          </w:tblCellMar>
        </w:tblPrEx>
        <w:trPr>
          <w:trHeight w:val="601" w:hRule="atLeast"/>
          <w:jc w:val="center"/>
        </w:trPr>
        <w:tc>
          <w:tcPr>
            <w:tcW w:w="14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评审人员</w:t>
            </w:r>
          </w:p>
        </w:tc>
        <w:tc>
          <w:tcPr>
            <w:tcW w:w="125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rPr>
            </w:pPr>
          </w:p>
        </w:tc>
      </w:tr>
    </w:tbl>
    <w:p>
      <w:pPr>
        <w:pStyle w:val="57"/>
        <w:wordWrap w:val="0"/>
        <w:topLinePunct/>
        <w:spacing w:line="360" w:lineRule="auto"/>
        <w:jc w:val="left"/>
        <w:rPr>
          <w:rFonts w:hint="eastAsia" w:ascii="宋体" w:hAnsi="宋体" w:eastAsia="宋体" w:cs="宋体"/>
          <w:sz w:val="24"/>
        </w:rPr>
      </w:pPr>
      <w:r>
        <w:rPr>
          <w:rFonts w:hint="eastAsia" w:ascii="宋体" w:hAnsi="宋体" w:eastAsia="宋体" w:cs="宋体"/>
        </w:rPr>
        <w:t>注</w:t>
      </w:r>
      <w:r>
        <w:rPr>
          <w:rFonts w:hint="eastAsia" w:ascii="宋体" w:hAnsi="宋体" w:eastAsia="宋体" w:cs="宋体"/>
          <w:szCs w:val="21"/>
        </w:rPr>
        <w:t>：1、设计类似业绩是指达到招标公告第二条（二）项所述设计资质方能</w:t>
      </w:r>
      <w:r>
        <w:rPr>
          <w:rFonts w:hint="eastAsia" w:ascii="宋体" w:hAnsi="宋体" w:eastAsia="宋体" w:cs="宋体"/>
        </w:rPr>
        <w:t>（低于招标公告</w:t>
      </w:r>
      <w:r>
        <w:rPr>
          <w:rFonts w:hint="eastAsia" w:ascii="宋体" w:hAnsi="宋体" w:eastAsia="宋体" w:cs="宋体"/>
          <w:szCs w:val="21"/>
        </w:rPr>
        <w:t>第二条（二）项</w:t>
      </w:r>
      <w:r>
        <w:rPr>
          <w:rFonts w:hint="eastAsia" w:ascii="宋体" w:hAnsi="宋体" w:eastAsia="宋体" w:cs="宋体"/>
        </w:rPr>
        <w:t>所述设计资质承接的项目除外）</w:t>
      </w:r>
      <w:r>
        <w:rPr>
          <w:rFonts w:hint="eastAsia" w:ascii="宋体" w:hAnsi="宋体" w:eastAsia="宋体" w:cs="宋体"/>
          <w:szCs w:val="21"/>
        </w:rPr>
        <w:t>承接的风景园林设计项目。须同时提供合同文本、中标通知书（或免招标证明文件），业绩时间以合同签订日期为准。</w:t>
      </w:r>
    </w:p>
    <w:p>
      <w:pPr>
        <w:pStyle w:val="57"/>
        <w:wordWrap w:val="0"/>
        <w:topLinePunct/>
        <w:spacing w:line="360" w:lineRule="auto"/>
        <w:jc w:val="left"/>
        <w:rPr>
          <w:rFonts w:hint="eastAsia" w:ascii="宋体" w:hAnsi="宋体" w:eastAsia="宋体" w:cs="宋体"/>
          <w:szCs w:val="21"/>
          <w:u w:val="none"/>
        </w:rPr>
      </w:pPr>
      <w:r>
        <w:rPr>
          <w:rFonts w:hint="eastAsia" w:ascii="宋体" w:hAnsi="宋体" w:eastAsia="宋体" w:cs="宋体"/>
          <w:szCs w:val="21"/>
        </w:rPr>
        <w:t>2、企业获奖及人员获奖：</w:t>
      </w:r>
      <w:r>
        <w:rPr>
          <w:rFonts w:hint="eastAsia" w:ascii="宋体" w:hAnsi="宋体" w:eastAsia="宋体" w:cs="宋体"/>
          <w:szCs w:val="21"/>
          <w:u w:val="none"/>
        </w:rPr>
        <w:t>获奖奖项如颁奖单位为相关行业协会/学会，相关行业协会/学会须在民政部门依法登记注册，需提供获奖证书扫描件</w:t>
      </w:r>
      <w:r>
        <w:rPr>
          <w:rFonts w:hint="eastAsia" w:ascii="宋体" w:hAnsi="宋体" w:eastAsia="宋体" w:cs="宋体"/>
          <w:szCs w:val="21"/>
        </w:rPr>
        <w:t>，时间以证书颁发时间为准</w:t>
      </w:r>
      <w:r>
        <w:rPr>
          <w:rFonts w:hint="eastAsia" w:ascii="宋体" w:hAnsi="宋体" w:eastAsia="宋体" w:cs="宋体"/>
          <w:szCs w:val="21"/>
          <w:u w:val="none"/>
        </w:rPr>
        <w:t>。</w:t>
      </w:r>
      <w:r>
        <w:rPr>
          <w:rFonts w:hint="eastAsia" w:ascii="宋体" w:hAnsi="宋体" w:eastAsia="宋体" w:cs="宋体"/>
          <w:szCs w:val="21"/>
        </w:rPr>
        <w:t>同一项目获奖的按最高奖项只计算一次，不重复计算。人员获奖的，证书上需体现人员姓名，若无法体现的，需提供经建设单位认可的其他相关证明材料，否则不得分。</w:t>
      </w:r>
    </w:p>
    <w:p>
      <w:pPr>
        <w:pStyle w:val="57"/>
        <w:wordWrap w:val="0"/>
        <w:topLinePunct/>
        <w:spacing w:line="360" w:lineRule="auto"/>
        <w:jc w:val="left"/>
        <w:rPr>
          <w:rFonts w:hint="eastAsia" w:ascii="宋体" w:hAnsi="宋体" w:eastAsia="宋体" w:cs="宋体"/>
          <w:szCs w:val="21"/>
          <w:u w:val="none"/>
        </w:rPr>
      </w:pPr>
      <w:r>
        <w:rPr>
          <w:rFonts w:hint="eastAsia" w:ascii="宋体" w:hAnsi="宋体" w:eastAsia="宋体" w:cs="宋体"/>
          <w:szCs w:val="21"/>
          <w:u w:val="none"/>
        </w:rPr>
        <w:t>3、人员岗位不能互相兼任，若同时满足多个岗位要求，仅计算满足最高要求的岗位得分。所提供的本项目投入人员必须为投标单位人员，并提供职称证、注册证等相关证明材料扫描件及近1个月（2023年7月）有效的参保的社保证明（含分公司或分支机构社保缴纳记录</w:t>
      </w:r>
      <w:r>
        <w:rPr>
          <w:rFonts w:hint="eastAsia" w:ascii="宋体" w:hAnsi="宋体" w:eastAsia="宋体" w:cs="宋体"/>
          <w:szCs w:val="21"/>
        </w:rPr>
        <w:t>，不含子公司</w:t>
      </w:r>
      <w:r>
        <w:rPr>
          <w:rFonts w:hint="eastAsia" w:ascii="宋体" w:hAnsi="宋体" w:eastAsia="宋体" w:cs="宋体"/>
          <w:szCs w:val="21"/>
          <w:u w:val="none"/>
        </w:rPr>
        <w:t>）。</w:t>
      </w:r>
    </w:p>
    <w:p>
      <w:pPr>
        <w:pStyle w:val="57"/>
        <w:wordWrap w:val="0"/>
        <w:topLinePunct/>
        <w:spacing w:line="360" w:lineRule="auto"/>
        <w:jc w:val="left"/>
        <w:rPr>
          <w:rFonts w:hint="eastAsia" w:ascii="宋体" w:hAnsi="宋体" w:eastAsia="宋体" w:cs="宋体"/>
        </w:rPr>
      </w:pPr>
      <w:r>
        <w:rPr>
          <w:rFonts w:hint="eastAsia" w:ascii="宋体" w:hAnsi="宋体" w:eastAsia="宋体" w:cs="宋体"/>
        </w:rPr>
        <w:t>4、所有评委分数去掉一个最高分和一个最低分，剩余分数的算术平均值为投标人的最终得分，分数出现小数点，保留小数点后二位小数，第三位小数四 舍五入。</w:t>
      </w:r>
    </w:p>
    <w:p>
      <w:pPr>
        <w:pStyle w:val="57"/>
        <w:wordWrap w:val="0"/>
        <w:topLinePunct/>
        <w:spacing w:line="360" w:lineRule="auto"/>
        <w:jc w:val="left"/>
        <w:rPr>
          <w:rFonts w:hint="eastAsia" w:ascii="宋体" w:hAnsi="宋体" w:eastAsia="宋体" w:cs="宋体"/>
        </w:rPr>
      </w:pPr>
    </w:p>
    <w:p>
      <w:pPr>
        <w:pStyle w:val="6"/>
        <w:spacing w:before="120" w:after="120"/>
        <w:ind w:left="0" w:firstLine="0"/>
        <w:rPr>
          <w:rFonts w:hint="eastAsia" w:ascii="宋体" w:hAnsi="宋体" w:cs="宋体"/>
          <w:strike/>
          <w:highlight w:val="none"/>
        </w:rPr>
      </w:pPr>
      <w:r>
        <w:rPr>
          <w:rFonts w:hint="eastAsia" w:ascii="宋体" w:hAnsi="宋体" w:cs="宋体"/>
          <w:strike/>
          <w:highlight w:val="none"/>
        </w:rPr>
        <w:t>附件6 投标报价得分表（适用于综合评分法二）</w:t>
      </w:r>
      <w:bookmarkEnd w:id="67"/>
    </w:p>
    <w:p>
      <w:pPr>
        <w:jc w:val="center"/>
        <w:rPr>
          <w:rFonts w:hint="eastAsia" w:ascii="宋体" w:hAnsi="宋体" w:cs="宋体"/>
          <w:b/>
          <w:bCs/>
          <w:strike/>
          <w:sz w:val="32"/>
          <w:szCs w:val="32"/>
          <w:highlight w:val="none"/>
        </w:rPr>
      </w:pPr>
    </w:p>
    <w:p>
      <w:pPr>
        <w:jc w:val="center"/>
        <w:rPr>
          <w:rFonts w:hint="eastAsia" w:ascii="宋体" w:hAnsi="宋体" w:cs="宋体"/>
          <w:b/>
          <w:bCs/>
          <w:strike/>
          <w:sz w:val="32"/>
          <w:szCs w:val="32"/>
          <w:highlight w:val="none"/>
        </w:rPr>
      </w:pPr>
    </w:p>
    <w:p>
      <w:pPr>
        <w:jc w:val="center"/>
        <w:rPr>
          <w:rFonts w:hint="eastAsia" w:ascii="宋体" w:hAnsi="宋体" w:cs="宋体"/>
          <w:b/>
          <w:bCs/>
          <w:strike/>
          <w:sz w:val="32"/>
          <w:szCs w:val="32"/>
          <w:highlight w:val="none"/>
        </w:rPr>
      </w:pPr>
      <w:r>
        <w:rPr>
          <w:rFonts w:hint="eastAsia" w:ascii="宋体" w:hAnsi="宋体" w:cs="宋体"/>
          <w:b/>
          <w:bCs/>
          <w:strike/>
          <w:sz w:val="32"/>
          <w:szCs w:val="32"/>
          <w:highlight w:val="none"/>
        </w:rPr>
        <w:t>投标报价得分表</w:t>
      </w:r>
    </w:p>
    <w:p>
      <w:pPr>
        <w:jc w:val="center"/>
        <w:rPr>
          <w:rFonts w:hint="eastAsia" w:ascii="宋体" w:hAnsi="宋体" w:cs="宋体"/>
          <w:b/>
          <w:bCs/>
          <w:strike/>
          <w:sz w:val="32"/>
          <w:szCs w:val="32"/>
          <w:highlight w:val="none"/>
        </w:rPr>
      </w:pPr>
    </w:p>
    <w:p>
      <w:pPr>
        <w:spacing w:line="360" w:lineRule="auto"/>
        <w:jc w:val="left"/>
        <w:rPr>
          <w:rFonts w:hint="eastAsia" w:ascii="宋体" w:hAnsi="宋体" w:cs="宋体"/>
          <w:strike/>
          <w:szCs w:val="21"/>
          <w:highlight w:val="none"/>
        </w:rPr>
      </w:pPr>
    </w:p>
    <w:p>
      <w:pPr>
        <w:spacing w:line="360" w:lineRule="auto"/>
        <w:jc w:val="left"/>
        <w:rPr>
          <w:rFonts w:hint="eastAsia" w:ascii="宋体" w:hAnsi="宋体" w:cs="宋体"/>
          <w:strike/>
          <w:szCs w:val="21"/>
          <w:highlight w:val="none"/>
        </w:rPr>
      </w:pPr>
      <w:r>
        <w:rPr>
          <w:rFonts w:hint="eastAsia" w:ascii="宋体" w:hAnsi="宋体" w:cs="宋体"/>
          <w:strike/>
          <w:szCs w:val="21"/>
          <w:highlight w:val="none"/>
        </w:rPr>
        <w:t>项目名称：</w:t>
      </w:r>
      <w:r>
        <w:rPr>
          <w:rFonts w:hint="eastAsia" w:ascii="宋体" w:hAnsi="宋体" w:cs="宋体"/>
          <w:strike/>
          <w:szCs w:val="21"/>
          <w:highlight w:val="none"/>
          <w:u w:val="single"/>
        </w:rPr>
        <w:t xml:space="preserve">                                   </w:t>
      </w:r>
      <w:r>
        <w:rPr>
          <w:rFonts w:hint="eastAsia" w:ascii="宋体" w:hAnsi="宋体" w:cs="宋体"/>
          <w:strike/>
          <w:szCs w:val="21"/>
          <w:highlight w:val="none"/>
        </w:rPr>
        <w:t xml:space="preserve">     </w:t>
      </w:r>
      <w:r>
        <w:rPr>
          <w:rFonts w:hint="eastAsia" w:ascii="宋体" w:hAnsi="宋体" w:cs="宋体"/>
          <w:strike/>
          <w:szCs w:val="21"/>
          <w:highlight w:val="none"/>
          <w:lang w:val="zh-CN"/>
        </w:rPr>
        <w:t>投标人名称：</w:t>
      </w:r>
      <w:r>
        <w:rPr>
          <w:rFonts w:hint="eastAsia" w:ascii="宋体" w:hAnsi="宋体" w:cs="宋体"/>
          <w:strike/>
          <w:szCs w:val="21"/>
          <w:highlight w:val="none"/>
          <w:u w:val="single"/>
        </w:rPr>
        <w:t xml:space="preserve">                                   </w:t>
      </w:r>
    </w:p>
    <w:tbl>
      <w:tblPr>
        <w:tblStyle w:val="26"/>
        <w:tblW w:w="0" w:type="auto"/>
        <w:jc w:val="center"/>
        <w:tblLayout w:type="fixed"/>
        <w:tblCellMar>
          <w:top w:w="0" w:type="dxa"/>
          <w:left w:w="108" w:type="dxa"/>
          <w:bottom w:w="0" w:type="dxa"/>
          <w:right w:w="108" w:type="dxa"/>
        </w:tblCellMar>
      </w:tblPr>
      <w:tblGrid>
        <w:gridCol w:w="642"/>
        <w:gridCol w:w="1656"/>
        <w:gridCol w:w="1856"/>
        <w:gridCol w:w="8863"/>
        <w:gridCol w:w="1080"/>
      </w:tblGrid>
      <w:tr>
        <w:tblPrEx>
          <w:tblCellMar>
            <w:top w:w="0" w:type="dxa"/>
            <w:left w:w="108" w:type="dxa"/>
            <w:bottom w:w="0" w:type="dxa"/>
            <w:right w:w="108" w:type="dxa"/>
          </w:tblCellMar>
        </w:tblPrEx>
        <w:trPr>
          <w:trHeight w:val="445" w:hRule="atLeast"/>
          <w:jc w:val="center"/>
        </w:trPr>
        <w:tc>
          <w:tcPr>
            <w:tcW w:w="6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lang w:val="zh-CN"/>
              </w:rPr>
              <w:t>序号</w:t>
            </w:r>
          </w:p>
        </w:tc>
        <w:tc>
          <w:tcPr>
            <w:tcW w:w="16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lang w:val="zh-CN"/>
              </w:rPr>
              <w:t>项目</w:t>
            </w:r>
          </w:p>
        </w:tc>
        <w:tc>
          <w:tcPr>
            <w:tcW w:w="18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80" w:lineRule="exact"/>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lang w:val="zh-CN"/>
              </w:rPr>
              <w:t>分值分配</w:t>
            </w:r>
          </w:p>
        </w:tc>
        <w:tc>
          <w:tcPr>
            <w:tcW w:w="886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lang w:val="zh-CN"/>
              </w:rPr>
              <w:t>内</w:t>
            </w:r>
            <w:r>
              <w:rPr>
                <w:rFonts w:hint="eastAsia" w:ascii="宋体" w:hAnsi="宋体" w:eastAsia="宋体" w:cs="宋体"/>
                <w:strike/>
                <w:szCs w:val="21"/>
                <w:highlight w:val="none"/>
              </w:rPr>
              <w:t xml:space="preserve">     </w:t>
            </w:r>
            <w:r>
              <w:rPr>
                <w:rFonts w:hint="eastAsia" w:ascii="宋体" w:hAnsi="宋体" w:eastAsia="宋体" w:cs="宋体"/>
                <w:strike/>
                <w:szCs w:val="21"/>
                <w:highlight w:val="none"/>
                <w:lang w:val="zh-CN"/>
              </w:rPr>
              <w:t>容</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lang w:val="zh-CN"/>
              </w:rPr>
              <w:t>得分</w:t>
            </w:r>
          </w:p>
        </w:tc>
      </w:tr>
      <w:tr>
        <w:tblPrEx>
          <w:tblCellMar>
            <w:top w:w="0" w:type="dxa"/>
            <w:left w:w="108" w:type="dxa"/>
            <w:bottom w:w="0" w:type="dxa"/>
            <w:right w:w="108" w:type="dxa"/>
          </w:tblCellMar>
        </w:tblPrEx>
        <w:trPr>
          <w:trHeight w:val="1594" w:hRule="atLeast"/>
          <w:jc w:val="center"/>
        </w:trPr>
        <w:tc>
          <w:tcPr>
            <w:tcW w:w="6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strike/>
                <w:szCs w:val="21"/>
                <w:highlight w:val="none"/>
                <w:lang w:val="zh-CN"/>
              </w:rPr>
            </w:pPr>
            <w:r>
              <w:rPr>
                <w:rFonts w:hint="eastAsia" w:ascii="宋体" w:hAnsi="宋体" w:eastAsia="宋体" w:cs="宋体"/>
                <w:strike/>
                <w:szCs w:val="21"/>
                <w:highlight w:val="none"/>
                <w:lang w:val="zh-CN"/>
              </w:rPr>
              <w:t>一</w:t>
            </w:r>
          </w:p>
        </w:tc>
        <w:tc>
          <w:tcPr>
            <w:tcW w:w="16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260" w:lineRule="exact"/>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lang w:val="zh-CN"/>
              </w:rPr>
              <w:t>投标报价</w:t>
            </w:r>
          </w:p>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strike/>
                <w:szCs w:val="21"/>
                <w:highlight w:val="none"/>
                <w:lang w:val="zh-CN"/>
              </w:rPr>
            </w:pPr>
            <w:r>
              <w:rPr>
                <w:rFonts w:hint="eastAsia" w:ascii="宋体" w:hAnsi="宋体" w:eastAsia="宋体" w:cs="宋体"/>
                <w:strike/>
                <w:szCs w:val="21"/>
                <w:highlight w:val="none"/>
                <w:lang w:val="zh-CN"/>
              </w:rPr>
              <w:t>得分</w:t>
            </w:r>
          </w:p>
        </w:tc>
        <w:tc>
          <w:tcPr>
            <w:tcW w:w="18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lang w:val="zh-CN"/>
              </w:rPr>
              <w:t>100</w:t>
            </w:r>
          </w:p>
        </w:tc>
        <w:tc>
          <w:tcPr>
            <w:tcW w:w="886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260" w:lineRule="exact"/>
              <w:ind w:left="0" w:right="0"/>
              <w:rPr>
                <w:rFonts w:hint="eastAsia" w:ascii="宋体" w:hAnsi="宋体" w:eastAsia="宋体" w:cs="宋体"/>
                <w:strike/>
                <w:szCs w:val="21"/>
                <w:highlight w:val="none"/>
              </w:rPr>
            </w:pPr>
            <w:r>
              <w:rPr>
                <w:rFonts w:hint="eastAsia" w:ascii="宋体" w:hAnsi="宋体" w:eastAsia="宋体" w:cs="宋体"/>
                <w:strike/>
                <w:szCs w:val="21"/>
                <w:highlight w:val="none"/>
              </w:rPr>
              <w:t>本招标项目所有有效投标中，最低的投标价为本招标项目的评标基准价。</w:t>
            </w:r>
          </w:p>
          <w:p>
            <w:pPr>
              <w:keepNext w:val="0"/>
              <w:keepLines w:val="0"/>
              <w:suppressLineNumbers w:val="0"/>
              <w:autoSpaceDE w:val="0"/>
              <w:autoSpaceDN w:val="0"/>
              <w:adjustRightInd w:val="0"/>
              <w:spacing w:before="0" w:beforeAutospacing="0" w:after="0" w:afterAutospacing="0" w:line="260" w:lineRule="exact"/>
              <w:ind w:left="0" w:right="0"/>
              <w:rPr>
                <w:rFonts w:hint="eastAsia" w:ascii="宋体" w:hAnsi="宋体" w:eastAsia="宋体" w:cs="宋体"/>
                <w:strike/>
                <w:szCs w:val="21"/>
                <w:highlight w:val="none"/>
              </w:rPr>
            </w:pPr>
            <w:r>
              <w:rPr>
                <w:rFonts w:hint="eastAsia" w:ascii="宋体" w:hAnsi="宋体" w:eastAsia="宋体" w:cs="宋体"/>
                <w:strike/>
                <w:szCs w:val="21"/>
                <w:highlight w:val="none"/>
              </w:rPr>
              <w:t>投标报价得分=(评标基准价／投标报价)*100。</w:t>
            </w:r>
          </w:p>
          <w:p>
            <w:pPr>
              <w:keepNext w:val="0"/>
              <w:keepLines w:val="0"/>
              <w:suppressLineNumbers w:val="0"/>
              <w:autoSpaceDE w:val="0"/>
              <w:autoSpaceDN w:val="0"/>
              <w:adjustRightInd w:val="0"/>
              <w:spacing w:before="0" w:beforeAutospacing="0" w:after="0" w:afterAutospacing="0" w:line="260" w:lineRule="exact"/>
              <w:ind w:left="0" w:right="0"/>
              <w:rPr>
                <w:rFonts w:hint="eastAsia" w:ascii="宋体" w:hAnsi="宋体" w:eastAsia="宋体" w:cs="宋体"/>
                <w:strike/>
                <w:szCs w:val="21"/>
                <w:highlight w:val="none"/>
              </w:rPr>
            </w:pPr>
            <w:r>
              <w:rPr>
                <w:rFonts w:hint="eastAsia" w:ascii="宋体" w:hAnsi="宋体" w:eastAsia="宋体" w:cs="宋体"/>
                <w:strike/>
                <w:szCs w:val="21"/>
                <w:highlight w:val="none"/>
              </w:rPr>
              <w:t>分数出现小数点，保留小数点后二位，第三位小数四舍五入。</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trike/>
                <w:szCs w:val="21"/>
                <w:highlight w:val="none"/>
              </w:rPr>
            </w:pPr>
          </w:p>
        </w:tc>
      </w:tr>
      <w:tr>
        <w:tblPrEx>
          <w:tblCellMar>
            <w:top w:w="0" w:type="dxa"/>
            <w:left w:w="108" w:type="dxa"/>
            <w:bottom w:w="0" w:type="dxa"/>
            <w:right w:w="108" w:type="dxa"/>
          </w:tblCellMar>
        </w:tblPrEx>
        <w:trPr>
          <w:trHeight w:val="688" w:hRule="atLeast"/>
          <w:jc w:val="center"/>
        </w:trPr>
        <w:tc>
          <w:tcPr>
            <w:tcW w:w="229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lang w:val="zh-CN"/>
              </w:rPr>
              <w:t>总计</w:t>
            </w:r>
          </w:p>
        </w:tc>
        <w:tc>
          <w:tcPr>
            <w:tcW w:w="18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trike/>
                <w:szCs w:val="21"/>
                <w:highlight w:val="none"/>
              </w:rPr>
            </w:pPr>
          </w:p>
        </w:tc>
        <w:tc>
          <w:tcPr>
            <w:tcW w:w="886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eastAsia" w:ascii="宋体" w:hAnsi="宋体" w:eastAsia="宋体" w:cs="宋体"/>
                <w:strike/>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eastAsia="宋体" w:cs="宋体"/>
                <w:strike/>
                <w:szCs w:val="21"/>
                <w:highlight w:val="none"/>
              </w:rPr>
            </w:pPr>
          </w:p>
        </w:tc>
      </w:tr>
    </w:tbl>
    <w:p>
      <w:pPr>
        <w:rPr>
          <w:rFonts w:hint="eastAsia" w:ascii="宋体" w:hAnsi="宋体" w:cs="宋体"/>
          <w:b/>
          <w:bCs/>
          <w:strike/>
          <w:szCs w:val="21"/>
          <w:highlight w:val="none"/>
        </w:rPr>
      </w:pPr>
    </w:p>
    <w:p>
      <w:pPr>
        <w:spacing w:line="260" w:lineRule="exact"/>
        <w:jc w:val="left"/>
        <w:rPr>
          <w:rFonts w:hint="eastAsia" w:ascii="宋体" w:hAnsi="宋体" w:cs="宋体"/>
          <w:strike/>
          <w:sz w:val="22"/>
          <w:szCs w:val="22"/>
          <w:highlight w:val="none"/>
        </w:rPr>
      </w:pPr>
      <w:r>
        <w:rPr>
          <w:rFonts w:hint="eastAsia" w:ascii="宋体" w:hAnsi="宋体" w:cs="宋体"/>
          <w:strike/>
          <w:sz w:val="22"/>
          <w:szCs w:val="22"/>
          <w:highlight w:val="none"/>
        </w:rPr>
        <w:t>评委签名：                                                 日期：</w:t>
      </w:r>
    </w:p>
    <w:p>
      <w:pPr>
        <w:spacing w:line="360" w:lineRule="auto"/>
        <w:rPr>
          <w:rFonts w:hint="eastAsia" w:ascii="宋体" w:hAnsi="宋体" w:cs="宋体"/>
          <w:b/>
          <w:bCs/>
          <w:strike/>
          <w:szCs w:val="21"/>
          <w:highlight w:val="none"/>
        </w:rPr>
      </w:pPr>
      <w:r>
        <w:rPr>
          <w:rFonts w:hint="eastAsia" w:ascii="宋体" w:hAnsi="宋体" w:cs="宋体"/>
          <w:b/>
          <w:bCs/>
          <w:strike/>
          <w:szCs w:val="21"/>
          <w:highlight w:val="none"/>
        </w:rPr>
        <w:t xml:space="preserve"> </w:t>
      </w:r>
    </w:p>
    <w:p>
      <w:pPr>
        <w:pStyle w:val="15"/>
        <w:rPr>
          <w:rFonts w:hint="eastAsia" w:hAnsi="宋体" w:cs="宋体"/>
          <w:b/>
          <w:bCs/>
          <w:szCs w:val="21"/>
          <w:highlight w:val="none"/>
        </w:rPr>
      </w:pPr>
    </w:p>
    <w:p>
      <w:pPr>
        <w:pStyle w:val="15"/>
        <w:rPr>
          <w:rFonts w:hint="eastAsia" w:hAnsi="宋体" w:cs="宋体"/>
          <w:b/>
          <w:bCs/>
          <w:szCs w:val="21"/>
          <w:highlight w:val="none"/>
        </w:rPr>
      </w:pPr>
    </w:p>
    <w:p>
      <w:pPr>
        <w:pStyle w:val="15"/>
        <w:rPr>
          <w:rFonts w:hint="eastAsia" w:hAnsi="宋体" w:cs="宋体"/>
          <w:b/>
          <w:bCs/>
          <w:szCs w:val="21"/>
          <w:highlight w:val="none"/>
        </w:rPr>
      </w:pPr>
    </w:p>
    <w:p>
      <w:pPr>
        <w:pStyle w:val="15"/>
        <w:rPr>
          <w:rFonts w:hint="eastAsia" w:hAnsi="宋体" w:cs="宋体"/>
          <w:b/>
          <w:bCs/>
          <w:szCs w:val="21"/>
          <w:highlight w:val="none"/>
        </w:rPr>
      </w:pPr>
    </w:p>
    <w:p>
      <w:pPr>
        <w:pStyle w:val="15"/>
        <w:rPr>
          <w:rFonts w:hint="eastAsia" w:hAnsi="宋体" w:cs="宋体"/>
          <w:b/>
          <w:bCs/>
          <w:szCs w:val="21"/>
          <w:highlight w:val="none"/>
        </w:rPr>
      </w:pPr>
    </w:p>
    <w:p>
      <w:pPr>
        <w:pStyle w:val="15"/>
        <w:rPr>
          <w:rFonts w:hint="eastAsia" w:hAnsi="宋体" w:cs="宋体"/>
          <w:b/>
          <w:bCs/>
          <w:szCs w:val="21"/>
          <w:highlight w:val="none"/>
        </w:rPr>
      </w:pPr>
    </w:p>
    <w:p>
      <w:pPr>
        <w:pStyle w:val="15"/>
        <w:rPr>
          <w:rFonts w:hint="eastAsia" w:hAnsi="宋体" w:cs="宋体"/>
          <w:b/>
          <w:bCs/>
          <w:szCs w:val="21"/>
          <w:highlight w:val="none"/>
        </w:rPr>
      </w:pPr>
    </w:p>
    <w:p>
      <w:pPr>
        <w:pStyle w:val="15"/>
        <w:rPr>
          <w:rFonts w:hint="eastAsia" w:hAnsi="宋体" w:cs="宋体"/>
          <w:b/>
          <w:bCs/>
          <w:szCs w:val="21"/>
          <w:highlight w:val="none"/>
        </w:rPr>
      </w:pPr>
    </w:p>
    <w:p>
      <w:pPr>
        <w:pStyle w:val="6"/>
        <w:spacing w:before="120" w:after="120"/>
        <w:ind w:left="0" w:firstLine="0"/>
        <w:rPr>
          <w:rFonts w:hint="eastAsia" w:ascii="宋体" w:hAnsi="宋体" w:cs="宋体"/>
          <w:highlight w:val="none"/>
        </w:rPr>
      </w:pPr>
      <w:bookmarkStart w:id="69" w:name="_Toc28084"/>
      <w:r>
        <w:rPr>
          <w:rFonts w:hint="eastAsia" w:ascii="宋体" w:hAnsi="宋体" w:cs="宋体"/>
          <w:highlight w:val="none"/>
        </w:rPr>
        <w:t>附件7 综合得分汇总表（适用于综合评分法）</w:t>
      </w:r>
      <w:bookmarkEnd w:id="69"/>
    </w:p>
    <w:p>
      <w:pPr>
        <w:spacing w:line="360" w:lineRule="auto"/>
        <w:rPr>
          <w:rFonts w:hint="eastAsia" w:ascii="宋体" w:hAnsi="宋体" w:cs="宋体"/>
          <w:b/>
          <w:bCs/>
          <w:sz w:val="24"/>
          <w:highlight w:val="none"/>
        </w:rPr>
      </w:pPr>
    </w:p>
    <w:p>
      <w:pPr>
        <w:jc w:val="center"/>
        <w:rPr>
          <w:rFonts w:hint="eastAsia" w:ascii="宋体" w:hAnsi="宋体" w:cs="宋体"/>
          <w:b/>
          <w:bCs/>
          <w:sz w:val="30"/>
          <w:szCs w:val="30"/>
          <w:highlight w:val="none"/>
        </w:rPr>
      </w:pPr>
      <w:r>
        <w:rPr>
          <w:rFonts w:hint="eastAsia" w:ascii="宋体" w:hAnsi="宋体" w:cs="宋体"/>
          <w:b/>
          <w:bCs/>
          <w:sz w:val="30"/>
          <w:szCs w:val="30"/>
          <w:highlight w:val="none"/>
        </w:rPr>
        <w:t>综合得分汇总表</w:t>
      </w:r>
    </w:p>
    <w:p>
      <w:pPr>
        <w:rPr>
          <w:rFonts w:hint="eastAsia" w:ascii="宋体" w:hAnsi="宋体" w:cs="宋体"/>
          <w:b/>
          <w:bCs/>
          <w:sz w:val="24"/>
          <w:highlight w:val="none"/>
        </w:rPr>
      </w:pPr>
    </w:p>
    <w:p>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868"/>
        <w:gridCol w:w="2439"/>
        <w:gridCol w:w="2177"/>
        <w:gridCol w:w="2117"/>
        <w:gridCol w:w="211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67" w:type="dxa"/>
            <w:noWrap w:val="0"/>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868" w:type="dxa"/>
            <w:noWrap w:val="0"/>
            <w:vAlign w:val="center"/>
          </w:tcPr>
          <w:p>
            <w:pPr>
              <w:keepNext w:val="0"/>
              <w:keepLines w:val="0"/>
              <w:suppressLineNumbers w:val="0"/>
              <w:spacing w:before="0" w:beforeAutospacing="0" w:after="0" w:afterAutospacing="0" w:line="400" w:lineRule="exact"/>
              <w:ind w:left="0" w:right="0" w:firstLine="1260" w:firstLineChars="600"/>
              <w:rPr>
                <w:rFonts w:hint="eastAsia" w:ascii="宋体" w:hAnsi="宋体" w:eastAsia="宋体" w:cs="宋体"/>
                <w:szCs w:val="21"/>
                <w:highlight w:val="none"/>
              </w:rPr>
            </w:pPr>
            <w:r>
              <w:rPr>
                <w:rFonts w:hint="eastAsia" w:ascii="宋体" w:hAnsi="宋体" w:eastAsia="宋体" w:cs="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17145</wp:posOffset>
                      </wp:positionV>
                      <wp:extent cx="1773555" cy="1022985"/>
                      <wp:effectExtent l="2540" t="3810" r="5080" b="11430"/>
                      <wp:wrapNone/>
                      <wp:docPr id="1" name="自选图形 5"/>
                      <wp:cNvGraphicFramePr/>
                      <a:graphic xmlns:a="http://schemas.openxmlformats.org/drawingml/2006/main">
                        <a:graphicData uri="http://schemas.microsoft.com/office/word/2010/wordprocessingShape">
                          <wps:wsp>
                            <wps:cNvCnPr/>
                            <wps:spPr>
                              <a:xfrm>
                                <a:off x="0" y="0"/>
                                <a:ext cx="1773555" cy="1022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3.7pt;margin-top:1.35pt;height:80.55pt;width:139.65pt;z-index:251659264;mso-width-relative:page;mso-height-relative:page;" filled="f" stroked="t" coordsize="21600,21600" o:gfxdata="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0NVldgAAAAIAQAADwAAAAAAAAABACAAAAAiAAAAZHJzL2Rvd25yZXYu&#10;eG1sUEsBAhQAFAAAAAgAh07iQC4Zt1n7AQAA6QMAAA4AAAAAAAAAAQAgAAAAJwEAAGRycy9lMm9E&#10;b2MueG1sUEsFBgAAAAAGAAYAWQEAAJQFAAAAAA==&#10;">
                      <v:fill on="f" focussize="0,0"/>
                      <v:stroke color="#000000" joinstyle="round"/>
                      <v:imagedata o:title=""/>
                      <o:lock v:ext="edit" aspectratio="f"/>
                    </v:shape>
                  </w:pict>
                </mc:Fallback>
              </mc:AlternateContent>
            </w:r>
            <w:r>
              <w:rPr>
                <w:rFonts w:hint="eastAsia" w:ascii="宋体" w:hAnsi="宋体" w:eastAsia="宋体" w:cs="宋体"/>
                <w:szCs w:val="21"/>
                <w:highlight w:val="none"/>
              </w:rPr>
              <w:t xml:space="preserve"> </w:t>
            </w:r>
          </w:p>
          <w:p>
            <w:pPr>
              <w:keepNext w:val="0"/>
              <w:keepLines w:val="0"/>
              <w:suppressLineNumbers w:val="0"/>
              <w:spacing w:before="0" w:beforeAutospacing="0" w:after="0" w:afterAutospacing="0" w:line="40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 xml:space="preserve">            评分项</w:t>
            </w:r>
          </w:p>
          <w:p>
            <w:pPr>
              <w:keepNext w:val="0"/>
              <w:keepLines w:val="0"/>
              <w:suppressLineNumbers w:val="0"/>
              <w:spacing w:before="0" w:beforeAutospacing="0" w:after="0" w:afterAutospacing="0" w:line="400" w:lineRule="exact"/>
              <w:ind w:left="0" w:right="0"/>
              <w:rPr>
                <w:rFonts w:hint="eastAsia" w:ascii="宋体" w:hAnsi="宋体" w:eastAsia="宋体" w:cs="宋体"/>
                <w:szCs w:val="21"/>
                <w:highlight w:val="none"/>
              </w:rPr>
            </w:pPr>
            <w:r>
              <w:rPr>
                <w:rFonts w:hint="eastAsia" w:ascii="宋体" w:hAnsi="宋体" w:eastAsia="宋体" w:cs="宋体"/>
                <w:szCs w:val="21"/>
                <w:highlight w:val="none"/>
              </w:rPr>
              <w:t>投标人名称</w:t>
            </w:r>
          </w:p>
        </w:tc>
        <w:tc>
          <w:tcPr>
            <w:tcW w:w="24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highlight w:val="none"/>
              </w:rPr>
            </w:pPr>
            <w:r>
              <w:rPr>
                <w:rFonts w:hint="eastAsia" w:ascii="宋体" w:hAnsi="宋体" w:eastAsia="宋体" w:cs="宋体"/>
                <w:highlight w:val="none"/>
              </w:rPr>
              <w:t>商务得分</w:t>
            </w:r>
          </w:p>
        </w:tc>
        <w:tc>
          <w:tcPr>
            <w:tcW w:w="217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highlight w:val="none"/>
              </w:rPr>
            </w:pPr>
            <w:r>
              <w:rPr>
                <w:rFonts w:hint="eastAsia" w:ascii="宋体" w:hAnsi="宋体" w:eastAsia="宋体" w:cs="宋体"/>
                <w:highlight w:val="none"/>
              </w:rPr>
              <w:t>技术得分</w:t>
            </w: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highlight w:val="none"/>
              </w:rPr>
            </w:pPr>
            <w:r>
              <w:rPr>
                <w:rFonts w:hint="eastAsia" w:ascii="宋体" w:hAnsi="宋体" w:eastAsia="宋体" w:cs="宋体"/>
                <w:strike/>
                <w:highlight w:val="none"/>
              </w:rPr>
              <w:t>报价得分</w:t>
            </w: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highlight w:val="none"/>
              </w:rPr>
              <w:t>综合总得分(100分)</w:t>
            </w:r>
          </w:p>
        </w:tc>
        <w:tc>
          <w:tcPr>
            <w:tcW w:w="17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highlight w:val="none"/>
              </w:rPr>
              <w:t>综合排名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868"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4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7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17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868"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4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7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17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868"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4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7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17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868"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4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7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17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868"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4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7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17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868"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4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7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17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868"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4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7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117"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c>
          <w:tcPr>
            <w:tcW w:w="1739"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bl>
    <w:p>
      <w:pPr>
        <w:spacing w:line="4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评委签名：                                                   日期:</w:t>
      </w:r>
    </w:p>
    <w:p>
      <w:pPr>
        <w:spacing w:line="400" w:lineRule="exact"/>
        <w:rPr>
          <w:rFonts w:hint="eastAsia" w:ascii="宋体" w:hAnsi="宋体" w:cs="宋体"/>
          <w:sz w:val="24"/>
          <w:highlight w:val="none"/>
        </w:rPr>
        <w:sectPr>
          <w:footerReference r:id="rId8" w:type="default"/>
          <w:pgSz w:w="16838" w:h="11906" w:orient="landscape"/>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pPr>
        <w:pStyle w:val="6"/>
        <w:spacing w:before="156" w:after="156"/>
        <w:ind w:left="0" w:firstLine="0"/>
        <w:rPr>
          <w:rFonts w:hint="eastAsia" w:ascii="宋体" w:hAnsi="宋体" w:cs="宋体"/>
          <w:strike/>
          <w:highlight w:val="none"/>
        </w:rPr>
      </w:pPr>
      <w:bookmarkStart w:id="70" w:name="_Toc29532"/>
      <w:r>
        <w:rPr>
          <w:rFonts w:hint="eastAsia" w:ascii="宋体" w:hAnsi="宋体" w:cs="宋体"/>
          <w:strike/>
          <w:highlight w:val="none"/>
        </w:rPr>
        <w:t>附件8 设计方案评审记录表（适用于投票法）</w:t>
      </w:r>
      <w:bookmarkEnd w:id="70"/>
    </w:p>
    <w:p>
      <w:pPr>
        <w:jc w:val="center"/>
        <w:rPr>
          <w:rFonts w:hint="eastAsia" w:ascii="宋体" w:hAnsi="宋体" w:cs="宋体"/>
          <w:b/>
          <w:bCs/>
          <w:strike/>
          <w:sz w:val="32"/>
          <w:highlight w:val="none"/>
        </w:rPr>
      </w:pPr>
      <w:r>
        <w:rPr>
          <w:rFonts w:hint="eastAsia" w:ascii="宋体" w:hAnsi="宋体" w:cs="宋体"/>
          <w:b/>
          <w:bCs/>
          <w:strike/>
          <w:sz w:val="32"/>
          <w:highlight w:val="none"/>
        </w:rPr>
        <w:t>设计方案评审记录表</w:t>
      </w:r>
    </w:p>
    <w:p>
      <w:pPr>
        <w:rPr>
          <w:rFonts w:hint="eastAsia" w:ascii="宋体" w:hAnsi="宋体" w:cs="宋体"/>
          <w:strike/>
          <w:highlight w:val="none"/>
        </w:rPr>
      </w:pPr>
      <w:r>
        <w:rPr>
          <w:rFonts w:hint="eastAsia" w:ascii="宋体" w:hAnsi="宋体" w:cs="宋体"/>
          <w:strike/>
          <w:highlight w:val="none"/>
        </w:rPr>
        <w:t>项目名称：</w:t>
      </w:r>
      <w:r>
        <w:rPr>
          <w:rFonts w:hint="eastAsia" w:ascii="宋体" w:hAnsi="宋体" w:cs="宋体"/>
          <w:strike/>
          <w:highlight w:val="none"/>
          <w:u w:val="singl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749"/>
        <w:gridCol w:w="8718"/>
        <w:gridCol w:w="988"/>
        <w:gridCol w:w="919"/>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序号</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评审项目</w:t>
            </w:r>
          </w:p>
        </w:tc>
        <w:tc>
          <w:tcPr>
            <w:tcW w:w="87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主要评判因素</w:t>
            </w: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较好</w:t>
            </w:r>
          </w:p>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方案</w:t>
            </w: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一般</w:t>
            </w:r>
          </w:p>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方案</w:t>
            </w: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较差</w:t>
            </w:r>
          </w:p>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1</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概况</w:t>
            </w:r>
          </w:p>
        </w:tc>
        <w:tc>
          <w:tcPr>
            <w:tcW w:w="8718" w:type="dxa"/>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trike/>
                <w:highlight w:val="none"/>
              </w:rPr>
            </w:pPr>
            <w:r>
              <w:rPr>
                <w:rFonts w:hint="eastAsia" w:ascii="宋体" w:hAnsi="宋体" w:eastAsia="宋体" w:cs="宋体"/>
                <w:strike/>
                <w:highlight w:val="none"/>
              </w:rPr>
              <w:t>概况内容全面、概括性强，包括工程概况、工程范围、编制依据等。</w:t>
            </w: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2</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工作目标与组织架构</w:t>
            </w:r>
          </w:p>
        </w:tc>
        <w:tc>
          <w:tcPr>
            <w:tcW w:w="8718" w:type="dxa"/>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trike/>
                <w:highlight w:val="none"/>
              </w:rPr>
            </w:pPr>
            <w:r>
              <w:rPr>
                <w:rFonts w:hint="eastAsia" w:ascii="宋体" w:hAnsi="宋体" w:eastAsia="宋体" w:cs="宋体"/>
                <w:strike/>
                <w:highlight w:val="none"/>
              </w:rPr>
              <w:t>了解项目总体情况，编制合理的项目总体目标、设计目标、施工目标、质量目标和工期目标等；编制合理的组织架构，满足项目需要。</w:t>
            </w: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3</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现状调研与分析</w:t>
            </w:r>
          </w:p>
        </w:tc>
        <w:tc>
          <w:tcPr>
            <w:tcW w:w="8718" w:type="dxa"/>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trike/>
                <w:highlight w:val="none"/>
              </w:rPr>
            </w:pPr>
            <w:r>
              <w:rPr>
                <w:rFonts w:hint="eastAsia" w:ascii="宋体" w:hAnsi="宋体" w:eastAsia="宋体" w:cs="宋体"/>
                <w:strike/>
                <w:highlight w:val="none"/>
              </w:rPr>
              <w:t>对项目背景全面了解，对项目目的把握深入、清晰、准确，正确理解并执行规划建设意图，对项目现状摸查充分，从经济、技术、市场、政策等多方面对项目建设的可行性进行全面分析和评价。</w:t>
            </w: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4</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szCs w:val="21"/>
                <w:highlight w:val="none"/>
                <w:lang w:val="zh-CN"/>
              </w:rPr>
            </w:pPr>
            <w:r>
              <w:rPr>
                <w:rFonts w:hint="eastAsia" w:ascii="宋体" w:hAnsi="宋体" w:eastAsia="宋体" w:cs="宋体"/>
                <w:strike/>
                <w:highlight w:val="none"/>
              </w:rPr>
              <w:t>整体设计</w:t>
            </w:r>
          </w:p>
        </w:tc>
        <w:tc>
          <w:tcPr>
            <w:tcW w:w="8718" w:type="dxa"/>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trike/>
                <w:highlight w:val="none"/>
              </w:rPr>
            </w:pPr>
            <w:r>
              <w:rPr>
                <w:rFonts w:hint="eastAsia" w:ascii="宋体" w:hAnsi="宋体" w:eastAsia="宋体" w:cs="宋体"/>
                <w:strike/>
                <w:szCs w:val="21"/>
                <w:highlight w:val="none"/>
                <w:lang w:val="zh-CN"/>
              </w:rPr>
              <w:t>整个设计内容符合招标文件要求，内容全面，设计总说明书文字表达清楚、思路清晰、重点和难点突出、图纸及文卷质量高，整体风格新颖大方。</w:t>
            </w: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5</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设计概念</w:t>
            </w:r>
          </w:p>
        </w:tc>
        <w:tc>
          <w:tcPr>
            <w:tcW w:w="8718" w:type="dxa"/>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trike/>
                <w:szCs w:val="21"/>
                <w:highlight w:val="none"/>
                <w:lang w:val="zh-CN"/>
              </w:rPr>
            </w:pPr>
            <w:r>
              <w:rPr>
                <w:rFonts w:hint="eastAsia" w:ascii="宋体" w:hAnsi="宋体" w:eastAsia="宋体" w:cs="宋体"/>
                <w:strike/>
                <w:highlight w:val="none"/>
              </w:rPr>
              <w:t>设计主题突出、特色鲜明，符合适用、经济、绿色和美观原则，结合地理、气候、风俗、文化和个性特点，反映时代精神、具有创新的风格和意识，富有特色和吸引力，体现城市的历史文化、风貌特色。</w:t>
            </w: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6</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szCs w:val="21"/>
                <w:highlight w:val="none"/>
                <w:lang w:val="zh-CN"/>
              </w:rPr>
            </w:pPr>
            <w:r>
              <w:rPr>
                <w:rFonts w:hint="eastAsia" w:ascii="宋体" w:hAnsi="宋体" w:eastAsia="宋体" w:cs="宋体"/>
                <w:strike/>
                <w:highlight w:val="none"/>
              </w:rPr>
              <w:t>景观规划</w:t>
            </w:r>
          </w:p>
        </w:tc>
        <w:tc>
          <w:tcPr>
            <w:tcW w:w="8718" w:type="dxa"/>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trike/>
                <w:szCs w:val="21"/>
                <w:highlight w:val="none"/>
                <w:lang w:val="zh-CN"/>
              </w:rPr>
            </w:pPr>
            <w:r>
              <w:rPr>
                <w:rFonts w:hint="eastAsia" w:ascii="宋体" w:hAnsi="宋体" w:eastAsia="宋体" w:cs="宋体"/>
                <w:strike/>
                <w:highlight w:val="none"/>
              </w:rPr>
              <w:t>因地制宜，充分考虑地域环境条件，主要轴线布置合理，</w:t>
            </w:r>
            <w:r>
              <w:rPr>
                <w:rFonts w:hint="eastAsia" w:ascii="宋体" w:hAnsi="宋体" w:eastAsia="宋体" w:cs="宋体"/>
                <w:strike/>
                <w:szCs w:val="21"/>
                <w:highlight w:val="none"/>
                <w:lang w:val="zh-CN"/>
              </w:rPr>
              <w:t>交通组织完善，</w:t>
            </w:r>
            <w:r>
              <w:rPr>
                <w:rFonts w:hint="eastAsia" w:ascii="宋体" w:hAnsi="宋体" w:eastAsia="宋体" w:cs="宋体"/>
                <w:strike/>
                <w:highlight w:val="none"/>
              </w:rPr>
              <w:t>利用自然风光，合理布置绿化、水体、建筑小品，与周边环境景观相协调。</w:t>
            </w: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7</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使用功能</w:t>
            </w:r>
          </w:p>
        </w:tc>
        <w:tc>
          <w:tcPr>
            <w:tcW w:w="8718" w:type="dxa"/>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trike/>
                <w:highlight w:val="none"/>
              </w:rPr>
            </w:pPr>
            <w:r>
              <w:rPr>
                <w:rFonts w:hint="eastAsia" w:ascii="宋体" w:hAnsi="宋体" w:eastAsia="宋体" w:cs="宋体"/>
                <w:strike/>
                <w:highlight w:val="none"/>
              </w:rPr>
              <w:t>从使用者的角度考虑设计，景观与功能协调统一，舒适实用、功能齐全、满足使用要求，有充分的可实施性。</w:t>
            </w: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8</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szCs w:val="21"/>
                <w:highlight w:val="none"/>
                <w:lang w:val="zh-CN"/>
              </w:rPr>
            </w:pPr>
            <w:r>
              <w:rPr>
                <w:rFonts w:hint="eastAsia" w:ascii="宋体" w:hAnsi="宋体" w:eastAsia="宋体" w:cs="宋体"/>
                <w:strike/>
                <w:highlight w:val="none"/>
              </w:rPr>
              <w:t>重点难点分析</w:t>
            </w:r>
          </w:p>
        </w:tc>
        <w:tc>
          <w:tcPr>
            <w:tcW w:w="8718" w:type="dxa"/>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trike/>
                <w:highlight w:val="none"/>
              </w:rPr>
            </w:pPr>
            <w:r>
              <w:rPr>
                <w:rFonts w:hint="eastAsia" w:ascii="宋体" w:hAnsi="宋体" w:eastAsia="宋体" w:cs="宋体"/>
                <w:strike/>
                <w:szCs w:val="21"/>
                <w:highlight w:val="none"/>
                <w:lang w:val="zh-CN"/>
              </w:rPr>
              <w:t>项目设计和使用的重点、难点分析透彻，解决措施合理可行，实施计划目标明确、重点突出。</w:t>
            </w: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9</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勘察工作计划</w:t>
            </w:r>
          </w:p>
        </w:tc>
        <w:tc>
          <w:tcPr>
            <w:tcW w:w="8718" w:type="dxa"/>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trike/>
                <w:highlight w:val="none"/>
                <w:lang w:val="zh-CN"/>
              </w:rPr>
            </w:pPr>
            <w:r>
              <w:rPr>
                <w:rFonts w:hint="eastAsia" w:ascii="宋体" w:hAnsi="宋体" w:eastAsia="宋体" w:cs="宋体"/>
                <w:strike/>
                <w:highlight w:val="none"/>
              </w:rPr>
              <w:t>勘察工作流程规范，工期进度计划和质量控制措施合理可行，承诺投入项目的人员数量和工种、设备数量和种类等配置合理。</w:t>
            </w: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10</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勘察方案</w:t>
            </w:r>
          </w:p>
        </w:tc>
        <w:tc>
          <w:tcPr>
            <w:tcW w:w="8718" w:type="dxa"/>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trike/>
                <w:highlight w:val="none"/>
              </w:rPr>
            </w:pPr>
            <w:r>
              <w:rPr>
                <w:rFonts w:hint="eastAsia" w:ascii="宋体" w:hAnsi="宋体" w:eastAsia="宋体" w:cs="宋体"/>
                <w:strike/>
                <w:highlight w:val="none"/>
              </w:rPr>
              <w:t>勘察方案合理可行，勘察的重点、难点理解准确，建议合理可行；勘察报告综合评价深度详细，勘察成果文件目录及内容完善。</w:t>
            </w: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11</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szCs w:val="21"/>
                <w:highlight w:val="none"/>
                <w:lang w:val="zh-CN"/>
              </w:rPr>
            </w:pPr>
            <w:r>
              <w:rPr>
                <w:rFonts w:hint="eastAsia" w:ascii="宋体" w:hAnsi="宋体" w:eastAsia="宋体" w:cs="宋体"/>
                <w:strike/>
                <w:highlight w:val="none"/>
              </w:rPr>
              <w:t>投资估算及控制</w:t>
            </w:r>
          </w:p>
        </w:tc>
        <w:tc>
          <w:tcPr>
            <w:tcW w:w="8718" w:type="dxa"/>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trike/>
                <w:szCs w:val="21"/>
                <w:highlight w:val="none"/>
                <w:lang w:val="zh-CN"/>
              </w:rPr>
            </w:pPr>
            <w:r>
              <w:rPr>
                <w:rFonts w:hint="eastAsia" w:ascii="宋体" w:hAnsi="宋体" w:eastAsia="宋体" w:cs="宋体"/>
                <w:strike/>
                <w:highlight w:val="none"/>
              </w:rPr>
              <w:t>设计符合标准、规范，造价合理、指标准确；投资估算编制依据正确，达到相应深度要求，编制质量高；投资估算合理，节约工程总投资的措施及理由合理可行。</w:t>
            </w: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12</w:t>
            </w:r>
          </w:p>
        </w:tc>
        <w:tc>
          <w:tcPr>
            <w:tcW w:w="174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其他</w:t>
            </w:r>
          </w:p>
        </w:tc>
        <w:tc>
          <w:tcPr>
            <w:tcW w:w="87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r>
              <w:rPr>
                <w:rFonts w:hint="eastAsia" w:ascii="宋体" w:hAnsi="宋体" w:eastAsia="宋体" w:cs="宋体"/>
                <w:strike/>
                <w:highlight w:val="none"/>
              </w:rPr>
              <w:t>综合评价</w:t>
            </w:r>
          </w:p>
        </w:tc>
        <w:tc>
          <w:tcPr>
            <w:tcW w:w="87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8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c>
          <w:tcPr>
            <w:tcW w:w="9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bl>
    <w:p>
      <w:pPr>
        <w:rPr>
          <w:rFonts w:hint="eastAsia" w:ascii="宋体" w:hAnsi="宋体" w:cs="宋体"/>
          <w:strike/>
          <w:highlight w:val="none"/>
        </w:rPr>
      </w:pPr>
      <w:r>
        <w:rPr>
          <w:rFonts w:hint="eastAsia" w:ascii="宋体" w:hAnsi="宋体" w:cs="宋体"/>
          <w:strike/>
          <w:highlight w:val="none"/>
        </w:rPr>
        <w:t>招标人可以根据项目类型、特点、设计价值观等情况增删评判因素。</w:t>
      </w:r>
    </w:p>
    <w:p>
      <w:pPr>
        <w:jc w:val="center"/>
        <w:rPr>
          <w:rFonts w:hint="eastAsia" w:ascii="宋体" w:hAnsi="宋体" w:cs="宋体"/>
          <w:strike/>
          <w:highlight w:val="none"/>
        </w:rPr>
      </w:pPr>
    </w:p>
    <w:p>
      <w:pPr>
        <w:jc w:val="center"/>
        <w:rPr>
          <w:rFonts w:hint="eastAsia" w:ascii="宋体" w:hAnsi="宋体" w:cs="宋体"/>
          <w:strike/>
          <w:highlight w:val="none"/>
        </w:rPr>
      </w:pPr>
      <w:r>
        <w:rPr>
          <w:rFonts w:hint="eastAsia" w:ascii="宋体" w:hAnsi="宋体" w:cs="宋体"/>
          <w:strike/>
          <w:highlight w:val="none"/>
        </w:rPr>
        <w:t>评委签名：                                                                                       日期：       年    月    日</w:t>
      </w:r>
    </w:p>
    <w:p>
      <w:pPr>
        <w:jc w:val="center"/>
        <w:rPr>
          <w:rFonts w:hint="eastAsia" w:ascii="宋体" w:hAnsi="宋体" w:cs="宋体"/>
          <w:strike/>
          <w:highlight w:val="none"/>
        </w:rPr>
      </w:pPr>
    </w:p>
    <w:p>
      <w:pPr>
        <w:jc w:val="left"/>
        <w:rPr>
          <w:rFonts w:hint="eastAsia" w:ascii="宋体" w:hAnsi="宋体" w:cs="宋体"/>
          <w:strike/>
          <w:highlight w:val="none"/>
        </w:rPr>
      </w:pPr>
    </w:p>
    <w:p>
      <w:pPr>
        <w:jc w:val="left"/>
        <w:rPr>
          <w:rFonts w:hint="eastAsia" w:ascii="宋体" w:hAnsi="宋体" w:cs="宋体"/>
          <w:strike/>
          <w:highlight w:val="none"/>
        </w:rPr>
      </w:pPr>
    </w:p>
    <w:p>
      <w:pPr>
        <w:jc w:val="left"/>
        <w:rPr>
          <w:rFonts w:hint="eastAsia" w:ascii="宋体" w:hAnsi="宋体" w:cs="宋体"/>
          <w:strike/>
          <w:highlight w:val="none"/>
        </w:rPr>
      </w:pPr>
    </w:p>
    <w:p>
      <w:pPr>
        <w:jc w:val="left"/>
        <w:rPr>
          <w:rFonts w:hint="eastAsia" w:ascii="宋体" w:hAnsi="宋体" w:cs="宋体"/>
          <w:strike/>
          <w:highlight w:val="none"/>
        </w:rPr>
      </w:pPr>
    </w:p>
    <w:p>
      <w:pPr>
        <w:jc w:val="left"/>
        <w:rPr>
          <w:rFonts w:hint="eastAsia" w:ascii="宋体" w:hAnsi="宋体" w:cs="宋体"/>
          <w:strike/>
          <w:highlight w:val="none"/>
        </w:rPr>
      </w:pPr>
    </w:p>
    <w:p>
      <w:pPr>
        <w:jc w:val="left"/>
        <w:rPr>
          <w:rFonts w:hint="eastAsia" w:ascii="宋体" w:hAnsi="宋体" w:cs="宋体"/>
          <w:strike/>
          <w:highlight w:val="none"/>
        </w:rPr>
      </w:pPr>
    </w:p>
    <w:p>
      <w:pPr>
        <w:jc w:val="left"/>
        <w:rPr>
          <w:rFonts w:hint="eastAsia" w:ascii="宋体" w:hAnsi="宋体" w:cs="宋体"/>
          <w:strike/>
          <w:highlight w:val="none"/>
        </w:rPr>
      </w:pPr>
    </w:p>
    <w:p>
      <w:pPr>
        <w:jc w:val="left"/>
        <w:rPr>
          <w:rFonts w:hint="eastAsia" w:ascii="宋体" w:hAnsi="宋体" w:cs="宋体"/>
          <w:strike/>
          <w:highlight w:val="none"/>
        </w:rPr>
      </w:pPr>
    </w:p>
    <w:p>
      <w:pPr>
        <w:rPr>
          <w:rFonts w:hint="eastAsia" w:ascii="宋体" w:hAnsi="宋体" w:cs="宋体"/>
          <w:highlight w:val="none"/>
        </w:rPr>
        <w:sectPr>
          <w:pgSz w:w="16838" w:h="11906" w:orient="landscape"/>
          <w:pgMar w:top="1440" w:right="1440" w:bottom="1440" w:left="1440" w:header="851" w:footer="992" w:gutter="0"/>
          <w:pgBorders>
            <w:top w:val="none" w:sz="0" w:space="0"/>
            <w:left w:val="none" w:sz="0" w:space="0"/>
            <w:bottom w:val="none" w:sz="0" w:space="0"/>
            <w:right w:val="none" w:sz="0" w:space="0"/>
          </w:pgBorders>
          <w:cols w:space="720" w:num="1"/>
          <w:docGrid w:type="lines" w:linePitch="312" w:charSpace="0"/>
        </w:sectPr>
      </w:pPr>
    </w:p>
    <w:p>
      <w:pPr>
        <w:pStyle w:val="6"/>
        <w:spacing w:before="156" w:after="156"/>
        <w:ind w:left="0" w:firstLine="0"/>
        <w:rPr>
          <w:rFonts w:hint="eastAsia" w:ascii="宋体" w:hAnsi="宋体" w:cs="宋体"/>
          <w:strike/>
          <w:highlight w:val="none"/>
        </w:rPr>
      </w:pPr>
      <w:bookmarkStart w:id="71" w:name="_Toc8409"/>
      <w:r>
        <w:rPr>
          <w:rFonts w:hint="eastAsia" w:ascii="宋体" w:hAnsi="宋体" w:cs="宋体"/>
          <w:strike/>
          <w:highlight w:val="none"/>
        </w:rPr>
        <w:t>附件9 投标方案评语（适用于投票法）</w:t>
      </w:r>
      <w:bookmarkEnd w:id="71"/>
    </w:p>
    <w:p>
      <w:pPr>
        <w:rPr>
          <w:rFonts w:hint="eastAsia" w:ascii="宋体" w:hAnsi="宋体" w:cs="宋体"/>
          <w:b/>
          <w:bCs/>
          <w:strike/>
          <w:sz w:val="24"/>
          <w:highlight w:val="none"/>
        </w:rPr>
      </w:pPr>
    </w:p>
    <w:p>
      <w:pPr>
        <w:jc w:val="center"/>
        <w:rPr>
          <w:rFonts w:hint="eastAsia" w:ascii="宋体" w:hAnsi="宋体" w:cs="宋体"/>
          <w:strike/>
          <w:sz w:val="24"/>
          <w:highlight w:val="none"/>
        </w:rPr>
      </w:pPr>
      <w:r>
        <w:rPr>
          <w:rFonts w:hint="eastAsia" w:ascii="宋体" w:hAnsi="宋体" w:cs="宋体"/>
          <w:b/>
          <w:bCs/>
          <w:strike/>
          <w:sz w:val="32"/>
          <w:highlight w:val="none"/>
        </w:rPr>
        <w:t>投标方案评语</w:t>
      </w:r>
    </w:p>
    <w:p>
      <w:pPr>
        <w:rPr>
          <w:rFonts w:hint="eastAsia" w:ascii="宋体" w:hAnsi="宋体" w:cs="宋体"/>
          <w:strike/>
          <w:sz w:val="24"/>
          <w:highlight w:val="none"/>
          <w:u w:val="single"/>
        </w:rPr>
      </w:pPr>
      <w:r>
        <w:rPr>
          <w:rFonts w:hint="eastAsia" w:ascii="宋体" w:hAnsi="宋体" w:cs="宋体"/>
          <w:strike/>
          <w:sz w:val="24"/>
          <w:highlight w:val="none"/>
        </w:rPr>
        <w:t>项目名称：</w:t>
      </w:r>
      <w:r>
        <w:rPr>
          <w:rFonts w:hint="eastAsia" w:ascii="宋体" w:hAnsi="宋体" w:cs="宋体"/>
          <w:strike/>
          <w:sz w:val="24"/>
          <w:highlight w:val="none"/>
          <w:u w:val="single"/>
        </w:rPr>
        <w:t xml:space="preserve">                       </w:t>
      </w:r>
    </w:p>
    <w:p>
      <w:pPr>
        <w:rPr>
          <w:rFonts w:hint="eastAsia" w:ascii="宋体" w:hAnsi="宋体" w:cs="宋体"/>
          <w:strike/>
          <w:sz w:val="24"/>
          <w:highlight w:val="none"/>
          <w:u w:val="singl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9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sz w:val="24"/>
                <w:highlight w:val="none"/>
              </w:rPr>
            </w:pPr>
            <w:r>
              <w:rPr>
                <w:rFonts w:hint="eastAsia" w:ascii="宋体" w:hAnsi="宋体" w:eastAsia="宋体" w:cs="宋体"/>
                <w:strike/>
                <w:sz w:val="24"/>
                <w:highlight w:val="none"/>
              </w:rPr>
              <w:t>方案编号</w:t>
            </w:r>
          </w:p>
        </w:tc>
        <w:tc>
          <w:tcPr>
            <w:tcW w:w="709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sz w:val="24"/>
                <w:highlight w:val="none"/>
              </w:rPr>
            </w:pPr>
            <w:r>
              <w:rPr>
                <w:rFonts w:hint="eastAsia" w:ascii="宋体" w:hAnsi="宋体" w:eastAsia="宋体" w:cs="宋体"/>
                <w:strike/>
                <w:sz w:val="24"/>
                <w:highlight w:val="none"/>
              </w:rPr>
              <w:t>评    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trike/>
                <w:highlight w:val="none"/>
              </w:rPr>
            </w:pPr>
          </w:p>
        </w:tc>
        <w:tc>
          <w:tcPr>
            <w:tcW w:w="709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trike/>
                <w:highlight w:val="none"/>
              </w:rPr>
            </w:pPr>
          </w:p>
        </w:tc>
        <w:tc>
          <w:tcPr>
            <w:tcW w:w="709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trike/>
                <w:highlight w:val="none"/>
              </w:rPr>
            </w:pPr>
          </w:p>
        </w:tc>
        <w:tc>
          <w:tcPr>
            <w:tcW w:w="709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trike/>
                <w:highlight w:val="none"/>
              </w:rPr>
            </w:pPr>
          </w:p>
        </w:tc>
        <w:tc>
          <w:tcPr>
            <w:tcW w:w="709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trike/>
                <w:highlight w:val="none"/>
              </w:rPr>
            </w:pPr>
          </w:p>
        </w:tc>
        <w:tc>
          <w:tcPr>
            <w:tcW w:w="709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trike/>
                <w:highlight w:val="none"/>
              </w:rPr>
            </w:pPr>
          </w:p>
        </w:tc>
        <w:tc>
          <w:tcPr>
            <w:tcW w:w="709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trike/>
                <w:highlight w:val="none"/>
              </w:rPr>
            </w:pPr>
          </w:p>
        </w:tc>
        <w:tc>
          <w:tcPr>
            <w:tcW w:w="709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trike/>
                <w:highlight w:val="none"/>
              </w:rPr>
            </w:pPr>
          </w:p>
        </w:tc>
        <w:tc>
          <w:tcPr>
            <w:tcW w:w="7097"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trike/>
                <w:highlight w:val="none"/>
              </w:rPr>
            </w:pPr>
          </w:p>
        </w:tc>
      </w:tr>
    </w:tbl>
    <w:p>
      <w:pPr>
        <w:rPr>
          <w:rFonts w:hint="eastAsia" w:ascii="宋体" w:hAnsi="宋体" w:cs="宋体"/>
          <w:strike/>
          <w:sz w:val="24"/>
          <w:highlight w:val="none"/>
        </w:rPr>
      </w:pPr>
    </w:p>
    <w:p>
      <w:pPr>
        <w:rPr>
          <w:rFonts w:hint="eastAsia" w:ascii="宋体" w:hAnsi="宋体" w:cs="宋体"/>
          <w:b/>
          <w:bCs/>
          <w:strike/>
          <w:sz w:val="24"/>
          <w:highlight w:val="none"/>
        </w:rPr>
      </w:pPr>
      <w:r>
        <w:rPr>
          <w:rFonts w:hint="eastAsia" w:ascii="宋体" w:hAnsi="宋体" w:cs="宋体"/>
          <w:strike/>
          <w:sz w:val="24"/>
          <w:highlight w:val="none"/>
        </w:rPr>
        <w:t>评委签名：                                    日期：       年    月    日</w:t>
      </w:r>
    </w:p>
    <w:p>
      <w:pPr>
        <w:tabs>
          <w:tab w:val="left" w:pos="420"/>
        </w:tabs>
        <w:rPr>
          <w:rFonts w:hint="eastAsia" w:ascii="宋体" w:hAnsi="宋体" w:cs="宋体"/>
          <w:b/>
          <w:bCs/>
          <w:strike/>
          <w:sz w:val="24"/>
          <w:highlight w:val="none"/>
        </w:rPr>
      </w:pPr>
    </w:p>
    <w:p>
      <w:pPr>
        <w:tabs>
          <w:tab w:val="left" w:pos="420"/>
        </w:tabs>
        <w:rPr>
          <w:rFonts w:hint="eastAsia" w:ascii="宋体" w:hAnsi="宋体" w:cs="宋体"/>
          <w:b/>
          <w:bCs/>
          <w:strike/>
          <w:sz w:val="24"/>
          <w:highlight w:val="none"/>
        </w:rPr>
      </w:pPr>
    </w:p>
    <w:p>
      <w:pPr>
        <w:tabs>
          <w:tab w:val="left" w:pos="420"/>
        </w:tabs>
        <w:rPr>
          <w:rFonts w:hint="eastAsia" w:ascii="宋体" w:hAnsi="宋体" w:cs="宋体"/>
          <w:b/>
          <w:bCs/>
          <w:strike/>
          <w:sz w:val="24"/>
          <w:highlight w:val="none"/>
        </w:rPr>
      </w:pPr>
    </w:p>
    <w:p>
      <w:pPr>
        <w:tabs>
          <w:tab w:val="left" w:pos="420"/>
        </w:tabs>
        <w:rPr>
          <w:rFonts w:hint="eastAsia" w:ascii="宋体" w:hAnsi="宋体" w:cs="宋体"/>
          <w:b/>
          <w:bCs/>
          <w:strike/>
          <w:sz w:val="24"/>
          <w:highlight w:val="none"/>
        </w:rPr>
      </w:pPr>
    </w:p>
    <w:p>
      <w:pPr>
        <w:tabs>
          <w:tab w:val="left" w:pos="420"/>
        </w:tabs>
        <w:rPr>
          <w:rFonts w:hint="eastAsia" w:ascii="宋体" w:hAnsi="宋体" w:cs="宋体"/>
          <w:b/>
          <w:bCs/>
          <w:strike/>
          <w:sz w:val="24"/>
          <w:highlight w:val="none"/>
        </w:rPr>
      </w:pPr>
    </w:p>
    <w:p>
      <w:pPr>
        <w:pStyle w:val="6"/>
        <w:spacing w:before="156" w:after="156"/>
        <w:ind w:left="0" w:firstLine="0"/>
        <w:rPr>
          <w:rFonts w:hint="eastAsia" w:ascii="宋体" w:hAnsi="宋体" w:cs="宋体"/>
          <w:strike/>
          <w:highlight w:val="none"/>
        </w:rPr>
      </w:pPr>
      <w:bookmarkStart w:id="72" w:name="_Toc16884"/>
      <w:r>
        <w:rPr>
          <w:rFonts w:hint="eastAsia" w:ascii="宋体" w:hAnsi="宋体" w:cs="宋体"/>
          <w:strike/>
          <w:highlight w:val="none"/>
        </w:rPr>
        <w:t>附件10 投票表格（适用于投票法）</w:t>
      </w:r>
      <w:bookmarkEnd w:id="72"/>
    </w:p>
    <w:p>
      <w:pPr>
        <w:pStyle w:val="15"/>
        <w:tabs>
          <w:tab w:val="left" w:pos="420"/>
        </w:tabs>
        <w:jc w:val="center"/>
        <w:rPr>
          <w:rFonts w:hint="eastAsia" w:hAnsi="宋体" w:cs="宋体"/>
          <w:b/>
          <w:strike/>
          <w:sz w:val="32"/>
          <w:highlight w:val="none"/>
        </w:rPr>
      </w:pPr>
      <w:r>
        <w:rPr>
          <w:rFonts w:hint="eastAsia" w:hAnsi="宋体" w:cs="宋体"/>
          <w:b/>
          <w:strike/>
          <w:sz w:val="32"/>
          <w:highlight w:val="none"/>
        </w:rPr>
        <w:t>投票表格</w:t>
      </w:r>
    </w:p>
    <w:p>
      <w:pPr>
        <w:tabs>
          <w:tab w:val="left" w:pos="420"/>
        </w:tabs>
        <w:rPr>
          <w:rFonts w:hint="eastAsia" w:ascii="宋体" w:hAnsi="宋体" w:cs="宋体"/>
          <w:strike/>
          <w:sz w:val="24"/>
          <w:highlight w:val="none"/>
        </w:rPr>
      </w:pPr>
    </w:p>
    <w:p>
      <w:pPr>
        <w:tabs>
          <w:tab w:val="left" w:pos="420"/>
        </w:tabs>
        <w:spacing w:line="360" w:lineRule="auto"/>
        <w:rPr>
          <w:rFonts w:hint="eastAsia" w:ascii="宋体" w:hAnsi="宋体" w:cs="宋体"/>
          <w:strike/>
          <w:sz w:val="24"/>
          <w:highlight w:val="none"/>
          <w:u w:val="single"/>
        </w:rPr>
      </w:pPr>
      <w:r>
        <w:rPr>
          <w:rFonts w:hint="eastAsia" w:ascii="宋体" w:hAnsi="宋体" w:cs="宋体"/>
          <w:strike/>
          <w:sz w:val="24"/>
          <w:highlight w:val="none"/>
        </w:rPr>
        <w:t>项目名称：</w:t>
      </w:r>
      <w:r>
        <w:rPr>
          <w:rFonts w:hint="eastAsia" w:ascii="宋体" w:hAnsi="宋体" w:cs="宋体"/>
          <w:strike/>
          <w:sz w:val="24"/>
          <w:highlight w:val="none"/>
          <w:u w:val="singl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c>
          <w:tcPr>
            <w:tcW w:w="6120" w:type="dxa"/>
            <w:gridSpan w:val="3"/>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每轮投票允许选择总数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投标人数</w:t>
            </w:r>
          </w:p>
        </w:tc>
        <w:tc>
          <w:tcPr>
            <w:tcW w:w="198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3至4</w:t>
            </w:r>
          </w:p>
        </w:tc>
        <w:tc>
          <w:tcPr>
            <w:tcW w:w="198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5至8</w:t>
            </w:r>
          </w:p>
        </w:tc>
        <w:tc>
          <w:tcPr>
            <w:tcW w:w="216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第1轮</w:t>
            </w:r>
          </w:p>
        </w:tc>
        <w:tc>
          <w:tcPr>
            <w:tcW w:w="198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2</w:t>
            </w:r>
          </w:p>
        </w:tc>
        <w:tc>
          <w:tcPr>
            <w:tcW w:w="198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4</w:t>
            </w:r>
          </w:p>
        </w:tc>
        <w:tc>
          <w:tcPr>
            <w:tcW w:w="216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第2轮</w:t>
            </w:r>
          </w:p>
        </w:tc>
        <w:tc>
          <w:tcPr>
            <w:tcW w:w="198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1</w:t>
            </w:r>
          </w:p>
        </w:tc>
        <w:tc>
          <w:tcPr>
            <w:tcW w:w="198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2</w:t>
            </w:r>
          </w:p>
        </w:tc>
        <w:tc>
          <w:tcPr>
            <w:tcW w:w="216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第3轮</w:t>
            </w:r>
          </w:p>
        </w:tc>
        <w:tc>
          <w:tcPr>
            <w:tcW w:w="198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p>
        </w:tc>
        <w:tc>
          <w:tcPr>
            <w:tcW w:w="198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1</w:t>
            </w:r>
          </w:p>
        </w:tc>
        <w:tc>
          <w:tcPr>
            <w:tcW w:w="216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第4轮</w:t>
            </w:r>
          </w:p>
        </w:tc>
        <w:tc>
          <w:tcPr>
            <w:tcW w:w="198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p>
        </w:tc>
        <w:tc>
          <w:tcPr>
            <w:tcW w:w="198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p>
        </w:tc>
        <w:tc>
          <w:tcPr>
            <w:tcW w:w="2160" w:type="dxa"/>
            <w:noWrap w:val="0"/>
            <w:vAlign w:val="top"/>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1</w:t>
            </w:r>
          </w:p>
        </w:tc>
      </w:tr>
    </w:tbl>
    <w:p>
      <w:pPr>
        <w:tabs>
          <w:tab w:val="left" w:pos="420"/>
        </w:tabs>
        <w:adjustRightInd w:val="0"/>
        <w:snapToGrid w:val="0"/>
        <w:jc w:val="center"/>
        <w:rPr>
          <w:rFonts w:hint="eastAsia" w:ascii="宋体" w:hAnsi="宋体" w:cs="宋体"/>
          <w:strike/>
          <w:szCs w:val="21"/>
          <w:highlight w:val="none"/>
        </w:rPr>
      </w:pPr>
      <w:r>
        <w:rPr>
          <w:rFonts w:hint="eastAsia" w:ascii="宋体" w:hAnsi="宋体" w:cs="宋体"/>
          <w:strike/>
          <w:szCs w:val="21"/>
          <w:highlight w:val="none"/>
        </w:rPr>
        <w:t>表1.每轮投票允许选择方案总数</w:t>
      </w:r>
    </w:p>
    <w:p>
      <w:pPr>
        <w:tabs>
          <w:tab w:val="left" w:pos="420"/>
        </w:tabs>
        <w:adjustRightInd w:val="0"/>
        <w:snapToGrid w:val="0"/>
        <w:jc w:val="center"/>
        <w:rPr>
          <w:rFonts w:hint="eastAsia" w:ascii="宋体" w:hAnsi="宋体" w:cs="宋体"/>
          <w:b/>
          <w:bCs/>
          <w:strike/>
          <w:szCs w:val="21"/>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第    轮</w:t>
            </w:r>
          </w:p>
        </w:tc>
        <w:tc>
          <w:tcPr>
            <w:tcW w:w="917" w:type="dxa"/>
            <w:tcBorders>
              <w:top w:val="double" w:color="auto" w:sz="4" w:space="0"/>
              <w:left w:val="single" w:color="auto" w:sz="4" w:space="0"/>
              <w:bottom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c>
          <w:tcPr>
            <w:tcW w:w="918" w:type="dxa"/>
            <w:tcBorders>
              <w:top w:val="double" w:color="auto" w:sz="4" w:space="0"/>
              <w:bottom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c>
          <w:tcPr>
            <w:tcW w:w="917" w:type="dxa"/>
            <w:tcBorders>
              <w:top w:val="double" w:color="auto" w:sz="4" w:space="0"/>
              <w:bottom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c>
          <w:tcPr>
            <w:tcW w:w="918" w:type="dxa"/>
            <w:tcBorders>
              <w:top w:val="double" w:color="auto" w:sz="4" w:space="0"/>
              <w:bottom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c>
          <w:tcPr>
            <w:tcW w:w="917" w:type="dxa"/>
            <w:tcBorders>
              <w:top w:val="double" w:color="auto" w:sz="4" w:space="0"/>
              <w:bottom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c>
          <w:tcPr>
            <w:tcW w:w="918" w:type="dxa"/>
            <w:tcBorders>
              <w:top w:val="double" w:color="auto" w:sz="4" w:space="0"/>
              <w:bottom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c>
          <w:tcPr>
            <w:tcW w:w="917" w:type="dxa"/>
            <w:tcBorders>
              <w:top w:val="double" w:color="auto" w:sz="4" w:space="0"/>
              <w:bottom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c>
          <w:tcPr>
            <w:tcW w:w="918" w:type="dxa"/>
            <w:tcBorders>
              <w:top w:val="double" w:color="auto" w:sz="4" w:space="0"/>
              <w:bottom w:val="double" w:color="auto" w:sz="4" w:space="0"/>
              <w:right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第    轮</w:t>
            </w:r>
          </w:p>
        </w:tc>
        <w:tc>
          <w:tcPr>
            <w:tcW w:w="1835" w:type="dxa"/>
            <w:gridSpan w:val="2"/>
            <w:tcBorders>
              <w:top w:val="double" w:color="auto" w:sz="4" w:space="0"/>
              <w:left w:val="single" w:color="auto" w:sz="4" w:space="0"/>
              <w:bottom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c>
          <w:tcPr>
            <w:tcW w:w="1835" w:type="dxa"/>
            <w:gridSpan w:val="2"/>
            <w:tcBorders>
              <w:top w:val="double" w:color="auto" w:sz="4" w:space="0"/>
              <w:bottom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c>
          <w:tcPr>
            <w:tcW w:w="1835" w:type="dxa"/>
            <w:gridSpan w:val="2"/>
            <w:tcBorders>
              <w:top w:val="double" w:color="auto" w:sz="4" w:space="0"/>
              <w:bottom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c>
          <w:tcPr>
            <w:tcW w:w="1835" w:type="dxa"/>
            <w:gridSpan w:val="2"/>
            <w:tcBorders>
              <w:top w:val="double" w:color="auto" w:sz="4" w:space="0"/>
              <w:bottom w:val="double" w:color="auto" w:sz="4" w:space="0"/>
              <w:right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第    轮</w:t>
            </w:r>
          </w:p>
        </w:tc>
        <w:tc>
          <w:tcPr>
            <w:tcW w:w="3670" w:type="dxa"/>
            <w:gridSpan w:val="4"/>
            <w:tcBorders>
              <w:top w:val="double" w:color="auto" w:sz="4" w:space="0"/>
              <w:left w:val="single" w:color="auto" w:sz="4" w:space="0"/>
              <w:bottom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c>
          <w:tcPr>
            <w:tcW w:w="3670" w:type="dxa"/>
            <w:gridSpan w:val="4"/>
            <w:tcBorders>
              <w:top w:val="double" w:color="auto" w:sz="4" w:space="0"/>
              <w:bottom w:val="double" w:color="auto" w:sz="4" w:space="0"/>
              <w:right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keepNext w:val="0"/>
              <w:keepLines w:val="0"/>
              <w:suppressLineNumbers w:val="0"/>
              <w:tabs>
                <w:tab w:val="left" w:pos="420"/>
              </w:tabs>
              <w:spacing w:before="0" w:beforeAutospacing="0" w:after="0" w:afterAutospacing="0" w:line="360" w:lineRule="auto"/>
              <w:ind w:left="0" w:right="0"/>
              <w:jc w:val="center"/>
              <w:rPr>
                <w:rFonts w:hint="eastAsia" w:ascii="宋体" w:hAnsi="宋体" w:eastAsia="宋体" w:cs="宋体"/>
                <w:strike/>
                <w:szCs w:val="21"/>
                <w:highlight w:val="none"/>
              </w:rPr>
            </w:pPr>
            <w:r>
              <w:rPr>
                <w:rFonts w:hint="eastAsia" w:ascii="宋体" w:hAnsi="宋体" w:eastAsia="宋体" w:cs="宋体"/>
                <w:strike/>
                <w:szCs w:val="21"/>
                <w:highlight w:val="none"/>
              </w:rPr>
              <w:t>第    轮</w:t>
            </w:r>
          </w:p>
        </w:tc>
        <w:tc>
          <w:tcPr>
            <w:tcW w:w="7340" w:type="dxa"/>
            <w:gridSpan w:val="8"/>
            <w:tcBorders>
              <w:top w:val="double" w:color="auto" w:sz="4" w:space="0"/>
              <w:left w:val="single" w:color="auto" w:sz="4" w:space="0"/>
              <w:bottom w:val="double" w:color="auto" w:sz="4" w:space="0"/>
              <w:right w:val="double" w:color="auto" w:sz="4" w:space="0"/>
            </w:tcBorders>
            <w:noWrap w:val="0"/>
            <w:vAlign w:val="top"/>
          </w:tcPr>
          <w:p>
            <w:pPr>
              <w:keepNext w:val="0"/>
              <w:keepLines w:val="0"/>
              <w:suppressLineNumbers w:val="0"/>
              <w:tabs>
                <w:tab w:val="left" w:pos="420"/>
              </w:tabs>
              <w:spacing w:before="0" w:beforeAutospacing="0" w:after="0" w:afterAutospacing="0" w:line="360" w:lineRule="auto"/>
              <w:ind w:left="0" w:right="0"/>
              <w:rPr>
                <w:rFonts w:hint="eastAsia" w:ascii="宋体" w:hAnsi="宋体" w:eastAsia="宋体" w:cs="宋体"/>
                <w:strike/>
                <w:szCs w:val="21"/>
                <w:highlight w:val="none"/>
              </w:rPr>
            </w:pPr>
          </w:p>
        </w:tc>
      </w:tr>
    </w:tbl>
    <w:p>
      <w:pPr>
        <w:tabs>
          <w:tab w:val="left" w:pos="420"/>
        </w:tabs>
        <w:adjustRightInd w:val="0"/>
        <w:snapToGrid w:val="0"/>
        <w:jc w:val="center"/>
        <w:rPr>
          <w:rFonts w:hint="eastAsia" w:ascii="宋体" w:hAnsi="宋体" w:cs="宋体"/>
          <w:strike/>
          <w:szCs w:val="21"/>
          <w:highlight w:val="none"/>
        </w:rPr>
      </w:pPr>
      <w:r>
        <w:rPr>
          <w:rFonts w:hint="eastAsia" w:ascii="宋体" w:hAnsi="宋体" w:cs="宋体"/>
          <w:strike/>
          <w:szCs w:val="21"/>
          <w:highlight w:val="none"/>
        </w:rPr>
        <w:t>表2.每轮投票后的入围方案</w:t>
      </w:r>
    </w:p>
    <w:p>
      <w:pPr>
        <w:tabs>
          <w:tab w:val="left" w:pos="420"/>
        </w:tabs>
        <w:adjustRightInd w:val="0"/>
        <w:snapToGrid w:val="0"/>
        <w:rPr>
          <w:rFonts w:hint="eastAsia" w:ascii="宋体" w:hAnsi="宋体" w:cs="宋体"/>
          <w:strike/>
          <w:sz w:val="24"/>
          <w:highlight w:val="none"/>
        </w:rPr>
      </w:pPr>
    </w:p>
    <w:p>
      <w:pPr>
        <w:tabs>
          <w:tab w:val="left" w:pos="420"/>
        </w:tabs>
        <w:adjustRightInd w:val="0"/>
        <w:snapToGrid w:val="0"/>
        <w:ind w:firstLine="480" w:firstLineChars="200"/>
        <w:rPr>
          <w:rFonts w:hint="eastAsia" w:ascii="宋体" w:hAnsi="宋体" w:cs="宋体"/>
          <w:strike/>
          <w:sz w:val="24"/>
          <w:highlight w:val="none"/>
        </w:rPr>
      </w:pPr>
      <w:r>
        <w:rPr>
          <w:rFonts w:hint="eastAsia" w:ascii="宋体" w:hAnsi="宋体" w:cs="宋体"/>
          <w:strike/>
          <w:sz w:val="24"/>
          <w:highlight w:val="none"/>
        </w:rPr>
        <w:t>投票规则：</w:t>
      </w:r>
    </w:p>
    <w:p>
      <w:pPr>
        <w:tabs>
          <w:tab w:val="left" w:pos="420"/>
        </w:tabs>
        <w:adjustRightInd w:val="0"/>
        <w:snapToGrid w:val="0"/>
        <w:ind w:firstLine="480" w:firstLineChars="200"/>
        <w:rPr>
          <w:rFonts w:hint="eastAsia" w:ascii="宋体" w:hAnsi="宋体" w:cs="宋体"/>
          <w:strike/>
          <w:sz w:val="24"/>
          <w:highlight w:val="none"/>
        </w:rPr>
      </w:pPr>
      <w:r>
        <w:rPr>
          <w:rFonts w:hint="eastAsia" w:ascii="宋体" w:hAnsi="宋体" w:cs="宋体"/>
          <w:strike/>
          <w:sz w:val="24"/>
          <w:highlight w:val="none"/>
        </w:rPr>
        <w:t>1.采用逐轮投票方式，表2用于汇总每轮投票结果，从上到下每轮投票使用一行空格，每个空格填一个方案编号，同一行的方案编号不得重复。每轮投票允许选择的总数即下一轮候选总数，以得票多的方案当选为下一轮投票的候选方案。不能进入下一轮的方案，根据本轮得票数量确定名次。遇票数相等不能确定入选下一轮投标方案时，应进行附加投票，以确定名次。</w:t>
      </w:r>
    </w:p>
    <w:p>
      <w:pPr>
        <w:tabs>
          <w:tab w:val="left" w:pos="420"/>
        </w:tabs>
        <w:adjustRightInd w:val="0"/>
        <w:snapToGrid w:val="0"/>
        <w:ind w:firstLine="480" w:firstLineChars="200"/>
        <w:rPr>
          <w:rFonts w:hint="eastAsia" w:ascii="宋体" w:hAnsi="宋体" w:cs="宋体"/>
          <w:strike/>
          <w:sz w:val="24"/>
          <w:highlight w:val="none"/>
        </w:rPr>
      </w:pPr>
      <w:r>
        <w:rPr>
          <w:rFonts w:hint="eastAsia" w:ascii="宋体" w:hAnsi="宋体" w:cs="宋体"/>
          <w:strike/>
          <w:sz w:val="24"/>
          <w:highlight w:val="none"/>
        </w:rPr>
        <w:t>2.若投标人数为9人或以上，第一轮投票从表2第一行开始；若投标人数为5至8人，第一轮投票从表2第二行开始；若投标人数为3至4人，第一轮投票从表2第三行空格开始。</w:t>
      </w:r>
    </w:p>
    <w:p>
      <w:pPr>
        <w:tabs>
          <w:tab w:val="left" w:pos="420"/>
        </w:tabs>
        <w:adjustRightInd w:val="0"/>
        <w:snapToGrid w:val="0"/>
        <w:ind w:firstLine="480" w:firstLineChars="200"/>
        <w:rPr>
          <w:rFonts w:hint="eastAsia" w:ascii="宋体" w:hAnsi="宋体" w:cs="宋体"/>
          <w:strike/>
          <w:sz w:val="24"/>
          <w:highlight w:val="none"/>
        </w:rPr>
      </w:pPr>
      <w:r>
        <w:rPr>
          <w:rFonts w:hint="eastAsia" w:ascii="宋体" w:hAnsi="宋体" w:cs="宋体"/>
          <w:strike/>
          <w:sz w:val="24"/>
          <w:highlight w:val="none"/>
        </w:rPr>
        <w:t>3.投票结束后，点票人员对投票人数、票数和每票应选方案总数加以核对和统计，作废的选票不得统计，并向评标委员会报告。</w:t>
      </w:r>
    </w:p>
    <w:p>
      <w:pPr>
        <w:tabs>
          <w:tab w:val="left" w:pos="420"/>
        </w:tabs>
        <w:adjustRightInd w:val="0"/>
        <w:snapToGrid w:val="0"/>
        <w:ind w:firstLine="480" w:firstLineChars="200"/>
        <w:rPr>
          <w:rFonts w:hint="eastAsia" w:ascii="宋体" w:hAnsi="宋体" w:cs="宋体"/>
          <w:strike/>
          <w:sz w:val="24"/>
          <w:highlight w:val="none"/>
        </w:rPr>
      </w:pPr>
      <w:r>
        <w:rPr>
          <w:rFonts w:hint="eastAsia" w:ascii="宋体" w:hAnsi="宋体" w:cs="宋体"/>
          <w:strike/>
          <w:sz w:val="24"/>
          <w:highlight w:val="none"/>
        </w:rPr>
        <w:t>4.评标委员会成员应当独立投票，自投票开始至最终排名统计结果公布期间，任何人不得非法干预、影响投票过程，不得透露、协商、改变投票结果，不得使用通信联络工具。</w:t>
      </w:r>
    </w:p>
    <w:p>
      <w:pPr>
        <w:tabs>
          <w:tab w:val="left" w:pos="420"/>
        </w:tabs>
        <w:spacing w:line="360" w:lineRule="auto"/>
        <w:ind w:firstLine="480"/>
        <w:rPr>
          <w:rFonts w:hint="eastAsia" w:ascii="宋体" w:hAnsi="宋体" w:cs="宋体"/>
          <w:strike/>
          <w:sz w:val="24"/>
          <w:highlight w:val="none"/>
        </w:rPr>
      </w:pPr>
    </w:p>
    <w:p>
      <w:pPr>
        <w:tabs>
          <w:tab w:val="left" w:pos="420"/>
        </w:tabs>
        <w:spacing w:line="360" w:lineRule="auto"/>
        <w:rPr>
          <w:rFonts w:hint="eastAsia" w:ascii="宋体" w:hAnsi="宋体" w:cs="宋体"/>
          <w:b/>
          <w:bCs/>
          <w:strike/>
          <w:sz w:val="24"/>
          <w:highlight w:val="none"/>
        </w:rPr>
        <w:sectPr>
          <w:footerReference r:id="rId9" w:type="default"/>
          <w:type w:val="nextColumn"/>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hAnsi="宋体" w:cs="宋体"/>
          <w:strike/>
          <w:sz w:val="24"/>
          <w:highlight w:val="none"/>
        </w:rPr>
        <w:t>评委签名：                                 日期：     年    月   日</w:t>
      </w:r>
    </w:p>
    <w:p>
      <w:pPr>
        <w:pStyle w:val="6"/>
        <w:spacing w:before="156" w:after="156"/>
        <w:ind w:left="0" w:firstLine="0"/>
        <w:rPr>
          <w:rFonts w:hint="eastAsia" w:ascii="宋体" w:hAnsi="宋体" w:cs="宋体"/>
          <w:strike/>
          <w:highlight w:val="none"/>
        </w:rPr>
      </w:pPr>
      <w:bookmarkStart w:id="73" w:name="_Toc29468"/>
      <w:r>
        <w:rPr>
          <w:rFonts w:hint="eastAsia" w:ascii="宋体" w:hAnsi="宋体" w:cs="宋体"/>
          <w:strike/>
          <w:highlight w:val="none"/>
        </w:rPr>
        <w:t>附件11 投票汇总表格（适用于投票法）</w:t>
      </w:r>
      <w:bookmarkEnd w:id="73"/>
    </w:p>
    <w:p>
      <w:pPr>
        <w:jc w:val="center"/>
        <w:rPr>
          <w:rFonts w:hint="eastAsia" w:ascii="宋体" w:hAnsi="宋体" w:cs="宋体"/>
          <w:b/>
          <w:strike/>
          <w:sz w:val="32"/>
          <w:highlight w:val="none"/>
        </w:rPr>
      </w:pPr>
    </w:p>
    <w:p>
      <w:pPr>
        <w:jc w:val="center"/>
        <w:rPr>
          <w:rFonts w:hint="eastAsia" w:ascii="宋体" w:hAnsi="宋体" w:cs="宋体"/>
          <w:b/>
          <w:strike/>
          <w:sz w:val="32"/>
          <w:highlight w:val="none"/>
        </w:rPr>
      </w:pPr>
      <w:r>
        <w:rPr>
          <w:rFonts w:hint="eastAsia" w:ascii="宋体" w:hAnsi="宋体" w:cs="宋体"/>
          <w:b/>
          <w:strike/>
          <w:sz w:val="32"/>
          <w:highlight w:val="none"/>
        </w:rPr>
        <w:t>投票汇总表格</w:t>
      </w:r>
    </w:p>
    <w:p>
      <w:pPr>
        <w:rPr>
          <w:rFonts w:hint="eastAsia" w:ascii="宋体" w:hAnsi="宋体" w:cs="宋体"/>
          <w:strike/>
          <w:highlight w:val="none"/>
        </w:rPr>
      </w:pPr>
      <w:r>
        <w:rPr>
          <w:rFonts w:hint="eastAsia" w:ascii="宋体" w:hAnsi="宋体" w:cs="宋体"/>
          <w:strike/>
          <w:highlight w:val="none"/>
        </w:rPr>
        <w:t>项目名称：</w:t>
      </w:r>
      <w:r>
        <w:rPr>
          <w:rFonts w:hint="eastAsia" w:ascii="宋体" w:hAnsi="宋体" w:cs="宋体"/>
          <w:strike/>
          <w:sz w:val="24"/>
          <w:highlight w:val="none"/>
          <w:u w:val="single"/>
        </w:rPr>
        <w:t xml:space="preserve">                       </w:t>
      </w:r>
      <w:r>
        <w:rPr>
          <w:rFonts w:hint="eastAsia" w:ascii="宋体" w:hAnsi="宋体" w:cs="宋体"/>
          <w:strike/>
          <w:highlight w:val="none"/>
        </w:rPr>
        <w:t xml:space="preserve">                                                                     日期：       年    月    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方案编号</w:t>
            </w:r>
          </w:p>
        </w:tc>
        <w:tc>
          <w:tcPr>
            <w:tcW w:w="1420"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第一轮得票</w:t>
            </w:r>
          </w:p>
        </w:tc>
        <w:tc>
          <w:tcPr>
            <w:tcW w:w="1420"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第二轮得票</w:t>
            </w:r>
          </w:p>
        </w:tc>
        <w:tc>
          <w:tcPr>
            <w:tcW w:w="1420"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第三轮得票</w:t>
            </w:r>
          </w:p>
        </w:tc>
        <w:tc>
          <w:tcPr>
            <w:tcW w:w="1420"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第四轮得票</w:t>
            </w:r>
          </w:p>
        </w:tc>
        <w:tc>
          <w:tcPr>
            <w:tcW w:w="2708" w:type="dxa"/>
            <w:gridSpan w:val="4"/>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每轮得票排序</w:t>
            </w:r>
          </w:p>
        </w:tc>
        <w:tc>
          <w:tcPr>
            <w:tcW w:w="1275"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排列名次</w:t>
            </w:r>
          </w:p>
        </w:tc>
        <w:tc>
          <w:tcPr>
            <w:tcW w:w="3045"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投标人名称</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p>
        </w:tc>
        <w:tc>
          <w:tcPr>
            <w:tcW w:w="1420" w:type="dxa"/>
            <w:vMerge w:val="continue"/>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p>
        </w:tc>
        <w:tc>
          <w:tcPr>
            <w:tcW w:w="1420" w:type="dxa"/>
            <w:vMerge w:val="continue"/>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p>
        </w:tc>
        <w:tc>
          <w:tcPr>
            <w:tcW w:w="1420" w:type="dxa"/>
            <w:vMerge w:val="continue"/>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p>
        </w:tc>
        <w:tc>
          <w:tcPr>
            <w:tcW w:w="1420" w:type="dxa"/>
            <w:vMerge w:val="continue"/>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1</w:t>
            </w:r>
          </w:p>
        </w:tc>
        <w:tc>
          <w:tcPr>
            <w:tcW w:w="677"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2</w:t>
            </w:r>
          </w:p>
        </w:tc>
        <w:tc>
          <w:tcPr>
            <w:tcW w:w="677"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3</w:t>
            </w:r>
          </w:p>
        </w:tc>
        <w:tc>
          <w:tcPr>
            <w:tcW w:w="677"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4</w:t>
            </w:r>
          </w:p>
        </w:tc>
        <w:tc>
          <w:tcPr>
            <w:tcW w:w="1275" w:type="dxa"/>
            <w:vMerge w:val="continue"/>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p>
        </w:tc>
        <w:tc>
          <w:tcPr>
            <w:tcW w:w="3045" w:type="dxa"/>
            <w:vMerge w:val="continue"/>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noWrap w:val="0"/>
            <w:vAlign w:val="top"/>
          </w:tcPr>
          <w:p>
            <w:pPr>
              <w:keepNext w:val="0"/>
              <w:keepLines w:val="0"/>
              <w:suppressLineNumbers w:val="0"/>
              <w:spacing w:before="0" w:beforeAutospacing="0" w:after="0" w:afterAutospacing="0" w:line="48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1</w:t>
            </w: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275"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3045"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keepNext w:val="0"/>
              <w:keepLines w:val="0"/>
              <w:suppressLineNumbers w:val="0"/>
              <w:spacing w:before="0" w:beforeAutospacing="0" w:after="0" w:afterAutospacing="0" w:line="48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2</w:t>
            </w: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275"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3045"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keepNext w:val="0"/>
              <w:keepLines w:val="0"/>
              <w:suppressLineNumbers w:val="0"/>
              <w:spacing w:before="0" w:beforeAutospacing="0" w:after="0" w:afterAutospacing="0" w:line="48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3</w:t>
            </w: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275"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3045"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keepNext w:val="0"/>
              <w:keepLines w:val="0"/>
              <w:suppressLineNumbers w:val="0"/>
              <w:spacing w:before="0" w:beforeAutospacing="0" w:after="0" w:afterAutospacing="0" w:line="48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4</w:t>
            </w: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275"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3045"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keepNext w:val="0"/>
              <w:keepLines w:val="0"/>
              <w:suppressLineNumbers w:val="0"/>
              <w:spacing w:before="0" w:beforeAutospacing="0" w:after="0" w:afterAutospacing="0" w:line="48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5</w:t>
            </w: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275"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3045"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keepNext w:val="0"/>
              <w:keepLines w:val="0"/>
              <w:suppressLineNumbers w:val="0"/>
              <w:spacing w:before="0" w:beforeAutospacing="0" w:after="0" w:afterAutospacing="0" w:line="48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6</w:t>
            </w: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275"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3045"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keepNext w:val="0"/>
              <w:keepLines w:val="0"/>
              <w:suppressLineNumbers w:val="0"/>
              <w:spacing w:before="0" w:beforeAutospacing="0" w:after="0" w:afterAutospacing="0" w:line="480" w:lineRule="auto"/>
              <w:ind w:left="0" w:right="0"/>
              <w:jc w:val="center"/>
              <w:rPr>
                <w:rFonts w:hint="eastAsia" w:ascii="宋体" w:hAnsi="宋体" w:eastAsia="宋体" w:cs="宋体"/>
                <w:strike/>
                <w:highlight w:val="none"/>
              </w:rPr>
            </w:pPr>
            <w:r>
              <w:rPr>
                <w:rFonts w:hint="eastAsia" w:ascii="宋体" w:hAnsi="宋体" w:eastAsia="宋体" w:cs="宋体"/>
                <w:strike/>
                <w:highlight w:val="none"/>
              </w:rPr>
              <w:t>…</w:t>
            </w: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420" w:type="dxa"/>
            <w:noWrap w:val="0"/>
            <w:vAlign w:val="bottom"/>
          </w:tcPr>
          <w:p>
            <w:pPr>
              <w:keepNext w:val="0"/>
              <w:keepLines w:val="0"/>
              <w:suppressLineNumbers w:val="0"/>
              <w:spacing w:before="0" w:beforeAutospacing="0" w:after="0" w:afterAutospacing="0" w:line="480" w:lineRule="auto"/>
              <w:ind w:left="0" w:right="0"/>
              <w:jc w:val="center"/>
              <w:rPr>
                <w:rFonts w:hint="eastAsia" w:ascii="宋体" w:hAnsi="宋体" w:eastAsia="宋体" w:cs="宋体"/>
                <w:strike/>
                <w:highlight w:val="none"/>
              </w:rPr>
            </w:pPr>
          </w:p>
        </w:tc>
        <w:tc>
          <w:tcPr>
            <w:tcW w:w="1420"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bottom"/>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677" w:type="dxa"/>
            <w:noWrap w:val="0"/>
            <w:vAlign w:val="bottom"/>
          </w:tcPr>
          <w:p>
            <w:pPr>
              <w:keepNext w:val="0"/>
              <w:keepLines w:val="0"/>
              <w:suppressLineNumbers w:val="0"/>
              <w:spacing w:before="0" w:beforeAutospacing="0" w:after="0" w:afterAutospacing="0" w:line="480" w:lineRule="auto"/>
              <w:ind w:left="0" w:right="0"/>
              <w:rPr>
                <w:rFonts w:hint="eastAsia" w:ascii="宋体" w:hAnsi="宋体" w:eastAsia="宋体" w:cs="宋体"/>
                <w:strike/>
                <w:highlight w:val="none"/>
              </w:rPr>
            </w:pPr>
          </w:p>
        </w:tc>
        <w:tc>
          <w:tcPr>
            <w:tcW w:w="1275" w:type="dxa"/>
            <w:noWrap w:val="0"/>
            <w:vAlign w:val="bottom"/>
          </w:tcPr>
          <w:p>
            <w:pPr>
              <w:keepNext w:val="0"/>
              <w:keepLines w:val="0"/>
              <w:suppressLineNumbers w:val="0"/>
              <w:spacing w:before="0" w:beforeAutospacing="0" w:after="0" w:afterAutospacing="0" w:line="480" w:lineRule="auto"/>
              <w:ind w:left="0" w:right="0"/>
              <w:jc w:val="center"/>
              <w:rPr>
                <w:rFonts w:hint="eastAsia" w:ascii="宋体" w:hAnsi="宋体" w:eastAsia="宋体" w:cs="宋体"/>
                <w:strike/>
                <w:highlight w:val="none"/>
              </w:rPr>
            </w:pPr>
          </w:p>
        </w:tc>
        <w:tc>
          <w:tcPr>
            <w:tcW w:w="3045" w:type="dxa"/>
            <w:noWrap w:val="0"/>
            <w:vAlign w:val="bottom"/>
          </w:tcPr>
          <w:p>
            <w:pPr>
              <w:keepNext w:val="0"/>
              <w:keepLines w:val="0"/>
              <w:suppressLineNumbers w:val="0"/>
              <w:spacing w:before="0" w:beforeAutospacing="0" w:after="0" w:afterAutospacing="0" w:line="480" w:lineRule="auto"/>
              <w:ind w:left="0" w:right="0"/>
              <w:jc w:val="center"/>
              <w:rPr>
                <w:rFonts w:hint="eastAsia" w:ascii="宋体" w:hAnsi="宋体" w:eastAsia="宋体" w:cs="宋体"/>
                <w:strike/>
                <w:highlight w:val="none"/>
              </w:rPr>
            </w:pPr>
          </w:p>
        </w:tc>
      </w:tr>
    </w:tbl>
    <w:p>
      <w:pPr>
        <w:rPr>
          <w:rFonts w:hint="eastAsia" w:ascii="宋体" w:hAnsi="宋体" w:cs="宋体"/>
          <w:b/>
          <w:bCs/>
          <w:strike/>
          <w:sz w:val="24"/>
          <w:highlight w:val="none"/>
        </w:rPr>
        <w:sectPr>
          <w:pgSz w:w="16838" w:h="11906" w:orient="landscape"/>
          <w:pgMar w:top="1440" w:right="1440" w:bottom="1440" w:left="1440"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6"/>
        <w:spacing w:before="156" w:after="156"/>
        <w:ind w:left="0" w:firstLine="0"/>
        <w:rPr>
          <w:rFonts w:hint="eastAsia" w:ascii="宋体" w:hAnsi="宋体" w:cs="宋体"/>
          <w:strike/>
          <w:highlight w:val="none"/>
        </w:rPr>
      </w:pPr>
      <w:bookmarkStart w:id="74" w:name="_Toc11946"/>
      <w:r>
        <w:rPr>
          <w:rFonts w:hint="eastAsia" w:ascii="宋体" w:hAnsi="宋体" w:cs="宋体"/>
          <w:strike/>
          <w:highlight w:val="none"/>
        </w:rPr>
        <w:t>附件12 定标委员会组建及定标办法</w:t>
      </w:r>
      <w:bookmarkEnd w:id="74"/>
    </w:p>
    <w:p>
      <w:pPr>
        <w:rPr>
          <w:rFonts w:hint="eastAsia" w:ascii="宋体" w:hAnsi="宋体" w:cs="宋体"/>
          <w:strike/>
          <w:highlight w:val="none"/>
        </w:rPr>
      </w:pPr>
    </w:p>
    <w:p>
      <w:pPr>
        <w:tabs>
          <w:tab w:val="left" w:pos="420"/>
        </w:tabs>
        <w:jc w:val="center"/>
        <w:rPr>
          <w:rFonts w:hint="eastAsia" w:ascii="宋体" w:hAnsi="宋体" w:cs="宋体"/>
          <w:b/>
          <w:strike/>
          <w:sz w:val="32"/>
          <w:highlight w:val="none"/>
        </w:rPr>
      </w:pPr>
      <w:r>
        <w:rPr>
          <w:rFonts w:hint="eastAsia" w:ascii="宋体" w:hAnsi="宋体" w:cs="宋体"/>
          <w:b/>
          <w:strike/>
          <w:sz w:val="32"/>
          <w:highlight w:val="none"/>
        </w:rPr>
        <w:t>定标委员会组建及定标办法</w:t>
      </w:r>
    </w:p>
    <w:p>
      <w:pPr>
        <w:tabs>
          <w:tab w:val="left" w:pos="420"/>
        </w:tabs>
        <w:ind w:firstLine="480"/>
        <w:rPr>
          <w:rFonts w:hint="eastAsia" w:ascii="宋体" w:hAnsi="宋体" w:cs="宋体"/>
          <w:strike/>
          <w:sz w:val="24"/>
          <w:highlight w:val="none"/>
        </w:rPr>
      </w:pPr>
    </w:p>
    <w:p>
      <w:pPr>
        <w:tabs>
          <w:tab w:val="left" w:pos="420"/>
        </w:tabs>
        <w:ind w:firstLine="480"/>
        <w:rPr>
          <w:rFonts w:hint="eastAsia" w:ascii="宋体" w:hAnsi="宋体" w:cs="宋体"/>
          <w:strike/>
          <w:sz w:val="24"/>
          <w:highlight w:val="none"/>
        </w:rPr>
      </w:pPr>
    </w:p>
    <w:p>
      <w:pPr>
        <w:tabs>
          <w:tab w:val="left" w:pos="420"/>
        </w:tabs>
        <w:ind w:firstLine="480"/>
        <w:rPr>
          <w:rFonts w:hint="eastAsia" w:ascii="宋体" w:hAnsi="宋体" w:cs="宋体"/>
          <w:strike/>
          <w:sz w:val="24"/>
          <w:highlight w:val="none"/>
        </w:rPr>
      </w:pPr>
      <w:r>
        <w:rPr>
          <w:rFonts w:hint="eastAsia" w:ascii="宋体" w:hAnsi="宋体" w:cs="宋体"/>
          <w:strike/>
          <w:sz w:val="24"/>
          <w:highlight w:val="none"/>
        </w:rPr>
        <w:t>招标人自行制定。</w:t>
      </w:r>
    </w:p>
    <w:p>
      <w:pPr>
        <w:tabs>
          <w:tab w:val="left" w:pos="420"/>
        </w:tabs>
        <w:jc w:val="center"/>
        <w:rPr>
          <w:rFonts w:hint="eastAsia" w:ascii="宋体" w:hAnsi="宋体" w:cs="宋体"/>
          <w:b/>
          <w:strike/>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jc w:val="center"/>
        <w:rPr>
          <w:rFonts w:hint="eastAsia" w:ascii="宋体" w:hAnsi="宋体" w:cs="宋体"/>
          <w:b/>
          <w:sz w:val="32"/>
          <w:highlight w:val="none"/>
        </w:rPr>
      </w:pPr>
    </w:p>
    <w:p>
      <w:pPr>
        <w:tabs>
          <w:tab w:val="left" w:pos="420"/>
        </w:tabs>
        <w:rPr>
          <w:rFonts w:hint="eastAsia" w:ascii="宋体" w:hAnsi="宋体" w:cs="宋体"/>
          <w:b/>
          <w:strike/>
          <w:sz w:val="32"/>
          <w:highlight w:val="none"/>
        </w:rPr>
      </w:pPr>
    </w:p>
    <w:p>
      <w:pPr>
        <w:pStyle w:val="6"/>
        <w:spacing w:before="156" w:after="156"/>
        <w:ind w:left="0" w:firstLine="0"/>
        <w:rPr>
          <w:rFonts w:hint="eastAsia" w:ascii="宋体" w:hAnsi="宋体" w:cs="宋体"/>
          <w:strike/>
          <w:highlight w:val="none"/>
        </w:rPr>
      </w:pPr>
      <w:bookmarkStart w:id="75" w:name="_Toc10652"/>
      <w:r>
        <w:rPr>
          <w:rFonts w:hint="eastAsia" w:ascii="宋体" w:hAnsi="宋体" w:cs="宋体"/>
          <w:strike/>
          <w:highlight w:val="none"/>
        </w:rPr>
        <w:t>附件13 定标办法设置说明</w:t>
      </w:r>
      <w:bookmarkEnd w:id="75"/>
    </w:p>
    <w:p>
      <w:pPr>
        <w:rPr>
          <w:rFonts w:hint="eastAsia" w:ascii="宋体" w:hAnsi="宋体" w:cs="宋体"/>
          <w:strike/>
          <w:highlight w:val="none"/>
        </w:rPr>
      </w:pPr>
    </w:p>
    <w:p>
      <w:pPr>
        <w:jc w:val="center"/>
        <w:rPr>
          <w:rFonts w:hint="eastAsia" w:ascii="宋体" w:hAnsi="宋体" w:cs="宋体"/>
          <w:b/>
          <w:strike/>
          <w:sz w:val="32"/>
          <w:szCs w:val="20"/>
          <w:highlight w:val="none"/>
        </w:rPr>
      </w:pPr>
      <w:r>
        <w:rPr>
          <w:rFonts w:hint="eastAsia" w:ascii="宋体" w:hAnsi="宋体" w:cs="宋体"/>
          <w:b/>
          <w:strike/>
          <w:sz w:val="32"/>
          <w:szCs w:val="20"/>
          <w:highlight w:val="none"/>
        </w:rPr>
        <w:t>定标办法设置说明</w:t>
      </w:r>
    </w:p>
    <w:p>
      <w:pPr>
        <w:adjustRightInd w:val="0"/>
        <w:snapToGrid w:val="0"/>
        <w:spacing w:line="360" w:lineRule="auto"/>
        <w:rPr>
          <w:rFonts w:hint="eastAsia" w:ascii="宋体" w:hAnsi="宋体" w:cs="宋体"/>
          <w:strike/>
          <w:highlight w:val="none"/>
        </w:rPr>
      </w:pPr>
      <w:r>
        <w:rPr>
          <w:rFonts w:hint="eastAsia" w:ascii="宋体" w:hAnsi="宋体" w:cs="宋体"/>
          <w:strike/>
          <w:highlight w:val="none"/>
        </w:rPr>
        <w:t xml:space="preserve"> </w:t>
      </w:r>
    </w:p>
    <w:p>
      <w:pPr>
        <w:adjustRightInd w:val="0"/>
        <w:snapToGrid w:val="0"/>
        <w:spacing w:line="360" w:lineRule="auto"/>
        <w:rPr>
          <w:rFonts w:hint="eastAsia" w:ascii="宋体" w:hAnsi="宋体" w:cs="宋体"/>
          <w:strike/>
          <w:highlight w:val="none"/>
        </w:rPr>
      </w:pPr>
    </w:p>
    <w:p>
      <w:pPr>
        <w:adjustRightInd w:val="0"/>
        <w:snapToGrid w:val="0"/>
        <w:spacing w:line="360" w:lineRule="auto"/>
        <w:ind w:firstLine="411" w:firstLineChars="196"/>
        <w:rPr>
          <w:rFonts w:hint="eastAsia" w:ascii="宋体" w:hAnsi="宋体" w:cs="宋体"/>
          <w:strike/>
          <w:kern w:val="0"/>
          <w:szCs w:val="21"/>
          <w:highlight w:val="none"/>
        </w:rPr>
      </w:pPr>
      <w:r>
        <w:rPr>
          <w:rFonts w:hint="eastAsia" w:ascii="宋体" w:hAnsi="宋体" w:cs="宋体"/>
          <w:strike/>
          <w:kern w:val="0"/>
          <w:szCs w:val="21"/>
          <w:highlight w:val="none"/>
        </w:rPr>
        <w:t>一、招标公告发布前，招标人应当根据招标项目特点，事先制定科学、合理的定标委员会组建及定标办法，并在招标文件中详细载明。定标时必须严格遵守定标办法，不得临时改变。</w:t>
      </w:r>
    </w:p>
    <w:p>
      <w:pPr>
        <w:adjustRightInd w:val="0"/>
        <w:snapToGrid w:val="0"/>
        <w:spacing w:line="360" w:lineRule="auto"/>
        <w:ind w:firstLine="411" w:firstLineChars="196"/>
        <w:rPr>
          <w:rFonts w:hint="eastAsia" w:ascii="宋体" w:hAnsi="宋体" w:cs="宋体"/>
          <w:strike/>
          <w:kern w:val="0"/>
          <w:szCs w:val="21"/>
          <w:highlight w:val="none"/>
        </w:rPr>
      </w:pPr>
      <w:r>
        <w:rPr>
          <w:rFonts w:hint="eastAsia" w:ascii="宋体" w:hAnsi="宋体" w:cs="宋体"/>
          <w:strike/>
          <w:kern w:val="0"/>
          <w:szCs w:val="21"/>
          <w:highlight w:val="none"/>
        </w:rPr>
        <w:t>定标办法应当对定标因素、定标程序等内容予以明确。可采用价格优势排名、票决、抽签、集体议事决策等办法。</w:t>
      </w:r>
    </w:p>
    <w:p>
      <w:pPr>
        <w:adjustRightInd w:val="0"/>
        <w:snapToGrid w:val="0"/>
        <w:spacing w:line="360" w:lineRule="auto"/>
        <w:ind w:firstLine="411" w:firstLineChars="196"/>
        <w:rPr>
          <w:rFonts w:hint="eastAsia" w:ascii="宋体" w:hAnsi="宋体" w:cs="宋体"/>
          <w:strike/>
          <w:kern w:val="0"/>
          <w:szCs w:val="21"/>
          <w:highlight w:val="none"/>
        </w:rPr>
      </w:pPr>
      <w:r>
        <w:rPr>
          <w:rFonts w:hint="eastAsia" w:ascii="宋体" w:hAnsi="宋体" w:cs="宋体"/>
          <w:strike/>
          <w:kern w:val="0"/>
          <w:szCs w:val="21"/>
          <w:highlight w:val="none"/>
        </w:rPr>
        <w:t>定标委员会成员原则上从招标人、项目业主或者使用单位的领导班子成员、经营管理人员中产生，成员数量为3人以上单数。</w:t>
      </w:r>
    </w:p>
    <w:p>
      <w:pPr>
        <w:adjustRightInd w:val="0"/>
        <w:snapToGrid w:val="0"/>
        <w:spacing w:line="360" w:lineRule="auto"/>
        <w:ind w:firstLine="411" w:firstLineChars="196"/>
        <w:rPr>
          <w:rFonts w:hint="eastAsia" w:ascii="宋体" w:hAnsi="宋体" w:cs="宋体"/>
          <w:strike/>
          <w:kern w:val="0"/>
          <w:szCs w:val="21"/>
          <w:highlight w:val="none"/>
        </w:rPr>
      </w:pPr>
      <w:r>
        <w:rPr>
          <w:rFonts w:hint="eastAsia" w:ascii="宋体" w:hAnsi="宋体" w:cs="宋体"/>
          <w:strike/>
          <w:kern w:val="0"/>
          <w:szCs w:val="21"/>
          <w:highlight w:val="none"/>
        </w:rPr>
        <w:t>二、评标结束后，评标过程中使用的文件、表格及其他纸质资料由招标人收齐并妥善保管。招标人应当自中标候选人公示结束后5个工作日内进入交易中心召开定标会。定标过程应当公开、公平、公正，定标委员会按有关规定及招标文件约定的定标办法确定中标人。</w:t>
      </w:r>
    </w:p>
    <w:p>
      <w:pPr>
        <w:adjustRightInd w:val="0"/>
        <w:snapToGrid w:val="0"/>
        <w:spacing w:line="360" w:lineRule="auto"/>
        <w:ind w:firstLine="411" w:firstLineChars="196"/>
        <w:rPr>
          <w:rFonts w:hint="eastAsia" w:ascii="宋体" w:hAnsi="宋体" w:cs="宋体"/>
          <w:strike/>
          <w:kern w:val="0"/>
          <w:szCs w:val="21"/>
          <w:highlight w:val="none"/>
        </w:rPr>
      </w:pPr>
      <w:r>
        <w:rPr>
          <w:rFonts w:hint="eastAsia" w:ascii="宋体" w:hAnsi="宋体" w:cs="宋体"/>
          <w:strike/>
          <w:kern w:val="0"/>
          <w:szCs w:val="21"/>
          <w:highlight w:val="none"/>
        </w:rPr>
        <w:t>三、招标人应当对定标过程进行记录，并存档备查。</w:t>
      </w:r>
    </w:p>
    <w:p>
      <w:pPr>
        <w:adjustRightInd w:val="0"/>
        <w:snapToGrid w:val="0"/>
        <w:spacing w:line="360" w:lineRule="auto"/>
        <w:ind w:firstLine="420" w:firstLineChars="200"/>
        <w:rPr>
          <w:rFonts w:hint="eastAsia" w:ascii="宋体" w:hAnsi="宋体" w:cs="宋体"/>
          <w:kern w:val="0"/>
          <w:szCs w:val="21"/>
          <w:highlight w:val="none"/>
        </w:rPr>
      </w:pPr>
    </w:p>
    <w:p>
      <w:pPr>
        <w:adjustRightInd w:val="0"/>
        <w:snapToGrid w:val="0"/>
        <w:spacing w:line="360" w:lineRule="auto"/>
        <w:ind w:firstLine="420" w:firstLineChars="200"/>
        <w:rPr>
          <w:rFonts w:hint="eastAsia" w:ascii="宋体" w:hAnsi="宋体" w:cs="宋体"/>
          <w:kern w:val="0"/>
          <w:szCs w:val="21"/>
          <w:highlight w:val="none"/>
        </w:rPr>
      </w:pPr>
    </w:p>
    <w:p>
      <w:pPr>
        <w:adjustRightInd w:val="0"/>
        <w:snapToGrid w:val="0"/>
        <w:spacing w:line="360" w:lineRule="auto"/>
        <w:rPr>
          <w:rFonts w:hint="eastAsia" w:ascii="宋体" w:hAnsi="宋体" w:cs="宋体"/>
          <w:kern w:val="0"/>
          <w:szCs w:val="21"/>
          <w:highlight w:val="none"/>
        </w:rPr>
      </w:pPr>
    </w:p>
    <w:p>
      <w:pPr>
        <w:adjustRightInd w:val="0"/>
        <w:snapToGrid w:val="0"/>
        <w:spacing w:line="360" w:lineRule="auto"/>
        <w:rPr>
          <w:rFonts w:hint="eastAsia" w:ascii="宋体" w:hAnsi="宋体" w:cs="宋体"/>
          <w:kern w:val="0"/>
          <w:szCs w:val="21"/>
          <w:highlight w:val="none"/>
        </w:rPr>
      </w:pPr>
    </w:p>
    <w:p>
      <w:pPr>
        <w:adjustRightInd w:val="0"/>
        <w:snapToGrid w:val="0"/>
        <w:spacing w:line="360" w:lineRule="auto"/>
        <w:rPr>
          <w:rFonts w:hint="eastAsia" w:ascii="宋体" w:hAnsi="宋体" w:cs="宋体"/>
          <w:kern w:val="0"/>
          <w:szCs w:val="21"/>
          <w:highlight w:val="none"/>
        </w:rPr>
      </w:pPr>
    </w:p>
    <w:p>
      <w:pPr>
        <w:adjustRightInd w:val="0"/>
        <w:snapToGrid w:val="0"/>
        <w:ind w:firstLine="420" w:firstLineChars="200"/>
        <w:rPr>
          <w:rFonts w:hint="eastAsia" w:ascii="宋体" w:hAnsi="宋体" w:cs="宋体"/>
          <w:kern w:val="0"/>
          <w:szCs w:val="21"/>
          <w:highlight w:val="none"/>
        </w:rPr>
      </w:pPr>
    </w:p>
    <w:p>
      <w:pPr>
        <w:rPr>
          <w:rFonts w:hint="eastAsia" w:ascii="宋体" w:hAnsi="宋体" w:cs="宋体"/>
          <w:b/>
          <w:sz w:val="36"/>
          <w:szCs w:val="36"/>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pStyle w:val="3"/>
        <w:rPr>
          <w:rFonts w:cs="宋体"/>
          <w:highlight w:val="none"/>
        </w:rPr>
      </w:pPr>
      <w:bookmarkStart w:id="76" w:name="_Toc8165"/>
      <w:r>
        <w:rPr>
          <w:rFonts w:cs="宋体"/>
          <w:highlight w:val="none"/>
        </w:rPr>
        <w:t>第三章  合同条款</w:t>
      </w:r>
      <w:bookmarkEnd w:id="76"/>
    </w:p>
    <w:p>
      <w:pPr>
        <w:widowControl/>
        <w:wordWrap w:val="0"/>
        <w:topLinePunct/>
        <w:adjustRightInd w:val="0"/>
        <w:snapToGrid w:val="0"/>
        <w:spacing w:line="480" w:lineRule="exact"/>
        <w:rPr>
          <w:rFonts w:hint="eastAsia" w:ascii="宋体" w:hAnsi="宋体" w:cs="宋体"/>
          <w:b/>
          <w:sz w:val="24"/>
          <w:highlight w:val="none"/>
        </w:rPr>
      </w:pPr>
      <w:r>
        <w:rPr>
          <w:rFonts w:hint="eastAsia" w:ascii="宋体" w:hAnsi="宋体" w:cs="宋体"/>
          <w:highlight w:val="none"/>
        </w:rPr>
        <w:t xml:space="preserve"> </w:t>
      </w:r>
    </w:p>
    <w:p>
      <w:pPr>
        <w:widowControl/>
        <w:wordWrap w:val="0"/>
        <w:topLinePunct/>
        <w:adjustRightInd w:val="0"/>
        <w:snapToGrid w:val="0"/>
        <w:spacing w:line="480" w:lineRule="exact"/>
        <w:jc w:val="center"/>
        <w:rPr>
          <w:rFonts w:hint="eastAsia" w:ascii="宋体" w:hAnsi="宋体" w:cs="宋体"/>
          <w:b/>
          <w:bCs/>
          <w:sz w:val="36"/>
          <w:highlight w:val="none"/>
        </w:rPr>
      </w:pPr>
    </w:p>
    <w:p>
      <w:pPr>
        <w:rPr>
          <w:rFonts w:eastAsia="黑体"/>
          <w:sz w:val="28"/>
          <w:highlight w:val="none"/>
        </w:rPr>
      </w:pPr>
      <w:r>
        <w:rPr>
          <w:rFonts w:hint="eastAsia" w:eastAsia="黑体"/>
          <w:sz w:val="28"/>
          <w:highlight w:val="none"/>
        </w:rPr>
        <w:t>合同编号：</w:t>
      </w:r>
    </w:p>
    <w:p>
      <w:pPr>
        <w:jc w:val="center"/>
        <w:rPr>
          <w:rFonts w:hint="eastAsia" w:eastAsia="黑体"/>
          <w:sz w:val="52"/>
          <w:highlight w:val="none"/>
        </w:rPr>
      </w:pPr>
    </w:p>
    <w:p>
      <w:pPr>
        <w:jc w:val="center"/>
        <w:rPr>
          <w:rFonts w:eastAsia="黑体"/>
          <w:sz w:val="52"/>
          <w:highlight w:val="none"/>
        </w:rPr>
      </w:pPr>
      <w:r>
        <w:rPr>
          <w:rFonts w:hint="eastAsia" w:eastAsia="黑体"/>
          <w:sz w:val="52"/>
          <w:highlight w:val="none"/>
        </w:rPr>
        <w:t>技术服务合同</w:t>
      </w:r>
    </w:p>
    <w:p>
      <w:pPr>
        <w:jc w:val="center"/>
        <w:rPr>
          <w:rFonts w:hint="eastAsia" w:eastAsia="楷体_GB2312"/>
          <w:sz w:val="36"/>
          <w:highlight w:val="none"/>
        </w:rPr>
      </w:pPr>
    </w:p>
    <w:p>
      <w:pPr>
        <w:jc w:val="center"/>
        <w:rPr>
          <w:rFonts w:eastAsia="楷体_GB2312"/>
          <w:sz w:val="36"/>
          <w:highlight w:val="none"/>
        </w:rPr>
      </w:pPr>
    </w:p>
    <w:p>
      <w:pPr>
        <w:snapToGrid w:val="0"/>
        <w:rPr>
          <w:rFonts w:ascii="宋体" w:hAnsi="宋体"/>
          <w:sz w:val="36"/>
          <w:highlight w:val="none"/>
          <w:u w:val="single"/>
        </w:rPr>
      </w:pPr>
      <w:r>
        <w:rPr>
          <w:rFonts w:hint="eastAsia" w:ascii="宋体" w:hAnsi="宋体"/>
          <w:sz w:val="36"/>
          <w:highlight w:val="none"/>
        </w:rPr>
        <w:t xml:space="preserve">  项目名称：</w:t>
      </w:r>
      <w:r>
        <w:rPr>
          <w:rFonts w:hint="eastAsia" w:ascii="宋体" w:hAnsi="宋体"/>
          <w:sz w:val="36"/>
          <w:highlight w:val="none"/>
          <w:u w:val="single"/>
        </w:rPr>
        <w:t xml:space="preserve">                              </w:t>
      </w:r>
    </w:p>
    <w:p>
      <w:pPr>
        <w:snapToGrid w:val="0"/>
        <w:rPr>
          <w:rFonts w:hint="eastAsia" w:ascii="宋体" w:hAnsi="宋体"/>
          <w:sz w:val="36"/>
          <w:highlight w:val="none"/>
          <w:u w:val="single"/>
        </w:rPr>
      </w:pPr>
    </w:p>
    <w:p>
      <w:pPr>
        <w:snapToGrid w:val="0"/>
        <w:rPr>
          <w:rFonts w:ascii="宋体" w:hAnsi="宋体"/>
          <w:sz w:val="36"/>
          <w:highlight w:val="none"/>
          <w:u w:val="single"/>
        </w:rPr>
      </w:pPr>
    </w:p>
    <w:p>
      <w:pPr>
        <w:snapToGrid w:val="0"/>
        <w:rPr>
          <w:rFonts w:ascii="宋体" w:hAnsi="宋体"/>
          <w:sz w:val="36"/>
          <w:highlight w:val="none"/>
          <w:u w:val="single"/>
        </w:rPr>
      </w:pPr>
      <w:r>
        <w:rPr>
          <w:rFonts w:hint="eastAsia" w:ascii="宋体" w:hAnsi="宋体"/>
          <w:sz w:val="36"/>
          <w:highlight w:val="none"/>
        </w:rPr>
        <w:t xml:space="preserve">      委 托 方：</w:t>
      </w:r>
    </w:p>
    <w:p>
      <w:pPr>
        <w:snapToGrid w:val="0"/>
        <w:rPr>
          <w:rFonts w:ascii="宋体" w:hAnsi="宋体"/>
          <w:sz w:val="36"/>
          <w:highlight w:val="none"/>
          <w:u w:val="single"/>
        </w:rPr>
      </w:pPr>
      <w:r>
        <w:rPr>
          <w:rFonts w:hint="eastAsia" w:ascii="宋体" w:hAnsi="宋体"/>
          <w:sz w:val="36"/>
          <w:highlight w:val="none"/>
        </w:rPr>
        <w:t xml:space="preserve">      （甲 方）</w:t>
      </w:r>
    </w:p>
    <w:p>
      <w:pPr>
        <w:snapToGrid w:val="0"/>
        <w:rPr>
          <w:rFonts w:hint="eastAsia" w:ascii="宋体" w:hAnsi="宋体"/>
          <w:sz w:val="36"/>
          <w:highlight w:val="none"/>
          <w:u w:val="single"/>
        </w:rPr>
      </w:pPr>
    </w:p>
    <w:p>
      <w:pPr>
        <w:snapToGrid w:val="0"/>
        <w:rPr>
          <w:rFonts w:ascii="宋体" w:hAnsi="宋体"/>
          <w:sz w:val="36"/>
          <w:highlight w:val="none"/>
          <w:u w:val="single"/>
        </w:rPr>
      </w:pPr>
    </w:p>
    <w:p>
      <w:pPr>
        <w:snapToGrid w:val="0"/>
        <w:rPr>
          <w:rFonts w:ascii="宋体" w:hAnsi="宋体"/>
          <w:sz w:val="36"/>
          <w:highlight w:val="none"/>
        </w:rPr>
      </w:pPr>
      <w:r>
        <w:rPr>
          <w:rFonts w:hint="eastAsia" w:ascii="宋体" w:hAnsi="宋体"/>
          <w:sz w:val="36"/>
          <w:highlight w:val="none"/>
        </w:rPr>
        <w:t xml:space="preserve">      受 托方： </w:t>
      </w:r>
    </w:p>
    <w:p>
      <w:pPr>
        <w:snapToGrid w:val="0"/>
        <w:rPr>
          <w:rFonts w:ascii="宋体" w:hAnsi="宋体"/>
          <w:sz w:val="36"/>
          <w:highlight w:val="none"/>
          <w:u w:val="single"/>
        </w:rPr>
      </w:pPr>
      <w:r>
        <w:rPr>
          <w:rFonts w:hint="eastAsia" w:ascii="宋体" w:hAnsi="宋体"/>
          <w:sz w:val="36"/>
          <w:highlight w:val="none"/>
        </w:rPr>
        <w:t xml:space="preserve">      （乙 方）</w:t>
      </w:r>
    </w:p>
    <w:p>
      <w:pPr>
        <w:snapToGrid w:val="0"/>
        <w:rPr>
          <w:rFonts w:hint="eastAsia" w:ascii="宋体" w:hAnsi="宋体"/>
          <w:sz w:val="36"/>
          <w:highlight w:val="none"/>
          <w:u w:val="single"/>
        </w:rPr>
      </w:pPr>
    </w:p>
    <w:p>
      <w:pPr>
        <w:snapToGrid w:val="0"/>
        <w:rPr>
          <w:rFonts w:ascii="宋体" w:hAnsi="宋体"/>
          <w:sz w:val="36"/>
          <w:highlight w:val="none"/>
          <w:u w:val="single"/>
        </w:rPr>
      </w:pPr>
    </w:p>
    <w:p>
      <w:pPr>
        <w:snapToGrid w:val="0"/>
        <w:rPr>
          <w:rFonts w:ascii="宋体" w:hAnsi="宋体"/>
          <w:sz w:val="36"/>
          <w:highlight w:val="none"/>
          <w:u w:val="single"/>
        </w:rPr>
      </w:pPr>
      <w:r>
        <w:rPr>
          <w:rFonts w:hint="eastAsia" w:ascii="宋体" w:hAnsi="宋体"/>
          <w:sz w:val="36"/>
          <w:highlight w:val="none"/>
        </w:rPr>
        <w:t xml:space="preserve">      签订时间：</w:t>
      </w:r>
    </w:p>
    <w:p>
      <w:pPr>
        <w:snapToGrid w:val="0"/>
        <w:rPr>
          <w:rFonts w:ascii="宋体" w:hAnsi="宋体"/>
          <w:sz w:val="36"/>
          <w:highlight w:val="none"/>
        </w:rPr>
      </w:pPr>
      <w:r>
        <w:rPr>
          <w:rFonts w:hint="eastAsia" w:ascii="宋体" w:hAnsi="宋体"/>
          <w:sz w:val="36"/>
          <w:highlight w:val="none"/>
        </w:rPr>
        <w:t xml:space="preserve">      签订地点：</w:t>
      </w:r>
    </w:p>
    <w:p>
      <w:pPr>
        <w:snapToGrid w:val="0"/>
        <w:ind w:firstLine="720" w:firstLineChars="200"/>
        <w:rPr>
          <w:rFonts w:ascii="宋体" w:hAnsi="宋体"/>
          <w:sz w:val="36"/>
          <w:highlight w:val="none"/>
        </w:rPr>
      </w:pPr>
      <w:r>
        <w:rPr>
          <w:rFonts w:hint="eastAsia" w:ascii="宋体" w:hAnsi="宋体"/>
          <w:sz w:val="36"/>
          <w:highlight w:val="none"/>
        </w:rPr>
        <w:t xml:space="preserve">  有效期限：签订合同之日起至  年   月   日</w:t>
      </w:r>
    </w:p>
    <w:p>
      <w:pPr>
        <w:snapToGrid w:val="0"/>
        <w:jc w:val="center"/>
        <w:rPr>
          <w:rFonts w:hint="eastAsia" w:ascii="宋体" w:hAnsi="宋体"/>
          <w:sz w:val="30"/>
          <w:highlight w:val="none"/>
        </w:rPr>
      </w:pPr>
    </w:p>
    <w:p>
      <w:pPr>
        <w:snapToGrid w:val="0"/>
        <w:jc w:val="center"/>
        <w:rPr>
          <w:rFonts w:ascii="宋体" w:hAnsi="宋体"/>
          <w:sz w:val="30"/>
          <w:highlight w:val="none"/>
        </w:rPr>
      </w:pPr>
      <w:r>
        <w:rPr>
          <w:rFonts w:hint="eastAsia" w:ascii="宋体" w:hAnsi="宋体"/>
          <w:sz w:val="30"/>
          <w:highlight w:val="none"/>
        </w:rPr>
        <w:t>中华人民共和国科学技术部印制</w:t>
      </w:r>
    </w:p>
    <w:p>
      <w:pPr>
        <w:pStyle w:val="60"/>
        <w:spacing w:line="360" w:lineRule="exact"/>
        <w:ind w:right="720"/>
        <w:rPr>
          <w:rFonts w:hint="eastAsia"/>
          <w:b/>
          <w:sz w:val="30"/>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360" w:lineRule="auto"/>
        <w:rPr>
          <w:rFonts w:hint="eastAsia"/>
          <w:highlight w:val="none"/>
        </w:rPr>
      </w:pPr>
    </w:p>
    <w:p>
      <w:pPr>
        <w:spacing w:line="480" w:lineRule="auto"/>
        <w:rPr>
          <w:rFonts w:hint="eastAsia"/>
          <w:highlight w:val="none"/>
        </w:rPr>
      </w:pPr>
    </w:p>
    <w:p>
      <w:pPr>
        <w:spacing w:line="480" w:lineRule="auto"/>
        <w:rPr>
          <w:rFonts w:hint="eastAsia"/>
          <w:highlight w:val="none"/>
        </w:rPr>
      </w:pPr>
    </w:p>
    <w:p>
      <w:pPr>
        <w:spacing w:before="156" w:beforeLines="50" w:after="156" w:afterLines="50" w:line="480" w:lineRule="auto"/>
        <w:ind w:firstLine="596" w:firstLineChars="179"/>
        <w:rPr>
          <w:rFonts w:hint="eastAsia" w:ascii="宋体" w:hAnsi="宋体"/>
          <w:b/>
          <w:bCs/>
          <w:spacing w:val="26"/>
          <w:sz w:val="28"/>
          <w:szCs w:val="28"/>
          <w:highlight w:val="none"/>
          <w:u w:val="single"/>
        </w:rPr>
      </w:pPr>
      <w:r>
        <w:rPr>
          <w:rFonts w:hint="eastAsia" w:ascii="宋体" w:hAnsi="宋体"/>
          <w:b/>
          <w:bCs/>
          <w:spacing w:val="26"/>
          <w:sz w:val="28"/>
          <w:szCs w:val="28"/>
          <w:highlight w:val="none"/>
        </w:rPr>
        <w:t xml:space="preserve"> 工 程 名 称：</w:t>
      </w:r>
      <w:r>
        <w:rPr>
          <w:rFonts w:hint="eastAsia" w:ascii="宋体" w:hAnsi="宋体"/>
          <w:b/>
          <w:bCs/>
          <w:spacing w:val="26"/>
          <w:sz w:val="28"/>
          <w:szCs w:val="28"/>
          <w:highlight w:val="none"/>
          <w:u w:val="single"/>
        </w:rPr>
        <w:t xml:space="preserve">       </w:t>
      </w:r>
      <w:r>
        <w:rPr>
          <w:rFonts w:hint="eastAsia" w:ascii="宋体" w:hAnsi="宋体"/>
          <w:b/>
          <w:bCs/>
          <w:sz w:val="28"/>
          <w:szCs w:val="28"/>
          <w:highlight w:val="none"/>
          <w:u w:val="single"/>
        </w:rPr>
        <w:t xml:space="preserve">                                 </w:t>
      </w:r>
      <w:r>
        <w:rPr>
          <w:rFonts w:hint="eastAsia" w:ascii="宋体" w:hAnsi="宋体"/>
          <w:b/>
          <w:bCs/>
          <w:spacing w:val="26"/>
          <w:sz w:val="28"/>
          <w:szCs w:val="28"/>
          <w:highlight w:val="none"/>
          <w:u w:val="single"/>
        </w:rPr>
        <w:t xml:space="preserve">  </w:t>
      </w:r>
    </w:p>
    <w:p>
      <w:pPr>
        <w:spacing w:before="156" w:beforeLines="50" w:after="156" w:afterLines="50" w:line="480" w:lineRule="auto"/>
        <w:ind w:firstLine="596" w:firstLineChars="179"/>
        <w:jc w:val="left"/>
        <w:rPr>
          <w:rFonts w:hint="eastAsia" w:ascii="宋体" w:hAnsi="宋体"/>
          <w:b/>
          <w:bCs/>
          <w:spacing w:val="26"/>
          <w:sz w:val="28"/>
          <w:szCs w:val="28"/>
          <w:highlight w:val="none"/>
        </w:rPr>
      </w:pPr>
      <w:r>
        <w:rPr>
          <w:rFonts w:hint="eastAsia" w:ascii="宋体" w:hAnsi="宋体"/>
          <w:b/>
          <w:bCs/>
          <w:spacing w:val="26"/>
          <w:sz w:val="28"/>
          <w:szCs w:val="28"/>
          <w:highlight w:val="none"/>
        </w:rPr>
        <w:t xml:space="preserve"> 工 程 地 点：</w:t>
      </w:r>
      <w:r>
        <w:rPr>
          <w:rFonts w:hint="eastAsia" w:ascii="宋体" w:hAnsi="宋体"/>
          <w:b/>
          <w:bCs/>
          <w:spacing w:val="26"/>
          <w:sz w:val="28"/>
          <w:szCs w:val="28"/>
          <w:highlight w:val="none"/>
          <w:u w:val="single"/>
        </w:rPr>
        <w:t xml:space="preserve">  </w:t>
      </w:r>
      <w:r>
        <w:rPr>
          <w:rFonts w:hint="eastAsia" w:ascii="宋体" w:hAnsi="宋体"/>
          <w:b/>
          <w:bCs/>
          <w:sz w:val="28"/>
          <w:szCs w:val="28"/>
          <w:highlight w:val="none"/>
          <w:u w:val="single"/>
        </w:rPr>
        <w:t xml:space="preserve">         省     市      区            </w:t>
      </w:r>
      <w:r>
        <w:rPr>
          <w:rFonts w:hint="eastAsia" w:ascii="宋体" w:hAnsi="宋体"/>
          <w:b/>
          <w:bCs/>
          <w:spacing w:val="26"/>
          <w:sz w:val="28"/>
          <w:szCs w:val="28"/>
          <w:highlight w:val="none"/>
          <w:u w:val="single"/>
        </w:rPr>
        <w:t xml:space="preserve">  </w:t>
      </w:r>
    </w:p>
    <w:p>
      <w:pPr>
        <w:spacing w:before="156" w:beforeLines="50" w:after="156" w:afterLines="50" w:line="480" w:lineRule="auto"/>
        <w:ind w:left="292" w:firstLine="596" w:firstLineChars="179"/>
        <w:jc w:val="left"/>
        <w:rPr>
          <w:rFonts w:hint="eastAsia" w:ascii="宋体" w:hAnsi="宋体"/>
          <w:b/>
          <w:bCs/>
          <w:spacing w:val="44"/>
          <w:sz w:val="28"/>
          <w:szCs w:val="28"/>
          <w:highlight w:val="none"/>
          <w:u w:val="single"/>
        </w:rPr>
      </w:pPr>
      <w:r>
        <w:rPr>
          <w:rFonts w:hint="eastAsia" w:ascii="宋体" w:hAnsi="宋体"/>
          <w:b/>
          <w:bCs/>
          <w:spacing w:val="26"/>
          <w:sz w:val="28"/>
          <w:szCs w:val="28"/>
          <w:highlight w:val="none"/>
        </w:rPr>
        <w:t>设计证书等级</w:t>
      </w:r>
      <w:r>
        <w:rPr>
          <w:rFonts w:hint="eastAsia" w:ascii="宋体" w:hAnsi="宋体"/>
          <w:b/>
          <w:bCs/>
          <w:spacing w:val="44"/>
          <w:sz w:val="28"/>
          <w:szCs w:val="28"/>
          <w:highlight w:val="none"/>
          <w:u w:val="single"/>
        </w:rPr>
        <w:t xml:space="preserve">         </w:t>
      </w:r>
      <w:r>
        <w:rPr>
          <w:rFonts w:ascii="宋体" w:hAnsi="宋体"/>
          <w:b/>
          <w:bCs/>
          <w:spacing w:val="44"/>
          <w:sz w:val="28"/>
          <w:szCs w:val="28"/>
          <w:highlight w:val="none"/>
          <w:u w:val="single"/>
        </w:rPr>
        <w:t xml:space="preserve">    </w:t>
      </w:r>
      <w:r>
        <w:rPr>
          <w:rFonts w:hint="eastAsia" w:ascii="宋体" w:hAnsi="宋体"/>
          <w:b/>
          <w:bCs/>
          <w:spacing w:val="44"/>
          <w:sz w:val="28"/>
          <w:szCs w:val="28"/>
          <w:highlight w:val="none"/>
          <w:u w:val="single"/>
        </w:rPr>
        <w:t xml:space="preserve">    </w:t>
      </w:r>
      <w:r>
        <w:rPr>
          <w:rFonts w:ascii="宋体" w:hAnsi="宋体"/>
          <w:b/>
          <w:bCs/>
          <w:spacing w:val="44"/>
          <w:sz w:val="28"/>
          <w:szCs w:val="28"/>
          <w:highlight w:val="none"/>
          <w:u w:val="single"/>
        </w:rPr>
        <w:t xml:space="preserve">    </w:t>
      </w:r>
      <w:r>
        <w:rPr>
          <w:rFonts w:hint="eastAsia" w:ascii="宋体" w:hAnsi="宋体"/>
          <w:b/>
          <w:bCs/>
          <w:spacing w:val="44"/>
          <w:sz w:val="28"/>
          <w:szCs w:val="28"/>
          <w:highlight w:val="none"/>
          <w:u w:val="single"/>
        </w:rPr>
        <w:t xml:space="preserve">     </w:t>
      </w:r>
    </w:p>
    <w:p>
      <w:pPr>
        <w:spacing w:before="156" w:beforeLines="50" w:after="156" w:afterLines="50" w:line="480" w:lineRule="auto"/>
        <w:ind w:left="292" w:leftChars="139" w:firstLine="520" w:firstLineChars="141"/>
        <w:jc w:val="left"/>
        <w:rPr>
          <w:rFonts w:hint="eastAsia" w:ascii="宋体" w:hAnsi="宋体"/>
          <w:b/>
          <w:bCs/>
          <w:spacing w:val="44"/>
          <w:sz w:val="28"/>
          <w:szCs w:val="28"/>
          <w:highlight w:val="none"/>
        </w:rPr>
      </w:pPr>
      <w:r>
        <w:rPr>
          <w:rFonts w:hint="eastAsia" w:ascii="宋体" w:hAnsi="宋体"/>
          <w:b/>
          <w:bCs/>
          <w:spacing w:val="44"/>
          <w:sz w:val="28"/>
          <w:szCs w:val="28"/>
          <w:highlight w:val="none"/>
        </w:rPr>
        <w:t>证书编</w:t>
      </w:r>
      <w:r>
        <w:rPr>
          <w:rFonts w:ascii="宋体" w:hAnsi="宋体"/>
          <w:b/>
          <w:bCs/>
          <w:spacing w:val="44"/>
          <w:sz w:val="28"/>
          <w:szCs w:val="28"/>
          <w:highlight w:val="none"/>
        </w:rPr>
        <w:t xml:space="preserve"> </w:t>
      </w:r>
      <w:r>
        <w:rPr>
          <w:rFonts w:hint="eastAsia" w:ascii="宋体" w:hAnsi="宋体"/>
          <w:b/>
          <w:bCs/>
          <w:spacing w:val="44"/>
          <w:sz w:val="28"/>
          <w:szCs w:val="28"/>
          <w:highlight w:val="none"/>
        </w:rPr>
        <w:t>号</w:t>
      </w:r>
      <w:r>
        <w:rPr>
          <w:rFonts w:ascii="宋体" w:hAnsi="宋体"/>
          <w:b/>
          <w:bCs/>
          <w:spacing w:val="44"/>
          <w:sz w:val="28"/>
          <w:szCs w:val="28"/>
          <w:highlight w:val="none"/>
        </w:rPr>
        <w:t xml:space="preserve"> </w:t>
      </w:r>
      <w:r>
        <w:rPr>
          <w:rFonts w:ascii="宋体" w:hAnsi="宋体"/>
          <w:b/>
          <w:bCs/>
          <w:sz w:val="28"/>
          <w:szCs w:val="28"/>
          <w:highlight w:val="none"/>
        </w:rPr>
        <w:t>:</w:t>
      </w:r>
      <w:r>
        <w:rPr>
          <w:rFonts w:hint="eastAsia" w:ascii="宋体" w:hAnsi="宋体"/>
          <w:b/>
          <w:bCs/>
          <w:sz w:val="28"/>
          <w:szCs w:val="28"/>
          <w:highlight w:val="none"/>
        </w:rPr>
        <w:t xml:space="preserve"> </w:t>
      </w:r>
      <w:r>
        <w:rPr>
          <w:rFonts w:ascii="宋体" w:hAnsi="宋体"/>
          <w:b/>
          <w:bCs/>
          <w:sz w:val="28"/>
          <w:szCs w:val="28"/>
          <w:highlight w:val="none"/>
          <w:u w:val="single"/>
        </w:rPr>
        <w:t xml:space="preserve"> </w:t>
      </w:r>
      <w:r>
        <w:rPr>
          <w:rFonts w:hint="eastAsia" w:ascii="宋体" w:hAnsi="宋体"/>
          <w:b/>
          <w:bCs/>
          <w:sz w:val="28"/>
          <w:szCs w:val="28"/>
          <w:highlight w:val="none"/>
          <w:u w:val="single"/>
        </w:rPr>
        <w:t xml:space="preserve">             </w:t>
      </w:r>
      <w:r>
        <w:rPr>
          <w:rFonts w:ascii="宋体" w:hAnsi="宋体"/>
          <w:b/>
          <w:bCs/>
          <w:sz w:val="28"/>
          <w:szCs w:val="28"/>
          <w:highlight w:val="none"/>
          <w:u w:val="single"/>
        </w:rPr>
        <w:t xml:space="preserve">      </w:t>
      </w:r>
      <w:r>
        <w:rPr>
          <w:rFonts w:hint="eastAsia" w:ascii="宋体" w:hAnsi="宋体"/>
          <w:b/>
          <w:bCs/>
          <w:sz w:val="28"/>
          <w:szCs w:val="28"/>
          <w:highlight w:val="none"/>
          <w:u w:val="single"/>
        </w:rPr>
        <w:t xml:space="preserve">     </w:t>
      </w:r>
      <w:r>
        <w:rPr>
          <w:rFonts w:ascii="宋体" w:hAnsi="宋体"/>
          <w:b/>
          <w:bCs/>
          <w:sz w:val="28"/>
          <w:szCs w:val="28"/>
          <w:highlight w:val="none"/>
          <w:u w:val="single"/>
        </w:rPr>
        <w:t xml:space="preserve">   </w:t>
      </w:r>
      <w:r>
        <w:rPr>
          <w:rFonts w:hint="eastAsia" w:ascii="宋体" w:hAnsi="宋体"/>
          <w:b/>
          <w:bCs/>
          <w:sz w:val="28"/>
          <w:szCs w:val="28"/>
          <w:highlight w:val="none"/>
          <w:u w:val="single"/>
        </w:rPr>
        <w:t xml:space="preserve">          </w:t>
      </w:r>
      <w:r>
        <w:rPr>
          <w:rFonts w:hint="eastAsia" w:ascii="宋体" w:hAnsi="宋体"/>
          <w:b/>
          <w:bCs/>
          <w:spacing w:val="44"/>
          <w:sz w:val="28"/>
          <w:szCs w:val="28"/>
          <w:highlight w:val="none"/>
        </w:rPr>
        <w:t xml:space="preserve"> </w:t>
      </w:r>
    </w:p>
    <w:p>
      <w:pPr>
        <w:spacing w:before="156" w:beforeLines="50" w:after="156" w:afterLines="50" w:line="480" w:lineRule="auto"/>
        <w:ind w:firstLine="773" w:firstLineChars="275"/>
        <w:jc w:val="left"/>
        <w:rPr>
          <w:rFonts w:hint="eastAsia" w:ascii="宋体" w:hAnsi="宋体"/>
          <w:b/>
          <w:bCs/>
          <w:sz w:val="28"/>
          <w:szCs w:val="28"/>
          <w:highlight w:val="none"/>
        </w:rPr>
      </w:pPr>
    </w:p>
    <w:p>
      <w:pPr>
        <w:spacing w:line="360" w:lineRule="auto"/>
        <w:rPr>
          <w:sz w:val="28"/>
          <w:highlight w:val="none"/>
        </w:rPr>
        <w:sectPr>
          <w:footerReference r:id="rId10" w:type="default"/>
          <w:footerReference r:id="rId11" w:type="even"/>
          <w:type w:val="nextColumn"/>
          <w:pgSz w:w="11907" w:h="16840"/>
          <w:pgMar w:top="1247" w:right="1407" w:bottom="1247" w:left="168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rPr>
          <w:rFonts w:hint="eastAsia" w:ascii="宋体" w:hAnsi="宋体"/>
          <w:sz w:val="28"/>
          <w:szCs w:val="28"/>
          <w:highlight w:val="none"/>
          <w:u w:val="single"/>
        </w:rPr>
      </w:pPr>
      <w:r>
        <w:rPr>
          <w:rFonts w:hint="eastAsia" w:ascii="宋体" w:hAnsi="宋体"/>
          <w:sz w:val="28"/>
          <w:szCs w:val="28"/>
          <w:highlight w:val="none"/>
        </w:rPr>
        <w:t>委托方（以下简称甲方）：</w:t>
      </w:r>
      <w:r>
        <w:rPr>
          <w:rFonts w:hint="eastAsia" w:ascii="宋体" w:hAnsi="宋体"/>
          <w:sz w:val="28"/>
          <w:szCs w:val="28"/>
          <w:highlight w:val="none"/>
          <w:u w:val="single"/>
        </w:rPr>
        <w:t xml:space="preserve">   </w:t>
      </w:r>
      <w:r>
        <w:rPr>
          <w:rFonts w:hint="eastAsia" w:ascii="宋体" w:hAnsi="宋体"/>
          <w:b/>
          <w:spacing w:val="26"/>
          <w:sz w:val="28"/>
          <w:szCs w:val="28"/>
          <w:highlight w:val="none"/>
          <w:u w:val="single"/>
        </w:rPr>
        <w:t xml:space="preserve">                         </w:t>
      </w:r>
    </w:p>
    <w:p>
      <w:pPr>
        <w:spacing w:line="360" w:lineRule="auto"/>
        <w:rPr>
          <w:rFonts w:hint="eastAsia" w:ascii="宋体" w:hAnsi="宋体"/>
          <w:sz w:val="28"/>
          <w:szCs w:val="28"/>
          <w:highlight w:val="none"/>
        </w:rPr>
      </w:pPr>
      <w:r>
        <w:rPr>
          <w:rFonts w:hint="eastAsia" w:ascii="宋体" w:hAnsi="宋体"/>
          <w:sz w:val="28"/>
          <w:szCs w:val="28"/>
          <w:highlight w:val="none"/>
        </w:rPr>
        <w:t>受托方（以下简称乙方）：</w:t>
      </w:r>
      <w:r>
        <w:rPr>
          <w:rFonts w:hint="eastAsia" w:ascii="宋体" w:hAnsi="宋体"/>
          <w:sz w:val="28"/>
          <w:szCs w:val="28"/>
          <w:highlight w:val="none"/>
          <w:u w:val="single"/>
        </w:rPr>
        <w:t xml:space="preserve">  </w:t>
      </w:r>
      <w:r>
        <w:rPr>
          <w:rFonts w:hint="eastAsia" w:ascii="宋体" w:hAnsi="宋体"/>
          <w:b/>
          <w:spacing w:val="26"/>
          <w:sz w:val="28"/>
          <w:szCs w:val="28"/>
          <w:highlight w:val="none"/>
          <w:u w:val="single"/>
        </w:rPr>
        <w:t xml:space="preserve"> </w:t>
      </w:r>
      <w:r>
        <w:rPr>
          <w:rFonts w:ascii="宋体" w:hAnsi="宋体"/>
          <w:b/>
          <w:spacing w:val="26"/>
          <w:sz w:val="28"/>
          <w:szCs w:val="28"/>
          <w:highlight w:val="none"/>
          <w:u w:val="single"/>
        </w:rPr>
        <w:t xml:space="preserve">                        </w:t>
      </w:r>
      <w:r>
        <w:rPr>
          <w:rFonts w:hint="eastAsia" w:ascii="宋体" w:hAnsi="宋体"/>
          <w:b/>
          <w:spacing w:val="26"/>
          <w:sz w:val="28"/>
          <w:szCs w:val="28"/>
          <w:highlight w:val="none"/>
          <w:u w:val="single"/>
        </w:rPr>
        <w:t xml:space="preserve"> </w:t>
      </w:r>
      <w:r>
        <w:rPr>
          <w:rFonts w:hint="eastAsia" w:ascii="宋体" w:hAnsi="宋体"/>
          <w:sz w:val="28"/>
          <w:szCs w:val="28"/>
          <w:highlight w:val="none"/>
        </w:rPr>
        <w:t xml:space="preserve"> </w:t>
      </w:r>
    </w:p>
    <w:p>
      <w:pPr>
        <w:spacing w:line="360" w:lineRule="auto"/>
        <w:ind w:firstLine="560" w:firstLineChars="200"/>
        <w:rPr>
          <w:rFonts w:hint="eastAsia" w:ascii="宋体" w:hAnsi="宋体"/>
          <w:sz w:val="28"/>
          <w:szCs w:val="28"/>
          <w:highlight w:val="none"/>
        </w:rPr>
      </w:pP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甲方委托乙方承担</w:t>
      </w:r>
      <w:r>
        <w:rPr>
          <w:rFonts w:hint="eastAsia" w:ascii="宋体" w:hAnsi="宋体"/>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设计工作，双方本着</w:t>
      </w:r>
      <w:r>
        <w:rPr>
          <w:rFonts w:ascii="宋体" w:hAnsi="宋体"/>
          <w:sz w:val="28"/>
          <w:szCs w:val="28"/>
          <w:highlight w:val="none"/>
        </w:rPr>
        <w:t>平等自愿</w:t>
      </w:r>
      <w:r>
        <w:rPr>
          <w:rFonts w:hint="eastAsia" w:ascii="宋体" w:hAnsi="宋体"/>
          <w:sz w:val="28"/>
          <w:szCs w:val="28"/>
          <w:highlight w:val="none"/>
        </w:rPr>
        <w:t>原则，经</w:t>
      </w:r>
      <w:r>
        <w:rPr>
          <w:rFonts w:ascii="宋体" w:hAnsi="宋体"/>
          <w:sz w:val="28"/>
          <w:szCs w:val="28"/>
          <w:highlight w:val="none"/>
        </w:rPr>
        <w:t>协商</w:t>
      </w:r>
      <w:r>
        <w:rPr>
          <w:rFonts w:hint="eastAsia" w:ascii="宋体" w:hAnsi="宋体"/>
          <w:sz w:val="28"/>
          <w:szCs w:val="28"/>
          <w:highlight w:val="none"/>
        </w:rPr>
        <w:t>一致，签订本合同</w:t>
      </w:r>
      <w:r>
        <w:rPr>
          <w:rFonts w:ascii="宋体" w:hAnsi="宋体"/>
          <w:sz w:val="28"/>
          <w:szCs w:val="28"/>
          <w:highlight w:val="none"/>
        </w:rPr>
        <w:t>，以资共同遵守。</w:t>
      </w:r>
    </w:p>
    <w:p>
      <w:pPr>
        <w:spacing w:line="360" w:lineRule="auto"/>
        <w:rPr>
          <w:rFonts w:hint="eastAsia" w:ascii="宋体" w:hAnsi="宋体"/>
          <w:sz w:val="28"/>
          <w:szCs w:val="28"/>
          <w:highlight w:val="none"/>
        </w:rPr>
      </w:pPr>
      <w:r>
        <w:rPr>
          <w:rFonts w:hint="eastAsia" w:ascii="宋体" w:hAnsi="宋体"/>
          <w:b/>
          <w:bCs/>
          <w:sz w:val="28"/>
          <w:szCs w:val="28"/>
          <w:highlight w:val="none"/>
        </w:rPr>
        <w:t>第1条</w:t>
      </w:r>
      <w:r>
        <w:rPr>
          <w:rFonts w:hint="eastAsia" w:ascii="宋体" w:hAnsi="宋体"/>
          <w:sz w:val="28"/>
          <w:szCs w:val="28"/>
          <w:highlight w:val="none"/>
        </w:rPr>
        <w:tab/>
      </w:r>
      <w:r>
        <w:rPr>
          <w:rFonts w:hint="eastAsia" w:ascii="宋体" w:hAnsi="宋体"/>
          <w:b/>
          <w:sz w:val="28"/>
          <w:szCs w:val="28"/>
          <w:highlight w:val="none"/>
        </w:rPr>
        <w:t>本合同签订依据</w:t>
      </w:r>
    </w:p>
    <w:p>
      <w:pPr>
        <w:spacing w:line="360" w:lineRule="auto"/>
        <w:rPr>
          <w:rFonts w:hint="eastAsia" w:ascii="宋体" w:hAnsi="宋体"/>
          <w:sz w:val="28"/>
          <w:szCs w:val="28"/>
          <w:highlight w:val="none"/>
        </w:rPr>
      </w:pPr>
      <w:r>
        <w:rPr>
          <w:rFonts w:hint="eastAsia" w:ascii="宋体" w:hAnsi="宋体"/>
          <w:sz w:val="28"/>
          <w:szCs w:val="28"/>
          <w:highlight w:val="none"/>
        </w:rPr>
        <w:t>1.1《中华人民共和国民法典》和《中华人民共和国建筑法》。</w:t>
      </w:r>
    </w:p>
    <w:p>
      <w:pPr>
        <w:spacing w:line="360" w:lineRule="auto"/>
        <w:rPr>
          <w:rFonts w:hint="eastAsia" w:ascii="宋体" w:hAnsi="宋体"/>
          <w:sz w:val="28"/>
          <w:szCs w:val="28"/>
          <w:highlight w:val="none"/>
        </w:rPr>
      </w:pPr>
      <w:r>
        <w:rPr>
          <w:rFonts w:hint="eastAsia" w:ascii="宋体" w:hAnsi="宋体"/>
          <w:sz w:val="28"/>
          <w:szCs w:val="28"/>
          <w:highlight w:val="none"/>
        </w:rPr>
        <w:t>1.2国家及地方有关建设工程勘察设计管理法规和规章。</w:t>
      </w:r>
    </w:p>
    <w:p>
      <w:pPr>
        <w:spacing w:line="360" w:lineRule="auto"/>
        <w:rPr>
          <w:rFonts w:hint="eastAsia" w:ascii="宋体" w:hAnsi="宋体"/>
          <w:sz w:val="28"/>
          <w:szCs w:val="28"/>
          <w:highlight w:val="none"/>
        </w:rPr>
      </w:pPr>
      <w:r>
        <w:rPr>
          <w:rFonts w:hint="eastAsia" w:ascii="宋体" w:hAnsi="宋体"/>
          <w:sz w:val="28"/>
          <w:szCs w:val="28"/>
          <w:highlight w:val="none"/>
        </w:rPr>
        <w:t>1.3建设工程批准文件。</w:t>
      </w:r>
    </w:p>
    <w:p>
      <w:pPr>
        <w:spacing w:line="360" w:lineRule="auto"/>
        <w:rPr>
          <w:rFonts w:hint="eastAsia" w:ascii="宋体" w:hAnsi="宋体"/>
          <w:b/>
          <w:sz w:val="28"/>
          <w:szCs w:val="28"/>
          <w:highlight w:val="none"/>
        </w:rPr>
      </w:pPr>
      <w:r>
        <w:rPr>
          <w:rFonts w:hint="eastAsia" w:ascii="宋体" w:hAnsi="宋体"/>
          <w:b/>
          <w:bCs/>
          <w:sz w:val="28"/>
          <w:szCs w:val="28"/>
          <w:highlight w:val="none"/>
        </w:rPr>
        <w:t>第2条</w:t>
      </w:r>
      <w:r>
        <w:rPr>
          <w:rFonts w:hint="eastAsia" w:ascii="宋体" w:hAnsi="宋体"/>
          <w:b/>
          <w:bCs/>
          <w:sz w:val="28"/>
          <w:szCs w:val="28"/>
          <w:highlight w:val="none"/>
        </w:rPr>
        <w:tab/>
      </w:r>
      <w:r>
        <w:rPr>
          <w:rFonts w:hint="eastAsia" w:ascii="宋体" w:hAnsi="宋体"/>
          <w:b/>
          <w:sz w:val="28"/>
          <w:szCs w:val="28"/>
          <w:highlight w:val="none"/>
        </w:rPr>
        <w:t>设计依据</w:t>
      </w:r>
    </w:p>
    <w:p>
      <w:pPr>
        <w:spacing w:line="360" w:lineRule="auto"/>
        <w:rPr>
          <w:rFonts w:hint="eastAsia" w:ascii="宋体" w:hAnsi="宋体"/>
          <w:sz w:val="28"/>
          <w:szCs w:val="28"/>
          <w:highlight w:val="none"/>
        </w:rPr>
      </w:pPr>
      <w:r>
        <w:rPr>
          <w:rFonts w:hint="eastAsia" w:ascii="宋体" w:hAnsi="宋体"/>
          <w:sz w:val="28"/>
          <w:szCs w:val="28"/>
          <w:highlight w:val="none"/>
        </w:rPr>
        <w:t>2.1甲方给乙方的委托书或设计中标文件。</w:t>
      </w:r>
    </w:p>
    <w:p>
      <w:pPr>
        <w:spacing w:line="360" w:lineRule="auto"/>
        <w:rPr>
          <w:rFonts w:hint="eastAsia" w:ascii="宋体" w:hAnsi="宋体"/>
          <w:sz w:val="28"/>
          <w:szCs w:val="28"/>
          <w:highlight w:val="none"/>
        </w:rPr>
      </w:pPr>
      <w:r>
        <w:rPr>
          <w:rFonts w:hint="eastAsia" w:ascii="宋体" w:hAnsi="宋体"/>
          <w:sz w:val="28"/>
          <w:szCs w:val="28"/>
          <w:highlight w:val="none"/>
        </w:rPr>
        <w:t>2.2甲方给乙方的基础资料。</w:t>
      </w:r>
    </w:p>
    <w:p>
      <w:pPr>
        <w:spacing w:line="360" w:lineRule="auto"/>
        <w:rPr>
          <w:rFonts w:ascii="宋体" w:hAnsi="宋体"/>
          <w:sz w:val="28"/>
          <w:szCs w:val="28"/>
          <w:highlight w:val="none"/>
        </w:rPr>
      </w:pPr>
      <w:r>
        <w:rPr>
          <w:rFonts w:hint="eastAsia" w:ascii="宋体" w:hAnsi="宋体"/>
          <w:sz w:val="28"/>
          <w:szCs w:val="28"/>
          <w:highlight w:val="none"/>
        </w:rPr>
        <w:t>2.3乙方采用主要技术标准：国家及地方有关建设工程勘察设计规范。</w:t>
      </w:r>
    </w:p>
    <w:p>
      <w:pPr>
        <w:spacing w:line="360" w:lineRule="auto"/>
        <w:rPr>
          <w:rFonts w:hint="eastAsia" w:ascii="宋体" w:hAnsi="宋体"/>
          <w:b/>
          <w:sz w:val="28"/>
          <w:szCs w:val="28"/>
          <w:highlight w:val="none"/>
        </w:rPr>
      </w:pPr>
      <w:r>
        <w:rPr>
          <w:rFonts w:hint="eastAsia" w:ascii="宋体" w:hAnsi="宋体"/>
          <w:b/>
          <w:sz w:val="28"/>
          <w:szCs w:val="28"/>
          <w:highlight w:val="none"/>
        </w:rPr>
        <w:t>第3条 工作内容</w:t>
      </w:r>
    </w:p>
    <w:tbl>
      <w:tblPr>
        <w:tblStyle w:val="26"/>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2048"/>
        <w:gridCol w:w="2072"/>
        <w:gridCol w:w="1987"/>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0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序号</w:t>
            </w:r>
          </w:p>
        </w:tc>
        <w:tc>
          <w:tcPr>
            <w:tcW w:w="204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项目名称</w:t>
            </w:r>
          </w:p>
        </w:tc>
        <w:tc>
          <w:tcPr>
            <w:tcW w:w="20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设计阶段</w:t>
            </w:r>
          </w:p>
        </w:tc>
        <w:tc>
          <w:tcPr>
            <w:tcW w:w="198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投资及规模</w:t>
            </w:r>
          </w:p>
        </w:tc>
        <w:tc>
          <w:tcPr>
            <w:tcW w:w="18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设计内容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10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1</w:t>
            </w:r>
          </w:p>
        </w:tc>
        <w:tc>
          <w:tcPr>
            <w:tcW w:w="20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207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198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186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10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2</w:t>
            </w:r>
          </w:p>
        </w:tc>
        <w:tc>
          <w:tcPr>
            <w:tcW w:w="20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207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198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186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0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p>
        </w:tc>
        <w:tc>
          <w:tcPr>
            <w:tcW w:w="20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207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198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186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081" w:type="dxa"/>
            <w:gridSpan w:val="5"/>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r>
              <w:rPr>
                <w:rFonts w:hint="eastAsia" w:ascii="宋体" w:hAnsi="宋体" w:eastAsia="Times New Roman" w:cs="Times New Roman"/>
                <w:sz w:val="24"/>
                <w:highlight w:val="none"/>
              </w:rPr>
              <w:t>说明：本表投资额为设计方工程概算结果，用于最终设计费计算的总投资额以相关投资主管部门核定额为准。</w:t>
            </w:r>
          </w:p>
        </w:tc>
      </w:tr>
    </w:tbl>
    <w:p>
      <w:pPr>
        <w:spacing w:before="156" w:beforeLines="50" w:after="156" w:afterLines="50" w:line="360" w:lineRule="auto"/>
        <w:rPr>
          <w:rFonts w:hint="eastAsia" w:ascii="宋体" w:hAnsi="宋体"/>
          <w:b/>
          <w:sz w:val="28"/>
          <w:szCs w:val="28"/>
          <w:highlight w:val="none"/>
        </w:rPr>
      </w:pPr>
      <w:r>
        <w:rPr>
          <w:rFonts w:hint="eastAsia" w:ascii="宋体" w:hAnsi="宋体"/>
          <w:b/>
          <w:sz w:val="28"/>
          <w:szCs w:val="28"/>
          <w:highlight w:val="none"/>
        </w:rPr>
        <w:t>第4条 甲方应向乙方提交的有关资料、文件及时间</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5"/>
        <w:gridCol w:w="4695"/>
        <w:gridCol w:w="1082"/>
        <w:gridCol w:w="21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45" w:type="dxa"/>
            <w:noWrap w:val="0"/>
            <w:vAlign w:val="top"/>
          </w:tcPr>
          <w:p>
            <w:pPr>
              <w:keepNext w:val="0"/>
              <w:keepLines w:val="0"/>
              <w:suppressLineNumbers w:val="0"/>
              <w:tabs>
                <w:tab w:val="left" w:pos="5580"/>
              </w:tabs>
              <w:adjustRightInd w:val="0"/>
              <w:snapToGrid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序号</w:t>
            </w:r>
          </w:p>
        </w:tc>
        <w:tc>
          <w:tcPr>
            <w:tcW w:w="4695" w:type="dxa"/>
            <w:noWrap w:val="0"/>
            <w:vAlign w:val="top"/>
          </w:tcPr>
          <w:p>
            <w:pPr>
              <w:keepNext w:val="0"/>
              <w:keepLines w:val="0"/>
              <w:suppressLineNumbers w:val="0"/>
              <w:tabs>
                <w:tab w:val="left" w:pos="5580"/>
              </w:tabs>
              <w:adjustRightInd w:val="0"/>
              <w:snapToGrid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资料及文件名称</w:t>
            </w:r>
          </w:p>
        </w:tc>
        <w:tc>
          <w:tcPr>
            <w:tcW w:w="1082" w:type="dxa"/>
            <w:noWrap w:val="0"/>
            <w:vAlign w:val="top"/>
          </w:tcPr>
          <w:p>
            <w:pPr>
              <w:keepNext w:val="0"/>
              <w:keepLines w:val="0"/>
              <w:suppressLineNumbers w:val="0"/>
              <w:tabs>
                <w:tab w:val="left" w:pos="5580"/>
              </w:tabs>
              <w:adjustRightInd w:val="0"/>
              <w:snapToGrid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份数</w:t>
            </w:r>
          </w:p>
        </w:tc>
        <w:tc>
          <w:tcPr>
            <w:tcW w:w="2103" w:type="dxa"/>
            <w:noWrap w:val="0"/>
            <w:vAlign w:val="top"/>
          </w:tcPr>
          <w:p>
            <w:pPr>
              <w:keepNext w:val="0"/>
              <w:keepLines w:val="0"/>
              <w:suppressLineNumbers w:val="0"/>
              <w:tabs>
                <w:tab w:val="left" w:pos="5580"/>
              </w:tabs>
              <w:adjustRightInd w:val="0"/>
              <w:snapToGrid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提交日期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45" w:type="dxa"/>
            <w:noWrap w:val="0"/>
            <w:vAlign w:val="center"/>
          </w:tcPr>
          <w:p>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b/>
                <w:sz w:val="24"/>
                <w:highlight w:val="none"/>
              </w:rPr>
              <w:t>1</w:t>
            </w:r>
          </w:p>
        </w:tc>
        <w:tc>
          <w:tcPr>
            <w:tcW w:w="4695" w:type="dxa"/>
            <w:noWrap w:val="0"/>
            <w:vAlign w:val="top"/>
          </w:tcPr>
          <w:p>
            <w:pPr>
              <w:keepNext w:val="0"/>
              <w:keepLines w:val="0"/>
              <w:suppressLineNumbers w:val="0"/>
              <w:tabs>
                <w:tab w:val="left" w:pos="5580"/>
              </w:tabs>
              <w:spacing w:before="0" w:beforeAutospacing="0" w:after="0" w:afterAutospacing="0" w:line="360" w:lineRule="auto"/>
              <w:ind w:left="0" w:right="0"/>
              <w:rPr>
                <w:rFonts w:hint="default" w:ascii="宋体" w:hAnsi="宋体" w:eastAsia="Times New Roman" w:cs="Times New Roman"/>
                <w:sz w:val="24"/>
                <w:highlight w:val="none"/>
              </w:rPr>
            </w:pPr>
            <w:r>
              <w:rPr>
                <w:rFonts w:hint="eastAsia" w:ascii="宋体" w:hAnsi="宋体" w:eastAsia="Times New Roman" w:cs="Times New Roman"/>
                <w:sz w:val="24"/>
                <w:highlight w:val="none"/>
              </w:rPr>
              <w:t>设计委托书</w:t>
            </w:r>
          </w:p>
        </w:tc>
        <w:tc>
          <w:tcPr>
            <w:tcW w:w="1082" w:type="dxa"/>
            <w:noWrap w:val="0"/>
            <w:vAlign w:val="center"/>
          </w:tcPr>
          <w:p>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1</w:t>
            </w:r>
          </w:p>
        </w:tc>
        <w:tc>
          <w:tcPr>
            <w:tcW w:w="2103" w:type="dxa"/>
            <w:noWrap w:val="0"/>
            <w:vAlign w:val="center"/>
          </w:tcPr>
          <w:p>
            <w:pPr>
              <w:keepNext w:val="0"/>
              <w:keepLines w:val="0"/>
              <w:suppressLineNumbers w:val="0"/>
              <w:tabs>
                <w:tab w:val="left" w:pos="5580"/>
              </w:tabs>
              <w:spacing w:before="0" w:beforeAutospacing="0" w:after="0" w:afterAutospacing="0" w:line="360" w:lineRule="auto"/>
              <w:ind w:left="0" w:right="0"/>
              <w:jc w:val="center"/>
              <w:rPr>
                <w:rFonts w:hint="default" w:ascii="宋体" w:hAnsi="宋体" w:eastAsia="Times New Roman" w:cs="Times New Roman"/>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45" w:type="dxa"/>
            <w:noWrap w:val="0"/>
            <w:vAlign w:val="center"/>
          </w:tcPr>
          <w:p>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b/>
                <w:sz w:val="24"/>
                <w:highlight w:val="none"/>
              </w:rPr>
              <w:t>2</w:t>
            </w:r>
          </w:p>
        </w:tc>
        <w:tc>
          <w:tcPr>
            <w:tcW w:w="4695" w:type="dxa"/>
            <w:noWrap w:val="0"/>
            <w:vAlign w:val="top"/>
          </w:tcPr>
          <w:p>
            <w:pPr>
              <w:keepNext w:val="0"/>
              <w:keepLines w:val="0"/>
              <w:suppressLineNumbers w:val="0"/>
              <w:tabs>
                <w:tab w:val="left" w:pos="5580"/>
              </w:tabs>
              <w:spacing w:before="0" w:beforeAutospacing="0" w:after="0" w:afterAutospacing="0" w:line="360" w:lineRule="auto"/>
              <w:ind w:left="0" w:right="0"/>
              <w:rPr>
                <w:rFonts w:hint="eastAsia" w:ascii="宋体" w:hAnsi="宋体" w:eastAsia="Times New Roman" w:cs="Times New Roman"/>
                <w:sz w:val="24"/>
                <w:highlight w:val="none"/>
              </w:rPr>
            </w:pPr>
            <w:r>
              <w:rPr>
                <w:rFonts w:hint="eastAsia" w:ascii="宋体" w:hAnsi="宋体" w:eastAsia="Times New Roman" w:cs="Times New Roman"/>
                <w:sz w:val="24"/>
                <w:highlight w:val="none"/>
              </w:rPr>
              <w:t>中标通知书</w:t>
            </w:r>
          </w:p>
        </w:tc>
        <w:tc>
          <w:tcPr>
            <w:tcW w:w="1082" w:type="dxa"/>
            <w:noWrap w:val="0"/>
            <w:vAlign w:val="center"/>
          </w:tcPr>
          <w:p>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1</w:t>
            </w:r>
          </w:p>
        </w:tc>
        <w:tc>
          <w:tcPr>
            <w:tcW w:w="2103" w:type="dxa"/>
            <w:noWrap w:val="0"/>
            <w:vAlign w:val="center"/>
          </w:tcPr>
          <w:p>
            <w:pPr>
              <w:keepNext w:val="0"/>
              <w:keepLines w:val="0"/>
              <w:suppressLineNumbers w:val="0"/>
              <w:tabs>
                <w:tab w:val="left" w:pos="5580"/>
              </w:tabs>
              <w:spacing w:before="0" w:beforeAutospacing="0" w:after="0" w:afterAutospacing="0" w:line="360" w:lineRule="auto"/>
              <w:ind w:left="0" w:right="0"/>
              <w:jc w:val="center"/>
              <w:rPr>
                <w:rFonts w:hint="default" w:ascii="宋体" w:hAnsi="宋体" w:eastAsia="Times New Roman" w:cs="Times New Roman"/>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45" w:type="dxa"/>
            <w:noWrap w:val="0"/>
            <w:vAlign w:val="center"/>
          </w:tcPr>
          <w:p>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Times New Roman" w:cs="Times New Roman"/>
                <w:sz w:val="24"/>
                <w:highlight w:val="none"/>
              </w:rPr>
            </w:pPr>
          </w:p>
        </w:tc>
        <w:tc>
          <w:tcPr>
            <w:tcW w:w="4695" w:type="dxa"/>
            <w:noWrap w:val="0"/>
            <w:vAlign w:val="top"/>
          </w:tcPr>
          <w:p>
            <w:pPr>
              <w:keepNext w:val="0"/>
              <w:keepLines w:val="0"/>
              <w:suppressLineNumbers w:val="0"/>
              <w:tabs>
                <w:tab w:val="left" w:pos="5580"/>
              </w:tabs>
              <w:spacing w:before="0" w:beforeAutospacing="0" w:after="0" w:afterAutospacing="0" w:line="360" w:lineRule="auto"/>
              <w:ind w:left="0" w:right="0"/>
              <w:rPr>
                <w:rFonts w:hint="default" w:ascii="宋体" w:hAnsi="宋体" w:eastAsia="Times New Roman" w:cs="Times New Roman"/>
                <w:sz w:val="24"/>
                <w:highlight w:val="none"/>
              </w:rPr>
            </w:pPr>
          </w:p>
        </w:tc>
        <w:tc>
          <w:tcPr>
            <w:tcW w:w="1082" w:type="dxa"/>
            <w:noWrap w:val="0"/>
            <w:vAlign w:val="center"/>
          </w:tcPr>
          <w:p>
            <w:pPr>
              <w:keepNext w:val="0"/>
              <w:keepLines w:val="0"/>
              <w:suppressLineNumbers w:val="0"/>
              <w:tabs>
                <w:tab w:val="left" w:pos="5580"/>
              </w:tabs>
              <w:spacing w:before="0" w:beforeAutospacing="0" w:after="0" w:afterAutospacing="0" w:line="360" w:lineRule="auto"/>
              <w:ind w:left="0" w:right="0"/>
              <w:jc w:val="center"/>
              <w:rPr>
                <w:rFonts w:hint="eastAsia" w:ascii="宋体" w:hAnsi="宋体" w:eastAsia="Times New Roman" w:cs="Times New Roman"/>
                <w:sz w:val="24"/>
                <w:highlight w:val="none"/>
              </w:rPr>
            </w:pPr>
          </w:p>
        </w:tc>
        <w:tc>
          <w:tcPr>
            <w:tcW w:w="2103" w:type="dxa"/>
            <w:noWrap w:val="0"/>
            <w:vAlign w:val="center"/>
          </w:tcPr>
          <w:p>
            <w:pPr>
              <w:keepNext w:val="0"/>
              <w:keepLines w:val="0"/>
              <w:suppressLineNumbers w:val="0"/>
              <w:tabs>
                <w:tab w:val="left" w:pos="5580"/>
              </w:tabs>
              <w:spacing w:before="0" w:beforeAutospacing="0" w:after="0" w:afterAutospacing="0" w:line="360" w:lineRule="auto"/>
              <w:ind w:left="0" w:right="0"/>
              <w:jc w:val="center"/>
              <w:rPr>
                <w:rFonts w:hint="default" w:ascii="宋体" w:hAnsi="宋体" w:eastAsia="Times New Roman" w:cs="Times New Roman"/>
                <w:sz w:val="24"/>
                <w:highlight w:val="none"/>
              </w:rPr>
            </w:pPr>
          </w:p>
        </w:tc>
      </w:tr>
    </w:tbl>
    <w:p>
      <w:pPr>
        <w:spacing w:line="360" w:lineRule="auto"/>
        <w:rPr>
          <w:rFonts w:hint="eastAsia" w:ascii="宋体" w:hAnsi="宋体"/>
          <w:b/>
          <w:sz w:val="28"/>
          <w:szCs w:val="28"/>
          <w:highlight w:val="none"/>
        </w:rPr>
      </w:pPr>
      <w:r>
        <w:rPr>
          <w:rFonts w:hint="eastAsia" w:ascii="宋体" w:hAnsi="宋体"/>
          <w:b/>
          <w:sz w:val="28"/>
          <w:szCs w:val="28"/>
          <w:highlight w:val="none"/>
        </w:rPr>
        <w:t>第5条 乙方应向甲方交付的设计文件、份数及时间</w:t>
      </w:r>
    </w:p>
    <w:tbl>
      <w:tblPr>
        <w:tblStyle w:val="26"/>
        <w:tblW w:w="879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377"/>
        <w:gridCol w:w="908"/>
        <w:gridCol w:w="2055"/>
        <w:gridCol w:w="28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628"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sz w:val="24"/>
                <w:highlight w:val="none"/>
              </w:rPr>
            </w:pPr>
            <w:r>
              <w:rPr>
                <w:rFonts w:hint="eastAsia" w:ascii="宋体" w:hAnsi="宋体" w:eastAsia="Times New Roman" w:cs="Times New Roman"/>
                <w:sz w:val="24"/>
                <w:highlight w:val="none"/>
              </w:rPr>
              <w:t>序号</w:t>
            </w:r>
          </w:p>
        </w:tc>
        <w:tc>
          <w:tcPr>
            <w:tcW w:w="2377"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sz w:val="24"/>
                <w:highlight w:val="none"/>
              </w:rPr>
            </w:pPr>
            <w:r>
              <w:rPr>
                <w:rFonts w:hint="eastAsia" w:ascii="宋体" w:hAnsi="宋体" w:eastAsia="Times New Roman" w:cs="Times New Roman"/>
                <w:sz w:val="24"/>
                <w:highlight w:val="none"/>
              </w:rPr>
              <w:t>资料及文件名称</w:t>
            </w:r>
          </w:p>
        </w:tc>
        <w:tc>
          <w:tcPr>
            <w:tcW w:w="908"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sz w:val="24"/>
                <w:highlight w:val="none"/>
              </w:rPr>
            </w:pPr>
            <w:r>
              <w:rPr>
                <w:rFonts w:hint="eastAsia" w:ascii="宋体" w:hAnsi="宋体" w:eastAsia="Times New Roman" w:cs="Times New Roman"/>
                <w:sz w:val="24"/>
                <w:highlight w:val="none"/>
              </w:rPr>
              <w:t>份数</w:t>
            </w:r>
          </w:p>
        </w:tc>
        <w:tc>
          <w:tcPr>
            <w:tcW w:w="2055"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sz w:val="24"/>
                <w:highlight w:val="none"/>
              </w:rPr>
            </w:pPr>
            <w:r>
              <w:rPr>
                <w:rFonts w:hint="eastAsia" w:ascii="宋体" w:hAnsi="宋体" w:eastAsia="Times New Roman" w:cs="Times New Roman"/>
                <w:sz w:val="24"/>
                <w:highlight w:val="none"/>
              </w:rPr>
              <w:t>内容要求</w:t>
            </w:r>
          </w:p>
        </w:tc>
        <w:tc>
          <w:tcPr>
            <w:tcW w:w="2829" w:type="dxa"/>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sz w:val="24"/>
                <w:highlight w:val="none"/>
              </w:rPr>
            </w:pPr>
            <w:r>
              <w:rPr>
                <w:rFonts w:hint="eastAsia" w:ascii="宋体" w:hAnsi="宋体" w:eastAsia="Times New Roman" w:cs="Times New Roman"/>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2" w:hRule="atLeast"/>
        </w:trPr>
        <w:tc>
          <w:tcPr>
            <w:tcW w:w="62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1</w:t>
            </w:r>
          </w:p>
        </w:tc>
        <w:tc>
          <w:tcPr>
            <w:tcW w:w="2377"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r>
              <w:rPr>
                <w:rFonts w:hint="eastAsia" w:ascii="宋体" w:hAnsi="宋体" w:eastAsia="Times New Roman" w:cs="Times New Roman"/>
                <w:sz w:val="24"/>
                <w:highlight w:val="none"/>
              </w:rPr>
              <w:t>方案设计图</w:t>
            </w:r>
          </w:p>
        </w:tc>
        <w:tc>
          <w:tcPr>
            <w:tcW w:w="90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2055"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Times New Roman" w:cs="Times New Roman"/>
                <w:sz w:val="24"/>
                <w:highlight w:val="none"/>
              </w:rPr>
            </w:pPr>
            <w:r>
              <w:rPr>
                <w:rFonts w:hint="eastAsia" w:ascii="宋体" w:hAnsi="宋体" w:eastAsia="Times New Roman" w:cs="Times New Roman"/>
                <w:sz w:val="24"/>
                <w:highlight w:val="none"/>
              </w:rPr>
              <w:t>编制各专业方案设计说明及相关图纸</w:t>
            </w:r>
          </w:p>
        </w:tc>
        <w:tc>
          <w:tcPr>
            <w:tcW w:w="2829" w:type="dxa"/>
            <w:noWrap w:val="0"/>
            <w:vAlign w:val="top"/>
          </w:tcPr>
          <w:p>
            <w:pPr>
              <w:keepNext w:val="0"/>
              <w:keepLines w:val="0"/>
              <w:suppressLineNumbers w:val="0"/>
              <w:spacing w:before="0" w:beforeAutospacing="0" w:after="0" w:afterAutospacing="0"/>
              <w:ind w:left="0" w:right="0"/>
              <w:rPr>
                <w:rFonts w:hint="eastAsia" w:ascii="宋体" w:hAnsi="宋体" w:eastAsia="Times New Roman" w:cs="Times New Roman"/>
                <w:sz w:val="24"/>
                <w:highlight w:val="none"/>
              </w:rPr>
            </w:pPr>
            <w:r>
              <w:rPr>
                <w:rFonts w:hint="eastAsia" w:ascii="宋体" w:hAnsi="宋体" w:eastAsia="Times New Roman" w:cs="Times New Roman"/>
                <w:sz w:val="24"/>
                <w:highlight w:val="none"/>
              </w:rPr>
              <w:t>签订本合同及甲方提供相关资料后，设计人在____ 个工作日内向发包人提交本项目方案设计图。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07" w:hRule="atLeast"/>
        </w:trPr>
        <w:tc>
          <w:tcPr>
            <w:tcW w:w="62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2</w:t>
            </w:r>
          </w:p>
        </w:tc>
        <w:tc>
          <w:tcPr>
            <w:tcW w:w="2377"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r>
              <w:rPr>
                <w:rFonts w:hint="eastAsia" w:ascii="宋体" w:hAnsi="宋体" w:eastAsia="Times New Roman" w:cs="Times New Roman"/>
                <w:sz w:val="24"/>
                <w:highlight w:val="none"/>
              </w:rPr>
              <w:t>初步设计图</w:t>
            </w:r>
          </w:p>
        </w:tc>
        <w:tc>
          <w:tcPr>
            <w:tcW w:w="90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2055"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Times New Roman" w:cs="Times New Roman"/>
                <w:sz w:val="24"/>
                <w:highlight w:val="none"/>
              </w:rPr>
            </w:pPr>
            <w:r>
              <w:rPr>
                <w:rFonts w:hint="eastAsia" w:ascii="宋体" w:hAnsi="宋体" w:eastAsia="Times New Roman" w:cs="Times New Roman"/>
                <w:sz w:val="24"/>
                <w:highlight w:val="none"/>
              </w:rPr>
              <w:t>编制各专业初步设计说明及相关图纸</w:t>
            </w:r>
          </w:p>
        </w:tc>
        <w:tc>
          <w:tcPr>
            <w:tcW w:w="282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r>
              <w:rPr>
                <w:rFonts w:hint="eastAsia" w:ascii="宋体" w:hAnsi="宋体" w:eastAsia="Times New Roman" w:cs="Times New Roman"/>
                <w:sz w:val="24"/>
                <w:highlight w:val="none"/>
              </w:rPr>
              <w:t>方案设计审批通过后____个工作日内，设计人向发包人提交本项目初步设计图。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9" w:hRule="atLeast"/>
        </w:trPr>
        <w:tc>
          <w:tcPr>
            <w:tcW w:w="62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3</w:t>
            </w:r>
          </w:p>
        </w:tc>
        <w:tc>
          <w:tcPr>
            <w:tcW w:w="2377"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r>
              <w:rPr>
                <w:rFonts w:hint="eastAsia" w:ascii="宋体" w:hAnsi="宋体" w:eastAsia="Times New Roman" w:cs="Times New Roman"/>
                <w:sz w:val="24"/>
                <w:highlight w:val="none"/>
              </w:rPr>
              <w:t>施工设计图</w:t>
            </w:r>
          </w:p>
        </w:tc>
        <w:tc>
          <w:tcPr>
            <w:tcW w:w="90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2055"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Times New Roman" w:cs="Times New Roman"/>
                <w:sz w:val="24"/>
                <w:highlight w:val="none"/>
              </w:rPr>
            </w:pPr>
            <w:r>
              <w:rPr>
                <w:rFonts w:hint="eastAsia" w:ascii="宋体" w:hAnsi="宋体" w:eastAsia="Times New Roman" w:cs="Times New Roman"/>
                <w:sz w:val="24"/>
                <w:highlight w:val="none"/>
              </w:rPr>
              <w:t>编制各专业施工图设计文件</w:t>
            </w:r>
          </w:p>
        </w:tc>
        <w:tc>
          <w:tcPr>
            <w:tcW w:w="282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r>
              <w:rPr>
                <w:rFonts w:hint="eastAsia" w:ascii="宋体" w:hAnsi="宋体" w:eastAsia="Times New Roman" w:cs="Times New Roman"/>
                <w:sz w:val="24"/>
                <w:highlight w:val="none"/>
              </w:rPr>
              <w:t>初步设计审批通过后____个工作日内，设计人向发包人提交本项目施工设计图。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0" w:hRule="atLeast"/>
        </w:trPr>
        <w:tc>
          <w:tcPr>
            <w:tcW w:w="62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4</w:t>
            </w:r>
          </w:p>
        </w:tc>
        <w:tc>
          <w:tcPr>
            <w:tcW w:w="2377"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r>
              <w:rPr>
                <w:rFonts w:hint="eastAsia" w:ascii="宋体" w:hAnsi="宋体" w:eastAsia="Times New Roman" w:cs="Times New Roman"/>
                <w:sz w:val="24"/>
                <w:highlight w:val="none"/>
              </w:rPr>
              <w:t>概算书</w:t>
            </w:r>
          </w:p>
        </w:tc>
        <w:tc>
          <w:tcPr>
            <w:tcW w:w="90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2055"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Times New Roman" w:cs="Times New Roman"/>
                <w:sz w:val="24"/>
                <w:highlight w:val="none"/>
              </w:rPr>
            </w:pPr>
          </w:p>
        </w:tc>
        <w:tc>
          <w:tcPr>
            <w:tcW w:w="282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r>
              <w:rPr>
                <w:rFonts w:hint="eastAsia" w:ascii="宋体" w:hAnsi="宋体" w:eastAsia="Times New Roman" w:cs="Times New Roman"/>
                <w:sz w:val="24"/>
                <w:highlight w:val="none"/>
              </w:rPr>
              <w:t>随初步设计文件一同提交，并送</w:t>
            </w:r>
            <w:r>
              <w:rPr>
                <w:rFonts w:hint="eastAsia" w:ascii="宋体" w:hAnsi="宋体" w:eastAsia="Times New Roman" w:cs="Times New Roman"/>
                <w:sz w:val="24"/>
                <w:highlight w:val="none"/>
                <w:u w:val="single"/>
              </w:rPr>
              <w:t xml:space="preserve">  </w:t>
            </w:r>
            <w:r>
              <w:rPr>
                <w:rFonts w:hint="eastAsia" w:ascii="宋体" w:hAnsi="宋体" w:eastAsia="Times New Roman" w:cs="Times New Roman"/>
                <w:sz w:val="24"/>
                <w:highlight w:val="none"/>
              </w:rPr>
              <w:t>份电子版文件。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09" w:hRule="exact"/>
        </w:trPr>
        <w:tc>
          <w:tcPr>
            <w:tcW w:w="62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5</w:t>
            </w:r>
          </w:p>
        </w:tc>
        <w:tc>
          <w:tcPr>
            <w:tcW w:w="2377" w:type="dxa"/>
            <w:noWrap w:val="0"/>
            <w:vAlign w:val="top"/>
          </w:tcPr>
          <w:p>
            <w:pPr>
              <w:keepNext w:val="0"/>
              <w:keepLines w:val="0"/>
              <w:suppressLineNumbers w:val="0"/>
              <w:snapToGrid w:val="0"/>
              <w:spacing w:before="0" w:beforeAutospacing="0" w:after="0" w:afterAutospacing="0" w:line="360" w:lineRule="auto"/>
              <w:ind w:left="0" w:right="0"/>
              <w:rPr>
                <w:rFonts w:hint="eastAsia" w:ascii="宋体" w:hAnsi="宋体" w:eastAsia="Times New Roman" w:cs="Times New Roman"/>
                <w:sz w:val="24"/>
                <w:highlight w:val="none"/>
              </w:rPr>
            </w:pPr>
            <w:r>
              <w:rPr>
                <w:rFonts w:hint="eastAsia" w:ascii="宋体" w:hAnsi="宋体" w:eastAsia="Times New Roman" w:cs="Times New Roman"/>
                <w:sz w:val="24"/>
                <w:highlight w:val="none"/>
              </w:rPr>
              <w:t>初步设计图、施工图电子文件（PDF和CAD格式）</w:t>
            </w:r>
          </w:p>
        </w:tc>
        <w:tc>
          <w:tcPr>
            <w:tcW w:w="90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c>
          <w:tcPr>
            <w:tcW w:w="2055" w:type="dxa"/>
            <w:noWrap w:val="0"/>
            <w:vAlign w:val="top"/>
          </w:tcPr>
          <w:p>
            <w:pPr>
              <w:keepNext w:val="0"/>
              <w:keepLines w:val="0"/>
              <w:suppressLineNumbers w:val="0"/>
              <w:spacing w:before="0" w:beforeAutospacing="0" w:after="0" w:afterAutospacing="0" w:line="360" w:lineRule="auto"/>
              <w:ind w:left="0" w:right="0"/>
              <w:rPr>
                <w:rFonts w:hint="default" w:ascii="宋体" w:hAnsi="宋体" w:eastAsia="Times New Roman" w:cs="Times New Roman"/>
                <w:sz w:val="24"/>
                <w:highlight w:val="none"/>
              </w:rPr>
            </w:pPr>
          </w:p>
        </w:tc>
        <w:tc>
          <w:tcPr>
            <w:tcW w:w="282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r>
              <w:rPr>
                <w:rFonts w:hint="eastAsia" w:ascii="宋体" w:hAnsi="宋体" w:eastAsia="Times New Roman" w:cs="Times New Roman"/>
                <w:sz w:val="24"/>
                <w:highlight w:val="none"/>
              </w:rPr>
              <w:t>随施工图设计文件一同提交。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64" w:hRule="exact"/>
        </w:trPr>
        <w:tc>
          <w:tcPr>
            <w:tcW w:w="62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p>
        </w:tc>
        <w:tc>
          <w:tcPr>
            <w:tcW w:w="2377"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Times New Roman" w:cs="Times New Roman"/>
                <w:sz w:val="24"/>
                <w:highlight w:val="none"/>
              </w:rPr>
            </w:pPr>
          </w:p>
        </w:tc>
        <w:tc>
          <w:tcPr>
            <w:tcW w:w="90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p>
        </w:tc>
        <w:tc>
          <w:tcPr>
            <w:tcW w:w="2055"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Times New Roman" w:cs="Times New Roman"/>
                <w:sz w:val="24"/>
                <w:highlight w:val="none"/>
              </w:rPr>
            </w:pPr>
          </w:p>
        </w:tc>
        <w:tc>
          <w:tcPr>
            <w:tcW w:w="2829"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sz w:val="24"/>
                <w:highlight w:val="none"/>
              </w:rPr>
            </w:pPr>
          </w:p>
        </w:tc>
      </w:tr>
    </w:tbl>
    <w:p>
      <w:pPr>
        <w:spacing w:line="360" w:lineRule="auto"/>
        <w:rPr>
          <w:rFonts w:hint="eastAsia" w:ascii="宋体" w:hAnsi="宋体"/>
          <w:sz w:val="28"/>
          <w:szCs w:val="28"/>
          <w:highlight w:val="none"/>
        </w:rPr>
      </w:pPr>
      <w:r>
        <w:rPr>
          <w:rFonts w:hint="eastAsia" w:ascii="宋体" w:hAnsi="宋体"/>
          <w:sz w:val="28"/>
          <w:szCs w:val="28"/>
          <w:highlight w:val="none"/>
        </w:rPr>
        <w:t>说明：</w:t>
      </w:r>
    </w:p>
    <w:p>
      <w:pPr>
        <w:spacing w:line="360" w:lineRule="auto"/>
        <w:rPr>
          <w:rFonts w:hint="eastAsia" w:ascii="宋体" w:hAnsi="宋体"/>
          <w:sz w:val="28"/>
          <w:szCs w:val="28"/>
          <w:highlight w:val="none"/>
        </w:rPr>
      </w:pPr>
      <w:r>
        <w:rPr>
          <w:rFonts w:hint="eastAsia" w:ascii="宋体" w:hAnsi="宋体"/>
          <w:sz w:val="28"/>
          <w:szCs w:val="28"/>
          <w:highlight w:val="none"/>
        </w:rPr>
        <w:t>5.1  乙方在本合同规定的工期内按时、按质量要求完成的各阶段设计成果，应及时通知甲方接收。若甲方在接到通知五日内未答复，即视为已交付；不因甲方是否接收设计文件而影响交付的认定。</w:t>
      </w:r>
    </w:p>
    <w:p>
      <w:pPr>
        <w:spacing w:line="360" w:lineRule="auto"/>
        <w:rPr>
          <w:rFonts w:hint="eastAsia" w:ascii="宋体" w:hAnsi="宋体"/>
          <w:sz w:val="28"/>
          <w:szCs w:val="28"/>
          <w:highlight w:val="none"/>
        </w:rPr>
      </w:pPr>
      <w:r>
        <w:rPr>
          <w:rFonts w:hint="eastAsia" w:ascii="宋体" w:hAnsi="宋体"/>
          <w:sz w:val="28"/>
          <w:szCs w:val="28"/>
          <w:highlight w:val="none"/>
        </w:rPr>
        <w:t>5.2 乙方在甲方付清各阶段设计费时交付相应阶段的设计资料电子文件。</w:t>
      </w:r>
    </w:p>
    <w:p>
      <w:pPr>
        <w:tabs>
          <w:tab w:val="left" w:pos="6390"/>
        </w:tabs>
        <w:spacing w:line="360" w:lineRule="auto"/>
        <w:rPr>
          <w:rFonts w:hint="eastAsia" w:ascii="宋体" w:hAnsi="宋体"/>
          <w:b/>
          <w:sz w:val="28"/>
          <w:szCs w:val="28"/>
          <w:highlight w:val="none"/>
        </w:rPr>
      </w:pPr>
      <w:r>
        <w:rPr>
          <w:rFonts w:hint="eastAsia" w:ascii="宋体" w:hAnsi="宋体"/>
          <w:b/>
          <w:sz w:val="28"/>
          <w:szCs w:val="28"/>
          <w:highlight w:val="none"/>
        </w:rPr>
        <w:t>第6条 收费</w:t>
      </w:r>
    </w:p>
    <w:p>
      <w:pPr>
        <w:spacing w:line="360" w:lineRule="auto"/>
        <w:rPr>
          <w:rFonts w:hint="eastAsia" w:ascii="宋体" w:hAnsi="宋体"/>
          <w:sz w:val="28"/>
          <w:szCs w:val="28"/>
          <w:highlight w:val="none"/>
        </w:rPr>
      </w:pPr>
      <w:r>
        <w:rPr>
          <w:rFonts w:hint="eastAsia" w:ascii="宋体" w:hAnsi="宋体"/>
          <w:sz w:val="28"/>
          <w:szCs w:val="28"/>
          <w:highlight w:val="none"/>
        </w:rPr>
        <w:t>6.1设计费按国家发展计划委员会﹑建设部发布的《工程勘察设计收费标准》（2002年修订本）规定收费标准执行。本合同的设计费暂定为人民币</w:t>
      </w:r>
    </w:p>
    <w:p>
      <w:pPr>
        <w:spacing w:line="360" w:lineRule="auto"/>
        <w:rPr>
          <w:rFonts w:hint="eastAsia" w:ascii="宋体" w:hAnsi="宋体"/>
          <w:sz w:val="28"/>
          <w:szCs w:val="28"/>
          <w:highlight w:val="none"/>
        </w:rPr>
      </w:pPr>
      <w:r>
        <w:rPr>
          <w:rFonts w:hint="eastAsia"/>
          <w:sz w:val="28"/>
          <w:highlight w:val="none"/>
          <w:u w:val="single"/>
        </w:rPr>
        <w:t xml:space="preserve">              </w:t>
      </w:r>
      <w:r>
        <w:rPr>
          <w:rFonts w:hint="eastAsia"/>
          <w:sz w:val="28"/>
          <w:highlight w:val="none"/>
        </w:rPr>
        <w:t>元整（</w:t>
      </w:r>
      <w:r>
        <w:rPr>
          <w:rFonts w:hint="eastAsia" w:ascii="等线" w:hAnsi="等线" w:eastAsia="等线"/>
          <w:sz w:val="28"/>
          <w:highlight w:val="none"/>
        </w:rPr>
        <w:t>¥</w:t>
      </w:r>
      <w:r>
        <w:rPr>
          <w:rFonts w:hint="eastAsia"/>
          <w:sz w:val="28"/>
          <w:highlight w:val="none"/>
          <w:u w:val="single"/>
        </w:rPr>
        <w:t xml:space="preserve">        </w:t>
      </w:r>
      <w:r>
        <w:rPr>
          <w:rFonts w:hint="eastAsia"/>
          <w:sz w:val="28"/>
          <w:highlight w:val="none"/>
        </w:rPr>
        <w:t>元）（其中不含税价为 元，增值税率为6%，税额为 元）</w:t>
      </w:r>
      <w:r>
        <w:rPr>
          <w:rFonts w:hint="eastAsia" w:ascii="宋体" w:hAnsi="宋体"/>
          <w:sz w:val="28"/>
          <w:szCs w:val="28"/>
          <w:highlight w:val="none"/>
        </w:rPr>
        <w:t>。</w:t>
      </w:r>
      <w:r>
        <w:rPr>
          <w:rFonts w:hint="eastAsia" w:ascii="等线" w:hAnsi="等线"/>
          <w:color w:val="000000"/>
          <w:sz w:val="28"/>
          <w:szCs w:val="28"/>
          <w:highlight w:val="none"/>
        </w:rPr>
        <w:t>在合同履行期间，如遇国家税率调整，本合同约定的不含税金额不因国家税率的调整而变化，相应调整“不含税金额”为准计算的增值税额与合同结算总价。</w:t>
      </w:r>
    </w:p>
    <w:p>
      <w:pPr>
        <w:spacing w:line="360" w:lineRule="auto"/>
        <w:rPr>
          <w:rFonts w:hint="eastAsia" w:ascii="宋体" w:hAnsi="宋体"/>
          <w:sz w:val="28"/>
          <w:szCs w:val="28"/>
          <w:highlight w:val="none"/>
        </w:rPr>
      </w:pPr>
      <w:r>
        <w:rPr>
          <w:rFonts w:hint="eastAsia" w:ascii="宋体" w:hAnsi="宋体"/>
          <w:sz w:val="28"/>
          <w:szCs w:val="28"/>
          <w:highlight w:val="none"/>
        </w:rPr>
        <w:t>6.2 上述费用为估算设计费，工程建设期间如遇概算调整，则设计费也应做相应调整，最终结算价以有关部门</w:t>
      </w:r>
      <w:r>
        <w:rPr>
          <w:rFonts w:ascii="宋体" w:hAnsi="宋体"/>
          <w:sz w:val="28"/>
          <w:szCs w:val="28"/>
          <w:highlight w:val="none"/>
        </w:rPr>
        <w:t>审定价为准</w:t>
      </w:r>
      <w:r>
        <w:rPr>
          <w:rFonts w:hint="eastAsia" w:ascii="宋体" w:hAnsi="宋体"/>
          <w:sz w:val="28"/>
          <w:szCs w:val="28"/>
          <w:highlight w:val="none"/>
        </w:rPr>
        <w:t>。</w:t>
      </w:r>
    </w:p>
    <w:p>
      <w:pPr>
        <w:spacing w:line="360" w:lineRule="auto"/>
        <w:rPr>
          <w:rFonts w:hint="eastAsia" w:ascii="宋体" w:hAnsi="宋体"/>
          <w:sz w:val="28"/>
          <w:szCs w:val="28"/>
          <w:highlight w:val="none"/>
        </w:rPr>
      </w:pPr>
      <w:r>
        <w:rPr>
          <w:rFonts w:hint="eastAsia" w:ascii="宋体" w:hAnsi="宋体"/>
          <w:sz w:val="28"/>
          <w:szCs w:val="28"/>
          <w:highlight w:val="none"/>
        </w:rPr>
        <w:t>6.3 本合同的设计费已包括完成该设计项目的</w:t>
      </w:r>
      <w:r>
        <w:rPr>
          <w:rFonts w:hint="eastAsia" w:ascii="宋体" w:hAnsi="宋体"/>
          <w:sz w:val="28"/>
          <w:szCs w:val="28"/>
          <w:highlight w:val="none"/>
          <w:u w:val="single"/>
        </w:rPr>
        <w:t>成本、利润、税金、本合同已明确约定数量的图纸资料文印费</w:t>
      </w:r>
      <w:r>
        <w:rPr>
          <w:rFonts w:hint="eastAsia" w:ascii="宋体" w:hAnsi="宋体"/>
          <w:sz w:val="28"/>
          <w:szCs w:val="28"/>
          <w:highlight w:val="none"/>
        </w:rPr>
        <w:t>。本合同的设计费不包括组织项目设计成果的评审会议、出具评审意见、参观考察等相关费用。</w:t>
      </w:r>
    </w:p>
    <w:p>
      <w:pPr>
        <w:spacing w:line="360" w:lineRule="auto"/>
        <w:ind w:firstLine="281" w:firstLineChars="100"/>
        <w:rPr>
          <w:rFonts w:hint="eastAsia" w:ascii="宋体" w:hAnsi="宋体"/>
          <w:sz w:val="28"/>
          <w:szCs w:val="28"/>
          <w:highlight w:val="none"/>
        </w:rPr>
      </w:pPr>
      <w:r>
        <w:rPr>
          <w:rFonts w:hint="eastAsia" w:ascii="宋体" w:hAnsi="宋体"/>
          <w:b/>
          <w:sz w:val="28"/>
          <w:szCs w:val="28"/>
          <w:highlight w:val="none"/>
        </w:rPr>
        <w:t>第7条 支付方式</w:t>
      </w:r>
    </w:p>
    <w:tbl>
      <w:tblPr>
        <w:tblStyle w:val="2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1620"/>
        <w:gridCol w:w="1455"/>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收费次序</w:t>
            </w:r>
          </w:p>
        </w:tc>
        <w:tc>
          <w:tcPr>
            <w:tcW w:w="16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占总设计费</w:t>
            </w:r>
          </w:p>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 % ）</w:t>
            </w:r>
          </w:p>
        </w:tc>
        <w:tc>
          <w:tcPr>
            <w:tcW w:w="1455"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收费额</w:t>
            </w:r>
          </w:p>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（元）</w:t>
            </w:r>
          </w:p>
        </w:tc>
        <w:tc>
          <w:tcPr>
            <w:tcW w:w="34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收 费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2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 xml:space="preserve">  第一次（定金）</w:t>
            </w:r>
          </w:p>
        </w:tc>
        <w:tc>
          <w:tcPr>
            <w:tcW w:w="16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p>
        </w:tc>
        <w:tc>
          <w:tcPr>
            <w:tcW w:w="1455"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p>
        </w:tc>
        <w:tc>
          <w:tcPr>
            <w:tcW w:w="345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合同生效后7 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第二次</w:t>
            </w:r>
          </w:p>
        </w:tc>
        <w:tc>
          <w:tcPr>
            <w:tcW w:w="16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p>
        </w:tc>
        <w:tc>
          <w:tcPr>
            <w:tcW w:w="1455"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p>
        </w:tc>
        <w:tc>
          <w:tcPr>
            <w:tcW w:w="3450" w:type="dxa"/>
            <w:noWrap w:val="0"/>
            <w:vAlign w:val="top"/>
          </w:tcPr>
          <w:p>
            <w:pPr>
              <w:keepNext w:val="0"/>
              <w:keepLines w:val="0"/>
              <w:suppressLineNumbers w:val="0"/>
              <w:tabs>
                <w:tab w:val="left" w:pos="5580"/>
              </w:tabs>
              <w:spacing w:before="0" w:beforeAutospacing="0" w:after="0" w:afterAutospacing="0" w:line="360" w:lineRule="auto"/>
              <w:ind w:left="480" w:right="0" w:hanging="480" w:hangingChars="200"/>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方案设计审批通过后7 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第三次</w:t>
            </w:r>
          </w:p>
        </w:tc>
        <w:tc>
          <w:tcPr>
            <w:tcW w:w="16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p>
        </w:tc>
        <w:tc>
          <w:tcPr>
            <w:tcW w:w="1455"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p>
        </w:tc>
        <w:tc>
          <w:tcPr>
            <w:tcW w:w="3450" w:type="dxa"/>
            <w:noWrap w:val="0"/>
            <w:vAlign w:val="center"/>
          </w:tcPr>
          <w:p>
            <w:pPr>
              <w:keepNext w:val="0"/>
              <w:keepLines w:val="0"/>
              <w:suppressLineNumbers w:val="0"/>
              <w:tabs>
                <w:tab w:val="left" w:pos="5580"/>
              </w:tabs>
              <w:spacing w:before="0" w:beforeAutospacing="0" w:after="0" w:afterAutospacing="0" w:line="360" w:lineRule="auto"/>
              <w:ind w:left="0" w:right="0"/>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初步设计审批通过后 7 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第四次</w:t>
            </w:r>
          </w:p>
        </w:tc>
        <w:tc>
          <w:tcPr>
            <w:tcW w:w="16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p>
        </w:tc>
        <w:tc>
          <w:tcPr>
            <w:tcW w:w="1455"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p>
        </w:tc>
        <w:tc>
          <w:tcPr>
            <w:tcW w:w="3450" w:type="dxa"/>
            <w:noWrap w:val="0"/>
            <w:vAlign w:val="top"/>
          </w:tcPr>
          <w:p>
            <w:pPr>
              <w:keepNext w:val="0"/>
              <w:keepLines w:val="0"/>
              <w:suppressLineNumbers w:val="0"/>
              <w:tabs>
                <w:tab w:val="left" w:pos="5580"/>
              </w:tabs>
              <w:spacing w:before="0" w:beforeAutospacing="0" w:after="0" w:afterAutospacing="0" w:line="360" w:lineRule="auto"/>
              <w:ind w:left="0" w:right="0"/>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施工图审查通过后7日内。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p>
        </w:tc>
        <w:tc>
          <w:tcPr>
            <w:tcW w:w="16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p>
        </w:tc>
        <w:tc>
          <w:tcPr>
            <w:tcW w:w="1455"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p>
        </w:tc>
        <w:tc>
          <w:tcPr>
            <w:tcW w:w="3450" w:type="dxa"/>
            <w:noWrap w:val="0"/>
            <w:vAlign w:val="top"/>
          </w:tcPr>
          <w:p>
            <w:pPr>
              <w:keepNext w:val="0"/>
              <w:keepLines w:val="0"/>
              <w:suppressLineNumbers w:val="0"/>
              <w:tabs>
                <w:tab w:val="left" w:pos="5580"/>
              </w:tabs>
              <w:spacing w:before="0" w:beforeAutospacing="0" w:after="0" w:afterAutospacing="0" w:line="360" w:lineRule="auto"/>
              <w:ind w:left="0" w:right="0"/>
              <w:rPr>
                <w:rFonts w:hint="eastAsia" w:ascii="宋体" w:hAnsi="宋体" w:eastAsia="Times New Roman" w:cs="Times New Roman"/>
                <w:position w:val="-2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sz w:val="24"/>
                <w:highlight w:val="none"/>
              </w:rPr>
            </w:pPr>
            <w:r>
              <w:rPr>
                <w:rFonts w:hint="eastAsia" w:ascii="宋体" w:hAnsi="宋体" w:eastAsia="Times New Roman" w:cs="Times New Roman"/>
                <w:sz w:val="24"/>
                <w:highlight w:val="none"/>
              </w:rPr>
              <w:t>合计</w:t>
            </w:r>
          </w:p>
        </w:tc>
        <w:tc>
          <w:tcPr>
            <w:tcW w:w="16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r>
              <w:rPr>
                <w:rFonts w:hint="eastAsia" w:ascii="宋体" w:hAnsi="宋体" w:eastAsia="Times New Roman" w:cs="Times New Roman"/>
                <w:position w:val="-26"/>
                <w:sz w:val="24"/>
                <w:highlight w:val="none"/>
              </w:rPr>
              <w:t>100</w:t>
            </w:r>
          </w:p>
        </w:tc>
        <w:tc>
          <w:tcPr>
            <w:tcW w:w="1455"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Times New Roman" w:cs="Times New Roman"/>
                <w:position w:val="-26"/>
                <w:sz w:val="24"/>
                <w:highlight w:val="none"/>
              </w:rPr>
            </w:pPr>
          </w:p>
        </w:tc>
        <w:tc>
          <w:tcPr>
            <w:tcW w:w="3450" w:type="dxa"/>
            <w:noWrap w:val="0"/>
            <w:vAlign w:val="top"/>
          </w:tcPr>
          <w:p>
            <w:pPr>
              <w:keepNext w:val="0"/>
              <w:keepLines w:val="0"/>
              <w:suppressLineNumbers w:val="0"/>
              <w:tabs>
                <w:tab w:val="left" w:pos="5580"/>
              </w:tabs>
              <w:spacing w:before="0" w:beforeAutospacing="0" w:after="0" w:afterAutospacing="0" w:line="360" w:lineRule="auto"/>
              <w:ind w:left="0" w:right="0"/>
              <w:rPr>
                <w:rFonts w:hint="eastAsia" w:ascii="宋体" w:hAnsi="宋体" w:eastAsia="Times New Roman" w:cs="Times New Roman"/>
                <w:position w:val="-26"/>
                <w:sz w:val="24"/>
                <w:highlight w:val="none"/>
              </w:rPr>
            </w:pPr>
          </w:p>
        </w:tc>
      </w:tr>
    </w:tbl>
    <w:p>
      <w:pPr>
        <w:spacing w:line="360" w:lineRule="auto"/>
        <w:rPr>
          <w:rFonts w:hint="eastAsia" w:ascii="宋体" w:hAnsi="宋体"/>
          <w:sz w:val="28"/>
          <w:szCs w:val="28"/>
          <w:highlight w:val="none"/>
        </w:rPr>
      </w:pPr>
      <w:r>
        <w:rPr>
          <w:rFonts w:hint="eastAsia" w:ascii="宋体" w:hAnsi="宋体"/>
          <w:sz w:val="28"/>
          <w:szCs w:val="28"/>
          <w:highlight w:val="none"/>
        </w:rPr>
        <w:t>说明：</w:t>
      </w:r>
    </w:p>
    <w:p>
      <w:pPr>
        <w:spacing w:line="360" w:lineRule="auto"/>
        <w:rPr>
          <w:rFonts w:hint="eastAsia" w:ascii="宋体" w:hAnsi="宋体"/>
          <w:sz w:val="28"/>
          <w:szCs w:val="28"/>
          <w:highlight w:val="none"/>
        </w:rPr>
      </w:pPr>
      <w:r>
        <w:rPr>
          <w:rFonts w:hint="eastAsia" w:ascii="宋体" w:hAnsi="宋体"/>
          <w:sz w:val="28"/>
          <w:szCs w:val="28"/>
          <w:highlight w:val="none"/>
        </w:rPr>
        <w:t>7</w:t>
      </w:r>
      <w:r>
        <w:rPr>
          <w:rFonts w:ascii="宋体" w:hAnsi="宋体"/>
          <w:sz w:val="28"/>
          <w:szCs w:val="28"/>
          <w:highlight w:val="none"/>
        </w:rPr>
        <w:t>.1</w:t>
      </w:r>
      <w:r>
        <w:rPr>
          <w:rFonts w:hint="eastAsia" w:ascii="宋体" w:hAnsi="宋体"/>
          <w:sz w:val="28"/>
          <w:szCs w:val="28"/>
          <w:highlight w:val="none"/>
        </w:rPr>
        <w:t>本合同履行后，定金自动抵作最后一期的设计费。</w:t>
      </w:r>
    </w:p>
    <w:p>
      <w:pPr>
        <w:spacing w:line="360" w:lineRule="auto"/>
        <w:rPr>
          <w:rFonts w:hint="eastAsia" w:ascii="宋体" w:hAnsi="宋体"/>
          <w:sz w:val="28"/>
          <w:szCs w:val="28"/>
          <w:highlight w:val="none"/>
        </w:rPr>
      </w:pPr>
      <w:r>
        <w:rPr>
          <w:rFonts w:hint="eastAsia" w:ascii="宋体" w:hAnsi="宋体"/>
          <w:sz w:val="28"/>
          <w:szCs w:val="28"/>
          <w:highlight w:val="none"/>
        </w:rPr>
        <w:t>7.2各阶段的设计费，在乙方提交各阶段设计文件并经</w:t>
      </w:r>
      <w:r>
        <w:rPr>
          <w:rFonts w:ascii="宋体" w:hAnsi="宋体"/>
          <w:sz w:val="28"/>
          <w:szCs w:val="28"/>
          <w:highlight w:val="none"/>
        </w:rPr>
        <w:t>甲方</w:t>
      </w:r>
      <w:r>
        <w:rPr>
          <w:rFonts w:hint="eastAsia" w:ascii="宋体" w:hAnsi="宋体"/>
          <w:sz w:val="28"/>
          <w:szCs w:val="28"/>
          <w:highlight w:val="none"/>
        </w:rPr>
        <w:t>确认后，甲方按上表付费时间支付给乙方。</w:t>
      </w:r>
    </w:p>
    <w:p>
      <w:pPr>
        <w:spacing w:line="360" w:lineRule="auto"/>
        <w:rPr>
          <w:rFonts w:hint="eastAsia" w:ascii="宋体" w:hAnsi="宋体"/>
          <w:sz w:val="28"/>
          <w:szCs w:val="28"/>
          <w:highlight w:val="none"/>
        </w:rPr>
      </w:pPr>
      <w:r>
        <w:rPr>
          <w:rFonts w:hint="eastAsia" w:ascii="宋体" w:hAnsi="宋体"/>
          <w:sz w:val="28"/>
          <w:szCs w:val="28"/>
          <w:highlight w:val="none"/>
        </w:rPr>
        <w:t>7.3实际设计费按办理结算后财政部门的审核价的计算，多退少补，在最后一次付费时全部结清。实际设计费与估算设计费出现20％以上差额时，双方另行签订补充协议。</w:t>
      </w:r>
    </w:p>
    <w:p>
      <w:pPr>
        <w:adjustRightInd w:val="0"/>
        <w:snapToGrid w:val="0"/>
        <w:spacing w:line="360" w:lineRule="auto"/>
        <w:ind w:right="-1"/>
        <w:rPr>
          <w:rFonts w:hint="eastAsia" w:ascii="宋体" w:hAnsi="宋体"/>
          <w:sz w:val="28"/>
          <w:szCs w:val="28"/>
          <w:highlight w:val="none"/>
        </w:rPr>
      </w:pPr>
      <w:r>
        <w:rPr>
          <w:rFonts w:hint="eastAsia" w:ascii="宋体" w:hAnsi="宋体"/>
          <w:sz w:val="28"/>
          <w:szCs w:val="28"/>
          <w:highlight w:val="none"/>
        </w:rPr>
        <w:t>7</w:t>
      </w:r>
      <w:r>
        <w:rPr>
          <w:rFonts w:ascii="宋体" w:hAnsi="宋体"/>
          <w:sz w:val="28"/>
          <w:szCs w:val="28"/>
          <w:highlight w:val="none"/>
        </w:rPr>
        <w:t>.</w:t>
      </w:r>
      <w:r>
        <w:rPr>
          <w:rFonts w:hint="eastAsia" w:ascii="宋体" w:hAnsi="宋体"/>
          <w:sz w:val="28"/>
          <w:szCs w:val="28"/>
          <w:highlight w:val="none"/>
        </w:rPr>
        <w:t>4若甲方未按期付款，甲方在</w:t>
      </w:r>
      <w:r>
        <w:rPr>
          <w:rFonts w:ascii="宋体" w:hAnsi="宋体"/>
          <w:sz w:val="28"/>
          <w:szCs w:val="28"/>
          <w:highlight w:val="none"/>
        </w:rPr>
        <w:t>收到</w:t>
      </w:r>
      <w:r>
        <w:rPr>
          <w:rFonts w:hint="eastAsia" w:ascii="宋体" w:hAnsi="宋体"/>
          <w:sz w:val="28"/>
          <w:szCs w:val="28"/>
          <w:highlight w:val="none"/>
        </w:rPr>
        <w:t>乙方付款申请报告后应于</w:t>
      </w:r>
      <w:r>
        <w:rPr>
          <w:rFonts w:hint="eastAsia" w:ascii="宋体" w:hAnsi="宋体"/>
          <w:sz w:val="28"/>
          <w:szCs w:val="28"/>
          <w:highlight w:val="none"/>
          <w:u w:val="single"/>
        </w:rPr>
        <w:t xml:space="preserve">  7   </w:t>
      </w:r>
      <w:r>
        <w:rPr>
          <w:rFonts w:hint="eastAsia" w:ascii="宋体" w:hAnsi="宋体"/>
          <w:sz w:val="28"/>
          <w:szCs w:val="28"/>
          <w:highlight w:val="none"/>
        </w:rPr>
        <w:t>天</w:t>
      </w:r>
      <w:r>
        <w:rPr>
          <w:rFonts w:ascii="宋体" w:hAnsi="宋体"/>
          <w:sz w:val="28"/>
          <w:szCs w:val="28"/>
          <w:highlight w:val="none"/>
        </w:rPr>
        <w:t>内审核完毕，并按上述条款</w:t>
      </w:r>
      <w:r>
        <w:rPr>
          <w:rFonts w:hint="eastAsia" w:ascii="宋体" w:hAnsi="宋体"/>
          <w:sz w:val="28"/>
          <w:szCs w:val="28"/>
          <w:highlight w:val="none"/>
        </w:rPr>
        <w:t>的约定向乙方付款。若甲方对乙方提交的付款申请报告存有异议，应在收到报告之日起</w:t>
      </w:r>
      <w:r>
        <w:rPr>
          <w:rFonts w:hint="eastAsia" w:ascii="宋体" w:hAnsi="宋体"/>
          <w:sz w:val="28"/>
          <w:szCs w:val="28"/>
          <w:highlight w:val="none"/>
          <w:u w:val="single"/>
        </w:rPr>
        <w:t xml:space="preserve">  7  </w:t>
      </w:r>
      <w:r>
        <w:rPr>
          <w:rFonts w:hint="eastAsia" w:ascii="宋体" w:hAnsi="宋体"/>
          <w:sz w:val="28"/>
          <w:szCs w:val="28"/>
          <w:highlight w:val="none"/>
        </w:rPr>
        <w:t>天内书面通知乙方，由双方在</w:t>
      </w:r>
      <w:r>
        <w:rPr>
          <w:rFonts w:hint="eastAsia" w:ascii="宋体" w:hAnsi="宋体"/>
          <w:sz w:val="28"/>
          <w:szCs w:val="28"/>
          <w:highlight w:val="none"/>
          <w:u w:val="single"/>
        </w:rPr>
        <w:t xml:space="preserve">  5   </w:t>
      </w:r>
      <w:r>
        <w:rPr>
          <w:rFonts w:hint="eastAsia" w:ascii="宋体" w:hAnsi="宋体"/>
          <w:sz w:val="28"/>
          <w:szCs w:val="28"/>
          <w:highlight w:val="none"/>
        </w:rPr>
        <w:t>天内协商解决。</w:t>
      </w:r>
    </w:p>
    <w:p>
      <w:pPr>
        <w:adjustRightInd w:val="0"/>
        <w:snapToGrid w:val="0"/>
        <w:spacing w:line="360" w:lineRule="auto"/>
        <w:ind w:right="-1"/>
        <w:rPr>
          <w:rFonts w:hint="eastAsia" w:ascii="宋体" w:hAnsi="宋体"/>
          <w:sz w:val="28"/>
          <w:szCs w:val="28"/>
          <w:highlight w:val="none"/>
        </w:rPr>
      </w:pPr>
      <w:r>
        <w:rPr>
          <w:rFonts w:hint="eastAsia" w:ascii="宋体" w:hAnsi="宋体"/>
          <w:sz w:val="28"/>
          <w:szCs w:val="28"/>
          <w:highlight w:val="none"/>
        </w:rPr>
        <w:t>7</w:t>
      </w:r>
      <w:r>
        <w:rPr>
          <w:rFonts w:ascii="宋体" w:hAnsi="宋体"/>
          <w:sz w:val="28"/>
          <w:szCs w:val="28"/>
          <w:highlight w:val="none"/>
        </w:rPr>
        <w:t>.</w:t>
      </w:r>
      <w:r>
        <w:rPr>
          <w:rFonts w:hint="eastAsia" w:ascii="宋体" w:hAnsi="宋体"/>
          <w:sz w:val="28"/>
          <w:szCs w:val="28"/>
          <w:highlight w:val="none"/>
        </w:rPr>
        <w:t>5甲方向乙方付款前，乙方须向甲方提供相当于甲方付款金额的符合国家财税规定的合法有效发票。若乙方未能按上述条款的约定提供付款申请报告或发票的，则甲方有权拒绝付款。</w:t>
      </w:r>
    </w:p>
    <w:p>
      <w:pPr>
        <w:adjustRightInd w:val="0"/>
        <w:snapToGrid w:val="0"/>
        <w:spacing w:line="360" w:lineRule="auto"/>
        <w:ind w:right="-1"/>
        <w:rPr>
          <w:rFonts w:hint="eastAsia" w:ascii="宋体" w:hAnsi="宋体"/>
          <w:sz w:val="28"/>
          <w:szCs w:val="28"/>
          <w:highlight w:val="none"/>
        </w:rPr>
      </w:pPr>
      <w:r>
        <w:rPr>
          <w:rFonts w:hint="eastAsia" w:ascii="宋体" w:hAnsi="宋体"/>
          <w:sz w:val="28"/>
          <w:szCs w:val="28"/>
          <w:highlight w:val="none"/>
        </w:rPr>
        <w:t>7.6甲方委托设计项目、规模、条件或因甲方提供的资料错误或所提供的资料做较大修改，以致乙方设计需重大修改或返工时，双方除需另行签订补充协议，重新明确条款外，甲方应根据工作量向乙方增付设计费。</w:t>
      </w:r>
    </w:p>
    <w:p>
      <w:pPr>
        <w:adjustRightInd w:val="0"/>
        <w:snapToGrid w:val="0"/>
        <w:spacing w:line="360" w:lineRule="auto"/>
        <w:ind w:right="-1"/>
        <w:rPr>
          <w:rFonts w:hint="eastAsia" w:ascii="宋体" w:hAnsi="宋体"/>
          <w:sz w:val="28"/>
          <w:szCs w:val="28"/>
          <w:highlight w:val="none"/>
        </w:rPr>
      </w:pPr>
      <w:r>
        <w:rPr>
          <w:rFonts w:hint="eastAsia" w:ascii="宋体" w:hAnsi="宋体"/>
          <w:sz w:val="28"/>
          <w:szCs w:val="28"/>
          <w:highlight w:val="none"/>
        </w:rPr>
        <w:t>7.7甲方要求乙方比规定时间提前交付设计资料及文件时，如乙方能够做到，甲方应向乙方支付赶工费。赶工费由双方另行签订书面协议确定。</w:t>
      </w:r>
    </w:p>
    <w:p>
      <w:pPr>
        <w:adjustRightInd w:val="0"/>
        <w:snapToGrid w:val="0"/>
        <w:spacing w:line="360" w:lineRule="auto"/>
        <w:ind w:right="-1"/>
        <w:rPr>
          <w:rFonts w:hint="eastAsia" w:ascii="宋体" w:hAnsi="宋体"/>
          <w:sz w:val="28"/>
          <w:szCs w:val="28"/>
          <w:highlight w:val="none"/>
        </w:rPr>
      </w:pPr>
      <w:r>
        <w:rPr>
          <w:rFonts w:hint="eastAsia" w:ascii="宋体" w:hAnsi="宋体"/>
          <w:sz w:val="28"/>
          <w:szCs w:val="28"/>
          <w:highlight w:val="none"/>
        </w:rPr>
        <w:t>7.8如遇到国家设计规范发生修订与变更时，乙方依照新规范或修订后的规范进行必要的修改，甲方应根据修改工作量增加设计费用。</w:t>
      </w:r>
    </w:p>
    <w:p>
      <w:pPr>
        <w:adjustRightInd w:val="0"/>
        <w:snapToGrid w:val="0"/>
        <w:spacing w:line="360" w:lineRule="auto"/>
        <w:ind w:right="-1"/>
        <w:rPr>
          <w:rFonts w:hint="eastAsia" w:ascii="宋体" w:hAnsi="宋体"/>
          <w:sz w:val="28"/>
          <w:szCs w:val="28"/>
          <w:highlight w:val="none"/>
        </w:rPr>
      </w:pPr>
      <w:r>
        <w:rPr>
          <w:rFonts w:hint="eastAsia" w:ascii="宋体" w:hAnsi="宋体"/>
          <w:sz w:val="28"/>
          <w:szCs w:val="28"/>
          <w:highlight w:val="none"/>
        </w:rPr>
        <w:t>7.9甲方要求超出本合同规定份数要求的设计文件，由甲方另行支付工本费。具体约定为：所有设计文件折算为</w:t>
      </w:r>
      <w:r>
        <w:rPr>
          <w:rFonts w:hint="eastAsia" w:ascii="宋体" w:hAnsi="宋体"/>
          <w:sz w:val="28"/>
          <w:szCs w:val="28"/>
          <w:highlight w:val="none"/>
          <w:u w:val="single"/>
        </w:rPr>
        <w:t xml:space="preserve">     </w:t>
      </w:r>
      <w:r>
        <w:rPr>
          <w:rFonts w:hint="eastAsia" w:ascii="宋体" w:hAnsi="宋体"/>
          <w:sz w:val="28"/>
          <w:szCs w:val="28"/>
          <w:highlight w:val="none"/>
        </w:rPr>
        <w:t>规格，</w:t>
      </w:r>
      <w:r>
        <w:rPr>
          <w:rFonts w:hint="eastAsia" w:ascii="宋体" w:hAnsi="宋体"/>
          <w:sz w:val="28"/>
          <w:szCs w:val="28"/>
          <w:highlight w:val="none"/>
          <w:u w:val="single"/>
        </w:rPr>
        <w:t xml:space="preserve">     </w:t>
      </w:r>
      <w:r>
        <w:rPr>
          <w:rFonts w:hint="eastAsia" w:ascii="宋体" w:hAnsi="宋体"/>
          <w:sz w:val="28"/>
          <w:szCs w:val="28"/>
          <w:highlight w:val="none"/>
        </w:rPr>
        <w:t>元</w:t>
      </w:r>
      <w:r>
        <w:rPr>
          <w:rFonts w:ascii="宋体" w:hAnsi="宋体"/>
          <w:sz w:val="28"/>
          <w:szCs w:val="28"/>
          <w:highlight w:val="none"/>
        </w:rPr>
        <w:t>/</w:t>
      </w:r>
      <w:r>
        <w:rPr>
          <w:rFonts w:hint="eastAsia" w:ascii="宋体" w:hAnsi="宋体"/>
          <w:sz w:val="28"/>
          <w:szCs w:val="28"/>
          <w:highlight w:val="none"/>
        </w:rPr>
        <w:t>张进行按实结算，由乙方出具有效发票报销。</w:t>
      </w:r>
    </w:p>
    <w:p>
      <w:pPr>
        <w:adjustRightInd w:val="0"/>
        <w:snapToGrid w:val="0"/>
        <w:spacing w:line="360" w:lineRule="auto"/>
        <w:ind w:right="-1"/>
        <w:rPr>
          <w:rFonts w:hint="eastAsia" w:ascii="宋体" w:hAnsi="宋体"/>
          <w:sz w:val="28"/>
          <w:szCs w:val="28"/>
          <w:highlight w:val="none"/>
        </w:rPr>
      </w:pPr>
      <w:r>
        <w:rPr>
          <w:rFonts w:hint="eastAsia" w:ascii="宋体" w:hAnsi="宋体"/>
          <w:sz w:val="28"/>
          <w:szCs w:val="28"/>
          <w:highlight w:val="none"/>
        </w:rPr>
        <w:t>7.10甲方委托乙方承担本合同内容之外的工作服务，另行支付费用。</w:t>
      </w:r>
    </w:p>
    <w:p>
      <w:pPr>
        <w:spacing w:line="360" w:lineRule="auto"/>
        <w:rPr>
          <w:rFonts w:hint="eastAsia" w:ascii="宋体" w:hAnsi="宋体"/>
          <w:b/>
          <w:sz w:val="28"/>
          <w:szCs w:val="28"/>
          <w:highlight w:val="none"/>
        </w:rPr>
      </w:pPr>
      <w:r>
        <w:rPr>
          <w:rFonts w:hint="eastAsia" w:ascii="宋体" w:hAnsi="宋体"/>
          <w:b/>
          <w:sz w:val="28"/>
          <w:szCs w:val="28"/>
          <w:highlight w:val="none"/>
        </w:rPr>
        <w:t>第8条  双方责任</w:t>
      </w:r>
    </w:p>
    <w:p>
      <w:pPr>
        <w:spacing w:line="360" w:lineRule="auto"/>
        <w:rPr>
          <w:rFonts w:hint="eastAsia" w:ascii="宋体" w:hAnsi="宋体"/>
          <w:sz w:val="28"/>
          <w:szCs w:val="28"/>
          <w:highlight w:val="none"/>
        </w:rPr>
      </w:pPr>
      <w:r>
        <w:rPr>
          <w:rFonts w:ascii="宋体" w:hAnsi="宋体"/>
          <w:sz w:val="28"/>
          <w:szCs w:val="28"/>
          <w:highlight w:val="none"/>
        </w:rPr>
        <w:t xml:space="preserve"> </w:t>
      </w:r>
      <w:r>
        <w:rPr>
          <w:rFonts w:hint="eastAsia" w:ascii="宋体" w:hAnsi="宋体"/>
          <w:b/>
          <w:sz w:val="28"/>
          <w:szCs w:val="28"/>
          <w:highlight w:val="none"/>
        </w:rPr>
        <w:t xml:space="preserve">8.1 </w:t>
      </w:r>
      <w:r>
        <w:rPr>
          <w:rFonts w:hint="eastAsia" w:ascii="宋体" w:hAnsi="宋体"/>
          <w:sz w:val="28"/>
          <w:szCs w:val="28"/>
          <w:highlight w:val="none"/>
        </w:rPr>
        <w:t>甲方责任</w:t>
      </w:r>
    </w:p>
    <w:p>
      <w:pPr>
        <w:spacing w:line="360" w:lineRule="auto"/>
        <w:rPr>
          <w:rFonts w:hint="eastAsia" w:ascii="宋体" w:hAnsi="宋体"/>
          <w:sz w:val="28"/>
          <w:szCs w:val="28"/>
          <w:highlight w:val="none"/>
        </w:rPr>
      </w:pPr>
      <w:r>
        <w:rPr>
          <w:rFonts w:hint="eastAsia" w:ascii="宋体" w:hAnsi="宋体"/>
          <w:b/>
          <w:sz w:val="28"/>
          <w:szCs w:val="28"/>
          <w:highlight w:val="none"/>
        </w:rPr>
        <w:t>8.1</w:t>
      </w:r>
      <w:r>
        <w:rPr>
          <w:rFonts w:ascii="宋体" w:hAnsi="宋体"/>
          <w:b/>
          <w:sz w:val="28"/>
          <w:szCs w:val="28"/>
          <w:highlight w:val="none"/>
        </w:rPr>
        <w:t>.1</w:t>
      </w:r>
      <w:r>
        <w:rPr>
          <w:rFonts w:hint="eastAsia" w:ascii="宋体" w:hAnsi="宋体"/>
          <w:sz w:val="28"/>
          <w:szCs w:val="28"/>
          <w:highlight w:val="none"/>
        </w:rPr>
        <w:t xml:space="preserve"> 甲方按本合同第四条规定的内容，在规定的时间向乙方提交资料及文件，并对其完整性、正确性及时限负责，甲方不得要求乙方违反国家有关标准进行设计。甲方提交上述资料及文件超过规定期限7天以内，乙方按合同第五条规定交付设计文件时间顺延；超过规定期限7天以上时，乙方有权重新确定提交设计文件的时间。</w:t>
      </w:r>
    </w:p>
    <w:p>
      <w:pPr>
        <w:spacing w:line="360" w:lineRule="auto"/>
        <w:rPr>
          <w:rFonts w:hint="eastAsia" w:ascii="宋体" w:hAnsi="宋体"/>
          <w:sz w:val="28"/>
          <w:szCs w:val="28"/>
          <w:highlight w:val="none"/>
        </w:rPr>
      </w:pPr>
      <w:r>
        <w:rPr>
          <w:rFonts w:hint="eastAsia" w:ascii="宋体" w:hAnsi="宋体"/>
          <w:b/>
          <w:sz w:val="28"/>
          <w:szCs w:val="28"/>
          <w:highlight w:val="none"/>
        </w:rPr>
        <w:t>8.1</w:t>
      </w:r>
      <w:r>
        <w:rPr>
          <w:rFonts w:ascii="宋体" w:hAnsi="宋体"/>
          <w:b/>
          <w:sz w:val="28"/>
          <w:szCs w:val="28"/>
          <w:highlight w:val="none"/>
        </w:rPr>
        <w:t>.2</w:t>
      </w:r>
      <w:r>
        <w:rPr>
          <w:rFonts w:hint="eastAsia" w:ascii="宋体" w:hAnsi="宋体"/>
          <w:sz w:val="28"/>
          <w:szCs w:val="28"/>
          <w:highlight w:val="none"/>
        </w:rPr>
        <w:t>如本项目有需要，由甲方负责组织项目设计成果的评审会议和承担相关的评审费用，并出具书面评审意见。如本项目有需要，由甲方负责组织和承担与项目相关的参观考察工作和经费。</w:t>
      </w:r>
    </w:p>
    <w:p>
      <w:pPr>
        <w:spacing w:line="360" w:lineRule="auto"/>
        <w:rPr>
          <w:rFonts w:hint="eastAsia" w:ascii="宋体" w:hAnsi="宋体"/>
          <w:sz w:val="28"/>
          <w:szCs w:val="28"/>
          <w:highlight w:val="none"/>
        </w:rPr>
      </w:pPr>
      <w:r>
        <w:rPr>
          <w:rFonts w:hint="eastAsia" w:ascii="宋体" w:hAnsi="宋体"/>
          <w:b/>
          <w:sz w:val="28"/>
          <w:szCs w:val="28"/>
          <w:highlight w:val="none"/>
        </w:rPr>
        <w:t>8.1.3</w:t>
      </w:r>
      <w:r>
        <w:rPr>
          <w:rFonts w:hint="eastAsia" w:ascii="宋体" w:hAnsi="宋体"/>
          <w:sz w:val="28"/>
          <w:szCs w:val="28"/>
          <w:highlight w:val="none"/>
        </w:rPr>
        <w:t>按照本合同的规定，按期如数向乙方支付设计费。甲方的上级或设计管理部门对设计文件不审批或本项目停缓建的，甲方均按本合同第7.2条的约定支付设计费。但因乙方提供的设计文件不合格原因规划设计文件不被批准的，甲方有权不支付设计费。</w:t>
      </w:r>
    </w:p>
    <w:p>
      <w:pPr>
        <w:spacing w:line="360" w:lineRule="auto"/>
        <w:rPr>
          <w:rFonts w:hint="eastAsia" w:ascii="宋体" w:hAnsi="宋体"/>
          <w:sz w:val="28"/>
          <w:szCs w:val="28"/>
          <w:highlight w:val="none"/>
        </w:rPr>
      </w:pPr>
      <w:r>
        <w:rPr>
          <w:rFonts w:hint="eastAsia" w:ascii="宋体" w:hAnsi="宋体"/>
          <w:b/>
          <w:sz w:val="28"/>
          <w:szCs w:val="28"/>
          <w:highlight w:val="none"/>
        </w:rPr>
        <w:t>8.1.4</w:t>
      </w:r>
      <w:r>
        <w:rPr>
          <w:rFonts w:hint="eastAsia" w:ascii="宋体" w:hAnsi="宋体"/>
          <w:sz w:val="28"/>
          <w:szCs w:val="28"/>
          <w:highlight w:val="none"/>
        </w:rPr>
        <w:t>甲方必须按合同规定支付定金，收到定金作为乙方设计开工的标志。未收到定金，乙方有权推迟设计工作的开工时间，且交付文件的时间顺延。</w:t>
      </w:r>
      <w:r>
        <w:rPr>
          <w:rFonts w:hint="eastAsia"/>
          <w:sz w:val="28"/>
          <w:highlight w:val="none"/>
        </w:rPr>
        <w:t>延迟支付定金超过  日的，乙方有权解除合同。</w:t>
      </w:r>
    </w:p>
    <w:p>
      <w:pPr>
        <w:spacing w:line="360" w:lineRule="auto"/>
        <w:rPr>
          <w:rFonts w:hint="eastAsia" w:ascii="宋体" w:hAnsi="宋体"/>
          <w:sz w:val="28"/>
          <w:szCs w:val="28"/>
          <w:highlight w:val="none"/>
        </w:rPr>
      </w:pPr>
      <w:r>
        <w:rPr>
          <w:rFonts w:hint="eastAsia" w:ascii="宋体" w:hAnsi="宋体"/>
          <w:b/>
          <w:sz w:val="28"/>
          <w:szCs w:val="28"/>
          <w:highlight w:val="none"/>
        </w:rPr>
        <w:t>8.1</w:t>
      </w:r>
      <w:r>
        <w:rPr>
          <w:rFonts w:ascii="宋体" w:hAnsi="宋体"/>
          <w:b/>
          <w:sz w:val="28"/>
          <w:szCs w:val="28"/>
          <w:highlight w:val="none"/>
        </w:rPr>
        <w:t>.</w:t>
      </w:r>
      <w:r>
        <w:rPr>
          <w:rFonts w:hint="eastAsia" w:ascii="宋体" w:hAnsi="宋体"/>
          <w:b/>
          <w:sz w:val="28"/>
          <w:szCs w:val="28"/>
          <w:highlight w:val="none"/>
        </w:rPr>
        <w:t>5</w:t>
      </w:r>
      <w:r>
        <w:rPr>
          <w:rFonts w:hint="eastAsia" w:ascii="宋体" w:hAnsi="宋体"/>
          <w:sz w:val="28"/>
          <w:szCs w:val="28"/>
          <w:highlight w:val="none"/>
        </w:rPr>
        <w:t>甲方要求乙方比合同规定时间提前交付设计资料及文件时，须征得乙方同意，不得严重背离合理设计周期。且甲方应根据乙方投入的工作量，向乙方支付赶工费</w:t>
      </w:r>
      <w:r>
        <w:rPr>
          <w:rFonts w:hint="eastAsia"/>
          <w:sz w:val="28"/>
          <w:highlight w:val="none"/>
        </w:rPr>
        <w:t>，赶工费由甲乙双方另行签订书面协议确定</w:t>
      </w:r>
      <w:r>
        <w:rPr>
          <w:rFonts w:hint="eastAsia" w:ascii="宋体" w:hAnsi="宋体"/>
          <w:sz w:val="28"/>
          <w:szCs w:val="28"/>
          <w:highlight w:val="none"/>
        </w:rPr>
        <w:t>。</w:t>
      </w:r>
    </w:p>
    <w:p>
      <w:pPr>
        <w:spacing w:line="360" w:lineRule="auto"/>
        <w:rPr>
          <w:rFonts w:hint="eastAsia" w:ascii="宋体" w:hAnsi="宋体"/>
          <w:sz w:val="28"/>
          <w:szCs w:val="28"/>
          <w:highlight w:val="none"/>
        </w:rPr>
      </w:pPr>
      <w:r>
        <w:rPr>
          <w:rFonts w:hint="eastAsia" w:ascii="宋体" w:hAnsi="宋体"/>
          <w:b/>
          <w:sz w:val="28"/>
          <w:szCs w:val="28"/>
          <w:highlight w:val="none"/>
        </w:rPr>
        <w:t>8.1</w:t>
      </w:r>
      <w:r>
        <w:rPr>
          <w:rFonts w:ascii="宋体" w:hAnsi="宋体"/>
          <w:b/>
          <w:sz w:val="28"/>
          <w:szCs w:val="28"/>
          <w:highlight w:val="none"/>
        </w:rPr>
        <w:t>.</w:t>
      </w:r>
      <w:r>
        <w:rPr>
          <w:rFonts w:hint="eastAsia" w:ascii="宋体" w:hAnsi="宋体"/>
          <w:b/>
          <w:sz w:val="28"/>
          <w:szCs w:val="28"/>
          <w:highlight w:val="none"/>
        </w:rPr>
        <w:t>6</w:t>
      </w:r>
      <w:r>
        <w:rPr>
          <w:rFonts w:hint="eastAsia" w:ascii="宋体" w:hAnsi="宋体"/>
          <w:sz w:val="28"/>
          <w:szCs w:val="28"/>
          <w:highlight w:val="none"/>
        </w:rPr>
        <w:t>甲方应为派赴现场处理有关设计问题的工作人员，提供必要的工作生活及交通等方便条件。</w:t>
      </w:r>
    </w:p>
    <w:p>
      <w:pPr>
        <w:spacing w:line="360" w:lineRule="auto"/>
        <w:rPr>
          <w:rFonts w:hint="eastAsia" w:ascii="宋体" w:hAnsi="宋体"/>
          <w:sz w:val="28"/>
          <w:szCs w:val="28"/>
          <w:highlight w:val="none"/>
        </w:rPr>
      </w:pPr>
      <w:r>
        <w:rPr>
          <w:rFonts w:hint="eastAsia" w:ascii="宋体" w:hAnsi="宋体"/>
          <w:b/>
          <w:sz w:val="28"/>
          <w:szCs w:val="28"/>
          <w:highlight w:val="none"/>
        </w:rPr>
        <w:t>8.1.7</w:t>
      </w:r>
      <w:r>
        <w:rPr>
          <w:rFonts w:hint="eastAsia" w:ascii="宋体" w:hAnsi="宋体"/>
          <w:sz w:val="28"/>
          <w:szCs w:val="28"/>
          <w:highlight w:val="none"/>
        </w:rPr>
        <w:t>甲方变更所委托设计项目的规模、条件或因提交的资料错误，或所提交资料作较大修改，以致要求乙方作较大返工时，乙方应在接通知后</w:t>
      </w:r>
      <w:r>
        <w:rPr>
          <w:rFonts w:hint="eastAsia" w:ascii="宋体" w:hAnsi="宋体"/>
          <w:sz w:val="28"/>
          <w:szCs w:val="28"/>
          <w:highlight w:val="none"/>
          <w:u w:val="single"/>
        </w:rPr>
        <w:t xml:space="preserve">  3   </w:t>
      </w:r>
      <w:r>
        <w:rPr>
          <w:rFonts w:hint="eastAsia" w:ascii="宋体" w:hAnsi="宋体"/>
          <w:sz w:val="28"/>
          <w:szCs w:val="28"/>
          <w:highlight w:val="none"/>
        </w:rPr>
        <w:t>天内向甲方提交返工费用预算（含工作量及计算依据），经双方共同协商后签订补充协议；若提交预算后3日内仍协商不成的，则乙方有权停工。因乙方提交设计资料的设计深度、设计质量等不符合合同的要求造成甲方要求乙方返工的，甲方不再另行支付设计费用。在签合同前甲方已向乙方提供了书面设计委托书，甲方应按收费标准支付乙方所开展的合同约定外的工作费用。</w:t>
      </w:r>
    </w:p>
    <w:p>
      <w:pPr>
        <w:spacing w:line="360" w:lineRule="auto"/>
        <w:rPr>
          <w:rFonts w:hint="eastAsia" w:ascii="宋体" w:hAnsi="宋体"/>
          <w:sz w:val="28"/>
          <w:szCs w:val="28"/>
          <w:highlight w:val="none"/>
        </w:rPr>
      </w:pPr>
      <w:r>
        <w:rPr>
          <w:rFonts w:hint="eastAsia" w:ascii="宋体" w:hAnsi="宋体"/>
          <w:b/>
          <w:sz w:val="28"/>
          <w:szCs w:val="28"/>
          <w:highlight w:val="none"/>
        </w:rPr>
        <w:t>8.1.8</w:t>
      </w:r>
      <w:r>
        <w:rPr>
          <w:rFonts w:hint="eastAsia" w:ascii="宋体" w:hAnsi="宋体"/>
          <w:sz w:val="28"/>
          <w:szCs w:val="28"/>
          <w:highlight w:val="none"/>
        </w:rPr>
        <w:t xml:space="preserve"> 甲方应在收到乙方提交的各阶段成果后五日内进行书面确认并提出书面意见，逾期没有提出书面异议的，视为乙方提交的成果符合甲方要求。</w:t>
      </w:r>
    </w:p>
    <w:p>
      <w:pPr>
        <w:spacing w:line="360" w:lineRule="auto"/>
        <w:rPr>
          <w:rFonts w:hint="eastAsia" w:ascii="宋体" w:hAnsi="宋体"/>
          <w:sz w:val="28"/>
          <w:szCs w:val="28"/>
          <w:highlight w:val="none"/>
        </w:rPr>
      </w:pPr>
      <w:r>
        <w:rPr>
          <w:rFonts w:hint="eastAsia" w:ascii="宋体" w:hAnsi="宋体"/>
          <w:b/>
          <w:sz w:val="28"/>
          <w:szCs w:val="28"/>
          <w:highlight w:val="none"/>
        </w:rPr>
        <w:t>8.1</w:t>
      </w:r>
      <w:r>
        <w:rPr>
          <w:rFonts w:ascii="宋体" w:hAnsi="宋体"/>
          <w:b/>
          <w:sz w:val="28"/>
          <w:szCs w:val="28"/>
          <w:highlight w:val="none"/>
        </w:rPr>
        <w:t>.</w:t>
      </w:r>
      <w:r>
        <w:rPr>
          <w:rFonts w:hint="eastAsia" w:ascii="宋体" w:hAnsi="宋体"/>
          <w:b/>
          <w:sz w:val="28"/>
          <w:szCs w:val="28"/>
          <w:highlight w:val="none"/>
        </w:rPr>
        <w:t>9</w:t>
      </w:r>
      <w:r>
        <w:rPr>
          <w:rFonts w:hint="eastAsia" w:ascii="宋体" w:hAnsi="宋体"/>
          <w:sz w:val="28"/>
          <w:szCs w:val="28"/>
          <w:highlight w:val="none"/>
        </w:rPr>
        <w:t>如甲方要求将本项目部分工作分包给本合同以外第三方，应征得乙方同意并签订三方合同，甲方向第三方直接支付分包费用,并由该第三方直接对甲方负责，乙方对该第三方的设计成果不承担任何责任。</w:t>
      </w:r>
    </w:p>
    <w:p>
      <w:pPr>
        <w:spacing w:line="360" w:lineRule="auto"/>
        <w:rPr>
          <w:rFonts w:hint="eastAsia" w:ascii="宋体" w:hAnsi="宋体"/>
          <w:sz w:val="28"/>
          <w:szCs w:val="28"/>
          <w:highlight w:val="none"/>
        </w:rPr>
      </w:pPr>
      <w:r>
        <w:rPr>
          <w:rFonts w:hint="eastAsia" w:ascii="宋体" w:hAnsi="宋体"/>
          <w:b/>
          <w:sz w:val="28"/>
          <w:szCs w:val="28"/>
          <w:highlight w:val="none"/>
        </w:rPr>
        <w:t xml:space="preserve">8.2 </w:t>
      </w:r>
      <w:r>
        <w:rPr>
          <w:rFonts w:hint="eastAsia" w:ascii="宋体" w:hAnsi="宋体"/>
          <w:sz w:val="28"/>
          <w:szCs w:val="28"/>
          <w:highlight w:val="none"/>
        </w:rPr>
        <w:t>乙方责任</w:t>
      </w:r>
    </w:p>
    <w:p>
      <w:pPr>
        <w:spacing w:line="360" w:lineRule="auto"/>
        <w:rPr>
          <w:rFonts w:hint="eastAsia" w:ascii="宋体" w:hAnsi="宋体"/>
          <w:sz w:val="28"/>
          <w:szCs w:val="28"/>
          <w:highlight w:val="none"/>
        </w:rPr>
      </w:pPr>
      <w:r>
        <w:rPr>
          <w:rFonts w:hint="eastAsia" w:ascii="宋体" w:hAnsi="宋体"/>
          <w:b/>
          <w:sz w:val="28"/>
          <w:szCs w:val="28"/>
          <w:highlight w:val="none"/>
        </w:rPr>
        <w:t>8.2</w:t>
      </w:r>
      <w:r>
        <w:rPr>
          <w:rFonts w:ascii="宋体" w:hAnsi="宋体"/>
          <w:b/>
          <w:sz w:val="28"/>
          <w:szCs w:val="28"/>
          <w:highlight w:val="none"/>
        </w:rPr>
        <w:t>.1</w:t>
      </w:r>
      <w:r>
        <w:rPr>
          <w:rFonts w:hint="eastAsia" w:ascii="宋体" w:hAnsi="宋体"/>
          <w:sz w:val="28"/>
          <w:szCs w:val="28"/>
          <w:highlight w:val="none"/>
        </w:rPr>
        <w:t>乙方应按国家规定和合同约定的技术规范、标准进行设计，按本合同第五条规定的内容、时间及份数向甲方交付设计文件（出现本合同规定的有关交付设计文件顺延的情况除外），并对提交的设计文件的质量负责。乙方应按国家技术规范、标准、规程及甲方提出的合理设计要求，进行工程设计，按合同规定的进度要求提交设计资料，并对其负责。否则，乙方应无条件进行修改使其达到合同的要求。</w:t>
      </w:r>
    </w:p>
    <w:p>
      <w:pPr>
        <w:spacing w:line="360" w:lineRule="auto"/>
        <w:rPr>
          <w:rFonts w:hint="eastAsia" w:ascii="宋体" w:hAnsi="宋体"/>
          <w:sz w:val="28"/>
          <w:szCs w:val="28"/>
          <w:highlight w:val="none"/>
        </w:rPr>
      </w:pPr>
      <w:r>
        <w:rPr>
          <w:rFonts w:hint="eastAsia" w:ascii="宋体" w:hAnsi="宋体"/>
          <w:b/>
          <w:sz w:val="28"/>
          <w:szCs w:val="28"/>
          <w:highlight w:val="none"/>
        </w:rPr>
        <w:t xml:space="preserve">8.2.2 </w:t>
      </w:r>
      <w:r>
        <w:rPr>
          <w:rFonts w:hint="eastAsia" w:ascii="宋体" w:hAnsi="宋体"/>
          <w:sz w:val="28"/>
          <w:szCs w:val="28"/>
          <w:highlight w:val="none"/>
        </w:rPr>
        <w:t>协助甲方办理本项目报建报送工作。</w:t>
      </w:r>
    </w:p>
    <w:p>
      <w:pPr>
        <w:spacing w:line="360" w:lineRule="auto"/>
        <w:rPr>
          <w:rFonts w:hint="eastAsia" w:ascii="宋体" w:hAnsi="宋体"/>
          <w:sz w:val="28"/>
          <w:szCs w:val="28"/>
          <w:highlight w:val="none"/>
        </w:rPr>
      </w:pPr>
      <w:r>
        <w:rPr>
          <w:rFonts w:hint="eastAsia" w:ascii="宋体" w:hAnsi="宋体"/>
          <w:b/>
          <w:sz w:val="28"/>
          <w:szCs w:val="28"/>
          <w:highlight w:val="none"/>
        </w:rPr>
        <w:t xml:space="preserve">8.2.3 </w:t>
      </w:r>
      <w:r>
        <w:rPr>
          <w:rFonts w:hint="eastAsia" w:ascii="宋体" w:hAnsi="宋体"/>
          <w:sz w:val="28"/>
          <w:szCs w:val="28"/>
          <w:highlight w:val="none"/>
        </w:rPr>
        <w:t>负责向甲方对本项目范围内的相关技术交底。</w:t>
      </w:r>
    </w:p>
    <w:p>
      <w:pPr>
        <w:spacing w:line="360" w:lineRule="auto"/>
        <w:rPr>
          <w:rFonts w:hint="eastAsia" w:ascii="宋体" w:hAnsi="宋体"/>
          <w:sz w:val="28"/>
          <w:szCs w:val="28"/>
          <w:highlight w:val="none"/>
        </w:rPr>
      </w:pPr>
      <w:r>
        <w:rPr>
          <w:rFonts w:hint="eastAsia" w:ascii="宋体" w:hAnsi="宋体"/>
          <w:b/>
          <w:sz w:val="28"/>
          <w:szCs w:val="28"/>
          <w:highlight w:val="none"/>
        </w:rPr>
        <w:t>8.2.4</w:t>
      </w:r>
      <w:r>
        <w:rPr>
          <w:rFonts w:hint="eastAsia" w:ascii="宋体" w:hAnsi="宋体"/>
          <w:sz w:val="28"/>
          <w:szCs w:val="28"/>
          <w:highlight w:val="none"/>
        </w:rPr>
        <w:t>甲方要求乙方提前交付设计文件的，在不违反合理设计周期的前提下，乙方应尽力满足甲方的要求。</w:t>
      </w:r>
    </w:p>
    <w:p>
      <w:pPr>
        <w:spacing w:line="360" w:lineRule="auto"/>
        <w:rPr>
          <w:rFonts w:hint="eastAsia" w:ascii="宋体" w:hAnsi="宋体"/>
          <w:sz w:val="28"/>
          <w:szCs w:val="28"/>
          <w:highlight w:val="none"/>
        </w:rPr>
      </w:pPr>
      <w:r>
        <w:rPr>
          <w:rFonts w:hint="eastAsia" w:ascii="宋体" w:hAnsi="宋体"/>
          <w:b/>
          <w:sz w:val="28"/>
          <w:szCs w:val="28"/>
          <w:highlight w:val="none"/>
        </w:rPr>
        <w:t>8.2</w:t>
      </w:r>
      <w:r>
        <w:rPr>
          <w:rFonts w:ascii="宋体" w:hAnsi="宋体"/>
          <w:b/>
          <w:sz w:val="28"/>
          <w:szCs w:val="28"/>
          <w:highlight w:val="none"/>
        </w:rPr>
        <w:t>.</w:t>
      </w:r>
      <w:r>
        <w:rPr>
          <w:rFonts w:hint="eastAsia" w:ascii="宋体" w:hAnsi="宋体"/>
          <w:b/>
          <w:sz w:val="28"/>
          <w:szCs w:val="28"/>
          <w:highlight w:val="none"/>
        </w:rPr>
        <w:t>5</w:t>
      </w:r>
      <w:r>
        <w:rPr>
          <w:rFonts w:hint="eastAsia" w:ascii="宋体" w:hAnsi="宋体"/>
          <w:sz w:val="28"/>
          <w:szCs w:val="28"/>
          <w:highlight w:val="none"/>
        </w:rPr>
        <w:t xml:space="preserve"> 设计合理使用年限为</w:t>
      </w:r>
      <w:r>
        <w:rPr>
          <w:rFonts w:hint="eastAsia" w:ascii="宋体" w:hAnsi="宋体"/>
          <w:sz w:val="28"/>
          <w:szCs w:val="28"/>
          <w:highlight w:val="none"/>
          <w:u w:val="single"/>
        </w:rPr>
        <w:t xml:space="preserve">      </w:t>
      </w:r>
      <w:r>
        <w:rPr>
          <w:rFonts w:hint="eastAsia" w:ascii="宋体" w:hAnsi="宋体"/>
          <w:sz w:val="28"/>
          <w:szCs w:val="28"/>
          <w:highlight w:val="none"/>
        </w:rPr>
        <w:t>年（按国家有关规定执行）。</w:t>
      </w:r>
    </w:p>
    <w:p>
      <w:pPr>
        <w:spacing w:line="360" w:lineRule="auto"/>
        <w:rPr>
          <w:rFonts w:hint="eastAsia" w:ascii="宋体" w:hAnsi="宋体"/>
          <w:sz w:val="28"/>
          <w:szCs w:val="28"/>
          <w:highlight w:val="none"/>
        </w:rPr>
      </w:pPr>
      <w:r>
        <w:rPr>
          <w:rFonts w:hint="eastAsia" w:ascii="宋体" w:hAnsi="宋体"/>
          <w:b/>
          <w:sz w:val="28"/>
          <w:szCs w:val="28"/>
          <w:highlight w:val="none"/>
        </w:rPr>
        <w:t>8.2</w:t>
      </w:r>
      <w:r>
        <w:rPr>
          <w:rFonts w:ascii="宋体" w:hAnsi="宋体"/>
          <w:b/>
          <w:sz w:val="28"/>
          <w:szCs w:val="28"/>
          <w:highlight w:val="none"/>
        </w:rPr>
        <w:t>.</w:t>
      </w:r>
      <w:r>
        <w:rPr>
          <w:rFonts w:hint="eastAsia" w:ascii="宋体" w:hAnsi="宋体"/>
          <w:b/>
          <w:sz w:val="28"/>
          <w:szCs w:val="28"/>
          <w:highlight w:val="none"/>
        </w:rPr>
        <w:t>6</w:t>
      </w:r>
      <w:r>
        <w:rPr>
          <w:rFonts w:hint="eastAsia" w:ascii="宋体" w:hAnsi="宋体"/>
          <w:sz w:val="28"/>
          <w:szCs w:val="28"/>
          <w:highlight w:val="none"/>
        </w:rPr>
        <w:t xml:space="preserve"> 乙方交付设计资料及文件后，按规定参加有关的设计审查，并根据审查结论，在</w:t>
      </w:r>
      <w:r>
        <w:rPr>
          <w:rFonts w:hint="eastAsia" w:ascii="宋体" w:hAnsi="宋体"/>
          <w:sz w:val="28"/>
          <w:szCs w:val="28"/>
          <w:highlight w:val="none"/>
          <w:u w:val="single"/>
        </w:rPr>
        <w:t xml:space="preserve">    </w:t>
      </w:r>
      <w:r>
        <w:rPr>
          <w:rFonts w:hint="eastAsia" w:ascii="宋体" w:hAnsi="宋体"/>
          <w:sz w:val="28"/>
          <w:szCs w:val="28"/>
          <w:highlight w:val="none"/>
        </w:rPr>
        <w:t>天之内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spacing w:line="360" w:lineRule="auto"/>
        <w:rPr>
          <w:rFonts w:hint="eastAsia" w:ascii="宋体" w:hAnsi="宋体"/>
          <w:sz w:val="28"/>
          <w:szCs w:val="28"/>
          <w:highlight w:val="none"/>
        </w:rPr>
      </w:pPr>
      <w:r>
        <w:rPr>
          <w:rFonts w:hint="eastAsia" w:ascii="宋体" w:hAnsi="宋体"/>
          <w:b/>
          <w:sz w:val="28"/>
          <w:szCs w:val="28"/>
          <w:highlight w:val="none"/>
        </w:rPr>
        <w:t>8.2.7</w:t>
      </w:r>
      <w:r>
        <w:rPr>
          <w:rFonts w:hint="eastAsia" w:ascii="宋体" w:hAnsi="宋体"/>
          <w:sz w:val="28"/>
          <w:szCs w:val="28"/>
          <w:highlight w:val="none"/>
        </w:rPr>
        <w:t>在整个工作期间，无论是在工作现场之内或之外，乙方都必须严格遵守国家、各级政府及工作所在地有关部门制定的关于环境保护、安全、保卫工作等方面的条例，并承担相应的法律责任。</w:t>
      </w:r>
    </w:p>
    <w:p>
      <w:pPr>
        <w:spacing w:line="360" w:lineRule="auto"/>
        <w:rPr>
          <w:rFonts w:hint="eastAsia" w:ascii="宋体" w:hAnsi="宋体"/>
          <w:sz w:val="28"/>
          <w:szCs w:val="28"/>
          <w:highlight w:val="none"/>
        </w:rPr>
      </w:pPr>
      <w:r>
        <w:rPr>
          <w:rFonts w:hint="eastAsia" w:ascii="宋体" w:hAnsi="宋体"/>
          <w:b/>
          <w:sz w:val="28"/>
          <w:szCs w:val="28"/>
          <w:highlight w:val="none"/>
        </w:rPr>
        <w:t>8.2.8</w:t>
      </w:r>
      <w:r>
        <w:rPr>
          <w:rFonts w:hint="eastAsia" w:ascii="宋体" w:hAnsi="宋体"/>
          <w:sz w:val="28"/>
          <w:szCs w:val="28"/>
          <w:highlight w:val="none"/>
        </w:rPr>
        <w:t>如乙方需分包，分包人的选定须经甲方审查批准，乙方、分包人、甲方可签订三方合同，甲方向分包人直接支付分包部分费用，但不免除乙方应该承担的责任。</w:t>
      </w:r>
    </w:p>
    <w:p>
      <w:pPr>
        <w:spacing w:line="360" w:lineRule="auto"/>
        <w:rPr>
          <w:rFonts w:hint="eastAsia" w:ascii="宋体" w:hAnsi="宋体"/>
          <w:sz w:val="28"/>
          <w:szCs w:val="28"/>
          <w:highlight w:val="none"/>
        </w:rPr>
      </w:pPr>
      <w:r>
        <w:rPr>
          <w:rFonts w:hint="eastAsia" w:ascii="宋体" w:hAnsi="宋体"/>
          <w:b/>
          <w:sz w:val="28"/>
          <w:szCs w:val="28"/>
          <w:highlight w:val="none"/>
        </w:rPr>
        <w:t>第9条 违约责任</w:t>
      </w:r>
    </w:p>
    <w:p>
      <w:pPr>
        <w:spacing w:line="360" w:lineRule="auto"/>
        <w:rPr>
          <w:rFonts w:hint="eastAsia" w:ascii="宋体" w:hAnsi="宋体"/>
          <w:sz w:val="28"/>
          <w:szCs w:val="28"/>
          <w:highlight w:val="none"/>
        </w:rPr>
      </w:pPr>
      <w:r>
        <w:rPr>
          <w:rFonts w:hint="eastAsia" w:ascii="宋体" w:hAnsi="宋体"/>
          <w:b/>
          <w:sz w:val="28"/>
          <w:szCs w:val="28"/>
          <w:highlight w:val="none"/>
        </w:rPr>
        <w:t>9</w:t>
      </w:r>
      <w:r>
        <w:rPr>
          <w:rFonts w:ascii="宋体" w:hAnsi="宋体"/>
          <w:b/>
          <w:sz w:val="28"/>
          <w:szCs w:val="28"/>
          <w:highlight w:val="none"/>
        </w:rPr>
        <w:t>.1</w:t>
      </w:r>
      <w:r>
        <w:rPr>
          <w:rFonts w:hint="eastAsia" w:ascii="宋体" w:hAnsi="宋体"/>
          <w:b/>
          <w:sz w:val="28"/>
          <w:szCs w:val="28"/>
          <w:highlight w:val="none"/>
        </w:rPr>
        <w:t xml:space="preserve"> </w:t>
      </w:r>
      <w:r>
        <w:rPr>
          <w:rFonts w:hint="eastAsia" w:ascii="宋体" w:hAnsi="宋体"/>
          <w:sz w:val="28"/>
          <w:szCs w:val="28"/>
          <w:highlight w:val="none"/>
        </w:rPr>
        <w:t xml:space="preserve">在合同履行期间，甲方要求终止或解除合同，不论乙方是否开始设计工作的，乙方均不退还甲方已付的定金；已开始设计工作的，甲方应根据乙方已进行的实际工作量，不足一半时，按该阶段设计费的一半支付；超过一半时，按该阶段设计费的全部支付。上述费用在甲方提出解除合同的书面要求之日起五日内支付完毕。 </w:t>
      </w:r>
    </w:p>
    <w:p>
      <w:pPr>
        <w:spacing w:line="360" w:lineRule="auto"/>
        <w:rPr>
          <w:rFonts w:hint="eastAsia" w:ascii="宋体" w:hAnsi="宋体"/>
          <w:sz w:val="28"/>
          <w:szCs w:val="28"/>
          <w:highlight w:val="none"/>
        </w:rPr>
      </w:pPr>
      <w:r>
        <w:rPr>
          <w:rFonts w:hint="eastAsia" w:ascii="宋体" w:hAnsi="宋体"/>
          <w:b/>
          <w:sz w:val="28"/>
          <w:szCs w:val="28"/>
          <w:highlight w:val="none"/>
        </w:rPr>
        <w:t>9</w:t>
      </w:r>
      <w:r>
        <w:rPr>
          <w:rFonts w:ascii="宋体" w:hAnsi="宋体"/>
          <w:b/>
          <w:sz w:val="28"/>
          <w:szCs w:val="28"/>
          <w:highlight w:val="none"/>
        </w:rPr>
        <w:t>.2</w:t>
      </w:r>
      <w:r>
        <w:rPr>
          <w:rFonts w:hint="eastAsia" w:ascii="宋体" w:hAnsi="宋体"/>
          <w:b/>
          <w:sz w:val="28"/>
          <w:szCs w:val="28"/>
          <w:highlight w:val="none"/>
        </w:rPr>
        <w:t xml:space="preserve"> </w:t>
      </w:r>
      <w:r>
        <w:rPr>
          <w:rFonts w:hint="eastAsia" w:ascii="宋体" w:hAnsi="宋体"/>
          <w:sz w:val="28"/>
          <w:szCs w:val="28"/>
          <w:highlight w:val="none"/>
        </w:rPr>
        <w:t>甲方应按本合同第七条规定的金额和时间向乙方支付设计费，每逾期支付一天，应承担本合同总金额千分之二的逾期违约金。逾期   天，乙方有权解除合同，已收取的费用全部不予退还，并有权继续向甲方追讨合同解除前的逾期违约金以及第9.1条规定的标准的设计费。甲方的上级或设计审批部门对设计文件不审批或本合同项目停缓建，甲方均按9</w:t>
      </w:r>
      <w:r>
        <w:rPr>
          <w:rFonts w:ascii="宋体" w:hAnsi="宋体"/>
          <w:sz w:val="28"/>
          <w:szCs w:val="28"/>
          <w:highlight w:val="none"/>
        </w:rPr>
        <w:t>.1</w:t>
      </w:r>
      <w:r>
        <w:rPr>
          <w:rFonts w:hint="eastAsia" w:ascii="宋体" w:hAnsi="宋体"/>
          <w:sz w:val="28"/>
          <w:szCs w:val="28"/>
          <w:highlight w:val="none"/>
        </w:rPr>
        <w:t>条规定的标准向乙方支付设计费。如果项目暂停时间超过</w:t>
      </w:r>
      <w:r>
        <w:rPr>
          <w:rFonts w:hint="eastAsia" w:ascii="宋体" w:hAnsi="宋体"/>
          <w:sz w:val="28"/>
          <w:szCs w:val="28"/>
          <w:highlight w:val="none"/>
          <w:u w:val="single"/>
        </w:rPr>
        <w:t xml:space="preserve">    </w:t>
      </w:r>
      <w:r>
        <w:rPr>
          <w:rFonts w:hint="eastAsia" w:ascii="宋体" w:hAnsi="宋体"/>
          <w:sz w:val="28"/>
          <w:szCs w:val="28"/>
          <w:highlight w:val="none"/>
        </w:rPr>
        <w:t>年，则乙方有权解除合同，并按照本条约定向甲方要求设计费。</w:t>
      </w:r>
    </w:p>
    <w:p>
      <w:pPr>
        <w:spacing w:line="360" w:lineRule="auto"/>
        <w:rPr>
          <w:rFonts w:ascii="宋体" w:hAnsi="宋体"/>
          <w:sz w:val="28"/>
          <w:szCs w:val="28"/>
          <w:highlight w:val="none"/>
        </w:rPr>
      </w:pPr>
      <w:r>
        <w:rPr>
          <w:rFonts w:hint="eastAsia" w:ascii="宋体" w:hAnsi="宋体"/>
          <w:b/>
          <w:sz w:val="28"/>
          <w:szCs w:val="28"/>
          <w:highlight w:val="none"/>
        </w:rPr>
        <w:t xml:space="preserve">9.3 </w:t>
      </w:r>
      <w:r>
        <w:rPr>
          <w:rFonts w:hint="eastAsia" w:ascii="宋体" w:hAnsi="宋体"/>
          <w:sz w:val="28"/>
          <w:szCs w:val="28"/>
          <w:highlight w:val="none"/>
        </w:rPr>
        <w:t xml:space="preserve"> 由于甲方变更设计、提供的资料不准确、未按期提供设计必须的资料或工作条件而造成设计工作的返工、窝工或修改设计，甲方应按乙方实际消耗的工作量支付费用及顺延设计期限。</w:t>
      </w:r>
    </w:p>
    <w:p>
      <w:pPr>
        <w:spacing w:line="360" w:lineRule="auto"/>
        <w:rPr>
          <w:rFonts w:hint="eastAsia" w:ascii="宋体" w:hAnsi="宋体"/>
          <w:sz w:val="28"/>
          <w:szCs w:val="28"/>
          <w:highlight w:val="none"/>
        </w:rPr>
      </w:pPr>
      <w:r>
        <w:rPr>
          <w:rFonts w:hint="eastAsia" w:ascii="宋体" w:hAnsi="宋体"/>
          <w:b/>
          <w:sz w:val="28"/>
          <w:szCs w:val="28"/>
          <w:highlight w:val="none"/>
        </w:rPr>
        <w:t xml:space="preserve">9.4 </w:t>
      </w:r>
      <w:r>
        <w:rPr>
          <w:rFonts w:hint="eastAsia" w:ascii="宋体" w:hAnsi="宋体"/>
          <w:sz w:val="28"/>
          <w:szCs w:val="28"/>
          <w:highlight w:val="none"/>
        </w:rPr>
        <w:t xml:space="preserve"> 因甲方责任造成规划设计工作的重大返工或重作设计，应另行增加设计费用及顺延设计期限。</w:t>
      </w:r>
    </w:p>
    <w:p>
      <w:pPr>
        <w:spacing w:line="360" w:lineRule="auto"/>
        <w:rPr>
          <w:rFonts w:hint="eastAsia" w:ascii="宋体" w:hAnsi="宋体"/>
          <w:sz w:val="28"/>
          <w:szCs w:val="28"/>
          <w:highlight w:val="none"/>
        </w:rPr>
      </w:pPr>
      <w:r>
        <w:rPr>
          <w:rFonts w:hint="eastAsia" w:ascii="宋体" w:hAnsi="宋体" w:cs="Arial"/>
          <w:b/>
          <w:sz w:val="28"/>
          <w:szCs w:val="28"/>
          <w:highlight w:val="none"/>
        </w:rPr>
        <w:t>9.5</w:t>
      </w:r>
      <w:r>
        <w:rPr>
          <w:rFonts w:hint="eastAsia" w:ascii="宋体" w:hAnsi="宋体" w:cs="Arial"/>
          <w:sz w:val="28"/>
          <w:szCs w:val="28"/>
          <w:highlight w:val="none"/>
        </w:rPr>
        <w:t xml:space="preserve"> </w:t>
      </w:r>
      <w:r>
        <w:rPr>
          <w:rFonts w:ascii="宋体" w:hAnsi="宋体"/>
          <w:sz w:val="28"/>
          <w:szCs w:val="28"/>
          <w:highlight w:val="none"/>
        </w:rPr>
        <w:t>甲方未能按本合同约定履行合同义务及/或法律、法规、规章和政策规定履行其应履行的义务，造成设计延误及乙方不能及时得到设计费</w:t>
      </w:r>
      <w:r>
        <w:rPr>
          <w:rFonts w:hint="eastAsia" w:ascii="宋体" w:hAnsi="宋体"/>
          <w:sz w:val="28"/>
          <w:szCs w:val="28"/>
          <w:highlight w:val="none"/>
        </w:rPr>
        <w:t>以及</w:t>
      </w:r>
      <w:r>
        <w:rPr>
          <w:rFonts w:ascii="宋体" w:hAnsi="宋体"/>
          <w:sz w:val="28"/>
          <w:szCs w:val="28"/>
          <w:highlight w:val="none"/>
        </w:rPr>
        <w:t>给乙方造成其他损失的，乙方有权向甲方提出索赔</w:t>
      </w:r>
      <w:r>
        <w:rPr>
          <w:rFonts w:hint="eastAsia" w:ascii="宋体" w:hAnsi="宋体"/>
          <w:sz w:val="28"/>
          <w:szCs w:val="28"/>
          <w:highlight w:val="none"/>
        </w:rPr>
        <w:t>及顺延设计期限</w:t>
      </w:r>
      <w:r>
        <w:rPr>
          <w:rFonts w:ascii="宋体" w:hAnsi="宋体"/>
          <w:sz w:val="28"/>
          <w:szCs w:val="28"/>
          <w:highlight w:val="none"/>
        </w:rPr>
        <w:t>。</w:t>
      </w:r>
    </w:p>
    <w:p>
      <w:pPr>
        <w:spacing w:line="360" w:lineRule="auto"/>
        <w:rPr>
          <w:rFonts w:hint="eastAsia" w:ascii="宋体" w:hAnsi="宋体"/>
          <w:sz w:val="28"/>
          <w:szCs w:val="28"/>
          <w:highlight w:val="none"/>
        </w:rPr>
      </w:pPr>
      <w:r>
        <w:rPr>
          <w:rFonts w:hint="eastAsia" w:ascii="宋体" w:hAnsi="宋体"/>
          <w:b/>
          <w:sz w:val="28"/>
          <w:szCs w:val="28"/>
          <w:highlight w:val="none"/>
        </w:rPr>
        <w:t>9.6</w:t>
      </w:r>
      <w:r>
        <w:rPr>
          <w:rFonts w:hint="eastAsia" w:ascii="宋体" w:hAnsi="宋体"/>
          <w:sz w:val="28"/>
          <w:szCs w:val="28"/>
          <w:highlight w:val="none"/>
        </w:rPr>
        <w:t>因乙方提交的设计文件达不到合同要求而导致该设计未通过甲方或政府主管部门阶段设计文件审核，由此产生的所有修改费用由乙方承担。</w:t>
      </w:r>
    </w:p>
    <w:p>
      <w:pPr>
        <w:spacing w:line="360" w:lineRule="auto"/>
        <w:rPr>
          <w:rFonts w:hint="eastAsia" w:ascii="宋体" w:hAnsi="宋体"/>
          <w:sz w:val="28"/>
          <w:szCs w:val="28"/>
          <w:highlight w:val="none"/>
        </w:rPr>
      </w:pPr>
      <w:r>
        <w:rPr>
          <w:rFonts w:hint="eastAsia" w:ascii="宋体" w:hAnsi="宋体"/>
          <w:b/>
          <w:sz w:val="28"/>
          <w:szCs w:val="28"/>
          <w:highlight w:val="none"/>
        </w:rPr>
        <w:t>9</w:t>
      </w:r>
      <w:r>
        <w:rPr>
          <w:rFonts w:ascii="宋体" w:hAnsi="宋体"/>
          <w:b/>
          <w:sz w:val="28"/>
          <w:szCs w:val="28"/>
          <w:highlight w:val="none"/>
        </w:rPr>
        <w:t>.</w:t>
      </w:r>
      <w:r>
        <w:rPr>
          <w:rFonts w:hint="eastAsia" w:ascii="宋体" w:hAnsi="宋体"/>
          <w:b/>
          <w:sz w:val="28"/>
          <w:szCs w:val="28"/>
          <w:highlight w:val="none"/>
        </w:rPr>
        <w:t xml:space="preserve">7 </w:t>
      </w:r>
      <w:r>
        <w:rPr>
          <w:rFonts w:hint="eastAsia" w:ascii="宋体" w:hAnsi="宋体"/>
          <w:sz w:val="28"/>
          <w:szCs w:val="28"/>
          <w:highlight w:val="none"/>
        </w:rPr>
        <w:t>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不超过损失部分所涉设计费总额。</w:t>
      </w:r>
    </w:p>
    <w:p>
      <w:pPr>
        <w:spacing w:line="400" w:lineRule="atLeast"/>
        <w:rPr>
          <w:sz w:val="28"/>
          <w:highlight w:val="none"/>
        </w:rPr>
      </w:pPr>
      <w:r>
        <w:rPr>
          <w:rFonts w:hint="eastAsia" w:ascii="宋体" w:hAnsi="宋体"/>
          <w:b/>
          <w:sz w:val="28"/>
          <w:szCs w:val="28"/>
          <w:highlight w:val="none"/>
        </w:rPr>
        <w:t>9</w:t>
      </w:r>
      <w:r>
        <w:rPr>
          <w:rFonts w:ascii="宋体" w:hAnsi="宋体"/>
          <w:b/>
          <w:sz w:val="28"/>
          <w:szCs w:val="28"/>
          <w:highlight w:val="none"/>
        </w:rPr>
        <w:t>.</w:t>
      </w:r>
      <w:r>
        <w:rPr>
          <w:rFonts w:hint="eastAsia" w:ascii="宋体" w:hAnsi="宋体"/>
          <w:b/>
          <w:sz w:val="28"/>
          <w:szCs w:val="28"/>
          <w:highlight w:val="none"/>
        </w:rPr>
        <w:t>8</w:t>
      </w:r>
      <w:r>
        <w:rPr>
          <w:rFonts w:hint="eastAsia" w:ascii="宋体" w:hAnsi="宋体"/>
          <w:sz w:val="28"/>
          <w:szCs w:val="28"/>
          <w:highlight w:val="none"/>
        </w:rPr>
        <w:t>由于乙方自身原因，延误了按合同第三条规定的设计资料及设计文件的交付时间，每延误一天，应减收本合同总金额的千分之二，</w:t>
      </w:r>
      <w:r>
        <w:rPr>
          <w:rFonts w:hint="eastAsia"/>
          <w:sz w:val="28"/>
          <w:highlight w:val="none"/>
        </w:rPr>
        <w:t>因延误减收的设计费不超过延误部分设计费的20%。乙方延误连续超过30天的，甲方有权终止合同。</w:t>
      </w:r>
    </w:p>
    <w:p>
      <w:pPr>
        <w:spacing w:line="360" w:lineRule="auto"/>
        <w:rPr>
          <w:rFonts w:hint="eastAsia" w:ascii="宋体" w:hAnsi="宋体"/>
          <w:sz w:val="28"/>
          <w:szCs w:val="28"/>
          <w:highlight w:val="none"/>
        </w:rPr>
      </w:pPr>
      <w:r>
        <w:rPr>
          <w:rFonts w:hint="eastAsia" w:ascii="宋体" w:hAnsi="宋体"/>
          <w:b/>
          <w:sz w:val="28"/>
          <w:szCs w:val="28"/>
          <w:highlight w:val="none"/>
        </w:rPr>
        <w:t>9</w:t>
      </w:r>
      <w:r>
        <w:rPr>
          <w:rFonts w:ascii="宋体" w:hAnsi="宋体"/>
          <w:b/>
          <w:sz w:val="28"/>
          <w:szCs w:val="28"/>
          <w:highlight w:val="none"/>
        </w:rPr>
        <w:t>.</w:t>
      </w:r>
      <w:r>
        <w:rPr>
          <w:rFonts w:hint="eastAsia" w:ascii="宋体" w:hAnsi="宋体"/>
          <w:b/>
          <w:sz w:val="28"/>
          <w:szCs w:val="28"/>
          <w:highlight w:val="none"/>
        </w:rPr>
        <w:t xml:space="preserve">9 </w:t>
      </w:r>
      <w:r>
        <w:rPr>
          <w:rFonts w:hint="eastAsia" w:ascii="宋体" w:hAnsi="宋体"/>
          <w:sz w:val="28"/>
          <w:szCs w:val="28"/>
          <w:highlight w:val="none"/>
        </w:rPr>
        <w:t>合同生效后，因乙方原因，乙方无故要求终止或解除合同，乙方应双倍返还甲方已付的定金。甲方无故解除合同的，乙方有权没收定金。</w:t>
      </w:r>
    </w:p>
    <w:p>
      <w:pPr>
        <w:spacing w:line="360" w:lineRule="auto"/>
        <w:rPr>
          <w:rFonts w:hint="eastAsia" w:ascii="宋体" w:hAnsi="宋体"/>
          <w:sz w:val="28"/>
          <w:szCs w:val="28"/>
          <w:highlight w:val="none"/>
        </w:rPr>
      </w:pPr>
      <w:r>
        <w:rPr>
          <w:rFonts w:hint="eastAsia" w:ascii="宋体" w:hAnsi="宋体"/>
          <w:b/>
          <w:sz w:val="28"/>
          <w:szCs w:val="28"/>
          <w:highlight w:val="none"/>
        </w:rPr>
        <w:t xml:space="preserve">9.10 </w:t>
      </w:r>
      <w:r>
        <w:rPr>
          <w:rFonts w:hint="eastAsia" w:ascii="宋体" w:hAnsi="宋体"/>
          <w:sz w:val="28"/>
          <w:szCs w:val="28"/>
          <w:highlight w:val="none"/>
        </w:rPr>
        <w:t>乙方应指定本项目负责人和主要联系人。设计合同履行过程中如果乙方对本项目负责人和主要联系人有所变动，须征得甲方的书面同意。</w:t>
      </w:r>
    </w:p>
    <w:p>
      <w:pPr>
        <w:spacing w:line="360" w:lineRule="auto"/>
        <w:rPr>
          <w:rFonts w:hint="eastAsia" w:ascii="宋体" w:hAnsi="宋体"/>
          <w:sz w:val="28"/>
          <w:szCs w:val="28"/>
          <w:highlight w:val="none"/>
        </w:rPr>
      </w:pPr>
      <w:r>
        <w:rPr>
          <w:rFonts w:hint="eastAsia" w:ascii="宋体" w:hAnsi="宋体"/>
          <w:b/>
          <w:sz w:val="28"/>
          <w:szCs w:val="28"/>
          <w:highlight w:val="none"/>
        </w:rPr>
        <w:t>第10条 知识产权</w:t>
      </w:r>
    </w:p>
    <w:p>
      <w:pPr>
        <w:spacing w:line="360" w:lineRule="auto"/>
        <w:rPr>
          <w:rFonts w:ascii="宋体" w:hAnsi="宋体"/>
          <w:sz w:val="28"/>
          <w:szCs w:val="28"/>
          <w:highlight w:val="none"/>
        </w:rPr>
      </w:pPr>
      <w:r>
        <w:rPr>
          <w:rFonts w:hint="eastAsia" w:ascii="宋体" w:hAnsi="宋体"/>
          <w:b/>
          <w:sz w:val="28"/>
          <w:szCs w:val="28"/>
          <w:highlight w:val="none"/>
        </w:rPr>
        <w:t>10.1</w:t>
      </w:r>
      <w:r>
        <w:rPr>
          <w:rFonts w:ascii="宋体" w:hAnsi="宋体"/>
          <w:sz w:val="28"/>
          <w:szCs w:val="28"/>
          <w:highlight w:val="none"/>
        </w:rPr>
        <w:t>乙方拥有</w:t>
      </w:r>
      <w:r>
        <w:rPr>
          <w:rFonts w:hint="eastAsia" w:ascii="宋体" w:hAnsi="宋体"/>
          <w:sz w:val="28"/>
          <w:szCs w:val="28"/>
          <w:highlight w:val="none"/>
        </w:rPr>
        <w:t>所</w:t>
      </w:r>
      <w:r>
        <w:rPr>
          <w:rFonts w:ascii="宋体" w:hAnsi="宋体"/>
          <w:sz w:val="28"/>
          <w:szCs w:val="28"/>
          <w:highlight w:val="none"/>
        </w:rPr>
        <w:t>提交的全部设计文件（包括但不限于图纸、说明、电子文件、计算机程序及其产生的数据等）的著作权（版权）</w:t>
      </w:r>
      <w:r>
        <w:rPr>
          <w:rFonts w:hint="eastAsia" w:ascii="宋体" w:hAnsi="宋体"/>
          <w:sz w:val="28"/>
          <w:szCs w:val="28"/>
          <w:highlight w:val="none"/>
        </w:rPr>
        <w:t>；并且乙方为出版、学习、内部交流等需要可以复制、出版相关的设计文件</w:t>
      </w:r>
      <w:r>
        <w:rPr>
          <w:rFonts w:ascii="宋体" w:hAnsi="宋体"/>
          <w:sz w:val="28"/>
          <w:szCs w:val="28"/>
          <w:highlight w:val="none"/>
        </w:rPr>
        <w:t>。</w:t>
      </w:r>
    </w:p>
    <w:p>
      <w:pPr>
        <w:spacing w:line="360" w:lineRule="auto"/>
        <w:rPr>
          <w:rFonts w:hint="eastAsia" w:ascii="宋体" w:hAnsi="宋体"/>
          <w:sz w:val="28"/>
          <w:szCs w:val="28"/>
          <w:highlight w:val="none"/>
        </w:rPr>
      </w:pPr>
      <w:r>
        <w:rPr>
          <w:rFonts w:hint="eastAsia" w:ascii="宋体" w:hAnsi="宋体"/>
          <w:b/>
          <w:sz w:val="28"/>
          <w:szCs w:val="28"/>
          <w:highlight w:val="none"/>
        </w:rPr>
        <w:t>10.2</w:t>
      </w:r>
      <w:r>
        <w:rPr>
          <w:rFonts w:ascii="宋体" w:hAnsi="宋体"/>
          <w:sz w:val="28"/>
          <w:szCs w:val="28"/>
          <w:highlight w:val="none"/>
        </w:rPr>
        <w:t>甲方</w:t>
      </w:r>
      <w:r>
        <w:rPr>
          <w:rFonts w:hint="eastAsia" w:ascii="宋体" w:hAnsi="宋体"/>
          <w:sz w:val="28"/>
          <w:szCs w:val="28"/>
          <w:highlight w:val="none"/>
        </w:rPr>
        <w:t>在本项目范围内</w:t>
      </w:r>
      <w:r>
        <w:rPr>
          <w:rFonts w:ascii="宋体" w:hAnsi="宋体"/>
          <w:sz w:val="28"/>
          <w:szCs w:val="28"/>
          <w:highlight w:val="none"/>
        </w:rPr>
        <w:t>拥有乙方依照本合同约定提交的全部设计文件的完全使用权。</w:t>
      </w:r>
    </w:p>
    <w:p>
      <w:pPr>
        <w:spacing w:line="360" w:lineRule="auto"/>
        <w:ind w:left="2" w:leftChars="1"/>
        <w:rPr>
          <w:rFonts w:hint="eastAsia" w:ascii="宋体" w:hAnsi="宋体"/>
          <w:sz w:val="28"/>
          <w:szCs w:val="28"/>
          <w:highlight w:val="none"/>
        </w:rPr>
      </w:pPr>
      <w:r>
        <w:rPr>
          <w:rFonts w:hint="eastAsia" w:ascii="宋体" w:hAnsi="宋体"/>
          <w:b/>
          <w:sz w:val="28"/>
          <w:szCs w:val="28"/>
          <w:highlight w:val="none"/>
        </w:rPr>
        <w:t>10.3</w:t>
      </w:r>
      <w:r>
        <w:rPr>
          <w:rFonts w:ascii="宋体" w:hAnsi="宋体"/>
          <w:sz w:val="28"/>
          <w:szCs w:val="28"/>
          <w:highlight w:val="none"/>
        </w:rPr>
        <w:t>乙方的设计不得有侵犯本合同以外第三方任何合法权益，包括但不限于知识产权的情形，违反上述约定产生的法律责任由责任方自行承担</w:t>
      </w:r>
      <w:r>
        <w:rPr>
          <w:rFonts w:hint="eastAsia" w:ascii="宋体" w:hAnsi="宋体"/>
          <w:sz w:val="28"/>
          <w:szCs w:val="28"/>
          <w:highlight w:val="none"/>
        </w:rPr>
        <w:t>，并应赔偿因此给甲方造成的损失，赔偿金额以受损部分设计费为限。</w:t>
      </w:r>
    </w:p>
    <w:p>
      <w:pPr>
        <w:spacing w:line="360" w:lineRule="auto"/>
        <w:rPr>
          <w:rFonts w:hint="eastAsia" w:ascii="宋体" w:hAnsi="宋体"/>
          <w:sz w:val="28"/>
          <w:szCs w:val="28"/>
          <w:highlight w:val="none"/>
        </w:rPr>
      </w:pPr>
      <w:r>
        <w:rPr>
          <w:rFonts w:hint="eastAsia" w:ascii="宋体" w:hAnsi="宋体"/>
          <w:b/>
          <w:sz w:val="28"/>
          <w:szCs w:val="28"/>
          <w:highlight w:val="none"/>
        </w:rPr>
        <w:t>10.4</w:t>
      </w:r>
      <w:r>
        <w:rPr>
          <w:rFonts w:hint="eastAsia" w:ascii="宋体" w:hAnsi="宋体"/>
          <w:sz w:val="28"/>
          <w:szCs w:val="28"/>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autoSpaceDE w:val="0"/>
        <w:autoSpaceDN w:val="0"/>
        <w:adjustRightInd w:val="0"/>
        <w:spacing w:line="360" w:lineRule="auto"/>
        <w:jc w:val="left"/>
        <w:rPr>
          <w:rFonts w:ascii="宋体" w:hAnsi="宋体"/>
          <w:b/>
          <w:sz w:val="28"/>
          <w:szCs w:val="28"/>
          <w:highlight w:val="none"/>
        </w:rPr>
      </w:pPr>
      <w:r>
        <w:rPr>
          <w:rFonts w:ascii="宋体" w:hAnsi="宋体"/>
          <w:b/>
          <w:sz w:val="28"/>
          <w:szCs w:val="28"/>
          <w:highlight w:val="none"/>
        </w:rPr>
        <w:t xml:space="preserve">10.5 </w:t>
      </w:r>
      <w:r>
        <w:rPr>
          <w:rFonts w:hint="eastAsia" w:ascii="宋体" w:hAnsi="宋体"/>
          <w:sz w:val="28"/>
          <w:szCs w:val="28"/>
          <w:highlight w:val="none"/>
        </w:rPr>
        <w:t>本项目实施中采用的乙方科技成果如附件所示。</w:t>
      </w:r>
    </w:p>
    <w:p>
      <w:pPr>
        <w:spacing w:line="460" w:lineRule="exact"/>
        <w:rPr>
          <w:rFonts w:ascii="宋体" w:hAnsi="宋体"/>
          <w:sz w:val="28"/>
          <w:szCs w:val="28"/>
          <w:highlight w:val="none"/>
        </w:rPr>
      </w:pPr>
      <w:r>
        <w:rPr>
          <w:rFonts w:hint="eastAsia" w:ascii="宋体" w:hAnsi="宋体"/>
          <w:b/>
          <w:sz w:val="28"/>
          <w:szCs w:val="28"/>
          <w:highlight w:val="none"/>
        </w:rPr>
        <w:t>10.</w:t>
      </w:r>
      <w:r>
        <w:rPr>
          <w:rFonts w:ascii="宋体" w:hAnsi="宋体"/>
          <w:b/>
          <w:sz w:val="28"/>
          <w:szCs w:val="28"/>
          <w:highlight w:val="none"/>
        </w:rPr>
        <w:t>6</w:t>
      </w:r>
      <w:r>
        <w:rPr>
          <w:rFonts w:hint="eastAsia" w:ascii="宋体" w:hAnsi="宋体"/>
          <w:sz w:val="28"/>
          <w:szCs w:val="28"/>
          <w:highlight w:val="none"/>
        </w:rPr>
        <w:t>在本合同有效期内，甲方利用乙方提交的技术咨询工作成果所完成的新的技术成果，归 甲方/双方 所有。</w:t>
      </w:r>
    </w:p>
    <w:p>
      <w:pPr>
        <w:spacing w:line="460" w:lineRule="exact"/>
        <w:rPr>
          <w:rFonts w:ascii="宋体" w:hAnsi="宋体"/>
          <w:sz w:val="28"/>
          <w:szCs w:val="28"/>
          <w:highlight w:val="none"/>
        </w:rPr>
      </w:pPr>
      <w:r>
        <w:rPr>
          <w:rFonts w:hint="eastAsia" w:ascii="宋体" w:hAnsi="宋体"/>
          <w:b/>
          <w:sz w:val="28"/>
          <w:szCs w:val="28"/>
          <w:highlight w:val="none"/>
        </w:rPr>
        <w:t>10.</w:t>
      </w:r>
      <w:r>
        <w:rPr>
          <w:rFonts w:ascii="宋体" w:hAnsi="宋体"/>
          <w:b/>
          <w:sz w:val="28"/>
          <w:szCs w:val="28"/>
          <w:highlight w:val="none"/>
        </w:rPr>
        <w:t>7</w:t>
      </w:r>
      <w:r>
        <w:rPr>
          <w:rFonts w:hint="eastAsia" w:ascii="宋体" w:hAnsi="宋体"/>
          <w:sz w:val="28"/>
          <w:szCs w:val="28"/>
          <w:highlight w:val="none"/>
        </w:rPr>
        <w:t>在本合同有效期内，乙方利用甲方提供的技术资料和工作条件所完成的新的技术成果，归 甲方/双方 所有。</w:t>
      </w:r>
    </w:p>
    <w:p>
      <w:pPr>
        <w:spacing w:line="360" w:lineRule="auto"/>
        <w:rPr>
          <w:rFonts w:hint="eastAsia" w:ascii="宋体" w:hAnsi="宋体"/>
          <w:sz w:val="28"/>
          <w:szCs w:val="28"/>
          <w:highlight w:val="none"/>
        </w:rPr>
      </w:pPr>
    </w:p>
    <w:p>
      <w:pPr>
        <w:spacing w:line="360" w:lineRule="auto"/>
        <w:rPr>
          <w:rFonts w:hint="eastAsia" w:ascii="宋体" w:hAnsi="宋体"/>
          <w:b/>
          <w:sz w:val="28"/>
          <w:szCs w:val="28"/>
          <w:highlight w:val="none"/>
        </w:rPr>
      </w:pPr>
      <w:r>
        <w:rPr>
          <w:rFonts w:hint="eastAsia" w:ascii="宋体" w:hAnsi="宋体"/>
          <w:b/>
          <w:sz w:val="28"/>
          <w:szCs w:val="28"/>
          <w:highlight w:val="none"/>
        </w:rPr>
        <w:t>第11条 保密</w:t>
      </w:r>
    </w:p>
    <w:p>
      <w:pPr>
        <w:spacing w:line="360" w:lineRule="auto"/>
        <w:ind w:left="2" w:leftChars="1"/>
        <w:rPr>
          <w:rFonts w:hint="eastAsia" w:ascii="宋体" w:hAnsi="宋体"/>
          <w:sz w:val="28"/>
          <w:szCs w:val="28"/>
          <w:highlight w:val="none"/>
        </w:rPr>
      </w:pPr>
      <w:r>
        <w:rPr>
          <w:rFonts w:hint="eastAsia" w:ascii="宋体" w:hAnsi="宋体"/>
          <w:b/>
          <w:sz w:val="28"/>
          <w:szCs w:val="28"/>
          <w:highlight w:val="none"/>
        </w:rPr>
        <w:t>11.1</w:t>
      </w:r>
      <w:r>
        <w:rPr>
          <w:rFonts w:ascii="宋体" w:hAnsi="宋体"/>
          <w:sz w:val="28"/>
          <w:szCs w:val="28"/>
          <w:highlight w:val="none"/>
        </w:rPr>
        <w:t>保密内容(包括技术信息和经营信息)：</w:t>
      </w:r>
      <w:r>
        <w:rPr>
          <w:rFonts w:hint="eastAsia" w:ascii="宋体" w:hAnsi="宋体"/>
          <w:sz w:val="28"/>
          <w:szCs w:val="28"/>
          <w:highlight w:val="none"/>
        </w:rPr>
        <w:t>与本次设计有关的资料和数据 。</w:t>
      </w:r>
    </w:p>
    <w:p>
      <w:pPr>
        <w:spacing w:line="360" w:lineRule="auto"/>
        <w:rPr>
          <w:rFonts w:hint="eastAsia" w:ascii="宋体" w:hAnsi="宋体"/>
          <w:sz w:val="28"/>
          <w:szCs w:val="28"/>
          <w:highlight w:val="none"/>
        </w:rPr>
      </w:pPr>
      <w:r>
        <w:rPr>
          <w:rFonts w:hint="eastAsia" w:ascii="宋体" w:hAnsi="宋体"/>
          <w:b/>
          <w:sz w:val="28"/>
          <w:szCs w:val="28"/>
          <w:highlight w:val="none"/>
        </w:rPr>
        <w:t>11.</w:t>
      </w:r>
      <w:r>
        <w:rPr>
          <w:rFonts w:ascii="宋体" w:hAnsi="宋体"/>
          <w:b/>
          <w:sz w:val="28"/>
          <w:szCs w:val="28"/>
          <w:highlight w:val="none"/>
        </w:rPr>
        <w:t>2</w:t>
      </w:r>
      <w:r>
        <w:rPr>
          <w:rFonts w:ascii="宋体" w:hAnsi="宋体"/>
          <w:sz w:val="28"/>
          <w:szCs w:val="28"/>
          <w:highlight w:val="none"/>
        </w:rPr>
        <w:t>涉密人员范围</w:t>
      </w:r>
      <w:r>
        <w:rPr>
          <w:rFonts w:hint="eastAsia" w:ascii="宋体" w:hAnsi="宋体"/>
          <w:sz w:val="28"/>
          <w:szCs w:val="28"/>
          <w:highlight w:val="none"/>
        </w:rPr>
        <w:t>：双方参与本项目的所有有关人员。</w:t>
      </w:r>
    </w:p>
    <w:p>
      <w:pPr>
        <w:spacing w:line="360" w:lineRule="auto"/>
        <w:ind w:left="2" w:leftChars="1"/>
        <w:rPr>
          <w:rFonts w:hint="eastAsia" w:ascii="宋体" w:hAnsi="宋体"/>
          <w:sz w:val="28"/>
          <w:szCs w:val="28"/>
          <w:highlight w:val="none"/>
        </w:rPr>
      </w:pPr>
      <w:r>
        <w:rPr>
          <w:rFonts w:hint="eastAsia" w:ascii="宋体" w:hAnsi="宋体"/>
          <w:b/>
          <w:sz w:val="28"/>
          <w:szCs w:val="28"/>
          <w:highlight w:val="none"/>
        </w:rPr>
        <w:t>11.</w:t>
      </w:r>
      <w:r>
        <w:rPr>
          <w:rFonts w:ascii="宋体" w:hAnsi="宋体"/>
          <w:b/>
          <w:sz w:val="28"/>
          <w:szCs w:val="28"/>
          <w:highlight w:val="none"/>
        </w:rPr>
        <w:t>3</w:t>
      </w:r>
      <w:r>
        <w:rPr>
          <w:rFonts w:ascii="宋体" w:hAnsi="宋体"/>
          <w:sz w:val="28"/>
          <w:szCs w:val="28"/>
          <w:highlight w:val="none"/>
        </w:rPr>
        <w:t>保密期限：</w:t>
      </w:r>
      <w:r>
        <w:rPr>
          <w:rFonts w:hint="eastAsia" w:ascii="宋体" w:hAnsi="宋体"/>
          <w:sz w:val="28"/>
          <w:szCs w:val="28"/>
          <w:highlight w:val="none"/>
        </w:rPr>
        <w:t>长期。</w:t>
      </w:r>
      <w:r>
        <w:rPr>
          <w:rFonts w:ascii="宋体" w:hAnsi="宋体"/>
          <w:sz w:val="28"/>
          <w:szCs w:val="28"/>
          <w:highlight w:val="none"/>
        </w:rPr>
        <w:t>不论本合同是否变更、解除或终止，本合同关于保密的条款将持续有效</w:t>
      </w:r>
      <w:r>
        <w:rPr>
          <w:rFonts w:hint="eastAsia" w:ascii="宋体" w:hAnsi="宋体"/>
          <w:sz w:val="28"/>
          <w:szCs w:val="28"/>
          <w:highlight w:val="none"/>
        </w:rPr>
        <w:t>。</w:t>
      </w:r>
      <w:r>
        <w:rPr>
          <w:rFonts w:ascii="宋体" w:hAnsi="宋体"/>
          <w:sz w:val="28"/>
          <w:szCs w:val="28"/>
          <w:highlight w:val="none"/>
        </w:rPr>
        <w:t>本合同解除或者终止时，掌握相关方</w:t>
      </w:r>
      <w:r>
        <w:rPr>
          <w:rFonts w:hint="eastAsia" w:ascii="宋体" w:hAnsi="宋体"/>
          <w:sz w:val="28"/>
          <w:szCs w:val="28"/>
          <w:highlight w:val="none"/>
        </w:rPr>
        <w:t>保密内容</w:t>
      </w:r>
      <w:r>
        <w:rPr>
          <w:rFonts w:ascii="宋体" w:hAnsi="宋体"/>
          <w:sz w:val="28"/>
          <w:szCs w:val="28"/>
          <w:highlight w:val="none"/>
        </w:rPr>
        <w:t>的本合同各方应将相关方提交的载有</w:t>
      </w:r>
      <w:r>
        <w:rPr>
          <w:rFonts w:hint="eastAsia" w:ascii="宋体" w:hAnsi="宋体"/>
          <w:sz w:val="28"/>
          <w:szCs w:val="28"/>
          <w:highlight w:val="none"/>
        </w:rPr>
        <w:t>保密内容</w:t>
      </w:r>
      <w:r>
        <w:rPr>
          <w:rFonts w:ascii="宋体" w:hAnsi="宋体"/>
          <w:sz w:val="28"/>
          <w:szCs w:val="28"/>
          <w:highlight w:val="none"/>
        </w:rPr>
        <w:t>的信息资料归还相关方，并从任何有关记忆装置中删除相关方的</w:t>
      </w:r>
      <w:r>
        <w:rPr>
          <w:rFonts w:hint="eastAsia" w:ascii="宋体" w:hAnsi="宋体"/>
          <w:sz w:val="28"/>
          <w:szCs w:val="28"/>
          <w:highlight w:val="none"/>
        </w:rPr>
        <w:t>保密内容</w:t>
      </w:r>
      <w:r>
        <w:rPr>
          <w:rFonts w:ascii="宋体" w:hAnsi="宋体"/>
          <w:sz w:val="28"/>
          <w:szCs w:val="28"/>
          <w:highlight w:val="none"/>
        </w:rPr>
        <w:t>，并且不得继续使用。</w:t>
      </w:r>
    </w:p>
    <w:p>
      <w:pPr>
        <w:spacing w:line="360" w:lineRule="auto"/>
        <w:ind w:left="2" w:leftChars="1"/>
        <w:rPr>
          <w:rFonts w:ascii="宋体" w:hAnsi="宋体"/>
          <w:sz w:val="28"/>
          <w:szCs w:val="28"/>
          <w:highlight w:val="none"/>
        </w:rPr>
      </w:pPr>
      <w:r>
        <w:rPr>
          <w:rFonts w:hint="eastAsia" w:ascii="宋体" w:hAnsi="宋体"/>
          <w:b/>
          <w:sz w:val="28"/>
          <w:szCs w:val="28"/>
          <w:highlight w:val="none"/>
        </w:rPr>
        <w:t>11.</w:t>
      </w:r>
      <w:r>
        <w:rPr>
          <w:rFonts w:ascii="宋体" w:hAnsi="宋体"/>
          <w:b/>
          <w:sz w:val="28"/>
          <w:szCs w:val="28"/>
          <w:highlight w:val="none"/>
        </w:rPr>
        <w:t>4</w:t>
      </w:r>
      <w:r>
        <w:rPr>
          <w:rFonts w:ascii="宋体" w:hAnsi="宋体"/>
          <w:sz w:val="28"/>
          <w:szCs w:val="28"/>
          <w:highlight w:val="none"/>
        </w:rPr>
        <w:t>泄密责任：</w:t>
      </w:r>
      <w:r>
        <w:rPr>
          <w:rFonts w:hint="eastAsia" w:ascii="宋体" w:hAnsi="宋体"/>
          <w:sz w:val="28"/>
          <w:szCs w:val="28"/>
          <w:highlight w:val="none"/>
        </w:rPr>
        <w:t>按照国家有关知识产权保护等法律、法规执行，</w:t>
      </w:r>
      <w:r>
        <w:rPr>
          <w:rFonts w:ascii="宋体" w:hAnsi="宋体"/>
          <w:sz w:val="28"/>
          <w:szCs w:val="28"/>
          <w:highlight w:val="none"/>
        </w:rPr>
        <w:t>违反保密义务的本合同任何一方，应承担由此产生的一切法律责任。</w:t>
      </w:r>
    </w:p>
    <w:p>
      <w:pPr>
        <w:spacing w:line="360" w:lineRule="auto"/>
        <w:rPr>
          <w:rFonts w:hint="eastAsia" w:ascii="宋体" w:hAnsi="宋体"/>
          <w:b/>
          <w:sz w:val="28"/>
          <w:szCs w:val="28"/>
          <w:highlight w:val="none"/>
        </w:rPr>
      </w:pPr>
      <w:r>
        <w:rPr>
          <w:rFonts w:hint="eastAsia" w:ascii="宋体" w:hAnsi="宋体"/>
          <w:b/>
          <w:sz w:val="28"/>
          <w:szCs w:val="28"/>
          <w:highlight w:val="none"/>
        </w:rPr>
        <w:t xml:space="preserve">第12条：法律适用和争议解决  </w:t>
      </w:r>
    </w:p>
    <w:p>
      <w:pPr>
        <w:spacing w:line="360" w:lineRule="auto"/>
        <w:rPr>
          <w:rFonts w:hint="eastAsia" w:ascii="宋体" w:hAnsi="宋体"/>
          <w:sz w:val="28"/>
          <w:szCs w:val="28"/>
          <w:highlight w:val="none"/>
        </w:rPr>
      </w:pPr>
      <w:r>
        <w:rPr>
          <w:rFonts w:hint="eastAsia" w:ascii="宋体" w:hAnsi="宋体"/>
          <w:b/>
          <w:sz w:val="28"/>
          <w:szCs w:val="28"/>
          <w:highlight w:val="none"/>
        </w:rPr>
        <w:t>12.1</w:t>
      </w:r>
      <w:r>
        <w:rPr>
          <w:rFonts w:hint="eastAsia" w:ascii="宋体" w:hAnsi="宋体"/>
          <w:sz w:val="28"/>
          <w:szCs w:val="28"/>
          <w:highlight w:val="none"/>
        </w:rPr>
        <w:t>本合同的订立、效力、解释、履行和争议的解决均适用中华人民共和国法律（不含香港特别行政区、澳门特别行政区及台湾地区法律）。</w:t>
      </w:r>
    </w:p>
    <w:p>
      <w:pPr>
        <w:spacing w:line="360" w:lineRule="auto"/>
        <w:rPr>
          <w:rFonts w:hint="eastAsia" w:ascii="宋体" w:hAnsi="宋体"/>
          <w:sz w:val="28"/>
          <w:szCs w:val="28"/>
          <w:highlight w:val="none"/>
        </w:rPr>
      </w:pPr>
      <w:r>
        <w:rPr>
          <w:rFonts w:hint="eastAsia" w:ascii="宋体" w:hAnsi="宋体"/>
          <w:b/>
          <w:sz w:val="28"/>
          <w:szCs w:val="28"/>
          <w:highlight w:val="none"/>
        </w:rPr>
        <w:t>12.2</w:t>
      </w:r>
      <w:r>
        <w:rPr>
          <w:rFonts w:hint="eastAsia" w:ascii="宋体" w:hAnsi="宋体"/>
          <w:sz w:val="28"/>
          <w:szCs w:val="28"/>
          <w:highlight w:val="none"/>
        </w:rPr>
        <w:t>本合同在履行过程中发生的争议，由双方当事人协商解决，协商不成的按下列第</w:t>
      </w:r>
      <w:r>
        <w:rPr>
          <w:rFonts w:hint="eastAsia" w:ascii="宋体" w:hAnsi="宋体"/>
          <w:sz w:val="28"/>
          <w:szCs w:val="28"/>
          <w:highlight w:val="none"/>
          <w:u w:val="single"/>
        </w:rPr>
        <w:t>（二）</w:t>
      </w:r>
      <w:r>
        <w:rPr>
          <w:rFonts w:hint="eastAsia" w:ascii="宋体" w:hAnsi="宋体"/>
          <w:sz w:val="28"/>
          <w:szCs w:val="28"/>
          <w:highlight w:val="none"/>
        </w:rPr>
        <w:t>种方式解决：</w:t>
      </w:r>
    </w:p>
    <w:p>
      <w:pPr>
        <w:spacing w:line="360" w:lineRule="auto"/>
        <w:ind w:firstLine="570"/>
        <w:rPr>
          <w:rFonts w:hint="eastAsia" w:ascii="宋体" w:hAnsi="宋体"/>
          <w:sz w:val="28"/>
          <w:szCs w:val="28"/>
          <w:highlight w:val="none"/>
        </w:rPr>
      </w:pPr>
      <w:r>
        <w:rPr>
          <w:rFonts w:hint="eastAsia" w:ascii="宋体" w:hAnsi="宋体"/>
          <w:sz w:val="28"/>
          <w:szCs w:val="28"/>
          <w:highlight w:val="none"/>
        </w:rPr>
        <w:t>（一）提交</w:t>
      </w:r>
      <w:r>
        <w:rPr>
          <w:rFonts w:hint="eastAsia" w:ascii="宋体" w:hAnsi="宋体"/>
          <w:sz w:val="28"/>
          <w:szCs w:val="28"/>
          <w:highlight w:val="none"/>
          <w:u w:val="single"/>
        </w:rPr>
        <w:t xml:space="preserve">         </w:t>
      </w:r>
      <w:r>
        <w:rPr>
          <w:rFonts w:hint="eastAsia" w:ascii="宋体" w:hAnsi="宋体"/>
          <w:sz w:val="28"/>
          <w:szCs w:val="28"/>
          <w:highlight w:val="none"/>
        </w:rPr>
        <w:t>仲裁委员会仲裁；</w:t>
      </w:r>
    </w:p>
    <w:p>
      <w:pPr>
        <w:spacing w:line="360" w:lineRule="auto"/>
        <w:ind w:firstLine="570"/>
        <w:rPr>
          <w:rFonts w:hint="eastAsia" w:ascii="宋体" w:hAnsi="宋体"/>
          <w:sz w:val="28"/>
          <w:szCs w:val="28"/>
          <w:highlight w:val="none"/>
        </w:rPr>
      </w:pPr>
      <w:r>
        <w:rPr>
          <w:rFonts w:hint="eastAsia" w:ascii="宋体" w:hAnsi="宋体"/>
          <w:sz w:val="28"/>
          <w:szCs w:val="28"/>
          <w:highlight w:val="none"/>
        </w:rPr>
        <w:t>（二）依法向有管辖权人民法院起诉。</w:t>
      </w:r>
    </w:p>
    <w:p>
      <w:pPr>
        <w:spacing w:line="360" w:lineRule="auto"/>
        <w:rPr>
          <w:rFonts w:hint="eastAsia" w:ascii="宋体" w:hAnsi="宋体"/>
          <w:sz w:val="28"/>
          <w:szCs w:val="28"/>
          <w:highlight w:val="none"/>
        </w:rPr>
      </w:pPr>
      <w:r>
        <w:rPr>
          <w:rFonts w:hint="eastAsia" w:ascii="宋体" w:hAnsi="宋体"/>
          <w:b/>
          <w:sz w:val="28"/>
          <w:szCs w:val="28"/>
          <w:highlight w:val="none"/>
        </w:rPr>
        <w:t>12.3</w:t>
      </w:r>
      <w:r>
        <w:rPr>
          <w:rFonts w:hint="eastAsia" w:ascii="宋体" w:hAnsi="宋体"/>
          <w:sz w:val="28"/>
          <w:szCs w:val="28"/>
          <w:highlight w:val="none"/>
        </w:rPr>
        <w:t>除本合同各方发生争议的事项外，各方仍应本着善意原则按照本合同的约定继续履行各自义务。</w:t>
      </w:r>
    </w:p>
    <w:p>
      <w:pPr>
        <w:spacing w:line="360" w:lineRule="auto"/>
        <w:rPr>
          <w:rFonts w:hint="eastAsia" w:ascii="宋体" w:hAnsi="宋体"/>
          <w:b/>
          <w:sz w:val="28"/>
          <w:szCs w:val="28"/>
          <w:highlight w:val="none"/>
        </w:rPr>
      </w:pPr>
      <w:r>
        <w:rPr>
          <w:rFonts w:hint="eastAsia" w:ascii="宋体" w:hAnsi="宋体"/>
          <w:b/>
          <w:sz w:val="28"/>
          <w:szCs w:val="28"/>
          <w:highlight w:val="none"/>
        </w:rPr>
        <w:t>第13条：不可抗力</w:t>
      </w:r>
    </w:p>
    <w:p>
      <w:pPr>
        <w:spacing w:line="360" w:lineRule="auto"/>
        <w:rPr>
          <w:rFonts w:hint="eastAsia" w:ascii="宋体" w:hAnsi="宋体"/>
          <w:sz w:val="28"/>
          <w:szCs w:val="28"/>
          <w:highlight w:val="none"/>
        </w:rPr>
      </w:pPr>
      <w:r>
        <w:rPr>
          <w:rFonts w:hint="eastAsia" w:ascii="宋体" w:hAnsi="宋体"/>
          <w:b/>
          <w:sz w:val="28"/>
          <w:szCs w:val="28"/>
          <w:highlight w:val="none"/>
        </w:rPr>
        <w:t>13.1</w:t>
      </w:r>
      <w:r>
        <w:rPr>
          <w:rFonts w:hint="eastAsia" w:ascii="宋体" w:hAnsi="宋体"/>
          <w:sz w:val="28"/>
          <w:szCs w:val="28"/>
          <w:highlight w:val="none"/>
        </w:rPr>
        <w:t>由于地震、台风、水灾、战争等不可抗力直接影响本合同的履行及/或不能按合同约定履行时，遇有上述不可抗力的一方，应立即电传通知对方，并应在不可抗力发生之日起十五日内，提供不可抗力的详情及/或导致本合同不能履行及/或部分不能履行及/或需要延期履行的有效证明文件，此项证明文件应由不可抗力发生地的公证机构出具。按照不可抗力对履行合同的影响程度，部分及/或全部免除责任，并由甲方、乙方协商决定是否解除合同或延期履行合同。</w:t>
      </w:r>
    </w:p>
    <w:p>
      <w:pPr>
        <w:spacing w:line="360" w:lineRule="auto"/>
        <w:rPr>
          <w:rFonts w:hint="eastAsia" w:ascii="宋体" w:hAnsi="宋体"/>
          <w:sz w:val="28"/>
          <w:szCs w:val="28"/>
          <w:highlight w:val="none"/>
        </w:rPr>
      </w:pPr>
      <w:r>
        <w:rPr>
          <w:rFonts w:hint="eastAsia" w:ascii="宋体" w:hAnsi="宋体"/>
          <w:b/>
          <w:sz w:val="28"/>
          <w:szCs w:val="28"/>
          <w:highlight w:val="none"/>
        </w:rPr>
        <w:t xml:space="preserve">13.2 </w:t>
      </w:r>
      <w:r>
        <w:rPr>
          <w:rFonts w:hint="eastAsia" w:ascii="宋体" w:hAnsi="宋体"/>
          <w:sz w:val="28"/>
          <w:szCs w:val="28"/>
          <w:highlight w:val="none"/>
        </w:rPr>
        <w:t>不可抗力时的设计费用支付：不可抗力导致终止合同时，乙方在合同终止日为止所提供的一切服务都应得到报酬，退还未完成部分的设计费。一旦应付款已付清，乙方将提供甲方在合同终止日前完成的所有设计文件。</w:t>
      </w:r>
    </w:p>
    <w:p>
      <w:pPr>
        <w:spacing w:line="360" w:lineRule="auto"/>
        <w:rPr>
          <w:rFonts w:hint="eastAsia" w:ascii="宋体" w:hAnsi="宋体"/>
          <w:b/>
          <w:sz w:val="28"/>
          <w:szCs w:val="28"/>
          <w:highlight w:val="none"/>
        </w:rPr>
      </w:pPr>
      <w:r>
        <w:rPr>
          <w:rFonts w:hint="eastAsia" w:ascii="宋体" w:hAnsi="宋体"/>
          <w:b/>
          <w:sz w:val="28"/>
          <w:szCs w:val="28"/>
          <w:highlight w:val="none"/>
        </w:rPr>
        <w:t>第14条 合同的变更和解除</w:t>
      </w:r>
    </w:p>
    <w:p>
      <w:pPr>
        <w:spacing w:line="360" w:lineRule="auto"/>
        <w:rPr>
          <w:rFonts w:hint="eastAsia" w:ascii="宋体" w:hAnsi="宋体"/>
          <w:sz w:val="28"/>
          <w:szCs w:val="28"/>
          <w:highlight w:val="none"/>
        </w:rPr>
      </w:pPr>
      <w:r>
        <w:rPr>
          <w:rFonts w:hint="eastAsia" w:ascii="宋体" w:hAnsi="宋体"/>
          <w:b/>
          <w:sz w:val="28"/>
          <w:szCs w:val="28"/>
          <w:highlight w:val="none"/>
        </w:rPr>
        <w:t>14.1</w:t>
      </w:r>
      <w:r>
        <w:rPr>
          <w:rFonts w:hint="eastAsia" w:ascii="宋体" w:hAnsi="宋体"/>
          <w:sz w:val="28"/>
          <w:szCs w:val="28"/>
          <w:highlight w:val="none"/>
        </w:rPr>
        <w:t>本合同各方协商一致，可以变更本合同。变更本合同应签订补充合同。</w:t>
      </w:r>
    </w:p>
    <w:p>
      <w:pPr>
        <w:spacing w:line="360" w:lineRule="auto"/>
        <w:rPr>
          <w:rFonts w:hint="eastAsia" w:ascii="宋体" w:hAnsi="宋体"/>
          <w:sz w:val="28"/>
          <w:szCs w:val="28"/>
          <w:highlight w:val="none"/>
        </w:rPr>
      </w:pPr>
      <w:r>
        <w:rPr>
          <w:rFonts w:hint="eastAsia" w:ascii="宋体" w:hAnsi="宋体"/>
          <w:b/>
          <w:sz w:val="28"/>
          <w:szCs w:val="28"/>
          <w:highlight w:val="none"/>
        </w:rPr>
        <w:t>14.2</w:t>
      </w:r>
      <w:r>
        <w:rPr>
          <w:rFonts w:hint="eastAsia" w:ascii="宋体" w:hAnsi="宋体"/>
          <w:sz w:val="28"/>
          <w:szCs w:val="28"/>
          <w:highlight w:val="none"/>
        </w:rPr>
        <w:t>本合同各方协商一致解除本合同应签订书面协议。</w:t>
      </w:r>
    </w:p>
    <w:p>
      <w:pPr>
        <w:spacing w:line="360" w:lineRule="auto"/>
        <w:rPr>
          <w:rFonts w:hint="eastAsia" w:ascii="宋体" w:hAnsi="宋体"/>
          <w:sz w:val="28"/>
          <w:szCs w:val="28"/>
          <w:highlight w:val="none"/>
        </w:rPr>
      </w:pPr>
      <w:r>
        <w:rPr>
          <w:rFonts w:hint="eastAsia" w:ascii="宋体" w:hAnsi="宋体"/>
          <w:b/>
          <w:sz w:val="28"/>
          <w:szCs w:val="28"/>
          <w:highlight w:val="none"/>
        </w:rPr>
        <w:t>14.3</w:t>
      </w:r>
      <w:r>
        <w:rPr>
          <w:rFonts w:hint="eastAsia" w:ascii="宋体" w:hAnsi="宋体"/>
          <w:sz w:val="28"/>
          <w:szCs w:val="28"/>
          <w:highlight w:val="none"/>
        </w:rPr>
        <w:t>本合同各方依照本合同约定单方解除本合同的，应当书面通知对方，本合同自书面通知到达对方之时起解除。</w:t>
      </w:r>
    </w:p>
    <w:p>
      <w:pPr>
        <w:spacing w:line="360" w:lineRule="auto"/>
        <w:rPr>
          <w:rFonts w:hint="eastAsia" w:ascii="宋体" w:hAnsi="宋体"/>
          <w:sz w:val="28"/>
          <w:szCs w:val="28"/>
          <w:highlight w:val="none"/>
        </w:rPr>
      </w:pPr>
      <w:r>
        <w:rPr>
          <w:rFonts w:hint="eastAsia" w:ascii="宋体" w:hAnsi="宋体"/>
          <w:b/>
          <w:sz w:val="28"/>
          <w:szCs w:val="28"/>
          <w:highlight w:val="none"/>
        </w:rPr>
        <w:t>14.4</w:t>
      </w:r>
      <w:r>
        <w:rPr>
          <w:rFonts w:hint="eastAsia" w:ascii="宋体" w:hAnsi="宋体"/>
          <w:sz w:val="28"/>
          <w:szCs w:val="28"/>
          <w:highlight w:val="none"/>
        </w:rPr>
        <w:t>本合同解除后，本合同各方应妥善做好已完工项目的保护和移交工作。</w:t>
      </w:r>
    </w:p>
    <w:p>
      <w:pPr>
        <w:spacing w:line="360" w:lineRule="auto"/>
        <w:rPr>
          <w:rFonts w:hint="eastAsia" w:ascii="宋体" w:hAnsi="宋体"/>
          <w:sz w:val="28"/>
          <w:szCs w:val="28"/>
          <w:highlight w:val="none"/>
        </w:rPr>
      </w:pPr>
      <w:r>
        <w:rPr>
          <w:rFonts w:hint="eastAsia" w:ascii="宋体" w:hAnsi="宋体"/>
          <w:b/>
          <w:sz w:val="28"/>
          <w:szCs w:val="28"/>
          <w:highlight w:val="none"/>
        </w:rPr>
        <w:t>14.5</w:t>
      </w:r>
      <w:r>
        <w:rPr>
          <w:rFonts w:hint="eastAsia" w:ascii="宋体" w:hAnsi="宋体"/>
          <w:sz w:val="28"/>
          <w:szCs w:val="28"/>
          <w:highlight w:val="none"/>
        </w:rPr>
        <w:t>本合同解除后，不影响本合同中结算、清理及违约责任条款的效力。</w:t>
      </w:r>
    </w:p>
    <w:p>
      <w:pPr>
        <w:spacing w:line="360" w:lineRule="auto"/>
        <w:rPr>
          <w:rFonts w:hint="eastAsia" w:ascii="宋体" w:hAnsi="宋体"/>
          <w:b/>
          <w:sz w:val="28"/>
          <w:szCs w:val="28"/>
          <w:highlight w:val="none"/>
        </w:rPr>
      </w:pPr>
      <w:r>
        <w:rPr>
          <w:rFonts w:hint="eastAsia" w:ascii="宋体" w:hAnsi="宋体"/>
          <w:b/>
          <w:sz w:val="28"/>
          <w:szCs w:val="28"/>
          <w:highlight w:val="none"/>
        </w:rPr>
        <w:t>第15条 通讯和送达</w:t>
      </w:r>
    </w:p>
    <w:p>
      <w:pPr>
        <w:spacing w:line="360" w:lineRule="auto"/>
        <w:rPr>
          <w:rFonts w:hint="eastAsia" w:ascii="宋体" w:hAnsi="宋体"/>
          <w:sz w:val="28"/>
          <w:szCs w:val="28"/>
          <w:highlight w:val="none"/>
        </w:rPr>
      </w:pPr>
      <w:r>
        <w:rPr>
          <w:rFonts w:hint="eastAsia" w:ascii="宋体" w:hAnsi="宋体"/>
          <w:b/>
          <w:sz w:val="28"/>
          <w:szCs w:val="28"/>
          <w:highlight w:val="none"/>
        </w:rPr>
        <w:t>15.1</w:t>
      </w:r>
      <w:r>
        <w:rPr>
          <w:rFonts w:hint="eastAsia" w:ascii="宋体" w:hAnsi="宋体"/>
          <w:sz w:val="28"/>
          <w:szCs w:val="28"/>
          <w:highlight w:val="none"/>
        </w:rPr>
        <w:t>通讯是指本合同各方依照本合同约定向另一方发出的通知、决定、指令、同意、证明等各类书面形式的函件。</w:t>
      </w:r>
    </w:p>
    <w:p>
      <w:pPr>
        <w:spacing w:line="360" w:lineRule="auto"/>
        <w:rPr>
          <w:rFonts w:hint="eastAsia" w:ascii="宋体" w:hAnsi="宋体"/>
          <w:sz w:val="28"/>
          <w:szCs w:val="28"/>
          <w:highlight w:val="none"/>
        </w:rPr>
      </w:pPr>
      <w:r>
        <w:rPr>
          <w:rFonts w:hint="eastAsia" w:ascii="宋体" w:hAnsi="宋体"/>
          <w:b/>
          <w:sz w:val="28"/>
          <w:szCs w:val="28"/>
          <w:highlight w:val="none"/>
        </w:rPr>
        <w:t>15.2</w:t>
      </w:r>
      <w:r>
        <w:rPr>
          <w:rFonts w:hint="eastAsia" w:ascii="宋体" w:hAnsi="宋体"/>
          <w:sz w:val="28"/>
          <w:szCs w:val="28"/>
          <w:highlight w:val="none"/>
        </w:rPr>
        <w:t>通讯由专人递送的，各方指定的联系人签收之日为送达之日；由特快专递递送的，联系人签收后或者快递公司出具收件人拒收信件的证明的，视为已送达；由传真递送的，接收传真一方联系人应立即在接收到的传真件上签名确认，并将载有上述签名确认的传真件立即传真至发送传真一方，发送传真一方收到上述传真后，传真件载明的通讯视为已送达；由电子邮件递送的，必须同时采取传真方式递送。</w:t>
      </w:r>
    </w:p>
    <w:p>
      <w:pPr>
        <w:spacing w:line="360" w:lineRule="auto"/>
        <w:rPr>
          <w:rFonts w:hint="eastAsia" w:ascii="宋体" w:hAnsi="宋体"/>
          <w:sz w:val="28"/>
          <w:szCs w:val="28"/>
          <w:highlight w:val="none"/>
        </w:rPr>
      </w:pPr>
      <w:r>
        <w:rPr>
          <w:rFonts w:hint="eastAsia" w:ascii="宋体" w:hAnsi="宋体"/>
          <w:b/>
          <w:sz w:val="28"/>
          <w:szCs w:val="28"/>
          <w:highlight w:val="none"/>
        </w:rPr>
        <w:t>15.3</w:t>
      </w:r>
      <w:r>
        <w:rPr>
          <w:rFonts w:hint="eastAsia" w:ascii="宋体" w:hAnsi="宋体"/>
          <w:sz w:val="28"/>
          <w:szCs w:val="28"/>
          <w:highlight w:val="none"/>
        </w:rPr>
        <w:t>本合同各方变更通讯递送地址、联系人、电子邮件及/或传真的，应得到另一方的书面确认，在得到书面确认前各方仍应按照本合同约定的通讯送达地址、联系人、电子邮件及/或传真递送通讯。</w:t>
      </w:r>
    </w:p>
    <w:p>
      <w:pPr>
        <w:spacing w:line="360" w:lineRule="auto"/>
        <w:rPr>
          <w:rFonts w:hint="eastAsia" w:ascii="宋体" w:hAnsi="宋体"/>
          <w:b/>
          <w:sz w:val="28"/>
          <w:szCs w:val="28"/>
          <w:highlight w:val="none"/>
        </w:rPr>
      </w:pPr>
      <w:r>
        <w:rPr>
          <w:rFonts w:hint="eastAsia" w:ascii="宋体" w:hAnsi="宋体"/>
          <w:b/>
          <w:sz w:val="28"/>
          <w:szCs w:val="28"/>
          <w:highlight w:val="none"/>
        </w:rPr>
        <w:t>第16条  其他</w:t>
      </w:r>
    </w:p>
    <w:p>
      <w:pPr>
        <w:spacing w:line="360" w:lineRule="auto"/>
        <w:rPr>
          <w:rFonts w:hint="eastAsia" w:ascii="宋体" w:hAnsi="宋体"/>
          <w:sz w:val="28"/>
          <w:szCs w:val="28"/>
          <w:highlight w:val="none"/>
        </w:rPr>
      </w:pPr>
      <w:r>
        <w:rPr>
          <w:rFonts w:hint="eastAsia" w:ascii="宋体" w:hAnsi="宋体"/>
          <w:b/>
          <w:sz w:val="28"/>
          <w:szCs w:val="28"/>
          <w:highlight w:val="none"/>
        </w:rPr>
        <w:t>16.1</w:t>
      </w:r>
      <w:r>
        <w:rPr>
          <w:rFonts w:hint="eastAsia" w:ascii="宋体" w:hAnsi="宋体"/>
          <w:sz w:val="28"/>
          <w:szCs w:val="28"/>
          <w:highlight w:val="none"/>
        </w:rPr>
        <w:t xml:space="preserve">甲方要求乙方派专人留驻施工现场进行配合与解决有关问题时，双方应另行签订补充协议或技术咨询服务合同。 </w:t>
      </w:r>
    </w:p>
    <w:p>
      <w:pPr>
        <w:spacing w:line="360" w:lineRule="auto"/>
        <w:rPr>
          <w:rFonts w:hint="eastAsia" w:ascii="宋体" w:hAnsi="宋体"/>
          <w:sz w:val="28"/>
          <w:szCs w:val="28"/>
          <w:highlight w:val="none"/>
        </w:rPr>
      </w:pPr>
      <w:r>
        <w:rPr>
          <w:rFonts w:hint="eastAsia" w:ascii="宋体" w:hAnsi="宋体"/>
          <w:b/>
          <w:sz w:val="28"/>
          <w:szCs w:val="28"/>
          <w:highlight w:val="none"/>
        </w:rPr>
        <w:t>16.2</w:t>
      </w:r>
      <w:r>
        <w:rPr>
          <w:rFonts w:hint="eastAsia" w:ascii="宋体" w:hAnsi="宋体"/>
          <w:sz w:val="28"/>
          <w:szCs w:val="28"/>
          <w:highlight w:val="none"/>
        </w:rPr>
        <w:t xml:space="preserve">乙方为本合同项目所采用的国家或地方标准图，由甲方自费向有关出版部门购买。 </w:t>
      </w:r>
    </w:p>
    <w:p>
      <w:pPr>
        <w:spacing w:line="360" w:lineRule="auto"/>
        <w:rPr>
          <w:rFonts w:hint="eastAsia" w:ascii="宋体" w:hAnsi="宋体"/>
          <w:sz w:val="28"/>
          <w:szCs w:val="28"/>
          <w:highlight w:val="none"/>
        </w:rPr>
      </w:pPr>
      <w:r>
        <w:rPr>
          <w:rFonts w:hint="eastAsia" w:ascii="宋体" w:hAnsi="宋体"/>
          <w:b/>
          <w:sz w:val="28"/>
          <w:szCs w:val="28"/>
          <w:highlight w:val="none"/>
        </w:rPr>
        <w:t>16.3</w:t>
      </w:r>
      <w:r>
        <w:rPr>
          <w:rFonts w:hint="eastAsia" w:ascii="宋体" w:hAnsi="宋体"/>
          <w:sz w:val="28"/>
          <w:szCs w:val="28"/>
          <w:highlight w:val="none"/>
        </w:rPr>
        <w:t>甲方委托乙方配合引进项目的设计任务，从询价、对外谈判、国内外技术考察直至建成投产的各个阶段，应吸收承担有关设计任务的乙方参加。出国费用等其它费用（合同约定的制装费除外）由甲方支付。</w:t>
      </w:r>
    </w:p>
    <w:p>
      <w:pPr>
        <w:spacing w:line="360" w:lineRule="auto"/>
        <w:rPr>
          <w:rFonts w:hint="eastAsia" w:ascii="宋体" w:hAnsi="宋体"/>
          <w:sz w:val="28"/>
          <w:szCs w:val="28"/>
          <w:highlight w:val="none"/>
        </w:rPr>
      </w:pPr>
      <w:r>
        <w:rPr>
          <w:rFonts w:hint="eastAsia" w:ascii="宋体" w:hAnsi="宋体"/>
          <w:b/>
          <w:sz w:val="28"/>
          <w:szCs w:val="28"/>
          <w:highlight w:val="none"/>
        </w:rPr>
        <w:t>16.4</w:t>
      </w:r>
      <w:r>
        <w:rPr>
          <w:rFonts w:hint="eastAsia" w:ascii="宋体" w:hAnsi="宋体"/>
          <w:sz w:val="28"/>
          <w:szCs w:val="28"/>
          <w:highlight w:val="none"/>
        </w:rPr>
        <w:t>本合同一式</w:t>
      </w:r>
      <w:r>
        <w:rPr>
          <w:rFonts w:hint="eastAsia" w:ascii="宋体" w:hAnsi="宋体"/>
          <w:sz w:val="28"/>
          <w:szCs w:val="28"/>
          <w:highlight w:val="none"/>
          <w:u w:val="single"/>
        </w:rPr>
        <w:t xml:space="preserve">  八   </w:t>
      </w:r>
      <w:r>
        <w:rPr>
          <w:rFonts w:hint="eastAsia" w:ascii="宋体" w:hAnsi="宋体"/>
          <w:sz w:val="28"/>
          <w:szCs w:val="28"/>
          <w:highlight w:val="none"/>
        </w:rPr>
        <w:t>份，甲、乙方各执</w:t>
      </w:r>
      <w:r>
        <w:rPr>
          <w:rFonts w:hint="eastAsia" w:ascii="宋体" w:hAnsi="宋体"/>
          <w:sz w:val="28"/>
          <w:szCs w:val="28"/>
          <w:highlight w:val="none"/>
          <w:u w:val="single"/>
        </w:rPr>
        <w:t xml:space="preserve">  四  </w:t>
      </w:r>
      <w:r>
        <w:rPr>
          <w:rFonts w:hint="eastAsia" w:ascii="宋体" w:hAnsi="宋体"/>
          <w:sz w:val="28"/>
          <w:szCs w:val="28"/>
          <w:highlight w:val="none"/>
        </w:rPr>
        <w:t>份，具有同等法律效力。</w:t>
      </w:r>
    </w:p>
    <w:p>
      <w:pPr>
        <w:spacing w:line="360" w:lineRule="auto"/>
        <w:rPr>
          <w:rFonts w:hint="eastAsia" w:ascii="宋体" w:hAnsi="宋体"/>
          <w:sz w:val="28"/>
          <w:szCs w:val="28"/>
          <w:highlight w:val="none"/>
        </w:rPr>
      </w:pPr>
      <w:r>
        <w:rPr>
          <w:rFonts w:hint="eastAsia" w:ascii="宋体" w:hAnsi="宋体"/>
          <w:sz w:val="28"/>
          <w:szCs w:val="28"/>
          <w:highlight w:val="none"/>
        </w:rPr>
        <w:t xml:space="preserve"> </w:t>
      </w:r>
      <w:r>
        <w:rPr>
          <w:rFonts w:hint="eastAsia" w:ascii="宋体" w:hAnsi="宋体"/>
          <w:b/>
          <w:sz w:val="28"/>
          <w:szCs w:val="28"/>
          <w:highlight w:val="none"/>
        </w:rPr>
        <w:t>16.5</w:t>
      </w:r>
      <w:r>
        <w:rPr>
          <w:rFonts w:hint="eastAsia" w:ascii="宋体" w:hAnsi="宋体"/>
          <w:sz w:val="28"/>
          <w:szCs w:val="28"/>
          <w:highlight w:val="none"/>
        </w:rPr>
        <w:t>本合同经双方签章后生效，双方履行完合同规定的义务后，本合同即行终止。</w:t>
      </w:r>
    </w:p>
    <w:p>
      <w:pPr>
        <w:spacing w:line="360" w:lineRule="auto"/>
        <w:rPr>
          <w:rFonts w:hint="eastAsia" w:ascii="宋体" w:hAnsi="宋体"/>
          <w:sz w:val="28"/>
          <w:szCs w:val="28"/>
          <w:highlight w:val="none"/>
        </w:rPr>
      </w:pPr>
      <w:r>
        <w:rPr>
          <w:rFonts w:hint="eastAsia" w:ascii="宋体" w:hAnsi="宋体"/>
          <w:b/>
          <w:sz w:val="28"/>
          <w:szCs w:val="28"/>
          <w:highlight w:val="none"/>
        </w:rPr>
        <w:t>16.6</w:t>
      </w:r>
      <w:r>
        <w:rPr>
          <w:rFonts w:hint="eastAsia" w:ascii="宋体" w:hAnsi="宋体"/>
          <w:sz w:val="28"/>
          <w:szCs w:val="28"/>
          <w:highlight w:val="none"/>
        </w:rPr>
        <w:t>本合同未尽事宜，双方可签订补充协议，有关协议及双方签署确认的文件（包括会议纪要、补充协议、往来信函、电报、传真）均为本合同组成部分，与本合同具有同等法律效力。</w:t>
      </w:r>
    </w:p>
    <w:p>
      <w:pPr>
        <w:spacing w:line="360" w:lineRule="auto"/>
        <w:rPr>
          <w:rFonts w:hint="eastAsia" w:ascii="宋体" w:hAnsi="宋体"/>
          <w:sz w:val="28"/>
          <w:szCs w:val="28"/>
          <w:highlight w:val="none"/>
        </w:rPr>
      </w:pPr>
      <w:r>
        <w:rPr>
          <w:rFonts w:hint="eastAsia" w:ascii="宋体" w:hAnsi="宋体"/>
          <w:b/>
          <w:sz w:val="28"/>
          <w:szCs w:val="28"/>
          <w:highlight w:val="none"/>
        </w:rPr>
        <w:t>16.7</w:t>
      </w:r>
      <w:r>
        <w:rPr>
          <w:rFonts w:hint="eastAsia" w:ascii="宋体" w:hAnsi="宋体"/>
          <w:sz w:val="28"/>
          <w:szCs w:val="28"/>
          <w:highlight w:val="none"/>
        </w:rPr>
        <w:t>本合同所有附件、采购文件、投标文件、中标通知书均为合同的有效组成部分，与本合同具有同等法律效力，其缔约生效日期为有效签署或盖章确认之日期。它们的优先解释顺序如下：</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（1）双方在合同执行过程中达成的书面补充和修正文件；</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（2）本合同；</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（3）中标通知书；</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（4）采购文件；</w:t>
      </w:r>
    </w:p>
    <w:p>
      <w:pPr>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（5）投标文件及其附件。</w:t>
      </w:r>
    </w:p>
    <w:p>
      <w:pPr>
        <w:spacing w:line="360" w:lineRule="auto"/>
        <w:rPr>
          <w:rFonts w:hint="eastAsia" w:ascii="宋体" w:hAnsi="宋体"/>
          <w:sz w:val="28"/>
          <w:szCs w:val="28"/>
          <w:highlight w:val="none"/>
        </w:rPr>
      </w:pPr>
      <w:r>
        <w:rPr>
          <w:rFonts w:hint="eastAsia" w:ascii="宋体" w:hAnsi="宋体"/>
          <w:b/>
          <w:sz w:val="28"/>
          <w:szCs w:val="28"/>
          <w:highlight w:val="none"/>
        </w:rPr>
        <w:t>16.8</w:t>
      </w:r>
      <w:r>
        <w:rPr>
          <w:rFonts w:hint="eastAsia" w:ascii="宋体" w:hAnsi="宋体"/>
          <w:sz w:val="28"/>
          <w:szCs w:val="28"/>
          <w:highlight w:val="none"/>
        </w:rPr>
        <w:t>其它约定事项：×××。</w:t>
      </w:r>
    </w:p>
    <w:p>
      <w:pPr>
        <w:autoSpaceDE w:val="0"/>
        <w:autoSpaceDN w:val="0"/>
        <w:adjustRightInd w:val="0"/>
        <w:spacing w:line="336" w:lineRule="auto"/>
        <w:jc w:val="left"/>
        <w:rPr>
          <w:rFonts w:ascii="宋体" w:hAnsi="宋体"/>
          <w:sz w:val="28"/>
          <w:szCs w:val="28"/>
          <w:highlight w:val="none"/>
        </w:rPr>
      </w:pPr>
      <w:r>
        <w:rPr>
          <w:rFonts w:hint="eastAsia" w:ascii="宋体" w:hAnsi="宋体"/>
          <w:sz w:val="28"/>
          <w:szCs w:val="28"/>
          <w:highlight w:val="none"/>
        </w:rPr>
        <w:t>16.9 增值税专用发票开票信息</w:t>
      </w:r>
    </w:p>
    <w:p>
      <w:pPr>
        <w:autoSpaceDE w:val="0"/>
        <w:autoSpaceDN w:val="0"/>
        <w:adjustRightInd w:val="0"/>
        <w:spacing w:line="336" w:lineRule="auto"/>
        <w:ind w:firstLine="700" w:firstLineChars="250"/>
        <w:jc w:val="left"/>
        <w:rPr>
          <w:rFonts w:ascii="Tahoma" w:hAnsi="Tahoma" w:cs="Tahoma"/>
          <w:kern w:val="0"/>
          <w:sz w:val="28"/>
          <w:szCs w:val="28"/>
          <w:highlight w:val="none"/>
        </w:rPr>
      </w:pPr>
      <w:r>
        <w:rPr>
          <w:rFonts w:ascii="Tahoma" w:hAnsi="Tahoma" w:cs="Tahoma"/>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1676400</wp:posOffset>
                </wp:positionH>
                <wp:positionV relativeFrom="paragraph">
                  <wp:posOffset>78740</wp:posOffset>
                </wp:positionV>
                <wp:extent cx="228600" cy="152400"/>
                <wp:effectExtent l="4445" t="4445" r="5080" b="5080"/>
                <wp:wrapNone/>
                <wp:docPr id="3" name="矩形 1028"/>
                <wp:cNvGraphicFramePr/>
                <a:graphic xmlns:a="http://schemas.openxmlformats.org/drawingml/2006/main">
                  <a:graphicData uri="http://schemas.microsoft.com/office/word/2010/wordprocessingShape">
                    <wps:wsp>
                      <wps:cNvSpPr/>
                      <wps:spPr>
                        <a:xfrm>
                          <a:off x="0" y="0"/>
                          <a:ext cx="228600" cy="1524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028" o:spid="_x0000_s1026" o:spt="1" style="position:absolute;left:0pt;margin-left:132pt;margin-top:6.2pt;height:12pt;width:18pt;z-index:251661312;mso-width-relative:page;mso-height-relative:page;" fillcolor="#FFFFFF" filled="t" stroked="t" coordsize="21600,21600" o:gfxdata="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IWSp1wAAAAkBAAAPAAAAAAAAAAEAIAAAACIAAABkcnMv&#10;ZG93bnJldi54bWxQSwECFAAUAAAACACHTuJAacqGJgQCAAAuBAAADgAAAAAAAAABACAAAAAmAQAA&#10;ZHJzL2Uyb0RvYy54bWxQSwUGAAAAAAYABgBZAQAAnAUAAAAA&#10;">
                <v:fill on="t" focussize="0,0"/>
                <v:stroke color="#000000" joinstyle="miter"/>
                <v:imagedata o:title=""/>
                <o:lock v:ext="edit" aspectratio="f"/>
              </v:rect>
            </w:pict>
          </mc:Fallback>
        </mc:AlternateContent>
      </w:r>
      <w:r>
        <w:rPr>
          <w:rFonts w:ascii="Tahoma" w:hAnsi="Tahoma" w:cs="Tahoma"/>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78740</wp:posOffset>
                </wp:positionV>
                <wp:extent cx="228600" cy="152400"/>
                <wp:effectExtent l="4445" t="4445" r="5080" b="5080"/>
                <wp:wrapNone/>
                <wp:docPr id="2" name="矩形 1029"/>
                <wp:cNvGraphicFramePr/>
                <a:graphic xmlns:a="http://schemas.openxmlformats.org/drawingml/2006/main">
                  <a:graphicData uri="http://schemas.microsoft.com/office/word/2010/wordprocessingShape">
                    <wps:wsp>
                      <wps:cNvSpPr/>
                      <wps:spPr>
                        <a:xfrm>
                          <a:off x="0" y="0"/>
                          <a:ext cx="228600" cy="1524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029" o:spid="_x0000_s1026" o:spt="1" style="position:absolute;left:0pt;margin-left:9pt;margin-top:6.2pt;height:12pt;width:18pt;z-index:251660288;mso-width-relative:page;mso-height-relative:page;" fillcolor="#FFFFFF" filled="t" stroked="t" coordsize="21600,21600" o:gfxdata="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Iar8dUAAAAHAQAADwAAAAAAAAABACAAAAAiAAAAZHJzL2Rv&#10;d25yZXYueG1sUEsBAhQAFAAAAAgAh07iQPt4hHYEAgAALgQAAA4AAAAAAAAAAQAgAAAAJAEAAGRy&#10;cy9lMm9Eb2MueG1sUEsFBgAAAAAGAAYAWQEAAJoFAAAAAA==&#10;">
                <v:fill on="t" focussize="0,0"/>
                <v:stroke color="#000000" joinstyle="miter"/>
                <v:imagedata o:title=""/>
                <o:lock v:ext="edit" aspectratio="f"/>
              </v:rect>
            </w:pict>
          </mc:Fallback>
        </mc:AlternateContent>
      </w:r>
      <w:r>
        <w:rPr>
          <w:rFonts w:hint="eastAsia" w:ascii="Tahoma" w:hAnsi="Tahoma" w:cs="Tahoma"/>
          <w:kern w:val="0"/>
          <w:sz w:val="28"/>
          <w:szCs w:val="28"/>
          <w:highlight w:val="none"/>
        </w:rPr>
        <w:t>小规模纳税人         一般纳税人</w:t>
      </w:r>
    </w:p>
    <w:tbl>
      <w:tblPr>
        <w:tblStyle w:val="26"/>
        <w:tblW w:w="997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4"/>
        <w:gridCol w:w="7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694" w:type="dxa"/>
            <w:noWrap w:val="0"/>
            <w:vAlign w:val="center"/>
          </w:tcPr>
          <w:p>
            <w:pPr>
              <w:keepNext w:val="0"/>
              <w:keepLines w:val="0"/>
              <w:suppressLineNumbers w:val="0"/>
              <w:spacing w:before="0" w:beforeAutospacing="0" w:after="0" w:afterAutospacing="0"/>
              <w:ind w:left="0" w:right="0"/>
              <w:rPr>
                <w:rFonts w:hint="default" w:ascii="华文仿宋" w:hAnsi="华文仿宋" w:eastAsia="华文仿宋" w:cs="Times New Roman"/>
                <w:sz w:val="28"/>
                <w:szCs w:val="28"/>
                <w:highlight w:val="none"/>
              </w:rPr>
            </w:pPr>
            <w:r>
              <w:rPr>
                <w:rFonts w:hint="eastAsia" w:ascii="华文仿宋" w:hAnsi="华文仿宋" w:eastAsia="华文仿宋" w:cs="Times New Roman"/>
                <w:sz w:val="28"/>
                <w:szCs w:val="28"/>
                <w:highlight w:val="none"/>
              </w:rPr>
              <w:t>公司名称</w:t>
            </w:r>
          </w:p>
        </w:tc>
        <w:tc>
          <w:tcPr>
            <w:tcW w:w="7282" w:type="dxa"/>
            <w:noWrap w:val="0"/>
            <w:vAlign w:val="center"/>
          </w:tcPr>
          <w:p>
            <w:pPr>
              <w:keepNext w:val="0"/>
              <w:keepLines w:val="0"/>
              <w:suppressLineNumbers w:val="0"/>
              <w:spacing w:before="0" w:beforeAutospacing="0" w:after="0" w:afterAutospacing="0"/>
              <w:ind w:left="0" w:right="0"/>
              <w:jc w:val="center"/>
              <w:rPr>
                <w:rFonts w:hint="default" w:ascii="华文细黑" w:hAnsi="华文细黑" w:eastAsia="华文细黑" w:cs="Times New Roman"/>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694" w:type="dxa"/>
            <w:noWrap w:val="0"/>
            <w:vAlign w:val="center"/>
          </w:tcPr>
          <w:p>
            <w:pPr>
              <w:keepNext w:val="0"/>
              <w:keepLines w:val="0"/>
              <w:suppressLineNumbers w:val="0"/>
              <w:spacing w:before="0" w:beforeAutospacing="0" w:after="0" w:afterAutospacing="0"/>
              <w:ind w:left="0" w:right="0"/>
              <w:rPr>
                <w:rFonts w:hint="default" w:ascii="华文仿宋" w:hAnsi="华文仿宋" w:eastAsia="华文仿宋" w:cs="Times New Roman"/>
                <w:sz w:val="28"/>
                <w:szCs w:val="28"/>
                <w:highlight w:val="none"/>
              </w:rPr>
            </w:pPr>
            <w:r>
              <w:rPr>
                <w:rFonts w:hint="eastAsia" w:ascii="华文仿宋" w:hAnsi="华文仿宋" w:eastAsia="华文仿宋" w:cs="Times New Roman"/>
                <w:sz w:val="28"/>
                <w:szCs w:val="28"/>
                <w:highlight w:val="none"/>
              </w:rPr>
              <w:t>统一社会信用代码</w:t>
            </w:r>
          </w:p>
        </w:tc>
        <w:tc>
          <w:tcPr>
            <w:tcW w:w="7282" w:type="dxa"/>
            <w:noWrap w:val="0"/>
            <w:vAlign w:val="center"/>
          </w:tcPr>
          <w:p>
            <w:pPr>
              <w:keepNext w:val="0"/>
              <w:keepLines w:val="0"/>
              <w:suppressLineNumbers w:val="0"/>
              <w:spacing w:before="0" w:beforeAutospacing="0" w:after="0" w:afterAutospacing="0"/>
              <w:ind w:left="0" w:right="0"/>
              <w:jc w:val="center"/>
              <w:rPr>
                <w:rFonts w:hint="default" w:ascii="华文细黑" w:hAnsi="华文细黑" w:eastAsia="华文细黑" w:cs="Times New Roman"/>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694" w:type="dxa"/>
            <w:noWrap w:val="0"/>
            <w:vAlign w:val="center"/>
          </w:tcPr>
          <w:p>
            <w:pPr>
              <w:keepNext w:val="0"/>
              <w:keepLines w:val="0"/>
              <w:suppressLineNumbers w:val="0"/>
              <w:spacing w:before="0" w:beforeAutospacing="0" w:after="0" w:afterAutospacing="0"/>
              <w:ind w:left="0" w:right="0"/>
              <w:rPr>
                <w:rFonts w:hint="default" w:ascii="华文仿宋" w:hAnsi="华文仿宋" w:eastAsia="华文仿宋" w:cs="Times New Roman"/>
                <w:sz w:val="28"/>
                <w:szCs w:val="28"/>
                <w:highlight w:val="none"/>
              </w:rPr>
            </w:pPr>
            <w:r>
              <w:rPr>
                <w:rFonts w:hint="eastAsia" w:ascii="华文仿宋" w:hAnsi="华文仿宋" w:eastAsia="华文仿宋" w:cs="Times New Roman"/>
                <w:sz w:val="28"/>
                <w:szCs w:val="28"/>
                <w:highlight w:val="none"/>
              </w:rPr>
              <w:t>地址、邮编</w:t>
            </w:r>
          </w:p>
        </w:tc>
        <w:tc>
          <w:tcPr>
            <w:tcW w:w="7282" w:type="dxa"/>
            <w:noWrap w:val="0"/>
            <w:vAlign w:val="center"/>
          </w:tcPr>
          <w:p>
            <w:pPr>
              <w:keepNext w:val="0"/>
              <w:keepLines w:val="0"/>
              <w:suppressLineNumbers w:val="0"/>
              <w:spacing w:before="0" w:beforeAutospacing="0" w:after="0" w:afterAutospacing="0"/>
              <w:ind w:left="0" w:right="0"/>
              <w:jc w:val="center"/>
              <w:rPr>
                <w:rFonts w:hint="default" w:ascii="华文细黑" w:hAnsi="华文细黑" w:eastAsia="华文细黑" w:cs="Times New Roman"/>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694" w:type="dxa"/>
            <w:noWrap w:val="0"/>
            <w:vAlign w:val="center"/>
          </w:tcPr>
          <w:p>
            <w:pPr>
              <w:keepNext w:val="0"/>
              <w:keepLines w:val="0"/>
              <w:suppressLineNumbers w:val="0"/>
              <w:spacing w:before="0" w:beforeAutospacing="0" w:after="0" w:afterAutospacing="0"/>
              <w:ind w:left="0" w:right="0"/>
              <w:rPr>
                <w:rFonts w:hint="default" w:ascii="华文仿宋" w:hAnsi="华文仿宋" w:eastAsia="华文仿宋" w:cs="Times New Roman"/>
                <w:sz w:val="28"/>
                <w:szCs w:val="28"/>
                <w:highlight w:val="none"/>
              </w:rPr>
            </w:pPr>
            <w:r>
              <w:rPr>
                <w:rFonts w:hint="eastAsia" w:ascii="华文仿宋" w:hAnsi="华文仿宋" w:eastAsia="华文仿宋" w:cs="Times New Roman"/>
                <w:sz w:val="28"/>
                <w:szCs w:val="28"/>
                <w:highlight w:val="none"/>
              </w:rPr>
              <w:t>电话</w:t>
            </w:r>
          </w:p>
        </w:tc>
        <w:tc>
          <w:tcPr>
            <w:tcW w:w="7282" w:type="dxa"/>
            <w:noWrap w:val="0"/>
            <w:vAlign w:val="center"/>
          </w:tcPr>
          <w:p>
            <w:pPr>
              <w:keepNext w:val="0"/>
              <w:keepLines w:val="0"/>
              <w:suppressLineNumbers w:val="0"/>
              <w:spacing w:before="0" w:beforeAutospacing="0" w:after="0" w:afterAutospacing="0"/>
              <w:ind w:left="0" w:right="0"/>
              <w:jc w:val="center"/>
              <w:rPr>
                <w:rFonts w:hint="default" w:ascii="华文细黑" w:hAnsi="华文细黑" w:eastAsia="华文细黑" w:cs="Times New Roman"/>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694" w:type="dxa"/>
            <w:noWrap w:val="0"/>
            <w:vAlign w:val="center"/>
          </w:tcPr>
          <w:p>
            <w:pPr>
              <w:keepNext w:val="0"/>
              <w:keepLines w:val="0"/>
              <w:suppressLineNumbers w:val="0"/>
              <w:spacing w:before="0" w:beforeAutospacing="0" w:after="0" w:afterAutospacing="0"/>
              <w:ind w:left="0" w:right="0"/>
              <w:rPr>
                <w:rFonts w:hint="default" w:ascii="华文仿宋" w:hAnsi="华文仿宋" w:eastAsia="华文仿宋" w:cs="Times New Roman"/>
                <w:sz w:val="28"/>
                <w:szCs w:val="28"/>
                <w:highlight w:val="none"/>
              </w:rPr>
            </w:pPr>
            <w:r>
              <w:rPr>
                <w:rFonts w:hint="eastAsia" w:ascii="华文仿宋" w:hAnsi="华文仿宋" w:eastAsia="华文仿宋" w:cs="Times New Roman"/>
                <w:sz w:val="28"/>
                <w:szCs w:val="28"/>
                <w:highlight w:val="none"/>
              </w:rPr>
              <w:t>开户银行</w:t>
            </w:r>
          </w:p>
        </w:tc>
        <w:tc>
          <w:tcPr>
            <w:tcW w:w="7282" w:type="dxa"/>
            <w:noWrap w:val="0"/>
            <w:vAlign w:val="center"/>
          </w:tcPr>
          <w:p>
            <w:pPr>
              <w:keepNext w:val="0"/>
              <w:keepLines w:val="0"/>
              <w:suppressLineNumbers w:val="0"/>
              <w:spacing w:before="0" w:beforeAutospacing="0" w:after="0" w:afterAutospacing="0"/>
              <w:ind w:left="0" w:right="0"/>
              <w:jc w:val="center"/>
              <w:rPr>
                <w:rFonts w:hint="default" w:ascii="华文细黑" w:hAnsi="华文细黑" w:eastAsia="华文细黑" w:cs="Times New Roman"/>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694" w:type="dxa"/>
            <w:noWrap w:val="0"/>
            <w:vAlign w:val="center"/>
          </w:tcPr>
          <w:p>
            <w:pPr>
              <w:keepNext w:val="0"/>
              <w:keepLines w:val="0"/>
              <w:suppressLineNumbers w:val="0"/>
              <w:spacing w:before="0" w:beforeAutospacing="0" w:after="0" w:afterAutospacing="0"/>
              <w:ind w:left="0" w:right="0"/>
              <w:rPr>
                <w:rFonts w:hint="default" w:ascii="华文仿宋" w:hAnsi="华文仿宋" w:eastAsia="华文仿宋" w:cs="Times New Roman"/>
                <w:sz w:val="28"/>
                <w:szCs w:val="28"/>
                <w:highlight w:val="none"/>
              </w:rPr>
            </w:pPr>
            <w:r>
              <w:rPr>
                <w:rFonts w:hint="eastAsia" w:ascii="华文仿宋" w:hAnsi="华文仿宋" w:eastAsia="华文仿宋" w:cs="Times New Roman"/>
                <w:sz w:val="28"/>
                <w:szCs w:val="28"/>
                <w:highlight w:val="none"/>
              </w:rPr>
              <w:t>银行账号</w:t>
            </w:r>
          </w:p>
        </w:tc>
        <w:tc>
          <w:tcPr>
            <w:tcW w:w="7282" w:type="dxa"/>
            <w:noWrap w:val="0"/>
            <w:vAlign w:val="center"/>
          </w:tcPr>
          <w:p>
            <w:pPr>
              <w:keepNext w:val="0"/>
              <w:keepLines w:val="0"/>
              <w:suppressLineNumbers w:val="0"/>
              <w:spacing w:before="0" w:beforeAutospacing="0" w:after="0" w:afterAutospacing="0"/>
              <w:ind w:left="0" w:right="0"/>
              <w:jc w:val="center"/>
              <w:rPr>
                <w:rFonts w:hint="default" w:ascii="华文细黑" w:hAnsi="华文细黑" w:eastAsia="华文细黑" w:cs="Times New Roman"/>
                <w:sz w:val="28"/>
                <w:szCs w:val="28"/>
                <w:highlight w:val="none"/>
              </w:rPr>
            </w:pPr>
          </w:p>
        </w:tc>
      </w:tr>
    </w:tbl>
    <w:p>
      <w:pPr>
        <w:spacing w:line="400" w:lineRule="atLeast"/>
        <w:rPr>
          <w:rFonts w:ascii="宋体" w:hAnsi="宋体"/>
          <w:sz w:val="28"/>
          <w:szCs w:val="28"/>
          <w:highlight w:val="none"/>
        </w:rPr>
      </w:pPr>
    </w:p>
    <w:p>
      <w:pPr>
        <w:spacing w:line="360" w:lineRule="auto"/>
        <w:rPr>
          <w:rFonts w:hint="eastAsia" w:ascii="宋体" w:hAnsi="宋体"/>
          <w:sz w:val="28"/>
          <w:szCs w:val="28"/>
          <w:highlight w:val="none"/>
        </w:rPr>
      </w:pPr>
    </w:p>
    <w:p>
      <w:pPr>
        <w:spacing w:line="360" w:lineRule="auto"/>
        <w:rPr>
          <w:rFonts w:hint="eastAsia" w:ascii="宋体" w:hAnsi="宋体"/>
          <w:sz w:val="28"/>
          <w:szCs w:val="28"/>
          <w:highlight w:val="none"/>
        </w:rPr>
      </w:pPr>
      <w:r>
        <w:rPr>
          <w:rFonts w:hint="eastAsia" w:ascii="宋体" w:hAnsi="宋体"/>
          <w:sz w:val="28"/>
          <w:szCs w:val="28"/>
          <w:highlight w:val="none"/>
        </w:rPr>
        <w:t>（本页以下无正文）</w:t>
      </w:r>
    </w:p>
    <w:p>
      <w:pPr>
        <w:spacing w:line="500" w:lineRule="exact"/>
        <w:rPr>
          <w:sz w:val="28"/>
          <w:highlight w:val="none"/>
        </w:rPr>
        <w:sectPr>
          <w:pgSz w:w="11907" w:h="16840"/>
          <w:pgMar w:top="1247" w:right="1407" w:bottom="1247" w:left="1680" w:header="851" w:footer="992" w:gutter="0"/>
          <w:pgBorders>
            <w:top w:val="none" w:sz="0" w:space="0"/>
            <w:left w:val="none" w:sz="0" w:space="0"/>
            <w:bottom w:val="none" w:sz="0" w:space="0"/>
            <w:right w:val="none" w:sz="0" w:space="0"/>
          </w:pgBorders>
          <w:cols w:space="720" w:num="1"/>
          <w:docGrid w:type="lines" w:linePitch="312" w:charSpace="0"/>
        </w:sectPr>
      </w:pPr>
    </w:p>
    <w:p>
      <w:pPr>
        <w:spacing w:line="380" w:lineRule="exact"/>
        <w:ind w:firstLine="5040"/>
        <w:rPr>
          <w:rFonts w:hint="eastAsia" w:ascii="宋体" w:hAnsi="宋体" w:cs="宋体"/>
          <w:b/>
          <w:bCs/>
          <w:sz w:val="32"/>
          <w:szCs w:val="32"/>
          <w:highlight w:val="none"/>
        </w:rPr>
      </w:pPr>
    </w:p>
    <w:p>
      <w:pPr>
        <w:snapToGrid w:val="0"/>
        <w:spacing w:line="360" w:lineRule="auto"/>
        <w:rPr>
          <w:rFonts w:hint="eastAsia" w:ascii="宋体" w:hAnsi="宋体" w:cs="宋体"/>
          <w:highlight w:val="none"/>
        </w:rPr>
      </w:pPr>
    </w:p>
    <w:p>
      <w:pPr>
        <w:rPr>
          <w:rFonts w:hint="eastAsia" w:ascii="宋体" w:hAnsi="宋体" w:cs="宋体"/>
          <w:sz w:val="24"/>
          <w:highlight w:val="none"/>
        </w:rPr>
      </w:pPr>
    </w:p>
    <w:p>
      <w:pPr>
        <w:tabs>
          <w:tab w:val="left" w:pos="360"/>
          <w:tab w:val="left" w:pos="900"/>
        </w:tabs>
        <w:spacing w:line="360" w:lineRule="auto"/>
        <w:rPr>
          <w:rFonts w:hint="eastAsia"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附件1：设计单位投入人员架构表</w:t>
      </w: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28"/>
          <w:highlight w:val="none"/>
        </w:rPr>
      </w:pPr>
    </w:p>
    <w:p>
      <w:pPr>
        <w:snapToGrid w:val="0"/>
        <w:spacing w:line="360" w:lineRule="auto"/>
        <w:rPr>
          <w:rFonts w:hint="eastAsia" w:ascii="宋体" w:hAnsi="宋体" w:cs="宋体"/>
          <w:b/>
          <w:sz w:val="44"/>
          <w:highlight w:val="none"/>
        </w:rPr>
      </w:pPr>
      <w:r>
        <w:rPr>
          <w:rFonts w:hint="eastAsia" w:ascii="宋体" w:hAnsi="宋体" w:cs="宋体"/>
          <w:b/>
          <w:sz w:val="28"/>
          <w:highlight w:val="none"/>
        </w:rPr>
        <w:br w:type="page"/>
      </w:r>
      <w:r>
        <w:rPr>
          <w:rFonts w:hint="eastAsia" w:ascii="宋体" w:hAnsi="宋体" w:cs="宋体"/>
          <w:b/>
          <w:sz w:val="28"/>
          <w:highlight w:val="none"/>
        </w:rPr>
        <w:t>附件2:</w:t>
      </w:r>
      <w:r>
        <w:rPr>
          <w:rFonts w:hint="eastAsia" w:ascii="宋体" w:hAnsi="宋体" w:cs="宋体"/>
          <w:b/>
          <w:sz w:val="44"/>
          <w:highlight w:val="none"/>
        </w:rPr>
        <w:t xml:space="preserve"> </w:t>
      </w:r>
    </w:p>
    <w:p>
      <w:pPr>
        <w:snapToGri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廉政责任书</w:t>
      </w:r>
    </w:p>
    <w:p>
      <w:pPr>
        <w:rPr>
          <w:rFonts w:hint="eastAsia" w:ascii="宋体" w:hAnsi="宋体" w:cs="宋体"/>
          <w:highlight w:val="none"/>
        </w:rPr>
      </w:pPr>
      <w:r>
        <w:rPr>
          <w:rFonts w:hint="eastAsia" w:ascii="宋体" w:hAnsi="宋体" w:cs="宋体"/>
          <w:highlight w:val="none"/>
        </w:rPr>
        <w:t xml:space="preserve">项目名称： </w:t>
      </w:r>
    </w:p>
    <w:p>
      <w:pPr>
        <w:rPr>
          <w:rFonts w:hint="eastAsia" w:ascii="宋体" w:hAnsi="宋体" w:cs="宋体"/>
          <w:highlight w:val="none"/>
        </w:rPr>
      </w:pPr>
      <w:r>
        <w:rPr>
          <w:rFonts w:hint="eastAsia" w:ascii="宋体" w:hAnsi="宋体" w:cs="宋体"/>
          <w:highlight w:val="none"/>
        </w:rPr>
        <w:t xml:space="preserve">项目地址： </w:t>
      </w:r>
    </w:p>
    <w:p>
      <w:pPr>
        <w:rPr>
          <w:rFonts w:hint="eastAsia" w:ascii="宋体" w:hAnsi="宋体" w:cs="宋体"/>
          <w:highlight w:val="none"/>
        </w:rPr>
      </w:pPr>
      <w:r>
        <w:rPr>
          <w:rFonts w:hint="eastAsia" w:ascii="宋体" w:hAnsi="宋体" w:cs="宋体"/>
          <w:highlight w:val="none"/>
        </w:rPr>
        <w:t xml:space="preserve">建设单位（甲方）： </w:t>
      </w:r>
    </w:p>
    <w:p>
      <w:pPr>
        <w:rPr>
          <w:rFonts w:hint="eastAsia" w:ascii="宋体" w:hAnsi="宋体" w:cs="宋体"/>
          <w:highlight w:val="none"/>
        </w:rPr>
      </w:pPr>
      <w:r>
        <w:rPr>
          <w:rFonts w:hint="eastAsia" w:ascii="宋体" w:hAnsi="宋体" w:cs="宋体"/>
          <w:highlight w:val="none"/>
        </w:rPr>
        <w:t xml:space="preserve">设计单位（乙方）： </w:t>
      </w:r>
    </w:p>
    <w:p>
      <w:pPr>
        <w:ind w:firstLine="480"/>
        <w:rPr>
          <w:rFonts w:hint="eastAsia" w:ascii="宋体" w:hAnsi="宋体" w:cs="宋体"/>
          <w:highlight w:val="none"/>
        </w:rPr>
      </w:pPr>
      <w:r>
        <w:rPr>
          <w:rFonts w:hint="eastAsia" w:ascii="宋体" w:hAnsi="宋体" w:cs="宋体"/>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ind w:left="720"/>
        <w:rPr>
          <w:rFonts w:hint="eastAsia" w:ascii="宋体" w:hAnsi="宋体" w:cs="宋体"/>
          <w:b/>
          <w:bCs/>
          <w:highlight w:val="none"/>
        </w:rPr>
      </w:pPr>
      <w:r>
        <w:rPr>
          <w:rFonts w:hint="eastAsia" w:ascii="宋体" w:hAnsi="宋体" w:cs="宋体"/>
          <w:b/>
          <w:bCs/>
          <w:highlight w:val="none"/>
        </w:rPr>
        <w:t>第一条  甲乙双方的责任</w:t>
      </w:r>
    </w:p>
    <w:p>
      <w:pPr>
        <w:tabs>
          <w:tab w:val="left" w:pos="1995"/>
          <w:tab w:val="left" w:pos="2460"/>
        </w:tabs>
        <w:ind w:left="720"/>
        <w:rPr>
          <w:rFonts w:hint="eastAsia" w:ascii="宋体" w:hAnsi="宋体" w:cs="宋体"/>
          <w:highlight w:val="none"/>
        </w:rPr>
      </w:pPr>
      <w:r>
        <w:rPr>
          <w:rFonts w:hint="eastAsia" w:ascii="宋体" w:hAnsi="宋体" w:cs="宋体"/>
          <w:highlight w:val="none"/>
        </w:rPr>
        <w:t>（一）应严格遵守国家关于市场准入、项目招标投标、工程建设和市场活动等有关法律、法规、相关政策，以及廉政建设的各项规定。</w:t>
      </w:r>
    </w:p>
    <w:p>
      <w:pPr>
        <w:tabs>
          <w:tab w:val="left" w:pos="1995"/>
          <w:tab w:val="left" w:pos="2460"/>
        </w:tabs>
        <w:ind w:firstLine="732" w:firstLineChars="349"/>
        <w:jc w:val="left"/>
        <w:rPr>
          <w:rFonts w:hint="eastAsia" w:ascii="宋体" w:hAnsi="宋体" w:cs="宋体"/>
          <w:highlight w:val="none"/>
        </w:rPr>
      </w:pPr>
      <w:r>
        <w:rPr>
          <w:rFonts w:hint="eastAsia" w:ascii="宋体" w:hAnsi="宋体" w:cs="宋体"/>
          <w:highlight w:val="none"/>
        </w:rPr>
        <w:t>（二）严格执行建设工程项目承发包合同文件，自觉按合同办事。</w:t>
      </w:r>
    </w:p>
    <w:p>
      <w:pPr>
        <w:tabs>
          <w:tab w:val="left" w:pos="1995"/>
          <w:tab w:val="left" w:pos="2460"/>
        </w:tabs>
        <w:ind w:left="720"/>
        <w:rPr>
          <w:rFonts w:hint="eastAsia" w:ascii="宋体" w:hAnsi="宋体" w:cs="宋体"/>
          <w:highlight w:val="none"/>
        </w:rPr>
      </w:pPr>
      <w:r>
        <w:rPr>
          <w:rFonts w:hint="eastAsia" w:ascii="宋体" w:hAnsi="宋体" w:cs="宋体"/>
          <w:highlight w:val="none"/>
        </w:rPr>
        <w:t>（三）业务活动必须坚持公开、公平、公正、诚信、透明的原则（除法律法规另有规定者外），不得为获取不正当的利益，损害国家、集体和对方利益，不得违反工程建设管理的规章制度。</w:t>
      </w:r>
    </w:p>
    <w:p>
      <w:pPr>
        <w:tabs>
          <w:tab w:val="left" w:pos="1995"/>
          <w:tab w:val="left" w:pos="2460"/>
        </w:tabs>
        <w:ind w:left="720"/>
        <w:rPr>
          <w:rFonts w:hint="eastAsia" w:ascii="宋体" w:hAnsi="宋体" w:cs="宋体"/>
          <w:highlight w:val="none"/>
        </w:rPr>
      </w:pPr>
      <w:r>
        <w:rPr>
          <w:rFonts w:hint="eastAsia" w:ascii="宋体" w:hAnsi="宋体" w:cs="宋体"/>
          <w:highlight w:val="none"/>
        </w:rPr>
        <w:t>（四）发现对方在业务活动中违规、违纪、违法行为的，应及时提醒对方，情节严重的，应向其上级主管部门或纪检监察、司法等有关机关举报。</w:t>
      </w:r>
    </w:p>
    <w:p>
      <w:pPr>
        <w:ind w:left="720"/>
        <w:rPr>
          <w:rFonts w:hint="eastAsia" w:ascii="宋体" w:hAnsi="宋体" w:cs="宋体"/>
          <w:b/>
          <w:bCs/>
          <w:highlight w:val="none"/>
        </w:rPr>
      </w:pPr>
      <w:r>
        <w:rPr>
          <w:rFonts w:hint="eastAsia" w:ascii="宋体" w:hAnsi="宋体" w:cs="宋体"/>
          <w:b/>
          <w:bCs/>
          <w:highlight w:val="none"/>
        </w:rPr>
        <w:t>第二条  甲方的责任</w:t>
      </w:r>
    </w:p>
    <w:p>
      <w:pPr>
        <w:ind w:firstLine="480"/>
        <w:rPr>
          <w:rFonts w:hint="eastAsia" w:ascii="宋体" w:hAnsi="宋体" w:cs="宋体"/>
          <w:highlight w:val="none"/>
        </w:rPr>
      </w:pPr>
      <w:r>
        <w:rPr>
          <w:rFonts w:hint="eastAsia" w:ascii="宋体" w:hAnsi="宋体" w:cs="宋体"/>
          <w:highlight w:val="none"/>
        </w:rPr>
        <w:t>甲方的领导和从事该建设工程项目的工作人员，在工程建设的事前、事中、事后应遵守以下规定：</w:t>
      </w:r>
    </w:p>
    <w:p>
      <w:pPr>
        <w:tabs>
          <w:tab w:val="left" w:pos="1995"/>
          <w:tab w:val="left" w:pos="2460"/>
        </w:tabs>
        <w:ind w:left="720"/>
        <w:rPr>
          <w:rFonts w:hint="eastAsia" w:ascii="宋体" w:hAnsi="宋体" w:cs="宋体"/>
          <w:highlight w:val="none"/>
        </w:rPr>
      </w:pPr>
      <w:r>
        <w:rPr>
          <w:rFonts w:hint="eastAsia" w:ascii="宋体" w:hAnsi="宋体" w:cs="宋体"/>
          <w:highlight w:val="none"/>
        </w:rPr>
        <w:t>（一）不准向乙方和相关单位索要或接受回扣、礼金、有价证券、贵重物品和好处费、感谢费等。</w:t>
      </w:r>
    </w:p>
    <w:p>
      <w:pPr>
        <w:tabs>
          <w:tab w:val="left" w:pos="1995"/>
          <w:tab w:val="left" w:pos="2460"/>
        </w:tabs>
        <w:ind w:left="720"/>
        <w:rPr>
          <w:rFonts w:hint="eastAsia" w:ascii="宋体" w:hAnsi="宋体" w:cs="宋体"/>
          <w:highlight w:val="none"/>
        </w:rPr>
      </w:pPr>
      <w:r>
        <w:rPr>
          <w:rFonts w:hint="eastAsia" w:ascii="宋体" w:hAnsi="宋体" w:cs="宋体"/>
          <w:highlight w:val="none"/>
        </w:rPr>
        <w:t>（二）不准在乙方和相关单位报销任何应由甲方或个人支付的费用。</w:t>
      </w:r>
    </w:p>
    <w:p>
      <w:pPr>
        <w:tabs>
          <w:tab w:val="left" w:pos="1995"/>
          <w:tab w:val="left" w:pos="2460"/>
        </w:tabs>
        <w:ind w:left="720"/>
        <w:rPr>
          <w:rFonts w:hint="eastAsia" w:ascii="宋体" w:hAnsi="宋体" w:cs="宋体"/>
          <w:highlight w:val="none"/>
        </w:rPr>
      </w:pPr>
      <w:r>
        <w:rPr>
          <w:rFonts w:hint="eastAsia" w:ascii="宋体" w:hAnsi="宋体" w:cs="宋体"/>
          <w:highlight w:val="none"/>
        </w:rPr>
        <w:t>（三）不准要求、暗示或接受乙方和相关单位为个人装修住房、婚丧嫁娶、配偶子女的工作安排以及出国（境）、旅游等提供方便。</w:t>
      </w:r>
    </w:p>
    <w:p>
      <w:pPr>
        <w:tabs>
          <w:tab w:val="left" w:pos="1995"/>
          <w:tab w:val="left" w:pos="2460"/>
        </w:tabs>
        <w:ind w:left="720"/>
        <w:rPr>
          <w:rFonts w:hint="eastAsia" w:ascii="宋体" w:hAnsi="宋体" w:cs="宋体"/>
          <w:highlight w:val="none"/>
        </w:rPr>
      </w:pPr>
      <w:r>
        <w:rPr>
          <w:rFonts w:hint="eastAsia" w:ascii="宋体" w:hAnsi="宋体" w:cs="宋体"/>
          <w:highlight w:val="none"/>
        </w:rPr>
        <w:t>（四）不准参加有可能影响公正执行公务的乙方和相关单位的宴请、健身、娱乐等活动。</w:t>
      </w:r>
    </w:p>
    <w:p>
      <w:pPr>
        <w:tabs>
          <w:tab w:val="left" w:pos="1995"/>
          <w:tab w:val="left" w:pos="2460"/>
        </w:tabs>
        <w:ind w:left="720"/>
        <w:rPr>
          <w:rFonts w:hint="eastAsia" w:ascii="宋体" w:hAnsi="宋体" w:cs="宋体"/>
          <w:highlight w:val="none"/>
        </w:rPr>
      </w:pPr>
      <w:r>
        <w:rPr>
          <w:rFonts w:hint="eastAsia" w:ascii="宋体" w:hAnsi="宋体" w:cs="宋体"/>
          <w:highlight w:val="none"/>
        </w:rPr>
        <w:t>（五）不准向乙方介绍或为配偶、子女、亲属参与同甲方项目工程有关的经济活动。</w:t>
      </w:r>
    </w:p>
    <w:p>
      <w:pPr>
        <w:ind w:left="720"/>
        <w:rPr>
          <w:rFonts w:hint="eastAsia" w:ascii="宋体" w:hAnsi="宋体" w:cs="宋体"/>
          <w:b/>
          <w:bCs/>
          <w:highlight w:val="none"/>
        </w:rPr>
      </w:pPr>
      <w:r>
        <w:rPr>
          <w:rFonts w:hint="eastAsia" w:ascii="宋体" w:hAnsi="宋体" w:cs="宋体"/>
          <w:b/>
          <w:bCs/>
          <w:highlight w:val="none"/>
        </w:rPr>
        <w:t>第三条  乙方的责任</w:t>
      </w:r>
    </w:p>
    <w:p>
      <w:pPr>
        <w:ind w:firstLine="480"/>
        <w:rPr>
          <w:rFonts w:hint="eastAsia" w:ascii="宋体" w:hAnsi="宋体" w:cs="宋体"/>
          <w:highlight w:val="none"/>
        </w:rPr>
      </w:pPr>
      <w:r>
        <w:rPr>
          <w:rFonts w:hint="eastAsia" w:ascii="宋体" w:hAnsi="宋体" w:cs="宋体"/>
          <w:highlight w:val="none"/>
        </w:rPr>
        <w:t>应与甲方保持正常的业务交往，按照有关法律法规和程序开展业务工作，严格执行工程建设的有关方针、政策，并遵守以下规定：</w:t>
      </w:r>
    </w:p>
    <w:p>
      <w:pPr>
        <w:tabs>
          <w:tab w:val="left" w:pos="1995"/>
          <w:tab w:val="left" w:pos="2460"/>
        </w:tabs>
        <w:ind w:left="720"/>
        <w:rPr>
          <w:rFonts w:hint="eastAsia" w:ascii="宋体" w:hAnsi="宋体" w:cs="宋体"/>
          <w:highlight w:val="none"/>
        </w:rPr>
      </w:pPr>
      <w:r>
        <w:rPr>
          <w:rFonts w:hint="eastAsia" w:ascii="宋体" w:hAnsi="宋体" w:cs="宋体"/>
          <w:highlight w:val="none"/>
        </w:rPr>
        <w:t>（一）不准以任何理由向甲方，相关单位及其工作人员索要、接受或赠送礼金、有价证券、贵重物品及回扣、好处费、感谢费等。</w:t>
      </w:r>
    </w:p>
    <w:p>
      <w:pPr>
        <w:tabs>
          <w:tab w:val="left" w:pos="1995"/>
          <w:tab w:val="left" w:pos="2460"/>
        </w:tabs>
        <w:ind w:left="720"/>
        <w:rPr>
          <w:rFonts w:hint="eastAsia" w:ascii="宋体" w:hAnsi="宋体" w:cs="宋体"/>
          <w:highlight w:val="none"/>
        </w:rPr>
      </w:pPr>
      <w:r>
        <w:rPr>
          <w:rFonts w:hint="eastAsia" w:ascii="宋体" w:hAnsi="宋体" w:cs="宋体"/>
          <w:highlight w:val="none"/>
        </w:rPr>
        <w:t>（二）不准以任何理由为甲方和相关单位报销应由对方或个人支付的费用。</w:t>
      </w:r>
    </w:p>
    <w:p>
      <w:pPr>
        <w:tabs>
          <w:tab w:val="left" w:pos="1995"/>
          <w:tab w:val="left" w:pos="2460"/>
        </w:tabs>
        <w:ind w:left="720"/>
        <w:rPr>
          <w:rFonts w:hint="eastAsia" w:ascii="宋体" w:hAnsi="宋体" w:cs="宋体"/>
          <w:highlight w:val="none"/>
        </w:rPr>
      </w:pPr>
      <w:r>
        <w:rPr>
          <w:rFonts w:hint="eastAsia" w:ascii="宋体" w:hAnsi="宋体" w:cs="宋体"/>
          <w:highlight w:val="none"/>
        </w:rPr>
        <w:t>（三）不准接受或暗示为甲方、相关单位或个人装修住房、婚丧嫁娶、配偶子女的工作安排以及出国（境）、旅游等提供方便。</w:t>
      </w:r>
    </w:p>
    <w:p>
      <w:pPr>
        <w:tabs>
          <w:tab w:val="left" w:pos="1995"/>
          <w:tab w:val="left" w:pos="2460"/>
        </w:tabs>
        <w:ind w:left="720"/>
        <w:rPr>
          <w:rFonts w:hint="eastAsia" w:ascii="宋体" w:hAnsi="宋体" w:cs="宋体"/>
          <w:highlight w:val="none"/>
        </w:rPr>
      </w:pPr>
      <w:r>
        <w:rPr>
          <w:rFonts w:hint="eastAsia" w:ascii="宋体" w:hAnsi="宋体" w:cs="宋体"/>
          <w:highlight w:val="none"/>
        </w:rPr>
        <w:t>（四）不准以任何理由为甲方、相关单位或个人组织有可能影响公正执行公务的宴请、健身、娱乐等活动。</w:t>
      </w:r>
    </w:p>
    <w:p>
      <w:pPr>
        <w:ind w:left="720"/>
        <w:rPr>
          <w:rFonts w:hint="eastAsia" w:ascii="宋体" w:hAnsi="宋体" w:cs="宋体"/>
          <w:b/>
          <w:bCs/>
          <w:highlight w:val="none"/>
        </w:rPr>
      </w:pPr>
      <w:r>
        <w:rPr>
          <w:rFonts w:hint="eastAsia" w:ascii="宋体" w:hAnsi="宋体" w:cs="宋体"/>
          <w:b/>
          <w:bCs/>
          <w:highlight w:val="none"/>
        </w:rPr>
        <w:t>第四条  违约责任</w:t>
      </w:r>
    </w:p>
    <w:p>
      <w:pPr>
        <w:tabs>
          <w:tab w:val="left" w:pos="1995"/>
          <w:tab w:val="left" w:pos="2460"/>
        </w:tabs>
        <w:ind w:left="720"/>
        <w:rPr>
          <w:rFonts w:hint="eastAsia" w:ascii="宋体" w:hAnsi="宋体" w:cs="宋体"/>
          <w:highlight w:val="none"/>
        </w:rPr>
      </w:pPr>
      <w:r>
        <w:rPr>
          <w:rFonts w:hint="eastAsia" w:ascii="宋体" w:hAnsi="宋体" w:cs="宋体"/>
          <w:highlight w:val="none"/>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pPr>
        <w:tabs>
          <w:tab w:val="left" w:pos="1995"/>
          <w:tab w:val="left" w:pos="2460"/>
        </w:tabs>
        <w:ind w:left="720"/>
        <w:rPr>
          <w:rFonts w:hint="eastAsia" w:ascii="宋体" w:hAnsi="宋体" w:cs="宋体"/>
          <w:highlight w:val="none"/>
        </w:rPr>
      </w:pPr>
      <w:r>
        <w:rPr>
          <w:rFonts w:hint="eastAsia" w:ascii="宋体" w:hAnsi="宋体" w:cs="宋体"/>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ind w:left="480"/>
        <w:rPr>
          <w:rFonts w:hint="eastAsia" w:ascii="宋体" w:hAnsi="宋体" w:cs="宋体"/>
          <w:b/>
          <w:bCs/>
          <w:highlight w:val="none"/>
        </w:rPr>
      </w:pPr>
      <w:r>
        <w:rPr>
          <w:rFonts w:hint="eastAsia" w:ascii="宋体" w:hAnsi="宋体" w:cs="宋体"/>
          <w:b/>
          <w:bCs/>
          <w:highlight w:val="none"/>
        </w:rPr>
        <w:t xml:space="preserve">  第五条  </w:t>
      </w:r>
      <w:r>
        <w:rPr>
          <w:rFonts w:hint="eastAsia" w:ascii="宋体" w:hAnsi="宋体" w:cs="宋体"/>
          <w:highlight w:val="none"/>
        </w:rPr>
        <w:t>本责任书作为设计合同的附件，与合同具有同等法律效力。经双方签署后立即生效。</w:t>
      </w:r>
    </w:p>
    <w:p>
      <w:pPr>
        <w:ind w:left="481" w:leftChars="229" w:firstLine="211" w:firstLineChars="100"/>
        <w:rPr>
          <w:rFonts w:hint="eastAsia" w:ascii="宋体" w:hAnsi="宋体" w:cs="宋体"/>
          <w:highlight w:val="none"/>
        </w:rPr>
      </w:pPr>
      <w:r>
        <w:rPr>
          <w:rFonts w:hint="eastAsia" w:ascii="宋体" w:hAnsi="宋体" w:cs="宋体"/>
          <w:b/>
          <w:bCs/>
          <w:highlight w:val="none"/>
        </w:rPr>
        <w:t xml:space="preserve">第六条  </w:t>
      </w:r>
      <w:r>
        <w:rPr>
          <w:rFonts w:hint="eastAsia" w:ascii="宋体" w:hAnsi="宋体" w:cs="宋体"/>
          <w:highlight w:val="none"/>
        </w:rPr>
        <w:t>本责任书的有效期为双方签署之日起至设计合同失效止。</w:t>
      </w:r>
    </w:p>
    <w:p>
      <w:pPr>
        <w:ind w:left="481" w:leftChars="229" w:firstLine="211" w:firstLineChars="100"/>
        <w:rPr>
          <w:rFonts w:hint="eastAsia" w:ascii="宋体" w:hAnsi="宋体" w:cs="宋体"/>
          <w:b/>
          <w:bCs/>
          <w:highlight w:val="none"/>
        </w:rPr>
      </w:pPr>
      <w:r>
        <w:rPr>
          <w:rFonts w:hint="eastAsia" w:ascii="宋体" w:hAnsi="宋体" w:cs="宋体"/>
          <w:b/>
          <w:bCs/>
          <w:highlight w:val="none"/>
        </w:rPr>
        <w:t xml:space="preserve">第七条  </w:t>
      </w:r>
      <w:r>
        <w:rPr>
          <w:rFonts w:hint="eastAsia" w:ascii="宋体" w:hAnsi="宋体" w:cs="宋体"/>
          <w:highlight w:val="none"/>
        </w:rPr>
        <w:t>本责任书一式十份，由甲乙双方各执四份，送交甲乙双方的监督单位各一份。</w:t>
      </w:r>
    </w:p>
    <w:p>
      <w:pPr>
        <w:ind w:left="420"/>
        <w:rPr>
          <w:rFonts w:hint="eastAsia" w:ascii="宋体" w:hAnsi="宋体" w:cs="宋体"/>
          <w:highlight w:val="none"/>
        </w:rPr>
      </w:pPr>
    </w:p>
    <w:p>
      <w:pPr>
        <w:spacing w:line="600" w:lineRule="auto"/>
        <w:ind w:firstLine="630" w:firstLineChars="300"/>
        <w:rPr>
          <w:rFonts w:hint="eastAsia" w:ascii="宋体" w:hAnsi="宋体" w:cs="宋体"/>
          <w:highlight w:val="none"/>
        </w:rPr>
      </w:pPr>
      <w:r>
        <w:rPr>
          <w:rFonts w:hint="eastAsia" w:ascii="宋体" w:hAnsi="宋体" w:cs="宋体"/>
          <w:highlight w:val="none"/>
        </w:rPr>
        <w:t>甲方单位：（盖章）             乙方单位：（盖章）</w:t>
      </w:r>
    </w:p>
    <w:p>
      <w:pPr>
        <w:spacing w:line="600" w:lineRule="auto"/>
        <w:ind w:firstLine="630" w:firstLineChars="300"/>
        <w:rPr>
          <w:rFonts w:hint="eastAsia" w:ascii="宋体" w:hAnsi="宋体" w:cs="宋体"/>
          <w:highlight w:val="none"/>
        </w:rPr>
      </w:pPr>
      <w:r>
        <w:rPr>
          <w:rFonts w:hint="eastAsia" w:ascii="宋体" w:hAnsi="宋体" w:cs="宋体"/>
          <w:highlight w:val="none"/>
        </w:rPr>
        <w:t>法定代表人：                 法定代表人：</w:t>
      </w:r>
    </w:p>
    <w:p>
      <w:pPr>
        <w:spacing w:line="600" w:lineRule="auto"/>
        <w:ind w:firstLine="630" w:firstLineChars="300"/>
        <w:rPr>
          <w:rFonts w:hint="eastAsia" w:ascii="宋体" w:hAnsi="宋体" w:cs="宋体"/>
          <w:highlight w:val="none"/>
        </w:rPr>
      </w:pPr>
      <w:r>
        <w:rPr>
          <w:rFonts w:hint="eastAsia" w:ascii="宋体" w:hAnsi="宋体" w:cs="宋体"/>
          <w:highlight w:val="none"/>
        </w:rPr>
        <w:t>授权代表：                    授权代表：</w:t>
      </w:r>
    </w:p>
    <w:p>
      <w:pPr>
        <w:spacing w:line="600" w:lineRule="auto"/>
        <w:ind w:firstLine="630" w:firstLineChars="300"/>
        <w:rPr>
          <w:rFonts w:hint="eastAsia" w:ascii="宋体" w:hAnsi="宋体" w:cs="宋体"/>
          <w:highlight w:val="none"/>
        </w:rPr>
      </w:pPr>
      <w:r>
        <w:rPr>
          <w:rFonts w:hint="eastAsia" w:ascii="宋体" w:hAnsi="宋体" w:cs="宋体"/>
          <w:highlight w:val="none"/>
        </w:rPr>
        <w:t>地址：                        地址：</w:t>
      </w:r>
    </w:p>
    <w:p>
      <w:pPr>
        <w:spacing w:line="600" w:lineRule="auto"/>
        <w:ind w:firstLine="630" w:firstLineChars="300"/>
        <w:rPr>
          <w:rFonts w:hint="eastAsia" w:ascii="宋体" w:hAnsi="宋体" w:cs="宋体"/>
          <w:highlight w:val="none"/>
        </w:rPr>
      </w:pPr>
      <w:r>
        <w:rPr>
          <w:rFonts w:hint="eastAsia" w:ascii="宋体" w:hAnsi="宋体" w:cs="宋体"/>
          <w:highlight w:val="none"/>
        </w:rPr>
        <w:t>电话：                        电话：</w:t>
      </w:r>
    </w:p>
    <w:p>
      <w:pPr>
        <w:spacing w:line="600" w:lineRule="auto"/>
        <w:ind w:firstLine="1050" w:firstLineChars="500"/>
        <w:rPr>
          <w:rFonts w:hint="eastAsia" w:ascii="宋体" w:hAnsi="宋体" w:cs="宋体"/>
          <w:highlight w:val="none"/>
        </w:rPr>
      </w:pPr>
      <w:r>
        <w:rPr>
          <w:rFonts w:hint="eastAsia" w:ascii="宋体" w:hAnsi="宋体" w:cs="宋体"/>
          <w:highlight w:val="none"/>
        </w:rPr>
        <w:t>年   月   日                  年   月   日</w:t>
      </w:r>
    </w:p>
    <w:p>
      <w:pPr>
        <w:pStyle w:val="13"/>
        <w:spacing w:line="380" w:lineRule="exact"/>
        <w:ind w:left="565" w:firstLine="5040" w:firstLineChars="0"/>
        <w:rPr>
          <w:rFonts w:hint="eastAsia" w:hAnsi="宋体" w:cs="宋体"/>
          <w:b/>
          <w:bCs/>
          <w:sz w:val="32"/>
          <w:szCs w:val="32"/>
          <w:highlight w:val="none"/>
        </w:rPr>
      </w:pPr>
    </w:p>
    <w:p>
      <w:pPr>
        <w:pStyle w:val="13"/>
        <w:spacing w:line="380" w:lineRule="exact"/>
        <w:ind w:firstLine="5040" w:firstLineChars="0"/>
        <w:rPr>
          <w:rFonts w:hint="eastAsia" w:hAnsi="宋体" w:cs="宋体"/>
          <w:b/>
          <w:bCs/>
          <w:sz w:val="32"/>
          <w:szCs w:val="32"/>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cs="宋体"/>
          <w:highlight w:val="none"/>
        </w:rPr>
      </w:pPr>
      <w:bookmarkStart w:id="77" w:name="_Toc30687"/>
      <w:r>
        <w:rPr>
          <w:rFonts w:cs="宋体"/>
          <w:highlight w:val="none"/>
        </w:rPr>
        <w:br w:type="page"/>
      </w:r>
    </w:p>
    <w:p>
      <w:pPr>
        <w:pStyle w:val="3"/>
        <w:rPr>
          <w:rFonts w:cs="宋体"/>
          <w:highlight w:val="none"/>
        </w:rPr>
      </w:pPr>
      <w:r>
        <w:rPr>
          <w:rFonts w:cs="宋体"/>
          <w:highlight w:val="none"/>
        </w:rPr>
        <w:t>第四章  设计任务书及前期资料</w:t>
      </w:r>
      <w:bookmarkEnd w:id="77"/>
    </w:p>
    <w:p>
      <w:pPr>
        <w:spacing w:line="480" w:lineRule="auto"/>
        <w:ind w:firstLine="800"/>
        <w:jc w:val="center"/>
        <w:rPr>
          <w:rFonts w:hint="eastAsia" w:ascii="宋体" w:hAnsi="宋体" w:cs="宋体"/>
          <w:sz w:val="40"/>
          <w:szCs w:val="40"/>
          <w:highlight w:val="none"/>
        </w:rPr>
      </w:pPr>
    </w:p>
    <w:p>
      <w:pPr>
        <w:jc w:val="center"/>
        <w:rPr>
          <w:rFonts w:ascii="宋体" w:hAnsi="宋体"/>
          <w:b/>
          <w:bCs/>
          <w:sz w:val="32"/>
          <w:szCs w:val="36"/>
          <w:highlight w:val="none"/>
        </w:rPr>
      </w:pPr>
      <w:r>
        <w:rPr>
          <w:rFonts w:hint="eastAsia" w:ascii="宋体" w:hAnsi="宋体"/>
          <w:b/>
          <w:bCs/>
          <w:sz w:val="32"/>
          <w:szCs w:val="36"/>
          <w:highlight w:val="none"/>
        </w:rPr>
        <w:t>设计任务书</w:t>
      </w:r>
    </w:p>
    <w:p>
      <w:pPr>
        <w:pStyle w:val="56"/>
        <w:numPr>
          <w:ilvl w:val="0"/>
          <w:numId w:val="7"/>
        </w:numPr>
        <w:spacing w:line="360" w:lineRule="auto"/>
        <w:ind w:firstLineChars="0"/>
        <w:jc w:val="left"/>
        <w:rPr>
          <w:rFonts w:ascii="宋体" w:hAnsi="宋体"/>
          <w:b/>
          <w:bCs/>
          <w:sz w:val="24"/>
          <w:szCs w:val="28"/>
          <w:highlight w:val="none"/>
        </w:rPr>
      </w:pPr>
      <w:r>
        <w:rPr>
          <w:rFonts w:hint="eastAsia" w:ascii="宋体" w:hAnsi="宋体"/>
          <w:b/>
          <w:bCs/>
          <w:sz w:val="24"/>
          <w:szCs w:val="28"/>
          <w:highlight w:val="none"/>
        </w:rPr>
        <w:t>项目背景</w:t>
      </w:r>
    </w:p>
    <w:p>
      <w:pPr>
        <w:snapToGrid w:val="0"/>
        <w:spacing w:line="360" w:lineRule="auto"/>
        <w:ind w:firstLine="480" w:firstLineChars="200"/>
        <w:rPr>
          <w:rFonts w:ascii="宋体" w:hAnsi="宋体"/>
          <w:sz w:val="24"/>
          <w:highlight w:val="none"/>
        </w:rPr>
      </w:pPr>
      <w:r>
        <w:rPr>
          <w:rFonts w:hint="eastAsia" w:ascii="宋体" w:hAnsi="宋体"/>
          <w:sz w:val="24"/>
          <w:highlight w:val="none"/>
        </w:rPr>
        <w:t>2022年10月，取得广州市海珠区发展和改革局关于海珠湿地生态保护和基础设施建设项目立项的复函（海发改函[2022]77号）。</w:t>
      </w:r>
    </w:p>
    <w:p>
      <w:pPr>
        <w:snapToGrid w:val="0"/>
        <w:spacing w:line="360" w:lineRule="auto"/>
        <w:ind w:firstLine="480" w:firstLineChars="200"/>
        <w:rPr>
          <w:rFonts w:ascii="宋体" w:hAnsi="宋体"/>
          <w:sz w:val="24"/>
          <w:highlight w:val="none"/>
        </w:rPr>
      </w:pPr>
      <w:r>
        <w:rPr>
          <w:rFonts w:hint="eastAsia" w:ascii="宋体" w:hAnsi="宋体"/>
          <w:sz w:val="24"/>
          <w:highlight w:val="none"/>
        </w:rPr>
        <w:t>2023年7月，完成海珠湿地生态保护和基础设施建设项目建议书立项批复，总投资8854.51万元，资金来源为区财政资金。</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2023年6月至今，开展海珠湿地生态保护和基础设施建设可行性研究报告、社会稳定风险评估报告等编制工作。</w:t>
      </w:r>
    </w:p>
    <w:p>
      <w:pPr>
        <w:pStyle w:val="56"/>
        <w:numPr>
          <w:ilvl w:val="0"/>
          <w:numId w:val="7"/>
        </w:numPr>
        <w:spacing w:line="360" w:lineRule="auto"/>
        <w:ind w:firstLineChars="0"/>
        <w:jc w:val="left"/>
        <w:rPr>
          <w:rFonts w:ascii="宋体" w:hAnsi="宋体"/>
          <w:b/>
          <w:bCs/>
          <w:sz w:val="24"/>
          <w:szCs w:val="28"/>
          <w:highlight w:val="none"/>
        </w:rPr>
      </w:pPr>
      <w:r>
        <w:rPr>
          <w:rFonts w:hint="eastAsia" w:ascii="宋体" w:hAnsi="宋体"/>
          <w:b/>
          <w:bCs/>
          <w:sz w:val="24"/>
          <w:szCs w:val="28"/>
          <w:highlight w:val="none"/>
        </w:rPr>
        <w:t>项目概况</w:t>
      </w:r>
    </w:p>
    <w:p>
      <w:pPr>
        <w:pStyle w:val="15"/>
        <w:adjustRightInd w:val="0"/>
        <w:snapToGrid w:val="0"/>
        <w:spacing w:line="360" w:lineRule="auto"/>
        <w:ind w:firstLine="480" w:firstLineChars="200"/>
        <w:rPr>
          <w:rFonts w:hAnsi="宋体"/>
          <w:color w:val="000000"/>
          <w:sz w:val="24"/>
          <w:highlight w:val="none"/>
        </w:rPr>
      </w:pPr>
      <w:r>
        <w:rPr>
          <w:rFonts w:hAnsi="宋体"/>
          <w:color w:val="000000"/>
          <w:sz w:val="24"/>
          <w:highlight w:val="none"/>
        </w:rPr>
        <w:t>项目名称：海珠湿地生态保护和基础设施建设项目</w:t>
      </w:r>
    </w:p>
    <w:p>
      <w:pPr>
        <w:pStyle w:val="15"/>
        <w:adjustRightInd w:val="0"/>
        <w:snapToGrid w:val="0"/>
        <w:spacing w:line="360" w:lineRule="auto"/>
        <w:ind w:firstLine="480" w:firstLineChars="200"/>
        <w:rPr>
          <w:rFonts w:hAnsi="宋体"/>
          <w:color w:val="000000"/>
          <w:sz w:val="24"/>
          <w:highlight w:val="none"/>
        </w:rPr>
      </w:pPr>
      <w:r>
        <w:rPr>
          <w:rFonts w:hAnsi="宋体"/>
          <w:color w:val="000000"/>
          <w:sz w:val="24"/>
          <w:highlight w:val="none"/>
        </w:rPr>
        <w:t>建设管理单位：广州市海珠区湿地保护管理办公室</w:t>
      </w:r>
    </w:p>
    <w:p>
      <w:pPr>
        <w:pStyle w:val="15"/>
        <w:adjustRightInd w:val="0"/>
        <w:snapToGrid w:val="0"/>
        <w:spacing w:line="360" w:lineRule="auto"/>
        <w:ind w:firstLine="480" w:firstLineChars="200"/>
        <w:rPr>
          <w:rFonts w:hAnsi="宋体"/>
          <w:color w:val="000000"/>
          <w:sz w:val="24"/>
          <w:highlight w:val="none"/>
        </w:rPr>
      </w:pPr>
      <w:r>
        <w:rPr>
          <w:rFonts w:hAnsi="宋体"/>
          <w:color w:val="000000"/>
          <w:sz w:val="24"/>
          <w:highlight w:val="none"/>
        </w:rPr>
        <w:t>使用单位：广州市海珠区湿地保护管理办公室</w:t>
      </w:r>
    </w:p>
    <w:p>
      <w:pPr>
        <w:pStyle w:val="15"/>
        <w:adjustRightInd w:val="0"/>
        <w:snapToGrid w:val="0"/>
        <w:spacing w:line="360" w:lineRule="auto"/>
        <w:ind w:firstLine="480" w:firstLineChars="200"/>
        <w:rPr>
          <w:rFonts w:hAnsi="宋体"/>
          <w:color w:val="000000"/>
          <w:sz w:val="24"/>
          <w:highlight w:val="none"/>
        </w:rPr>
      </w:pPr>
      <w:r>
        <w:rPr>
          <w:rFonts w:hAnsi="宋体"/>
          <w:color w:val="000000"/>
          <w:sz w:val="24"/>
          <w:highlight w:val="none"/>
        </w:rPr>
        <w:t>编制单位：广州市城市规划勘测设计研究院</w:t>
      </w:r>
    </w:p>
    <w:p>
      <w:pPr>
        <w:pStyle w:val="15"/>
        <w:adjustRightInd w:val="0"/>
        <w:snapToGrid w:val="0"/>
        <w:spacing w:line="360" w:lineRule="auto"/>
        <w:ind w:firstLine="480" w:firstLineChars="200"/>
        <w:rPr>
          <w:rFonts w:hAnsi="宋体"/>
          <w:color w:val="000000"/>
          <w:sz w:val="24"/>
          <w:highlight w:val="none"/>
        </w:rPr>
      </w:pPr>
      <w:r>
        <w:rPr>
          <w:rFonts w:hAnsi="宋体"/>
          <w:color w:val="000000"/>
          <w:sz w:val="24"/>
          <w:highlight w:val="none"/>
        </w:rPr>
        <w:t>投资性质：政府投资项目</w:t>
      </w:r>
    </w:p>
    <w:p>
      <w:pPr>
        <w:pStyle w:val="15"/>
        <w:adjustRightInd w:val="0"/>
        <w:snapToGrid w:val="0"/>
        <w:spacing w:line="360" w:lineRule="auto"/>
        <w:ind w:firstLine="480" w:firstLineChars="200"/>
        <w:rPr>
          <w:rFonts w:hint="eastAsia" w:hAnsi="宋体"/>
          <w:color w:val="000000"/>
          <w:sz w:val="24"/>
          <w:highlight w:val="none"/>
        </w:rPr>
      </w:pPr>
      <w:r>
        <w:rPr>
          <w:rFonts w:hint="eastAsia" w:hAnsi="宋体"/>
          <w:color w:val="000000"/>
          <w:sz w:val="24"/>
          <w:highlight w:val="none"/>
        </w:rPr>
        <w:t>项目总投资：项目总投资</w:t>
      </w:r>
      <w:r>
        <w:rPr>
          <w:rFonts w:hAnsi="宋体"/>
          <w:color w:val="000000"/>
          <w:sz w:val="24"/>
          <w:highlight w:val="none"/>
        </w:rPr>
        <w:t>8854.51万元</w:t>
      </w:r>
      <w:r>
        <w:rPr>
          <w:rFonts w:hint="eastAsia" w:hAnsi="宋体"/>
          <w:color w:val="000000"/>
          <w:sz w:val="24"/>
          <w:highlight w:val="none"/>
        </w:rPr>
        <w:t>，其中建安工程费</w:t>
      </w:r>
      <w:r>
        <w:rPr>
          <w:rFonts w:hAnsi="宋体"/>
          <w:color w:val="000000"/>
          <w:sz w:val="24"/>
          <w:highlight w:val="none"/>
        </w:rPr>
        <w:t>7415.38</w:t>
      </w:r>
      <w:r>
        <w:rPr>
          <w:rFonts w:hint="eastAsia" w:hAnsi="宋体"/>
          <w:color w:val="000000"/>
          <w:sz w:val="24"/>
          <w:highlight w:val="none"/>
        </w:rPr>
        <w:t>万元。</w:t>
      </w:r>
    </w:p>
    <w:p>
      <w:pPr>
        <w:pStyle w:val="15"/>
        <w:adjustRightInd w:val="0"/>
        <w:snapToGrid w:val="0"/>
        <w:spacing w:line="360" w:lineRule="auto"/>
        <w:ind w:firstLine="480" w:firstLineChars="200"/>
        <w:rPr>
          <w:rFonts w:hAnsi="宋体"/>
          <w:color w:val="000000"/>
          <w:sz w:val="24"/>
          <w:highlight w:val="none"/>
        </w:rPr>
      </w:pPr>
      <w:r>
        <w:rPr>
          <w:rFonts w:hint="eastAsia" w:hAnsi="宋体"/>
          <w:color w:val="000000"/>
          <w:sz w:val="24"/>
          <w:highlight w:val="none"/>
        </w:rPr>
        <w:t>项目建设范围：海珠湿地公园总用地面积约1100公顷，周界总长约66公里。本次海珠湿地生态保护和基础设施建设项目（以下简称“本项目”）位于广州市海珠区新滘中路168号海珠湿地西北侧。本项目范围为海珠湖及</w:t>
      </w:r>
      <w:r>
        <w:rPr>
          <w:rFonts w:hAnsi="宋体"/>
          <w:color w:val="000000"/>
          <w:sz w:val="24"/>
          <w:highlight w:val="none"/>
        </w:rPr>
        <w:t>石榴岗河</w:t>
      </w:r>
      <w:r>
        <w:rPr>
          <w:rFonts w:hint="eastAsia" w:hAnsi="宋体"/>
          <w:color w:val="000000"/>
          <w:sz w:val="24"/>
          <w:highlight w:val="none"/>
        </w:rPr>
        <w:t xml:space="preserve">两岸区域。 </w:t>
      </w:r>
    </w:p>
    <w:p>
      <w:pPr>
        <w:pStyle w:val="56"/>
        <w:numPr>
          <w:ilvl w:val="0"/>
          <w:numId w:val="7"/>
        </w:numPr>
        <w:spacing w:line="360" w:lineRule="auto"/>
        <w:ind w:firstLineChars="0"/>
        <w:jc w:val="left"/>
        <w:rPr>
          <w:rFonts w:ascii="宋体" w:hAnsi="宋体"/>
          <w:b/>
          <w:bCs/>
          <w:sz w:val="24"/>
          <w:szCs w:val="28"/>
          <w:highlight w:val="none"/>
        </w:rPr>
      </w:pPr>
      <w:r>
        <w:rPr>
          <w:rFonts w:hint="eastAsia" w:ascii="宋体" w:hAnsi="宋体"/>
          <w:b/>
          <w:bCs/>
          <w:sz w:val="24"/>
          <w:szCs w:val="28"/>
          <w:highlight w:val="none"/>
        </w:rPr>
        <w:t>工作目标</w:t>
      </w:r>
    </w:p>
    <w:p>
      <w:pPr>
        <w:pStyle w:val="15"/>
        <w:adjustRightInd w:val="0"/>
        <w:snapToGrid w:val="0"/>
        <w:spacing w:line="360" w:lineRule="auto"/>
        <w:ind w:firstLine="480" w:firstLineChars="200"/>
        <w:rPr>
          <w:rFonts w:hint="eastAsia" w:hAnsi="宋体"/>
          <w:color w:val="000000"/>
          <w:sz w:val="24"/>
          <w:highlight w:val="none"/>
        </w:rPr>
      </w:pPr>
      <w:bookmarkStart w:id="78" w:name="_Hlk141171455"/>
      <w:r>
        <w:rPr>
          <w:rFonts w:hAnsi="宋体"/>
          <w:color w:val="000000"/>
          <w:sz w:val="24"/>
          <w:highlight w:val="none"/>
        </w:rPr>
        <w:t>本次</w:t>
      </w:r>
      <w:r>
        <w:rPr>
          <w:rFonts w:hAnsi="宋体"/>
          <w:sz w:val="24"/>
          <w:highlight w:val="none"/>
        </w:rPr>
        <w:t>建设任务主要是针对基础工程改造，包含“基础设施修复、门面改造建设工程及生态修复工程”三大专项内容。该三大专项内容位于石榴岗河两岸和海珠湖，本次改造工作是为实现海珠湿地的长期建设目标打好坚实基础</w:t>
      </w:r>
      <w:r>
        <w:rPr>
          <w:rFonts w:hAnsi="宋体"/>
          <w:color w:val="000000"/>
          <w:sz w:val="24"/>
          <w:highlight w:val="none"/>
        </w:rPr>
        <w:t>。</w:t>
      </w:r>
      <w:bookmarkEnd w:id="78"/>
    </w:p>
    <w:p>
      <w:pPr>
        <w:pStyle w:val="56"/>
        <w:numPr>
          <w:ilvl w:val="0"/>
          <w:numId w:val="7"/>
        </w:numPr>
        <w:spacing w:line="360" w:lineRule="auto"/>
        <w:ind w:firstLineChars="0"/>
        <w:jc w:val="left"/>
        <w:rPr>
          <w:rFonts w:ascii="宋体" w:hAnsi="宋体"/>
          <w:b/>
          <w:bCs/>
          <w:sz w:val="24"/>
          <w:szCs w:val="28"/>
          <w:highlight w:val="none"/>
        </w:rPr>
      </w:pPr>
      <w:r>
        <w:rPr>
          <w:rFonts w:hint="eastAsia" w:ascii="宋体" w:hAnsi="宋体"/>
          <w:b/>
          <w:bCs/>
          <w:sz w:val="24"/>
          <w:szCs w:val="28"/>
          <w:highlight w:val="none"/>
        </w:rPr>
        <w:t>主要工作内容</w:t>
      </w:r>
    </w:p>
    <w:p>
      <w:pPr>
        <w:adjustRightInd w:val="0"/>
        <w:snapToGrid w:val="0"/>
        <w:spacing w:line="360" w:lineRule="auto"/>
        <w:ind w:firstLine="480" w:firstLineChars="200"/>
        <w:rPr>
          <w:rFonts w:hAnsi="宋体"/>
          <w:color w:val="000000"/>
          <w:sz w:val="24"/>
          <w:highlight w:val="none"/>
        </w:rPr>
      </w:pPr>
      <w:r>
        <w:rPr>
          <w:rFonts w:ascii="宋体" w:hAnsi="宋体"/>
          <w:color w:val="000000"/>
          <w:sz w:val="24"/>
          <w:highlight w:val="none"/>
        </w:rPr>
        <w:t>本次</w:t>
      </w:r>
      <w:r>
        <w:rPr>
          <w:rFonts w:hint="eastAsia" w:ascii="宋体" w:hAnsi="宋体"/>
          <w:color w:val="000000"/>
          <w:sz w:val="24"/>
          <w:highlight w:val="none"/>
        </w:rPr>
        <w:t>景观工程</w:t>
      </w:r>
      <w:r>
        <w:rPr>
          <w:rFonts w:ascii="宋体" w:hAnsi="宋体"/>
          <w:sz w:val="24"/>
          <w:highlight w:val="none"/>
        </w:rPr>
        <w:t>建设内容主要针对基础工程进行</w:t>
      </w:r>
      <w:r>
        <w:rPr>
          <w:rFonts w:hint="eastAsia" w:ascii="宋体" w:hAnsi="宋体"/>
          <w:sz w:val="24"/>
          <w:highlight w:val="none"/>
        </w:rPr>
        <w:t>改造</w:t>
      </w:r>
      <w:r>
        <w:rPr>
          <w:rFonts w:ascii="宋体" w:hAnsi="宋体"/>
          <w:sz w:val="24"/>
          <w:highlight w:val="none"/>
        </w:rPr>
        <w:t>，包含“基础设施修复、门面</w:t>
      </w:r>
      <w:r>
        <w:rPr>
          <w:rFonts w:hint="eastAsia" w:ascii="宋体" w:hAnsi="宋体"/>
          <w:sz w:val="24"/>
          <w:highlight w:val="none"/>
        </w:rPr>
        <w:t>改造</w:t>
      </w:r>
      <w:r>
        <w:rPr>
          <w:rFonts w:ascii="宋体" w:hAnsi="宋体"/>
          <w:sz w:val="24"/>
          <w:highlight w:val="none"/>
        </w:rPr>
        <w:t>建设工程及生态</w:t>
      </w:r>
      <w:r>
        <w:rPr>
          <w:rFonts w:hint="eastAsia" w:ascii="宋体" w:hAnsi="宋体"/>
          <w:sz w:val="24"/>
          <w:highlight w:val="none"/>
        </w:rPr>
        <w:t>修复</w:t>
      </w:r>
      <w:r>
        <w:rPr>
          <w:rFonts w:ascii="宋体" w:hAnsi="宋体"/>
          <w:sz w:val="24"/>
          <w:highlight w:val="none"/>
        </w:rPr>
        <w:t>工程”三大专项内容。该三大专项内容主要位于石榴岗河两岸</w:t>
      </w:r>
      <w:r>
        <w:rPr>
          <w:rFonts w:hint="eastAsia" w:ascii="宋体" w:hAnsi="宋体"/>
          <w:sz w:val="24"/>
          <w:highlight w:val="none"/>
        </w:rPr>
        <w:t>和海珠湖内。其中</w:t>
      </w:r>
      <w:r>
        <w:rPr>
          <w:rFonts w:ascii="宋体" w:hAnsi="宋体"/>
          <w:sz w:val="24"/>
          <w:highlight w:val="none"/>
        </w:rPr>
        <w:t>基础设施修复</w:t>
      </w:r>
      <w:r>
        <w:rPr>
          <w:rFonts w:hint="eastAsia" w:ascii="宋体" w:hAnsi="宋体"/>
          <w:sz w:val="24"/>
          <w:highlight w:val="none"/>
        </w:rPr>
        <w:t>主要包括</w:t>
      </w:r>
      <w:r>
        <w:rPr>
          <w:rFonts w:hint="eastAsia" w:hAnsi="宋体"/>
          <w:color w:val="000000"/>
          <w:sz w:val="24"/>
          <w:highlight w:val="none"/>
        </w:rPr>
        <w:t>海珠湖木栈道及木平台改造、湿地一期木栈道改造、平台建设及修复、林间小径、湿地桥梁修复、廊架建设与修复及服务驿站等</w:t>
      </w:r>
      <w:r>
        <w:rPr>
          <w:rFonts w:hint="eastAsia" w:ascii="宋体" w:hAnsi="宋体"/>
          <w:sz w:val="24"/>
          <w:highlight w:val="none"/>
        </w:rPr>
        <w:t>，</w:t>
      </w:r>
      <w:r>
        <w:rPr>
          <w:rFonts w:hAnsi="宋体"/>
          <w:color w:val="000000"/>
          <w:sz w:val="24"/>
          <w:highlight w:val="none"/>
        </w:rPr>
        <w:t xml:space="preserve"> </w:t>
      </w:r>
      <w:r>
        <w:rPr>
          <w:rFonts w:ascii="宋体" w:hAnsi="宋体"/>
          <w:sz w:val="24"/>
          <w:highlight w:val="none"/>
        </w:rPr>
        <w:t>门面</w:t>
      </w:r>
      <w:r>
        <w:rPr>
          <w:rFonts w:hint="eastAsia" w:ascii="宋体" w:hAnsi="宋体"/>
          <w:sz w:val="24"/>
          <w:highlight w:val="none"/>
        </w:rPr>
        <w:t>改造</w:t>
      </w:r>
      <w:r>
        <w:rPr>
          <w:rFonts w:ascii="宋体" w:hAnsi="宋体"/>
          <w:sz w:val="24"/>
          <w:highlight w:val="none"/>
        </w:rPr>
        <w:t>建设工程</w:t>
      </w:r>
      <w:r>
        <w:rPr>
          <w:rFonts w:hint="eastAsia" w:ascii="宋体" w:hAnsi="宋体"/>
          <w:sz w:val="24"/>
          <w:highlight w:val="none"/>
        </w:rPr>
        <w:t>主要包括</w:t>
      </w:r>
      <w:r>
        <w:rPr>
          <w:rFonts w:hint="eastAsia" w:hAnsi="宋体"/>
          <w:color w:val="000000"/>
          <w:sz w:val="24"/>
          <w:highlight w:val="none"/>
        </w:rPr>
        <w:t>新光快速桥底门岗、土华涌西侧水闸门岗、一期小东门、华泰路东门及华泰路西门等</w:t>
      </w:r>
      <w:r>
        <w:rPr>
          <w:rFonts w:hint="eastAsia" w:ascii="宋体" w:hAnsi="宋体"/>
          <w:sz w:val="24"/>
          <w:highlight w:val="none"/>
        </w:rPr>
        <w:t>，</w:t>
      </w:r>
      <w:r>
        <w:rPr>
          <w:rFonts w:hint="eastAsia" w:hAnsi="宋体"/>
          <w:color w:val="000000"/>
          <w:sz w:val="24"/>
          <w:highlight w:val="none"/>
        </w:rPr>
        <w:t>生态修复工程主要分为水生态修复工程和植被修复工程两项。水生态修复工程对一期中心湖、花溪目前水质问题提出相应的改善措施，同时对一期石榴岗河北岸水体进行生态修复，丰富水体生境；植被修复工程主要针对改造节点的周边绿化进行修复。</w:t>
      </w:r>
    </w:p>
    <w:p>
      <w:pPr>
        <w:pStyle w:val="56"/>
        <w:numPr>
          <w:ilvl w:val="0"/>
          <w:numId w:val="7"/>
        </w:numPr>
        <w:spacing w:line="360" w:lineRule="auto"/>
        <w:ind w:firstLineChars="0"/>
        <w:jc w:val="left"/>
        <w:rPr>
          <w:rFonts w:ascii="宋体" w:hAnsi="宋体"/>
          <w:b/>
          <w:bCs/>
          <w:sz w:val="24"/>
          <w:szCs w:val="28"/>
          <w:highlight w:val="none"/>
        </w:rPr>
      </w:pPr>
      <w:r>
        <w:rPr>
          <w:rFonts w:hint="eastAsia" w:ascii="宋体" w:hAnsi="宋体"/>
          <w:b/>
          <w:bCs/>
          <w:sz w:val="24"/>
          <w:szCs w:val="28"/>
          <w:highlight w:val="none"/>
        </w:rPr>
        <w:t>成果要求</w:t>
      </w:r>
    </w:p>
    <w:p>
      <w:pPr>
        <w:spacing w:line="360" w:lineRule="auto"/>
        <w:ind w:firstLine="480" w:firstLineChars="200"/>
        <w:jc w:val="left"/>
        <w:rPr>
          <w:rFonts w:ascii="宋体" w:hAnsi="宋体"/>
          <w:sz w:val="24"/>
          <w:highlight w:val="none"/>
        </w:rPr>
      </w:pPr>
      <w:r>
        <w:rPr>
          <w:rFonts w:hint="eastAsia" w:ascii="宋体" w:hAnsi="宋体"/>
          <w:sz w:val="24"/>
          <w:highlight w:val="none"/>
        </w:rPr>
        <w:t>设计成果文件要求齐全、完整，内容、深度应符合规定，文字说明、图纸要准确清晰，各阶段设计应达到市政、建筑、</w:t>
      </w:r>
      <w:r>
        <w:rPr>
          <w:rFonts w:ascii="宋体" w:hAnsi="宋体"/>
          <w:sz w:val="24"/>
          <w:highlight w:val="none"/>
        </w:rPr>
        <w:t xml:space="preserve"> 园林景观行业规范要求的设计阶段深度。</w:t>
      </w:r>
      <w:r>
        <w:rPr>
          <w:rFonts w:hint="eastAsia" w:ascii="宋体" w:hAnsi="宋体"/>
          <w:sz w:val="24"/>
          <w:highlight w:val="none"/>
        </w:rPr>
        <w:t>包括方案设计、初步设计、施工图设计等</w:t>
      </w:r>
      <w:r>
        <w:rPr>
          <w:rFonts w:ascii="宋体" w:hAnsi="宋体"/>
          <w:sz w:val="24"/>
          <w:highlight w:val="none"/>
        </w:rPr>
        <w:t>3个阶段，各阶段成果内容应包括但不限于以下内容：</w:t>
      </w:r>
    </w:p>
    <w:p>
      <w:pPr>
        <w:spacing w:line="360" w:lineRule="auto"/>
        <w:jc w:val="left"/>
        <w:rPr>
          <w:rFonts w:ascii="宋体" w:hAnsi="宋体"/>
          <w:sz w:val="24"/>
          <w:highlight w:val="none"/>
        </w:rPr>
      </w:pPr>
      <w:r>
        <w:rPr>
          <w:rFonts w:ascii="宋体" w:hAnsi="宋体"/>
          <w:sz w:val="24"/>
          <w:highlight w:val="none"/>
        </w:rPr>
        <w:t>1.方案设计阶段</w:t>
      </w:r>
      <w:r>
        <w:rPr>
          <w:rFonts w:hint="eastAsia" w:ascii="宋体" w:hAnsi="宋体"/>
          <w:sz w:val="24"/>
          <w:highlight w:val="none"/>
        </w:rPr>
        <w:t>：</w:t>
      </w:r>
    </w:p>
    <w:p>
      <w:pPr>
        <w:spacing w:line="360" w:lineRule="auto"/>
        <w:jc w:val="left"/>
        <w:rPr>
          <w:rFonts w:ascii="宋体" w:hAnsi="宋体"/>
          <w:sz w:val="24"/>
          <w:highlight w:val="none"/>
        </w:rPr>
      </w:pPr>
      <w:r>
        <w:rPr>
          <w:rFonts w:ascii="宋体" w:hAnsi="宋体"/>
          <w:sz w:val="24"/>
          <w:highlight w:val="none"/>
        </w:rPr>
        <w:t>(1）封面</w:t>
      </w:r>
      <w:r>
        <w:rPr>
          <w:rFonts w:hint="eastAsia" w:ascii="宋体" w:hAnsi="宋体"/>
          <w:sz w:val="24"/>
          <w:highlight w:val="none"/>
        </w:rPr>
        <w:t>；</w:t>
      </w:r>
    </w:p>
    <w:p>
      <w:pPr>
        <w:spacing w:line="360" w:lineRule="auto"/>
        <w:jc w:val="left"/>
        <w:rPr>
          <w:rFonts w:hint="eastAsia" w:ascii="宋体" w:hAnsi="宋体"/>
          <w:sz w:val="24"/>
          <w:highlight w:val="none"/>
        </w:rPr>
      </w:pPr>
      <w:r>
        <w:rPr>
          <w:rFonts w:ascii="宋体" w:hAnsi="宋体"/>
          <w:sz w:val="24"/>
          <w:highlight w:val="none"/>
        </w:rPr>
        <w:t>(2）方案设计文件目录</w:t>
      </w:r>
      <w:r>
        <w:rPr>
          <w:rFonts w:hint="eastAsia" w:ascii="宋体" w:hAnsi="宋体"/>
          <w:sz w:val="24"/>
          <w:highlight w:val="none"/>
        </w:rPr>
        <w:t>；</w:t>
      </w:r>
    </w:p>
    <w:p>
      <w:pPr>
        <w:spacing w:line="360" w:lineRule="auto"/>
        <w:jc w:val="left"/>
        <w:rPr>
          <w:rFonts w:ascii="宋体" w:hAnsi="宋体"/>
          <w:sz w:val="24"/>
          <w:highlight w:val="none"/>
        </w:rPr>
      </w:pPr>
      <w:r>
        <w:rPr>
          <w:rFonts w:ascii="宋体" w:hAnsi="宋体"/>
          <w:sz w:val="24"/>
          <w:highlight w:val="none"/>
        </w:rPr>
        <w:t>(3）项目背景、设计概况、设计理念等；</w:t>
      </w:r>
    </w:p>
    <w:p>
      <w:pPr>
        <w:spacing w:line="360" w:lineRule="auto"/>
        <w:jc w:val="left"/>
        <w:rPr>
          <w:rFonts w:ascii="宋体" w:hAnsi="宋体"/>
          <w:sz w:val="24"/>
          <w:highlight w:val="none"/>
        </w:rPr>
      </w:pPr>
      <w:r>
        <w:rPr>
          <w:rFonts w:ascii="宋体" w:hAnsi="宋体"/>
          <w:sz w:val="24"/>
          <w:highlight w:val="none"/>
        </w:rPr>
        <w:t>(4）设计内容</w:t>
      </w:r>
      <w:r>
        <w:rPr>
          <w:rFonts w:hint="eastAsia" w:ascii="宋体" w:hAnsi="宋体"/>
          <w:sz w:val="24"/>
          <w:highlight w:val="none"/>
        </w:rPr>
        <w:t>；</w:t>
      </w:r>
    </w:p>
    <w:p>
      <w:pPr>
        <w:spacing w:line="360" w:lineRule="auto"/>
        <w:jc w:val="left"/>
        <w:rPr>
          <w:rFonts w:ascii="宋体" w:hAnsi="宋体"/>
          <w:sz w:val="24"/>
          <w:highlight w:val="none"/>
        </w:rPr>
      </w:pPr>
      <w:r>
        <w:rPr>
          <w:rFonts w:ascii="宋体" w:hAnsi="宋体"/>
          <w:sz w:val="24"/>
          <w:highlight w:val="none"/>
        </w:rPr>
        <w:t>(5）投资估算</w:t>
      </w:r>
      <w:r>
        <w:rPr>
          <w:rFonts w:hint="eastAsia" w:ascii="宋体" w:hAnsi="宋体"/>
          <w:sz w:val="24"/>
          <w:highlight w:val="none"/>
        </w:rPr>
        <w:t>等。</w:t>
      </w:r>
    </w:p>
    <w:p>
      <w:pPr>
        <w:spacing w:line="360" w:lineRule="auto"/>
        <w:jc w:val="left"/>
        <w:rPr>
          <w:rFonts w:ascii="宋体" w:hAnsi="宋体"/>
          <w:sz w:val="24"/>
          <w:highlight w:val="none"/>
        </w:rPr>
      </w:pPr>
      <w:r>
        <w:rPr>
          <w:rFonts w:ascii="宋体" w:hAnsi="宋体"/>
          <w:sz w:val="24"/>
          <w:highlight w:val="none"/>
        </w:rPr>
        <w:t>2.初步设计阶段</w:t>
      </w:r>
      <w:r>
        <w:rPr>
          <w:rFonts w:hint="eastAsia" w:ascii="宋体" w:hAnsi="宋体"/>
          <w:sz w:val="24"/>
          <w:highlight w:val="none"/>
        </w:rPr>
        <w:t>：</w:t>
      </w:r>
    </w:p>
    <w:p>
      <w:pPr>
        <w:spacing w:line="360" w:lineRule="auto"/>
        <w:jc w:val="left"/>
        <w:rPr>
          <w:rFonts w:hint="eastAsia" w:ascii="宋体" w:hAnsi="宋体"/>
          <w:sz w:val="24"/>
          <w:highlight w:val="none"/>
        </w:rPr>
      </w:pPr>
      <w:r>
        <w:rPr>
          <w:rFonts w:ascii="宋体" w:hAnsi="宋体"/>
          <w:sz w:val="24"/>
          <w:highlight w:val="none"/>
        </w:rPr>
        <w:t>(1）设计说明书（含设计总说明、各专业的设计说明书）</w:t>
      </w:r>
      <w:r>
        <w:rPr>
          <w:rFonts w:hint="eastAsia" w:ascii="宋体" w:hAnsi="宋体"/>
          <w:sz w:val="24"/>
          <w:highlight w:val="none"/>
        </w:rPr>
        <w:t>；</w:t>
      </w:r>
    </w:p>
    <w:p>
      <w:pPr>
        <w:spacing w:line="360" w:lineRule="auto"/>
        <w:jc w:val="left"/>
        <w:rPr>
          <w:rFonts w:ascii="宋体" w:hAnsi="宋体"/>
          <w:sz w:val="24"/>
          <w:highlight w:val="none"/>
        </w:rPr>
      </w:pPr>
      <w:r>
        <w:rPr>
          <w:rFonts w:ascii="宋体" w:hAnsi="宋体"/>
          <w:sz w:val="24"/>
          <w:highlight w:val="none"/>
        </w:rPr>
        <w:t>(2）设计图纸（由各专业设计图纸组成</w:t>
      </w:r>
      <w:r>
        <w:rPr>
          <w:rFonts w:hint="eastAsia" w:ascii="宋体" w:hAnsi="宋体"/>
          <w:sz w:val="24"/>
          <w:highlight w:val="none"/>
        </w:rPr>
        <w:t>）；</w:t>
      </w:r>
    </w:p>
    <w:p>
      <w:pPr>
        <w:spacing w:line="360" w:lineRule="auto"/>
        <w:jc w:val="left"/>
        <w:rPr>
          <w:rFonts w:ascii="宋体" w:hAnsi="宋体"/>
          <w:sz w:val="24"/>
          <w:highlight w:val="none"/>
        </w:rPr>
      </w:pPr>
      <w:r>
        <w:rPr>
          <w:rFonts w:ascii="宋体" w:hAnsi="宋体"/>
          <w:sz w:val="24"/>
          <w:highlight w:val="none"/>
        </w:rPr>
        <w:t>(3）设计概算</w:t>
      </w:r>
      <w:r>
        <w:rPr>
          <w:rFonts w:hint="eastAsia" w:ascii="宋体" w:hAnsi="宋体"/>
          <w:sz w:val="24"/>
          <w:highlight w:val="none"/>
        </w:rPr>
        <w:t>；</w:t>
      </w:r>
    </w:p>
    <w:p>
      <w:pPr>
        <w:spacing w:line="360" w:lineRule="auto"/>
        <w:jc w:val="left"/>
        <w:rPr>
          <w:rFonts w:ascii="宋体" w:hAnsi="宋体"/>
          <w:sz w:val="24"/>
          <w:highlight w:val="none"/>
        </w:rPr>
      </w:pPr>
      <w:r>
        <w:rPr>
          <w:rFonts w:ascii="宋体" w:hAnsi="宋体"/>
          <w:sz w:val="24"/>
          <w:highlight w:val="none"/>
        </w:rPr>
        <w:t>3.施工图设计阶段</w:t>
      </w:r>
    </w:p>
    <w:p>
      <w:pPr>
        <w:spacing w:line="360" w:lineRule="auto"/>
        <w:jc w:val="left"/>
        <w:rPr>
          <w:rFonts w:ascii="宋体" w:hAnsi="宋体"/>
          <w:sz w:val="24"/>
          <w:highlight w:val="none"/>
        </w:rPr>
      </w:pPr>
      <w:r>
        <w:rPr>
          <w:rFonts w:ascii="宋体" w:hAnsi="宋体"/>
          <w:sz w:val="24"/>
          <w:highlight w:val="none"/>
        </w:rPr>
        <w:t>(1）设计说明书（含设计总说明、各专业的设计说明书）；</w:t>
      </w:r>
    </w:p>
    <w:p>
      <w:pPr>
        <w:spacing w:line="360" w:lineRule="auto"/>
        <w:jc w:val="left"/>
        <w:rPr>
          <w:rFonts w:hint="eastAsia" w:ascii="宋体" w:hAnsi="宋体"/>
          <w:sz w:val="24"/>
          <w:highlight w:val="none"/>
        </w:rPr>
      </w:pPr>
      <w:r>
        <w:rPr>
          <w:rFonts w:ascii="宋体" w:hAnsi="宋体"/>
          <w:sz w:val="24"/>
          <w:highlight w:val="none"/>
        </w:rPr>
        <w:t>(2）施工图设计图纸（由各专业设计图纸组成</w:t>
      </w:r>
      <w:r>
        <w:rPr>
          <w:rFonts w:hint="eastAsia" w:ascii="宋体" w:hAnsi="宋体"/>
          <w:sz w:val="24"/>
          <w:highlight w:val="none"/>
        </w:rPr>
        <w:t>）；</w:t>
      </w:r>
    </w:p>
    <w:p>
      <w:pPr>
        <w:spacing w:line="360" w:lineRule="auto"/>
        <w:jc w:val="left"/>
        <w:rPr>
          <w:rFonts w:ascii="宋体" w:hAnsi="宋体"/>
          <w:sz w:val="24"/>
          <w:highlight w:val="none"/>
        </w:rPr>
      </w:pPr>
      <w:r>
        <w:rPr>
          <w:rFonts w:ascii="宋体" w:hAnsi="宋体"/>
          <w:sz w:val="24"/>
          <w:highlight w:val="none"/>
        </w:rPr>
        <w:t>(3）设计概算</w:t>
      </w:r>
      <w:r>
        <w:rPr>
          <w:rFonts w:hint="eastAsia" w:ascii="宋体" w:hAnsi="宋体"/>
          <w:sz w:val="24"/>
          <w:highlight w:val="none"/>
        </w:rPr>
        <w:t>；</w:t>
      </w:r>
    </w:p>
    <w:p>
      <w:pPr>
        <w:spacing w:line="360" w:lineRule="auto"/>
        <w:jc w:val="left"/>
        <w:rPr>
          <w:rFonts w:ascii="宋体" w:hAnsi="宋体"/>
          <w:sz w:val="24"/>
          <w:highlight w:val="none"/>
        </w:rPr>
      </w:pPr>
      <w:r>
        <w:rPr>
          <w:rFonts w:ascii="宋体" w:hAnsi="宋体"/>
          <w:sz w:val="24"/>
          <w:highlight w:val="none"/>
        </w:rPr>
        <w:t>3成果形式要求</w:t>
      </w:r>
    </w:p>
    <w:p>
      <w:pPr>
        <w:spacing w:line="360" w:lineRule="auto"/>
        <w:jc w:val="left"/>
        <w:rPr>
          <w:rFonts w:ascii="宋体" w:hAnsi="宋体"/>
          <w:sz w:val="24"/>
          <w:highlight w:val="none"/>
        </w:rPr>
      </w:pPr>
      <w:r>
        <w:rPr>
          <w:rFonts w:ascii="宋体" w:hAnsi="宋体"/>
          <w:sz w:val="24"/>
          <w:highlight w:val="none"/>
        </w:rPr>
        <w:t>(1)图纸文件要求：图纸以打印A2或A3</w:t>
      </w:r>
    </w:p>
    <w:p>
      <w:pPr>
        <w:spacing w:line="360" w:lineRule="auto"/>
        <w:jc w:val="left"/>
        <w:rPr>
          <w:rFonts w:ascii="宋体" w:hAnsi="宋体"/>
          <w:sz w:val="24"/>
          <w:highlight w:val="none"/>
        </w:rPr>
      </w:pPr>
      <w:r>
        <w:rPr>
          <w:rFonts w:hint="eastAsia" w:ascii="宋体" w:hAnsi="宋体"/>
          <w:sz w:val="24"/>
          <w:highlight w:val="none"/>
        </w:rPr>
        <w:t>规格缩印编排装订成册。设计图纸要求图文清晰、完整、规范，能清楚表达设计意图和内容，</w:t>
      </w:r>
      <w:r>
        <w:rPr>
          <w:rFonts w:ascii="宋体" w:hAnsi="宋体"/>
          <w:sz w:val="24"/>
          <w:highlight w:val="none"/>
        </w:rPr>
        <w:t>图纸规格应尽量统</w:t>
      </w:r>
      <w:r>
        <w:rPr>
          <w:rFonts w:hint="eastAsia" w:ascii="宋体" w:hAnsi="宋体"/>
          <w:sz w:val="24"/>
          <w:highlight w:val="none"/>
        </w:rPr>
        <w:t>，</w:t>
      </w:r>
      <w:r>
        <w:rPr>
          <w:rFonts w:ascii="宋体" w:hAnsi="宋体"/>
          <w:sz w:val="24"/>
          <w:highlight w:val="none"/>
        </w:rPr>
        <w:t>必须标注比例尺，原则上图纸规格均宜为A2，若有必要，图纸可由A1规格折叠为A2；</w:t>
      </w:r>
    </w:p>
    <w:p>
      <w:pPr>
        <w:spacing w:line="360" w:lineRule="auto"/>
        <w:jc w:val="left"/>
        <w:rPr>
          <w:rFonts w:hint="eastAsia" w:ascii="宋体" w:hAnsi="宋体"/>
          <w:sz w:val="24"/>
          <w:highlight w:val="none"/>
        </w:rPr>
      </w:pPr>
      <w:r>
        <w:rPr>
          <w:rFonts w:ascii="宋体" w:hAnsi="宋体"/>
          <w:sz w:val="24"/>
          <w:highlight w:val="none"/>
        </w:rPr>
        <w:t>(2）电子文件要求：所有纸质文件均要提供电子文件。文本文件采用＊.doc格式文件。设计方案矢量图形文件采用＊.dwg格式文件。 所有＊.dwg 文件需同时转换为＊.pdf格式文件（不可修改格式）以备用。</w:t>
      </w:r>
    </w:p>
    <w:p>
      <w:pPr>
        <w:ind w:firstLine="480"/>
        <w:rPr>
          <w:rFonts w:hint="eastAsia" w:ascii="宋体" w:hAnsi="宋体" w:cs="宋体"/>
          <w:highlight w:val="none"/>
        </w:rPr>
      </w:pPr>
    </w:p>
    <w:p>
      <w:pPr>
        <w:ind w:firstLine="480"/>
        <w:rPr>
          <w:rFonts w:hint="eastAsia" w:ascii="宋体" w:hAnsi="宋体" w:cs="宋体"/>
          <w:highlight w:val="none"/>
        </w:rPr>
      </w:pPr>
    </w:p>
    <w:p>
      <w:pPr>
        <w:ind w:firstLine="480"/>
        <w:rPr>
          <w:rFonts w:hint="eastAsia" w:ascii="宋体" w:hAnsi="宋体" w:cs="宋体"/>
          <w:highlight w:val="none"/>
        </w:rPr>
        <w:sectPr>
          <w:headerReference r:id="rId14" w:type="first"/>
          <w:footerReference r:id="rId17" w:type="first"/>
          <w:headerReference r:id="rId12" w:type="default"/>
          <w:footerReference r:id="rId15" w:type="default"/>
          <w:headerReference r:id="rId13" w:type="even"/>
          <w:footerReference r:id="rId16" w:type="even"/>
          <w:type w:val="nextColum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tabs>
          <w:tab w:val="left" w:pos="420"/>
        </w:tabs>
        <w:ind w:firstLine="480"/>
        <w:rPr>
          <w:rFonts w:hint="eastAsia" w:ascii="宋体" w:hAnsi="宋体" w:cs="宋体"/>
          <w:sz w:val="24"/>
          <w:highlight w:val="none"/>
        </w:rPr>
      </w:pPr>
    </w:p>
    <w:p>
      <w:pPr>
        <w:rPr>
          <w:rFonts w:hint="eastAsia" w:ascii="宋体" w:hAnsi="宋体" w:cs="宋体"/>
          <w:highlight w:val="none"/>
        </w:rPr>
      </w:pPr>
    </w:p>
    <w:p>
      <w:pPr>
        <w:rPr>
          <w:rFonts w:hint="eastAsia" w:ascii="宋体" w:hAnsi="宋体" w:cs="宋体"/>
          <w:highlight w:val="none"/>
        </w:rPr>
      </w:pPr>
    </w:p>
    <w:p>
      <w:pPr>
        <w:pStyle w:val="3"/>
        <w:rPr>
          <w:rFonts w:cs="宋体"/>
          <w:highlight w:val="none"/>
        </w:rPr>
      </w:pPr>
      <w:bookmarkStart w:id="79" w:name="_Toc12002"/>
      <w:r>
        <w:rPr>
          <w:rFonts w:cs="宋体"/>
          <w:highlight w:val="none"/>
        </w:rPr>
        <w:t>第五章  投标文件格式</w:t>
      </w:r>
      <w:bookmarkEnd w:id="79"/>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rPr>
          <w:rFonts w:hint="eastAsia" w:ascii="宋体" w:hAnsi="宋体" w:cs="宋体"/>
          <w:b/>
          <w:bCs/>
          <w:highlight w:val="none"/>
        </w:rPr>
      </w:pPr>
    </w:p>
    <w:p>
      <w:pPr>
        <w:pStyle w:val="6"/>
        <w:spacing w:before="156" w:after="156"/>
        <w:ind w:left="0" w:firstLine="0"/>
        <w:rPr>
          <w:rFonts w:hint="eastAsia" w:ascii="宋体" w:hAnsi="宋体" w:cs="宋体"/>
          <w:highlight w:val="none"/>
        </w:rPr>
      </w:pPr>
      <w:bookmarkStart w:id="80" w:name="_Toc16054"/>
      <w:r>
        <w:rPr>
          <w:rFonts w:hint="eastAsia" w:ascii="宋体" w:hAnsi="宋体" w:cs="宋体"/>
          <w:highlight w:val="none"/>
        </w:rPr>
        <w:t>附件14 设计招标文件编制要求</w:t>
      </w:r>
      <w:bookmarkEnd w:id="80"/>
    </w:p>
    <w:p>
      <w:pPr>
        <w:jc w:val="left"/>
        <w:rPr>
          <w:rFonts w:hint="eastAsia" w:ascii="宋体" w:hAnsi="宋体" w:cs="宋体"/>
          <w:highlight w:val="none"/>
        </w:rPr>
      </w:pPr>
    </w:p>
    <w:p>
      <w:pPr>
        <w:jc w:val="center"/>
        <w:rPr>
          <w:rFonts w:hint="eastAsia" w:ascii="宋体" w:hAnsi="宋体" w:cs="宋体"/>
          <w:highlight w:val="none"/>
        </w:rPr>
      </w:pPr>
      <w:r>
        <w:rPr>
          <w:rFonts w:hint="eastAsia" w:ascii="宋体" w:hAnsi="宋体" w:cs="宋体"/>
          <w:b/>
          <w:sz w:val="32"/>
          <w:highlight w:val="none"/>
        </w:rPr>
        <w:t>设计</w:t>
      </w:r>
      <w:r>
        <w:rPr>
          <w:rFonts w:hint="eastAsia" w:ascii="宋体" w:hAnsi="宋体" w:cs="宋体"/>
          <w:b/>
          <w:bCs/>
          <w:sz w:val="32"/>
          <w:highlight w:val="none"/>
        </w:rPr>
        <w:t>投标文件编制要求</w:t>
      </w:r>
    </w:p>
    <w:p>
      <w:pPr>
        <w:adjustRightInd w:val="0"/>
        <w:snapToGrid w:val="0"/>
        <w:spacing w:line="360" w:lineRule="auto"/>
        <w:rPr>
          <w:rFonts w:hint="eastAsia" w:ascii="宋体" w:hAnsi="宋体" w:cs="宋体"/>
          <w:b/>
          <w:bCs/>
          <w:szCs w:val="21"/>
          <w:highlight w:val="none"/>
        </w:rPr>
      </w:pPr>
    </w:p>
    <w:p>
      <w:pPr>
        <w:adjustRightInd w:val="0"/>
        <w:snapToGrid w:val="0"/>
        <w:spacing w:line="380" w:lineRule="exact"/>
        <w:rPr>
          <w:rFonts w:hint="eastAsia" w:ascii="宋体" w:hAnsi="宋体" w:cs="宋体"/>
          <w:szCs w:val="21"/>
          <w:highlight w:val="none"/>
        </w:rPr>
      </w:pPr>
      <w:r>
        <w:rPr>
          <w:rFonts w:hint="eastAsia" w:ascii="宋体" w:hAnsi="宋体" w:cs="宋体"/>
          <w:b/>
          <w:bCs/>
          <w:szCs w:val="21"/>
          <w:highlight w:val="none"/>
        </w:rPr>
        <w:t>1     投标文件</w:t>
      </w:r>
    </w:p>
    <w:p>
      <w:pPr>
        <w:adjustRightInd w:val="0"/>
        <w:snapToGrid w:val="0"/>
        <w:spacing w:line="380" w:lineRule="exact"/>
        <w:ind w:left="718" w:hanging="718" w:hangingChars="342"/>
        <w:rPr>
          <w:rFonts w:hint="eastAsia" w:ascii="宋体" w:hAnsi="宋体" w:cs="宋体"/>
          <w:szCs w:val="21"/>
          <w:highlight w:val="none"/>
        </w:rPr>
      </w:pPr>
      <w:r>
        <w:rPr>
          <w:rFonts w:hint="eastAsia" w:ascii="宋体" w:hAnsi="宋体" w:cs="宋体"/>
          <w:szCs w:val="21"/>
          <w:highlight w:val="none"/>
        </w:rPr>
        <w:t>1.1    投标文件由下列资料组成：</w:t>
      </w:r>
    </w:p>
    <w:p>
      <w:pPr>
        <w:adjustRightInd w:val="0"/>
        <w:snapToGrid w:val="0"/>
        <w:spacing w:line="380" w:lineRule="exact"/>
        <w:ind w:firstLine="630" w:firstLineChars="300"/>
        <w:jc w:val="left"/>
        <w:rPr>
          <w:rFonts w:hint="eastAsia" w:ascii="宋体" w:hAnsi="宋体" w:cs="宋体"/>
          <w:szCs w:val="21"/>
          <w:highlight w:val="none"/>
        </w:rPr>
      </w:pPr>
      <w:r>
        <w:rPr>
          <w:rFonts w:hint="eastAsia" w:ascii="宋体" w:hAnsi="宋体" w:cs="宋体"/>
          <w:szCs w:val="21"/>
          <w:highlight w:val="none"/>
        </w:rPr>
        <w:t xml:space="preserve">（1）开标信封。   </w:t>
      </w:r>
    </w:p>
    <w:p>
      <w:pPr>
        <w:adjustRightInd w:val="0"/>
        <w:snapToGrid w:val="0"/>
        <w:spacing w:line="380" w:lineRule="exact"/>
        <w:jc w:val="left"/>
        <w:rPr>
          <w:rFonts w:hint="eastAsia" w:ascii="宋体" w:hAnsi="宋体" w:cs="宋体"/>
          <w:szCs w:val="21"/>
          <w:highlight w:val="none"/>
        </w:rPr>
      </w:pPr>
      <w:r>
        <w:rPr>
          <w:rFonts w:hint="eastAsia" w:ascii="宋体" w:hAnsi="宋体" w:cs="宋体"/>
          <w:szCs w:val="21"/>
          <w:highlight w:val="none"/>
        </w:rPr>
        <w:t xml:space="preserve">      （2）资格审查文件。</w:t>
      </w:r>
    </w:p>
    <w:p>
      <w:pPr>
        <w:adjustRightInd w:val="0"/>
        <w:snapToGrid w:val="0"/>
        <w:spacing w:line="380" w:lineRule="exact"/>
        <w:jc w:val="left"/>
        <w:rPr>
          <w:rFonts w:hint="eastAsia" w:ascii="宋体" w:hAnsi="宋体" w:cs="宋体"/>
          <w:szCs w:val="21"/>
          <w:highlight w:val="none"/>
        </w:rPr>
      </w:pPr>
      <w:r>
        <w:rPr>
          <w:rFonts w:hint="eastAsia" w:ascii="宋体" w:hAnsi="宋体" w:cs="宋体"/>
          <w:szCs w:val="21"/>
          <w:highlight w:val="none"/>
        </w:rPr>
        <w:t xml:space="preserve">      （3）技术文件（设计方案）。</w:t>
      </w:r>
    </w:p>
    <w:p>
      <w:pPr>
        <w:adjustRightInd w:val="0"/>
        <w:snapToGrid w:val="0"/>
        <w:spacing w:line="380" w:lineRule="exact"/>
        <w:jc w:val="left"/>
        <w:rPr>
          <w:rFonts w:hint="eastAsia" w:ascii="宋体" w:hAnsi="宋体" w:cs="宋体"/>
          <w:szCs w:val="21"/>
          <w:highlight w:val="none"/>
        </w:rPr>
      </w:pPr>
      <w:r>
        <w:rPr>
          <w:rFonts w:hint="eastAsia" w:ascii="宋体" w:hAnsi="宋体" w:cs="宋体"/>
          <w:szCs w:val="21"/>
          <w:highlight w:val="none"/>
        </w:rPr>
        <w:t xml:space="preserve">      （4）商务文件（适用于综合评分法）。</w:t>
      </w:r>
    </w:p>
    <w:p>
      <w:pPr>
        <w:adjustRightInd w:val="0"/>
        <w:snapToGrid w:val="0"/>
        <w:spacing w:line="380" w:lineRule="exact"/>
        <w:jc w:val="left"/>
        <w:rPr>
          <w:rFonts w:hint="eastAsia" w:ascii="宋体" w:hAnsi="宋体" w:cs="宋体"/>
          <w:szCs w:val="21"/>
          <w:highlight w:val="none"/>
        </w:rPr>
      </w:pPr>
    </w:p>
    <w:p>
      <w:pPr>
        <w:adjustRightInd w:val="0"/>
        <w:snapToGrid w:val="0"/>
        <w:spacing w:line="380" w:lineRule="exact"/>
        <w:rPr>
          <w:rFonts w:hint="eastAsia" w:ascii="宋体" w:hAnsi="宋体" w:cs="宋体"/>
          <w:szCs w:val="21"/>
          <w:highlight w:val="none"/>
        </w:rPr>
      </w:pPr>
      <w:r>
        <w:rPr>
          <w:rFonts w:hint="eastAsia" w:ascii="宋体" w:hAnsi="宋体" w:cs="宋体"/>
          <w:b/>
          <w:bCs/>
          <w:szCs w:val="21"/>
          <w:highlight w:val="none"/>
        </w:rPr>
        <w:t>2      保密要求</w:t>
      </w:r>
    </w:p>
    <w:p>
      <w:pPr>
        <w:adjustRightInd w:val="0"/>
        <w:snapToGrid w:val="0"/>
        <w:spacing w:line="380" w:lineRule="exact"/>
        <w:ind w:left="718" w:hanging="718" w:hangingChars="342"/>
        <w:jc w:val="left"/>
        <w:rPr>
          <w:rFonts w:hint="eastAsia" w:ascii="宋体" w:hAnsi="宋体" w:cs="宋体"/>
          <w:szCs w:val="21"/>
          <w:highlight w:val="none"/>
        </w:rPr>
      </w:pPr>
      <w:r>
        <w:rPr>
          <w:rFonts w:hint="eastAsia" w:ascii="宋体" w:hAnsi="宋体" w:cs="宋体"/>
          <w:szCs w:val="21"/>
          <w:highlight w:val="none"/>
        </w:rPr>
        <w:t>2.1    技术文件必须隐匿投标人及专业技术人员的名称。投标人不得在技术文件上标注或做任何可以辨认投标人及专业技术人员身份的名称、印章、商标、图形等。</w:t>
      </w:r>
    </w:p>
    <w:p>
      <w:pPr>
        <w:adjustRightInd w:val="0"/>
        <w:snapToGrid w:val="0"/>
        <w:spacing w:line="380" w:lineRule="exact"/>
        <w:ind w:left="360" w:hanging="359" w:hangingChars="171"/>
        <w:rPr>
          <w:rFonts w:hint="eastAsia" w:ascii="宋体" w:hAnsi="宋体" w:cs="宋体"/>
          <w:b/>
          <w:bCs/>
          <w:szCs w:val="21"/>
          <w:highlight w:val="none"/>
        </w:rPr>
      </w:pPr>
    </w:p>
    <w:p>
      <w:pPr>
        <w:adjustRightInd w:val="0"/>
        <w:snapToGrid w:val="0"/>
        <w:spacing w:line="380" w:lineRule="exact"/>
        <w:ind w:left="721" w:hanging="718" w:hangingChars="342"/>
        <w:jc w:val="left"/>
        <w:rPr>
          <w:rFonts w:hint="eastAsia" w:ascii="宋体" w:hAnsi="宋体" w:cs="宋体"/>
          <w:b/>
          <w:bCs/>
          <w:szCs w:val="21"/>
          <w:highlight w:val="none"/>
        </w:rPr>
      </w:pPr>
      <w:r>
        <w:rPr>
          <w:rFonts w:hint="eastAsia" w:ascii="宋体" w:hAnsi="宋体" w:cs="宋体"/>
          <w:b/>
          <w:bCs/>
          <w:szCs w:val="21"/>
          <w:highlight w:val="none"/>
        </w:rPr>
        <w:t>3      开标信封</w:t>
      </w:r>
    </w:p>
    <w:p>
      <w:pPr>
        <w:adjustRightInd w:val="0"/>
        <w:snapToGrid w:val="0"/>
        <w:spacing w:line="380" w:lineRule="exact"/>
        <w:ind w:left="718" w:hanging="718" w:hangingChars="342"/>
        <w:jc w:val="left"/>
        <w:rPr>
          <w:rFonts w:hint="eastAsia" w:ascii="宋体" w:hAnsi="宋体"/>
          <w:szCs w:val="21"/>
          <w:highlight w:val="none"/>
        </w:rPr>
      </w:pPr>
      <w:r>
        <w:rPr>
          <w:rFonts w:hint="eastAsia" w:ascii="宋体" w:hAnsi="宋体" w:cs="宋体"/>
          <w:szCs w:val="21"/>
          <w:highlight w:val="none"/>
        </w:rPr>
        <w:t xml:space="preserve">3.1    </w:t>
      </w:r>
      <w:r>
        <w:rPr>
          <w:rFonts w:hint="eastAsia" w:ascii="宋体" w:hAnsi="宋体"/>
          <w:szCs w:val="21"/>
          <w:highlight w:val="none"/>
        </w:rPr>
        <w:t>开标信封内附填妥并签字盖章的《投标函》、《投标人声明》、</w:t>
      </w:r>
      <w:r>
        <w:rPr>
          <w:rFonts w:hint="eastAsia" w:ascii="宋体" w:hAnsi="宋体" w:cs="宋体"/>
          <w:strike/>
          <w:szCs w:val="21"/>
          <w:highlight w:val="none"/>
        </w:rPr>
        <w:t>《联合体投标协议》</w:t>
      </w:r>
      <w:r>
        <w:rPr>
          <w:rFonts w:hint="eastAsia" w:ascii="宋体" w:hAnsi="宋体"/>
          <w:strike/>
          <w:szCs w:val="21"/>
          <w:highlight w:val="none"/>
        </w:rPr>
        <w:t>（联合体投标人提供）、</w:t>
      </w:r>
      <w:r>
        <w:rPr>
          <w:rFonts w:hint="eastAsia" w:ascii="宋体" w:hAnsi="宋体"/>
          <w:szCs w:val="21"/>
          <w:highlight w:val="none"/>
        </w:rPr>
        <w:t>法定代表人证明书（如投标文件为委托代理人签署应同时附上法定代表人证明书和法定代表人授权书）、</w:t>
      </w:r>
      <w:r>
        <w:rPr>
          <w:rFonts w:hint="eastAsia" w:ascii="宋体" w:hAnsi="宋体"/>
          <w:szCs w:val="21"/>
          <w:highlight w:val="none"/>
          <w:u w:val="single"/>
        </w:rPr>
        <w:t>《投标报价汇总表》</w:t>
      </w:r>
      <w:r>
        <w:rPr>
          <w:rFonts w:hint="eastAsia" w:ascii="宋体" w:hAnsi="宋体"/>
          <w:szCs w:val="21"/>
          <w:highlight w:val="none"/>
        </w:rPr>
        <w:t>。</w:t>
      </w:r>
    </w:p>
    <w:p>
      <w:pPr>
        <w:adjustRightInd w:val="0"/>
        <w:snapToGrid w:val="0"/>
        <w:spacing w:line="380" w:lineRule="exact"/>
        <w:ind w:left="718" w:hanging="718" w:hangingChars="342"/>
        <w:jc w:val="left"/>
        <w:rPr>
          <w:rFonts w:hint="eastAsia" w:ascii="宋体" w:hAnsi="宋体" w:cs="宋体"/>
          <w:szCs w:val="21"/>
          <w:highlight w:val="none"/>
        </w:rPr>
      </w:pPr>
    </w:p>
    <w:p>
      <w:pPr>
        <w:adjustRightInd w:val="0"/>
        <w:snapToGrid w:val="0"/>
        <w:spacing w:line="380" w:lineRule="exact"/>
        <w:jc w:val="left"/>
        <w:rPr>
          <w:rFonts w:hint="eastAsia" w:ascii="宋体" w:hAnsi="宋体" w:cs="宋体"/>
          <w:b/>
          <w:bCs/>
          <w:szCs w:val="21"/>
          <w:highlight w:val="none"/>
        </w:rPr>
      </w:pPr>
    </w:p>
    <w:p>
      <w:pPr>
        <w:adjustRightInd w:val="0"/>
        <w:snapToGrid w:val="0"/>
        <w:spacing w:line="380" w:lineRule="exact"/>
        <w:jc w:val="left"/>
        <w:rPr>
          <w:rFonts w:hint="eastAsia" w:ascii="宋体" w:hAnsi="宋体" w:cs="宋体"/>
          <w:szCs w:val="21"/>
          <w:highlight w:val="none"/>
        </w:rPr>
      </w:pPr>
      <w:r>
        <w:rPr>
          <w:rFonts w:hint="eastAsia" w:ascii="宋体" w:hAnsi="宋体" w:cs="宋体"/>
          <w:b/>
          <w:bCs/>
          <w:szCs w:val="21"/>
          <w:highlight w:val="none"/>
        </w:rPr>
        <w:t>4     资格审查文件</w:t>
      </w:r>
    </w:p>
    <w:p>
      <w:pPr>
        <w:pStyle w:val="13"/>
        <w:adjustRightInd w:val="0"/>
        <w:snapToGrid w:val="0"/>
        <w:spacing w:line="380" w:lineRule="exact"/>
        <w:ind w:firstLine="0" w:firstLineChars="0"/>
        <w:rPr>
          <w:rFonts w:hint="eastAsia" w:hAnsi="宋体" w:cs="宋体"/>
          <w:sz w:val="21"/>
          <w:szCs w:val="21"/>
          <w:highlight w:val="none"/>
        </w:rPr>
      </w:pPr>
      <w:r>
        <w:rPr>
          <w:rFonts w:hint="eastAsia" w:hAnsi="宋体" w:cs="宋体"/>
          <w:sz w:val="21"/>
          <w:szCs w:val="21"/>
          <w:highlight w:val="none"/>
        </w:rPr>
        <w:t>4.1   资格审查文件内容：</w:t>
      </w:r>
    </w:p>
    <w:p>
      <w:pPr>
        <w:adjustRightInd w:val="0"/>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（1）目录；</w:t>
      </w:r>
    </w:p>
    <w:p>
      <w:pPr>
        <w:adjustRightInd w:val="0"/>
        <w:snapToGrid w:val="0"/>
        <w:spacing w:line="380" w:lineRule="exact"/>
        <w:ind w:left="840" w:leftChars="200" w:hanging="420" w:hangingChars="200"/>
        <w:rPr>
          <w:rFonts w:hint="eastAsia" w:ascii="宋体" w:hAnsi="宋体" w:cs="宋体"/>
          <w:szCs w:val="21"/>
          <w:highlight w:val="none"/>
        </w:rPr>
      </w:pPr>
      <w:r>
        <w:rPr>
          <w:rFonts w:hint="eastAsia" w:ascii="宋体" w:hAnsi="宋体" w:cs="宋体"/>
          <w:szCs w:val="21"/>
          <w:highlight w:val="none"/>
        </w:rPr>
        <w:t>（2）填妥并签字盖章的《投标函》、《投标人声明》、《联合体投标协议》（联合体投标人提供）、法定代表人证明书（如投标文件为委托代理人签署应同时附上法定代表人证明书和法定代表人授权书）。</w:t>
      </w:r>
    </w:p>
    <w:p>
      <w:pPr>
        <w:adjustRightInd w:val="0"/>
        <w:snapToGrid w:val="0"/>
        <w:spacing w:line="380" w:lineRule="exact"/>
        <w:ind w:left="713" w:leftChars="299" w:hanging="86" w:hangingChars="41"/>
        <w:rPr>
          <w:rFonts w:hint="eastAsia" w:ascii="宋体" w:hAnsi="宋体" w:cs="宋体"/>
          <w:szCs w:val="21"/>
          <w:highlight w:val="none"/>
        </w:rPr>
      </w:pPr>
      <w:r>
        <w:rPr>
          <w:rFonts w:hint="eastAsia" w:ascii="宋体" w:hAnsi="宋体" w:cs="宋体"/>
          <w:szCs w:val="21"/>
          <w:highlight w:val="none"/>
        </w:rPr>
        <w:t>注：投标人无需提供，评标委员会根据“开标信封”中资料进行评审。投标人再次提供且不一致的，以“开标信封”资料为准。</w:t>
      </w:r>
    </w:p>
    <w:p>
      <w:pPr>
        <w:adjustRightInd w:val="0"/>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（3）填妥并签字盖章的《合作设计协议》（外国或</w:t>
      </w:r>
      <w:r>
        <w:rPr>
          <w:rFonts w:hint="eastAsia" w:ascii="宋体" w:hAnsi="宋体" w:cs="宋体"/>
          <w:strike w:val="0"/>
          <w:szCs w:val="21"/>
          <w:highlight w:val="none"/>
        </w:rPr>
        <w:t>香港、</w:t>
      </w:r>
      <w:r>
        <w:rPr>
          <w:rFonts w:hint="eastAsia" w:ascii="宋体" w:hAnsi="宋体" w:cs="宋体"/>
          <w:szCs w:val="21"/>
          <w:highlight w:val="none"/>
        </w:rPr>
        <w:t>澳门、台湾的设计企业提供</w:t>
      </w:r>
      <w:r>
        <w:rPr>
          <w:rFonts w:hint="eastAsia" w:ascii="宋体" w:hAnsi="宋体" w:cs="宋体"/>
          <w:szCs w:val="21"/>
          <w:highlight w:val="none"/>
          <w:lang w:eastAsia="zh-CN"/>
        </w:rPr>
        <w:t>，</w:t>
      </w:r>
      <w:r>
        <w:rPr>
          <w:rFonts w:hint="eastAsia" w:ascii="宋体" w:hAnsi="宋体" w:cs="宋体"/>
          <w:szCs w:val="21"/>
          <w:highlight w:val="none"/>
          <w:u w:val="single"/>
          <w:lang w:val="en-US" w:eastAsia="zh-CN"/>
        </w:rPr>
        <w:t>但符合本公告要求独立参加投标条件的香港企业，可按本公告要求独立投标</w:t>
      </w:r>
      <w:r>
        <w:rPr>
          <w:rFonts w:hint="eastAsia" w:ascii="宋体" w:hAnsi="宋体" w:cs="宋体"/>
          <w:szCs w:val="21"/>
          <w:highlight w:val="none"/>
        </w:rPr>
        <w:t>）（格式自定）；</w:t>
      </w:r>
    </w:p>
    <w:p>
      <w:pPr>
        <w:adjustRightInd w:val="0"/>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（4）投标人资质证书；</w:t>
      </w:r>
    </w:p>
    <w:p>
      <w:pPr>
        <w:adjustRightInd w:val="0"/>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（5）拟派项目负责人资格证书；</w:t>
      </w:r>
    </w:p>
    <w:p>
      <w:pPr>
        <w:adjustRightInd w:val="0"/>
        <w:snapToGrid w:val="0"/>
        <w:spacing w:line="380" w:lineRule="exact"/>
        <w:ind w:firstLine="420" w:firstLineChars="200"/>
        <w:rPr>
          <w:rFonts w:hint="eastAsia" w:ascii="宋体" w:hAnsi="宋体" w:cs="宋体"/>
          <w:strike/>
          <w:szCs w:val="21"/>
          <w:highlight w:val="none"/>
        </w:rPr>
      </w:pPr>
      <w:r>
        <w:rPr>
          <w:rFonts w:hint="eastAsia" w:ascii="宋体" w:hAnsi="宋体" w:cs="宋体"/>
          <w:strike/>
          <w:szCs w:val="21"/>
          <w:highlight w:val="none"/>
        </w:rPr>
        <w:t>（6）用于资格审查的业绩（如有）；</w:t>
      </w:r>
    </w:p>
    <w:p>
      <w:pPr>
        <w:adjustRightInd w:val="0"/>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u w:val="single"/>
        </w:rPr>
        <w:t>（6）</w:t>
      </w:r>
      <w:r>
        <w:rPr>
          <w:rFonts w:hint="eastAsia" w:ascii="宋体" w:hAnsi="宋体" w:cs="宋体"/>
          <w:szCs w:val="21"/>
          <w:highlight w:val="none"/>
        </w:rPr>
        <w:t>投标人须在广州公共资源交易平台企业库办理企业信息登记，拟担任本工程项目负责人须是本企业信息登记中的在册人员；</w:t>
      </w:r>
    </w:p>
    <w:p>
      <w:pPr>
        <w:adjustRightInd w:val="0"/>
        <w:snapToGrid w:val="0"/>
        <w:spacing w:line="380" w:lineRule="exact"/>
        <w:ind w:firstLine="420" w:firstLineChars="200"/>
        <w:rPr>
          <w:rFonts w:hint="eastAsia" w:ascii="宋体" w:hAnsi="宋体" w:cs="宋体"/>
          <w:szCs w:val="21"/>
          <w:highlight w:val="none"/>
          <w:u w:val="single"/>
        </w:rPr>
      </w:pPr>
      <w:r>
        <w:rPr>
          <w:rFonts w:hint="eastAsia" w:ascii="宋体" w:hAnsi="宋体" w:cs="宋体"/>
          <w:szCs w:val="21"/>
          <w:highlight w:val="none"/>
          <w:u w:val="single"/>
        </w:rPr>
        <w:t>（7）满足招标公告（投标人资格要求）评审要求的其他资料。</w:t>
      </w:r>
    </w:p>
    <w:p>
      <w:pPr>
        <w:adjustRightInd w:val="0"/>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u w:val="single"/>
        </w:rPr>
        <w:t>（8）</w:t>
      </w:r>
      <w:r>
        <w:rPr>
          <w:rFonts w:hint="eastAsia" w:ascii="宋体" w:hAnsi="宋体" w:cs="宋体"/>
          <w:szCs w:val="21"/>
          <w:highlight w:val="none"/>
        </w:rPr>
        <w:t>投标人认为有必要提供的其他资料。</w:t>
      </w:r>
    </w:p>
    <w:p>
      <w:pPr>
        <w:adjustRightInd w:val="0"/>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注：资格审查文件中的（4）、（5）、（6）取自广州公共资源交易平台企业库，投标人企业库中记录的该部分上传件将被视为投标人递交投标文件的一部分，不需重复提交。评标委员会对该部分资料的审查将以投标截止时间在广州公共资源交易平台企业库内上传件为依据。若招标人延长投标截止时间的，以上资料的评审时点也相应延长。投标人应及时维护其在广州公共资源交易平台企业库登记的信息及上传件，确保各项信息及上传件在有效期内。</w:t>
      </w:r>
    </w:p>
    <w:p>
      <w:pPr>
        <w:adjustRightInd w:val="0"/>
        <w:snapToGrid w:val="0"/>
        <w:spacing w:line="380" w:lineRule="exact"/>
        <w:rPr>
          <w:rFonts w:hint="eastAsia" w:ascii="宋体" w:hAnsi="宋体" w:cs="宋体"/>
          <w:szCs w:val="21"/>
          <w:highlight w:val="none"/>
        </w:rPr>
      </w:pPr>
    </w:p>
    <w:p>
      <w:pPr>
        <w:adjustRightInd w:val="0"/>
        <w:snapToGrid w:val="0"/>
        <w:spacing w:line="380" w:lineRule="exact"/>
        <w:rPr>
          <w:rFonts w:hint="eastAsia" w:ascii="宋体" w:hAnsi="宋体" w:cs="宋体"/>
          <w:szCs w:val="21"/>
          <w:highlight w:val="none"/>
        </w:rPr>
      </w:pPr>
      <w:r>
        <w:rPr>
          <w:rFonts w:hint="eastAsia" w:ascii="宋体" w:hAnsi="宋体" w:cs="宋体"/>
          <w:b/>
          <w:szCs w:val="21"/>
          <w:highlight w:val="none"/>
        </w:rPr>
        <w:t>5      技术文件（设计方案）</w:t>
      </w:r>
    </w:p>
    <w:p>
      <w:pPr>
        <w:pStyle w:val="13"/>
        <w:adjustRightInd w:val="0"/>
        <w:snapToGrid w:val="0"/>
        <w:spacing w:line="380" w:lineRule="exact"/>
        <w:ind w:firstLine="0" w:firstLineChars="0"/>
        <w:rPr>
          <w:rFonts w:hint="eastAsia" w:hAnsi="宋体" w:cs="宋体"/>
          <w:sz w:val="21"/>
          <w:szCs w:val="21"/>
          <w:highlight w:val="none"/>
        </w:rPr>
      </w:pPr>
      <w:r>
        <w:rPr>
          <w:rFonts w:hint="eastAsia" w:hAnsi="宋体" w:cs="宋体"/>
          <w:sz w:val="21"/>
          <w:szCs w:val="21"/>
          <w:highlight w:val="none"/>
        </w:rPr>
        <w:t>5.1    技术文件内容：</w:t>
      </w:r>
    </w:p>
    <w:p>
      <w:pPr>
        <w:pStyle w:val="13"/>
        <w:adjustRightInd w:val="0"/>
        <w:snapToGrid w:val="0"/>
        <w:spacing w:line="380" w:lineRule="exact"/>
        <w:ind w:firstLine="0" w:firstLineChars="0"/>
        <w:rPr>
          <w:rFonts w:hint="eastAsia" w:hAnsi="宋体" w:cs="宋体"/>
          <w:sz w:val="21"/>
          <w:szCs w:val="21"/>
          <w:highlight w:val="none"/>
        </w:rPr>
      </w:pPr>
      <w:r>
        <w:rPr>
          <w:rFonts w:hint="eastAsia" w:hAnsi="宋体" w:cs="宋体"/>
          <w:sz w:val="21"/>
          <w:szCs w:val="21"/>
          <w:highlight w:val="none"/>
        </w:rPr>
        <w:t xml:space="preserve">    （1）封面：写明项目名称、设计作品主题（不宜超过20个字）、编制年月；</w:t>
      </w:r>
    </w:p>
    <w:p>
      <w:pPr>
        <w:pStyle w:val="13"/>
        <w:adjustRightInd w:val="0"/>
        <w:snapToGrid w:val="0"/>
        <w:spacing w:line="380" w:lineRule="exact"/>
        <w:ind w:firstLine="420"/>
        <w:rPr>
          <w:rFonts w:hint="eastAsia" w:hAnsi="宋体" w:cs="宋体"/>
          <w:sz w:val="21"/>
          <w:szCs w:val="21"/>
          <w:highlight w:val="none"/>
        </w:rPr>
      </w:pPr>
      <w:r>
        <w:rPr>
          <w:rFonts w:hint="eastAsia" w:hAnsi="宋体" w:cs="宋体"/>
          <w:sz w:val="21"/>
          <w:szCs w:val="21"/>
          <w:highlight w:val="none"/>
        </w:rPr>
        <w:t>（2）目录；</w:t>
      </w:r>
    </w:p>
    <w:p>
      <w:pPr>
        <w:pStyle w:val="13"/>
        <w:adjustRightInd w:val="0"/>
        <w:snapToGrid w:val="0"/>
        <w:spacing w:line="380" w:lineRule="exact"/>
        <w:ind w:firstLine="420"/>
        <w:rPr>
          <w:rFonts w:hint="eastAsia" w:hAnsi="宋体" w:cs="宋体"/>
          <w:sz w:val="21"/>
          <w:szCs w:val="21"/>
          <w:highlight w:val="none"/>
        </w:rPr>
      </w:pPr>
      <w:r>
        <w:rPr>
          <w:rFonts w:hint="eastAsia" w:hAnsi="宋体" w:cs="宋体"/>
          <w:sz w:val="21"/>
          <w:szCs w:val="21"/>
          <w:highlight w:val="none"/>
        </w:rPr>
        <w:t>（3）设计说明书；</w:t>
      </w:r>
    </w:p>
    <w:p>
      <w:pPr>
        <w:pStyle w:val="13"/>
        <w:adjustRightInd w:val="0"/>
        <w:snapToGrid w:val="0"/>
        <w:spacing w:line="380" w:lineRule="exact"/>
        <w:ind w:firstLine="420"/>
        <w:rPr>
          <w:rFonts w:hAnsi="宋体" w:cs="宋体"/>
          <w:sz w:val="21"/>
          <w:szCs w:val="21"/>
          <w:highlight w:val="none"/>
        </w:rPr>
      </w:pPr>
      <w:r>
        <w:rPr>
          <w:rFonts w:hint="eastAsia" w:hAnsi="宋体" w:cs="宋体"/>
          <w:sz w:val="21"/>
          <w:szCs w:val="21"/>
          <w:highlight w:val="none"/>
        </w:rPr>
        <w:t>（4）技术方案内容</w:t>
      </w:r>
    </w:p>
    <w:p>
      <w:pPr>
        <w:pStyle w:val="13"/>
        <w:adjustRightInd w:val="0"/>
        <w:snapToGrid w:val="0"/>
        <w:spacing w:line="380" w:lineRule="exact"/>
        <w:ind w:firstLine="420"/>
        <w:rPr>
          <w:rFonts w:hint="eastAsia" w:hAnsi="宋体" w:cs="宋体"/>
          <w:sz w:val="21"/>
          <w:szCs w:val="21"/>
          <w:highlight w:val="none"/>
        </w:rPr>
      </w:pPr>
      <w:r>
        <w:rPr>
          <w:rFonts w:hint="eastAsia" w:hAnsi="宋体" w:cs="宋体"/>
          <w:sz w:val="21"/>
          <w:szCs w:val="21"/>
          <w:highlight w:val="none"/>
        </w:rPr>
        <w:t>（5）设计图纸（包括分析图、总平面图、表现图等）；</w:t>
      </w:r>
    </w:p>
    <w:p>
      <w:pPr>
        <w:adjustRightInd w:val="0"/>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（6）投标人认为有必要提供的其他资料。</w:t>
      </w:r>
    </w:p>
    <w:p>
      <w:pPr>
        <w:adjustRightInd w:val="0"/>
        <w:snapToGrid w:val="0"/>
        <w:spacing w:line="380" w:lineRule="exact"/>
        <w:rPr>
          <w:rFonts w:hint="eastAsia" w:ascii="宋体" w:hAnsi="宋体" w:cs="宋体"/>
          <w:szCs w:val="21"/>
          <w:highlight w:val="none"/>
        </w:rPr>
      </w:pPr>
    </w:p>
    <w:p>
      <w:pPr>
        <w:adjustRightInd w:val="0"/>
        <w:snapToGrid w:val="0"/>
        <w:spacing w:line="380" w:lineRule="exact"/>
        <w:rPr>
          <w:rFonts w:hint="eastAsia" w:ascii="宋体" w:hAnsi="宋体" w:cs="宋体"/>
          <w:szCs w:val="21"/>
          <w:highlight w:val="none"/>
        </w:rPr>
      </w:pPr>
      <w:r>
        <w:rPr>
          <w:rFonts w:hint="eastAsia" w:ascii="宋体" w:hAnsi="宋体" w:cs="宋体"/>
          <w:b/>
          <w:szCs w:val="21"/>
          <w:highlight w:val="none"/>
        </w:rPr>
        <w:t>6      商务文件（适用于综合评分法）</w:t>
      </w:r>
    </w:p>
    <w:p>
      <w:pPr>
        <w:pStyle w:val="13"/>
        <w:adjustRightInd w:val="0"/>
        <w:snapToGrid w:val="0"/>
        <w:spacing w:line="380" w:lineRule="exact"/>
        <w:ind w:firstLine="0" w:firstLineChars="0"/>
        <w:rPr>
          <w:rFonts w:hint="eastAsia" w:hAnsi="宋体" w:cs="宋体"/>
          <w:sz w:val="21"/>
          <w:szCs w:val="21"/>
          <w:highlight w:val="none"/>
        </w:rPr>
      </w:pPr>
      <w:r>
        <w:rPr>
          <w:rFonts w:hint="eastAsia" w:hAnsi="宋体" w:cs="宋体"/>
          <w:sz w:val="21"/>
          <w:szCs w:val="21"/>
          <w:highlight w:val="none"/>
        </w:rPr>
        <w:t>5.1    商务文件内容：</w:t>
      </w:r>
    </w:p>
    <w:p>
      <w:pPr>
        <w:adjustRightInd w:val="0"/>
        <w:snapToGrid w:val="0"/>
        <w:spacing w:line="380" w:lineRule="exact"/>
        <w:ind w:left="613" w:hanging="613" w:hangingChars="292"/>
        <w:rPr>
          <w:rFonts w:hint="eastAsia" w:ascii="宋体" w:hAnsi="宋体" w:cs="宋体"/>
          <w:szCs w:val="21"/>
          <w:highlight w:val="none"/>
        </w:rPr>
      </w:pPr>
      <w:r>
        <w:rPr>
          <w:rFonts w:hint="eastAsia" w:ascii="宋体" w:hAnsi="宋体" w:cs="宋体"/>
          <w:szCs w:val="21"/>
          <w:highlight w:val="none"/>
        </w:rPr>
        <w:t xml:space="preserve">    （1）目录；</w:t>
      </w:r>
    </w:p>
    <w:p>
      <w:pPr>
        <w:adjustRightInd w:val="0"/>
        <w:snapToGrid w:val="0"/>
        <w:spacing w:line="380" w:lineRule="exact"/>
        <w:ind w:left="608" w:leftChars="199" w:hanging="191" w:hangingChars="91"/>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u w:val="single"/>
        </w:rPr>
        <w:t>《</w:t>
      </w:r>
      <w:r>
        <w:rPr>
          <w:rFonts w:hint="eastAsia" w:ascii="宋体" w:hAnsi="宋体"/>
          <w:szCs w:val="21"/>
          <w:highlight w:val="none"/>
          <w:u w:val="single"/>
        </w:rPr>
        <w:t>投标报价汇总表</w:t>
      </w:r>
      <w:r>
        <w:rPr>
          <w:rFonts w:hint="eastAsia" w:ascii="宋体" w:hAnsi="宋体" w:cs="宋体"/>
          <w:szCs w:val="21"/>
          <w:highlight w:val="none"/>
          <w:u w:val="single"/>
        </w:rPr>
        <w:t>》</w:t>
      </w:r>
      <w:r>
        <w:rPr>
          <w:rFonts w:hint="eastAsia" w:ascii="宋体" w:hAnsi="宋体" w:cs="宋体"/>
          <w:szCs w:val="21"/>
          <w:highlight w:val="none"/>
        </w:rPr>
        <w:t>；</w:t>
      </w:r>
    </w:p>
    <w:p>
      <w:pPr>
        <w:adjustRightInd w:val="0"/>
        <w:snapToGrid w:val="0"/>
        <w:spacing w:line="380" w:lineRule="exact"/>
        <w:ind w:left="713" w:leftChars="299" w:hanging="86" w:hangingChars="41"/>
        <w:rPr>
          <w:rFonts w:hint="eastAsia" w:ascii="宋体" w:hAnsi="宋体" w:cs="宋体"/>
          <w:szCs w:val="21"/>
          <w:highlight w:val="none"/>
        </w:rPr>
      </w:pPr>
      <w:r>
        <w:rPr>
          <w:rFonts w:hint="eastAsia" w:ascii="宋体" w:hAnsi="宋体" w:cs="宋体"/>
          <w:szCs w:val="21"/>
          <w:highlight w:val="none"/>
        </w:rPr>
        <w:t>注：投标人无需提供，评标委员会根据“开标信封”中资料进行评审。投标人再次提供且不一致的，以“开标信封”的资料为准。</w:t>
      </w:r>
    </w:p>
    <w:p>
      <w:pPr>
        <w:adjustRightInd w:val="0"/>
        <w:snapToGrid w:val="0"/>
        <w:spacing w:line="380" w:lineRule="exact"/>
        <w:ind w:left="608" w:leftChars="199" w:hanging="191" w:hangingChars="91"/>
        <w:rPr>
          <w:rFonts w:hint="eastAsia" w:ascii="宋体" w:hAnsi="宋体" w:cs="宋体"/>
          <w:szCs w:val="21"/>
          <w:highlight w:val="none"/>
        </w:rPr>
      </w:pPr>
      <w:r>
        <w:rPr>
          <w:rFonts w:hint="eastAsia" w:ascii="宋体" w:hAnsi="宋体" w:cs="宋体"/>
          <w:szCs w:val="21"/>
          <w:highlight w:val="none"/>
        </w:rPr>
        <w:t>（3）投标人综合实力证明材料（按《商务文件综合评分表》要求提交）；</w:t>
      </w:r>
    </w:p>
    <w:p>
      <w:pPr>
        <w:adjustRightInd w:val="0"/>
        <w:snapToGrid w:val="0"/>
        <w:spacing w:line="380" w:lineRule="exact"/>
        <w:ind w:left="608" w:leftChars="199" w:hanging="191" w:hangingChars="91"/>
        <w:rPr>
          <w:rFonts w:hint="eastAsia" w:ascii="宋体" w:hAnsi="宋体" w:cs="宋体"/>
          <w:szCs w:val="21"/>
          <w:highlight w:val="none"/>
        </w:rPr>
      </w:pPr>
      <w:r>
        <w:rPr>
          <w:rFonts w:hint="eastAsia" w:ascii="宋体" w:hAnsi="宋体" w:cs="宋体"/>
          <w:szCs w:val="21"/>
          <w:highlight w:val="none"/>
        </w:rPr>
        <w:t>（4）投标人认为有必要提供的其他资料。</w:t>
      </w:r>
    </w:p>
    <w:p>
      <w:pPr>
        <w:adjustRightInd w:val="0"/>
        <w:snapToGrid w:val="0"/>
        <w:spacing w:line="380" w:lineRule="exact"/>
        <w:rPr>
          <w:rFonts w:hint="eastAsia" w:ascii="宋体" w:hAnsi="宋体" w:cs="宋体"/>
          <w:szCs w:val="21"/>
          <w:highlight w:val="none"/>
        </w:rPr>
      </w:pPr>
    </w:p>
    <w:p>
      <w:pPr>
        <w:adjustRightInd w:val="0"/>
        <w:snapToGrid w:val="0"/>
        <w:spacing w:line="380" w:lineRule="exact"/>
        <w:rPr>
          <w:rFonts w:hint="eastAsia" w:ascii="宋体" w:hAnsi="宋体" w:cs="宋体"/>
          <w:szCs w:val="21"/>
          <w:highlight w:val="none"/>
        </w:rPr>
      </w:pPr>
      <w:r>
        <w:rPr>
          <w:rFonts w:hint="eastAsia" w:ascii="宋体" w:hAnsi="宋体" w:cs="宋体"/>
          <w:b/>
          <w:szCs w:val="21"/>
          <w:highlight w:val="none"/>
        </w:rPr>
        <w:t>7      投标</w:t>
      </w:r>
      <w:r>
        <w:rPr>
          <w:rFonts w:hint="eastAsia" w:ascii="宋体" w:hAnsi="宋体" w:cs="宋体"/>
          <w:b/>
          <w:bCs/>
          <w:szCs w:val="21"/>
          <w:highlight w:val="none"/>
        </w:rPr>
        <w:t>深度要求</w:t>
      </w:r>
    </w:p>
    <w:p>
      <w:pPr>
        <w:adjustRightInd w:val="0"/>
        <w:snapToGrid w:val="0"/>
        <w:spacing w:line="380" w:lineRule="exact"/>
        <w:ind w:left="718" w:hanging="718" w:hangingChars="342"/>
        <w:jc w:val="left"/>
        <w:rPr>
          <w:rFonts w:hint="eastAsia" w:ascii="宋体" w:hAnsi="宋体" w:cs="宋体"/>
          <w:szCs w:val="21"/>
          <w:highlight w:val="none"/>
        </w:rPr>
      </w:pPr>
      <w:r>
        <w:rPr>
          <w:rFonts w:hint="eastAsia" w:ascii="宋体" w:hAnsi="宋体" w:cs="宋体"/>
          <w:szCs w:val="21"/>
          <w:highlight w:val="none"/>
        </w:rPr>
        <w:t>7.1    设计投标文件宜达到建设部《市政公用工程设计文件编制深度规定》（2013年版）相应设计阶段的要求。</w:t>
      </w:r>
    </w:p>
    <w:p>
      <w:pPr>
        <w:pStyle w:val="25"/>
        <w:spacing w:line="360" w:lineRule="auto"/>
        <w:ind w:firstLine="0"/>
        <w:jc w:val="left"/>
        <w:rPr>
          <w:rFonts w:hint="eastAsia" w:ascii="宋体" w:hAnsi="宋体" w:cs="宋体"/>
          <w:sz w:val="24"/>
          <w:highlight w:val="none"/>
        </w:rPr>
      </w:pPr>
    </w:p>
    <w:p>
      <w:pPr>
        <w:pStyle w:val="25"/>
        <w:spacing w:line="360" w:lineRule="auto"/>
        <w:ind w:firstLine="0"/>
        <w:jc w:val="left"/>
        <w:rPr>
          <w:rFonts w:hint="eastAsia" w:ascii="宋体" w:hAnsi="宋体" w:cs="宋体"/>
          <w:sz w:val="24"/>
          <w:highlight w:val="none"/>
        </w:rPr>
      </w:pPr>
    </w:p>
    <w:p>
      <w:pPr>
        <w:pStyle w:val="25"/>
        <w:spacing w:line="360" w:lineRule="auto"/>
        <w:ind w:firstLine="0"/>
        <w:jc w:val="left"/>
        <w:rPr>
          <w:rFonts w:hint="eastAsia" w:ascii="宋体" w:hAnsi="宋体" w:cs="宋体"/>
          <w:sz w:val="24"/>
          <w:highlight w:val="none"/>
        </w:rPr>
      </w:pPr>
    </w:p>
    <w:p>
      <w:pPr>
        <w:pStyle w:val="25"/>
        <w:spacing w:line="360" w:lineRule="auto"/>
        <w:ind w:firstLine="0"/>
        <w:jc w:val="left"/>
        <w:rPr>
          <w:rFonts w:hint="eastAsia" w:ascii="宋体" w:hAnsi="宋体" w:cs="宋体"/>
          <w:sz w:val="24"/>
          <w:highlight w:val="none"/>
        </w:rPr>
      </w:pPr>
    </w:p>
    <w:p>
      <w:pPr>
        <w:pStyle w:val="6"/>
        <w:spacing w:before="156" w:after="156"/>
        <w:ind w:left="0" w:firstLine="0"/>
        <w:rPr>
          <w:rFonts w:hint="eastAsia" w:ascii="宋体" w:hAnsi="宋体" w:cs="宋体"/>
          <w:highlight w:val="none"/>
        </w:rPr>
      </w:pPr>
      <w:bookmarkStart w:id="81" w:name="_Toc23440"/>
      <w:r>
        <w:rPr>
          <w:rFonts w:hint="eastAsia" w:ascii="宋体" w:hAnsi="宋体" w:cs="宋体"/>
          <w:highlight w:val="none"/>
        </w:rPr>
        <w:br w:type="page"/>
      </w:r>
      <w:r>
        <w:rPr>
          <w:rFonts w:hint="eastAsia" w:ascii="宋体" w:hAnsi="宋体" w:cs="宋体"/>
          <w:highlight w:val="none"/>
        </w:rPr>
        <w:t>附件15 投标函</w:t>
      </w:r>
      <w:bookmarkEnd w:id="81"/>
    </w:p>
    <w:p>
      <w:pPr>
        <w:pStyle w:val="25"/>
        <w:spacing w:line="360" w:lineRule="auto"/>
        <w:ind w:firstLine="0"/>
        <w:rPr>
          <w:rFonts w:hint="eastAsia" w:ascii="宋体" w:hAnsi="宋体" w:cs="宋体"/>
          <w:sz w:val="24"/>
          <w:highlight w:val="none"/>
        </w:rPr>
      </w:pPr>
    </w:p>
    <w:p>
      <w:pPr>
        <w:pStyle w:val="25"/>
        <w:spacing w:line="360" w:lineRule="auto"/>
        <w:ind w:firstLine="0"/>
        <w:jc w:val="center"/>
        <w:rPr>
          <w:rFonts w:hint="eastAsia" w:ascii="宋体" w:hAnsi="宋体" w:cs="宋体"/>
          <w:b/>
          <w:sz w:val="32"/>
          <w:szCs w:val="32"/>
          <w:highlight w:val="none"/>
        </w:rPr>
      </w:pPr>
      <w:r>
        <w:rPr>
          <w:rFonts w:hint="eastAsia" w:ascii="宋体" w:hAnsi="宋体" w:cs="宋体"/>
          <w:b/>
          <w:sz w:val="32"/>
          <w:szCs w:val="32"/>
          <w:highlight w:val="none"/>
        </w:rPr>
        <w:t>投标函</w:t>
      </w:r>
    </w:p>
    <w:p>
      <w:pPr>
        <w:adjustRightInd w:val="0"/>
        <w:snapToGrid w:val="0"/>
        <w:spacing w:line="360" w:lineRule="auto"/>
        <w:jc w:val="left"/>
        <w:rPr>
          <w:rFonts w:hint="eastAsia" w:ascii="宋体" w:hAnsi="宋体" w:cs="宋体"/>
          <w:sz w:val="24"/>
          <w:highlight w:val="none"/>
        </w:rPr>
      </w:pPr>
    </w:p>
    <w:p>
      <w:pPr>
        <w:adjustRightInd w:val="0"/>
        <w:snapToGrid w:val="0"/>
        <w:spacing w:line="360" w:lineRule="auto"/>
        <w:jc w:val="left"/>
        <w:rPr>
          <w:rFonts w:hint="eastAsia" w:ascii="宋体" w:hAns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pPr>
        <w:adjustRightInd w:val="0"/>
        <w:snapToGrid w:val="0"/>
        <w:spacing w:line="360" w:lineRule="auto"/>
        <w:jc w:val="left"/>
        <w:rPr>
          <w:rFonts w:hint="eastAsia" w:ascii="宋体" w:hAnsi="宋体" w:cs="宋体"/>
          <w:sz w:val="24"/>
          <w:highlight w:val="none"/>
          <w:u w:val="single"/>
        </w:rPr>
      </w:pPr>
    </w:p>
    <w:p>
      <w:pPr>
        <w:adjustRightInd w:val="0"/>
        <w:snapToGrid w:val="0"/>
        <w:spacing w:line="360" w:lineRule="auto"/>
        <w:rPr>
          <w:rFonts w:hint="eastAsia"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（招标人）</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我方已收到并详细研究了上述项目的招标文件、投标须知、合同条款、设计任务书及前期资料、技术规范等文件。我方愿按上述文件的规定，以</w:t>
      </w:r>
      <w:r>
        <w:rPr>
          <w:rFonts w:hint="eastAsia" w:ascii="宋体" w:hAnsi="宋体" w:cs="宋体"/>
          <w:sz w:val="24"/>
          <w:highlight w:val="none"/>
          <w:u w:val="single"/>
        </w:rPr>
        <w:t>《投标报价汇总表》</w:t>
      </w:r>
      <w:r>
        <w:rPr>
          <w:rFonts w:hint="eastAsia" w:ascii="宋体" w:hAnsi="宋体" w:cs="宋体"/>
          <w:sz w:val="24"/>
          <w:highlight w:val="none"/>
        </w:rPr>
        <w:t>的投标总报价，承包本次招标所包含的工作，并承担质量缺陷责任。</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同意所递交的投标文件在招标文件规定的投标有效期内有效，在此期间内我方的投标有可能中标，我方将受此约束。我方承诺在招标文件规定的投标有效期内不修改、撤销投标文件。如果在投标有效期内撤销投标或放弃中标资格，我方投标保证金将不予退还，给你方造成的损失超过我方投标保证金金额的，你方有权要求我方对超过部分进行赔偿。</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已了解招标文件中载明的评标和定标条款，并接受根据招标文件规定进行评定的中标结果。如我方成为本项目中标候选人，我方同意并授权招标人将我方投标文件商务部分进行公开。如我方中标，我方将按照规定递交履约担保，并按合同约定工期完成工作，质量标准达到招标文件和合同的要求。</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除非另外达成协议并生效，你方的中标通知书和本投标文件将成为约束双方的合同文件的组成部分。</w:t>
      </w:r>
    </w:p>
    <w:p>
      <w:pPr>
        <w:adjustRightInd w:val="0"/>
        <w:snapToGrid w:val="0"/>
        <w:spacing w:line="360" w:lineRule="auto"/>
        <w:rPr>
          <w:rFonts w:hint="eastAsia" w:ascii="宋体" w:hAnsi="宋体" w:cs="宋体"/>
          <w:sz w:val="24"/>
          <w:highlight w:val="none"/>
        </w:rPr>
      </w:pPr>
    </w:p>
    <w:p>
      <w:pPr>
        <w:adjustRightInd w:val="0"/>
        <w:snapToGrid w:val="0"/>
        <w:spacing w:line="360" w:lineRule="auto"/>
        <w:rPr>
          <w:rFonts w:hint="eastAsia" w:ascii="宋体" w:hAnsi="宋体" w:cs="宋体"/>
          <w:sz w:val="24"/>
          <w:highlight w:val="none"/>
        </w:rPr>
      </w:pP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投标人：（盖章）</w:t>
      </w:r>
      <w:r>
        <w:rPr>
          <w:rFonts w:hint="eastAsia" w:ascii="宋体" w:hAnsi="宋体" w:cs="宋体"/>
          <w:sz w:val="24"/>
          <w:highlight w:val="none"/>
          <w:u w:val="single"/>
        </w:rPr>
        <w:t xml:space="preserve">                                   </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法定代表人：（签字或盖章）</w:t>
      </w:r>
      <w:r>
        <w:rPr>
          <w:rFonts w:hint="eastAsia" w:ascii="宋体" w:hAnsi="宋体" w:cs="宋体"/>
          <w:sz w:val="24"/>
          <w:highlight w:val="none"/>
          <w:u w:val="single"/>
        </w:rPr>
        <w:t xml:space="preserve">                         </w:t>
      </w:r>
    </w:p>
    <w:p>
      <w:pPr>
        <w:adjustRightInd w:val="0"/>
        <w:snapToGrid w:val="0"/>
        <w:spacing w:line="360" w:lineRule="auto"/>
        <w:ind w:firstLine="480" w:firstLineChars="200"/>
        <w:rPr>
          <w:rFonts w:hint="eastAsia" w:ascii="宋体" w:hAnsi="宋体" w:cs="宋体"/>
          <w:sz w:val="24"/>
          <w:highlight w:val="none"/>
        </w:rPr>
      </w:pPr>
    </w:p>
    <w:p>
      <w:pPr>
        <w:adjustRightInd w:val="0"/>
        <w:snapToGrid w:val="0"/>
        <w:spacing w:line="360" w:lineRule="auto"/>
        <w:rPr>
          <w:rFonts w:hint="eastAsia" w:ascii="宋体" w:hAnsi="宋体" w:cs="宋体"/>
          <w:sz w:val="24"/>
          <w:highlight w:val="none"/>
        </w:rPr>
      </w:pPr>
    </w:p>
    <w:p>
      <w:pPr>
        <w:adjustRightInd w:val="0"/>
        <w:snapToGrid w:val="0"/>
        <w:spacing w:line="360" w:lineRule="auto"/>
        <w:ind w:firstLine="5760" w:firstLineChars="2400"/>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15"/>
        <w:adjustRightInd w:val="0"/>
        <w:snapToGrid w:val="0"/>
        <w:spacing w:line="360" w:lineRule="auto"/>
        <w:rPr>
          <w:rFonts w:hint="eastAsia" w:hAnsi="宋体" w:cs="宋体"/>
          <w:b/>
          <w:bCs/>
          <w:sz w:val="24"/>
          <w:szCs w:val="24"/>
          <w:highlight w:val="none"/>
        </w:rPr>
      </w:pPr>
    </w:p>
    <w:p>
      <w:pPr>
        <w:pStyle w:val="15"/>
        <w:adjustRightInd w:val="0"/>
        <w:snapToGrid w:val="0"/>
        <w:spacing w:line="360" w:lineRule="auto"/>
        <w:rPr>
          <w:rFonts w:hint="eastAsia" w:hAnsi="宋体" w:cs="宋体"/>
          <w:b/>
          <w:bCs/>
          <w:sz w:val="24"/>
          <w:szCs w:val="24"/>
          <w:highlight w:val="none"/>
        </w:rPr>
      </w:pPr>
    </w:p>
    <w:p>
      <w:pPr>
        <w:pStyle w:val="6"/>
        <w:spacing w:before="156" w:after="156"/>
        <w:ind w:left="0" w:firstLine="0"/>
        <w:rPr>
          <w:rFonts w:hint="eastAsia" w:ascii="宋体" w:hAnsi="宋体" w:cs="宋体"/>
          <w:highlight w:val="none"/>
        </w:rPr>
      </w:pPr>
      <w:bookmarkStart w:id="82" w:name="_Toc7985"/>
      <w:r>
        <w:rPr>
          <w:rFonts w:hint="eastAsia" w:ascii="宋体" w:hAnsi="宋体" w:cs="宋体"/>
          <w:highlight w:val="none"/>
        </w:rPr>
        <w:t>附件16 投标人声明</w:t>
      </w:r>
      <w:bookmarkEnd w:id="82"/>
    </w:p>
    <w:p>
      <w:pPr>
        <w:spacing w:line="360" w:lineRule="auto"/>
        <w:jc w:val="left"/>
        <w:rPr>
          <w:rFonts w:hint="eastAsia" w:ascii="宋体" w:hAnsi="宋体" w:cs="宋体"/>
          <w:highlight w:val="none"/>
        </w:rPr>
      </w:pPr>
    </w:p>
    <w:p>
      <w:pPr>
        <w:jc w:val="center"/>
        <w:rPr>
          <w:rFonts w:hint="eastAsia" w:ascii="宋体" w:hAnsi="宋体" w:cs="宋体"/>
          <w:b/>
          <w:sz w:val="32"/>
          <w:highlight w:val="none"/>
        </w:rPr>
      </w:pPr>
      <w:r>
        <w:rPr>
          <w:rFonts w:hint="eastAsia" w:ascii="宋体" w:hAnsi="宋体" w:cs="宋体"/>
          <w:b/>
          <w:sz w:val="32"/>
          <w:highlight w:val="none"/>
        </w:rPr>
        <w:t>投标人声明</w:t>
      </w:r>
    </w:p>
    <w:p>
      <w:pPr>
        <w:pStyle w:val="52"/>
        <w:adjustRightInd w:val="0"/>
        <w:snapToGrid w:val="0"/>
        <w:rPr>
          <w:rFonts w:hint="eastAsia" w:ascii="宋体" w:hAnsi="宋体" w:eastAsia="宋体" w:cs="宋体"/>
          <w:color w:val="auto"/>
          <w:kern w:val="2"/>
          <w:sz w:val="24"/>
          <w:szCs w:val="24"/>
          <w:highlight w:val="none"/>
        </w:rPr>
      </w:pPr>
    </w:p>
    <w:p>
      <w:pPr>
        <w:pStyle w:val="52"/>
        <w:adjustRightInd w:val="0"/>
        <w:snapToGrid w:val="0"/>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广州市海珠区建设工程招标管理办公室</w:t>
      </w:r>
      <w:r>
        <w:rPr>
          <w:rFonts w:hint="eastAsia" w:ascii="宋体" w:hAnsi="宋体" w:eastAsia="宋体" w:cs="宋体"/>
          <w:color w:val="auto"/>
          <w:kern w:val="2"/>
          <w:sz w:val="24"/>
          <w:szCs w:val="24"/>
          <w:highlight w:val="none"/>
        </w:rPr>
        <w:t>、本招标项目招标人：</w:t>
      </w:r>
    </w:p>
    <w:p>
      <w:pPr>
        <w:pStyle w:val="52"/>
        <w:adjustRightInd w:val="0"/>
        <w:snapToGrid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本公司就参加</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投标工作，作出郑重声明：</w:t>
      </w:r>
    </w:p>
    <w:p>
      <w:pPr>
        <w:pStyle w:val="52"/>
        <w:adjustRightInd w:val="0"/>
        <w:snapToGrid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本公司保证本次投标活动所提供的材料都是真实的，在广州公共资源交易平台企业库登记的一切信息都是真实的、在有效期内的。如我司成为本项目中标候选人，我公司同意并授权招标人将我司投标文件商务部分的人员、业绩、奖项等资料进行公开。</w:t>
      </w:r>
    </w:p>
    <w:p>
      <w:pPr>
        <w:pStyle w:val="52"/>
        <w:adjustRightInd w:val="0"/>
        <w:snapToGrid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二、本公司保证在本项目投标中不与其他单位围标、串标，不出让投标资格，不向招标人或评标委员会成员行贿。</w:t>
      </w:r>
    </w:p>
    <w:p>
      <w:pPr>
        <w:pStyle w:val="52"/>
        <w:adjustRightInd w:val="0"/>
        <w:snapToGrid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三、本公司不存在第二章《投标须知通用条款》第1.5款规定的任何一种情形。</w:t>
      </w:r>
    </w:p>
    <w:p>
      <w:pPr>
        <w:pStyle w:val="52"/>
        <w:adjustRightInd w:val="0"/>
        <w:snapToGrid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本公司违反上述保证，或本声明陈述与事实不符，经查实，本公司愿意接受公开通报，承担由此带来的法律后果，并自愿停止参加广州市行政辖区内的招标投标活动三个月。</w:t>
      </w:r>
    </w:p>
    <w:p>
      <w:pPr>
        <w:pStyle w:val="52"/>
        <w:adjustRightInd w:val="0"/>
        <w:snapToGrid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特此声明。</w:t>
      </w:r>
    </w:p>
    <w:p>
      <w:pPr>
        <w:pStyle w:val="52"/>
        <w:adjustRightInd w:val="0"/>
        <w:snapToGrid w:val="0"/>
        <w:rPr>
          <w:rFonts w:hint="eastAsia" w:ascii="宋体" w:hAnsi="宋体" w:eastAsia="宋体" w:cs="宋体"/>
          <w:color w:val="auto"/>
          <w:kern w:val="2"/>
          <w:sz w:val="24"/>
          <w:szCs w:val="24"/>
          <w:highlight w:val="none"/>
        </w:rPr>
      </w:pPr>
    </w:p>
    <w:p>
      <w:pPr>
        <w:pStyle w:val="52"/>
        <w:adjustRightInd w:val="0"/>
        <w:snapToGrid w:val="0"/>
        <w:rPr>
          <w:rFonts w:hint="eastAsia" w:ascii="宋体" w:hAnsi="宋体" w:eastAsia="宋体" w:cs="宋体"/>
          <w:color w:val="auto"/>
          <w:kern w:val="2"/>
          <w:sz w:val="24"/>
          <w:szCs w:val="24"/>
          <w:highlight w:val="none"/>
        </w:rPr>
      </w:pPr>
    </w:p>
    <w:p>
      <w:pPr>
        <w:pStyle w:val="52"/>
        <w:adjustRightInd w:val="0"/>
        <w:snapToGrid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w:t>
      </w:r>
    </w:p>
    <w:p>
      <w:pPr>
        <w:pStyle w:val="52"/>
        <w:adjustRightInd w:val="0"/>
        <w:snapToGrid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投标人：(盖章)</w:t>
      </w:r>
      <w:r>
        <w:rPr>
          <w:rFonts w:hint="eastAsia" w:ascii="宋体" w:hAnsi="宋体" w:eastAsia="宋体" w:cs="宋体"/>
          <w:color w:val="auto"/>
          <w:sz w:val="24"/>
          <w:highlight w:val="none"/>
          <w:u w:val="single"/>
        </w:rPr>
        <w:t xml:space="preserve">                              </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法定代表人：（签字或盖章）</w:t>
      </w:r>
      <w:r>
        <w:rPr>
          <w:rFonts w:hint="eastAsia" w:ascii="宋体" w:hAnsi="宋体" w:cs="宋体"/>
          <w:sz w:val="24"/>
          <w:highlight w:val="none"/>
          <w:u w:val="single"/>
        </w:rPr>
        <w:t xml:space="preserve">                   </w:t>
      </w:r>
    </w:p>
    <w:p>
      <w:pPr>
        <w:pStyle w:val="52"/>
        <w:adjustRightInd w:val="0"/>
        <w:snapToGrid w:val="0"/>
        <w:rPr>
          <w:rFonts w:hint="eastAsia" w:ascii="宋体" w:hAnsi="宋体" w:eastAsia="宋体" w:cs="宋体"/>
          <w:color w:val="auto"/>
          <w:kern w:val="2"/>
          <w:sz w:val="24"/>
          <w:szCs w:val="24"/>
          <w:highlight w:val="none"/>
        </w:rPr>
      </w:pPr>
    </w:p>
    <w:p>
      <w:pPr>
        <w:pStyle w:val="52"/>
        <w:adjustRightInd w:val="0"/>
        <w:snapToGrid w:val="0"/>
        <w:rPr>
          <w:rFonts w:hint="eastAsia" w:ascii="宋体" w:hAnsi="宋体" w:eastAsia="宋体" w:cs="宋体"/>
          <w:color w:val="auto"/>
          <w:kern w:val="2"/>
          <w:sz w:val="24"/>
          <w:szCs w:val="24"/>
          <w:highlight w:val="none"/>
        </w:rPr>
      </w:pPr>
    </w:p>
    <w:p>
      <w:pPr>
        <w:pStyle w:val="52"/>
        <w:adjustRightInd w:val="0"/>
        <w:snapToGrid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w:t>
      </w:r>
    </w:p>
    <w:p>
      <w:pPr>
        <w:pStyle w:val="52"/>
        <w:adjustRightInd w:val="0"/>
        <w:snapToGrid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52"/>
        <w:adjustRightInd w:val="0"/>
        <w:snapToGrid w:val="0"/>
        <w:rPr>
          <w:rFonts w:hint="eastAsia" w:ascii="宋体" w:hAnsi="宋体" w:eastAsia="宋体" w:cs="宋体"/>
          <w:color w:val="auto"/>
          <w:kern w:val="2"/>
          <w:sz w:val="24"/>
          <w:szCs w:val="24"/>
          <w:highlight w:val="none"/>
        </w:rPr>
      </w:pPr>
    </w:p>
    <w:p>
      <w:pPr>
        <w:pStyle w:val="15"/>
        <w:adjustRightInd w:val="0"/>
        <w:snapToGrid w:val="0"/>
        <w:spacing w:line="360" w:lineRule="auto"/>
        <w:jc w:val="center"/>
        <w:rPr>
          <w:rFonts w:hint="eastAsia" w:hAnsi="宋体" w:cs="宋体"/>
          <w:sz w:val="24"/>
          <w:szCs w:val="24"/>
          <w:highlight w:val="none"/>
        </w:rPr>
      </w:pPr>
    </w:p>
    <w:p>
      <w:pPr>
        <w:pStyle w:val="15"/>
        <w:adjustRightInd w:val="0"/>
        <w:snapToGrid w:val="0"/>
        <w:spacing w:line="360" w:lineRule="auto"/>
        <w:jc w:val="center"/>
        <w:rPr>
          <w:rFonts w:hint="eastAsia" w:hAnsi="宋体" w:cs="宋体"/>
          <w:sz w:val="24"/>
          <w:szCs w:val="24"/>
          <w:highlight w:val="none"/>
        </w:rPr>
      </w:pPr>
    </w:p>
    <w:p>
      <w:pPr>
        <w:pStyle w:val="15"/>
        <w:adjustRightInd w:val="0"/>
        <w:snapToGrid w:val="0"/>
        <w:spacing w:line="360" w:lineRule="auto"/>
        <w:jc w:val="center"/>
        <w:rPr>
          <w:rFonts w:hint="eastAsia" w:hAnsi="宋体" w:cs="宋体"/>
          <w:sz w:val="24"/>
          <w:szCs w:val="24"/>
          <w:highlight w:val="none"/>
        </w:rPr>
      </w:pPr>
    </w:p>
    <w:p>
      <w:pPr>
        <w:pStyle w:val="15"/>
        <w:adjustRightInd w:val="0"/>
        <w:snapToGrid w:val="0"/>
        <w:spacing w:line="360" w:lineRule="auto"/>
        <w:rPr>
          <w:rFonts w:hint="eastAsia" w:hAnsi="宋体" w:cs="宋体"/>
          <w:sz w:val="24"/>
          <w:szCs w:val="24"/>
          <w:highlight w:val="none"/>
        </w:rPr>
      </w:pPr>
    </w:p>
    <w:p>
      <w:pPr>
        <w:pStyle w:val="6"/>
        <w:spacing w:before="156" w:after="156"/>
        <w:ind w:left="0" w:firstLine="0"/>
        <w:rPr>
          <w:rFonts w:hint="eastAsia" w:ascii="宋体" w:hAnsi="宋体" w:cs="宋体"/>
          <w:highlight w:val="none"/>
          <w:lang w:eastAsia="zh-CN"/>
        </w:rPr>
      </w:pPr>
      <w:bookmarkStart w:id="83" w:name="_Toc18484"/>
      <w:r>
        <w:rPr>
          <w:rStyle w:val="35"/>
          <w:rFonts w:hint="eastAsia" w:ascii="宋体" w:hAnsi="宋体" w:cs="宋体"/>
          <w:b w:val="0"/>
          <w:bCs w:val="0"/>
          <w:highlight w:val="none"/>
        </w:rPr>
        <w:br w:type="page"/>
      </w:r>
      <w:r>
        <w:rPr>
          <w:rFonts w:hint="eastAsia" w:ascii="宋体" w:hAnsi="宋体" w:cs="宋体"/>
          <w:highlight w:val="none"/>
        </w:rPr>
        <w:t>附件1</w:t>
      </w:r>
      <w:r>
        <w:rPr>
          <w:rFonts w:hint="eastAsia" w:ascii="宋体" w:hAnsi="宋体" w:cs="宋体"/>
          <w:highlight w:val="none"/>
          <w:lang w:val="en-US" w:eastAsia="zh-CN"/>
        </w:rPr>
        <w:t>7 法定代表人证明书及法定代表人授权书</w:t>
      </w:r>
    </w:p>
    <w:bookmarkEnd w:id="83"/>
    <w:p>
      <w:pPr>
        <w:rPr>
          <w:rFonts w:hint="eastAsia" w:ascii="宋体" w:hAnsi="宋体" w:cs="宋体"/>
          <w:b/>
          <w:bCs/>
          <w:sz w:val="24"/>
          <w:highlight w:val="none"/>
        </w:rPr>
      </w:pPr>
    </w:p>
    <w:p>
      <w:pPr>
        <w:rPr>
          <w:rStyle w:val="35"/>
          <w:rFonts w:hint="eastAsia" w:ascii="宋体" w:hAnsi="宋体" w:cs="宋体"/>
          <w:highlight w:val="none"/>
        </w:rPr>
      </w:pPr>
    </w:p>
    <w:p>
      <w:pPr>
        <w:rPr>
          <w:rStyle w:val="35"/>
          <w:rFonts w:hint="eastAsia" w:ascii="宋体" w:hAnsi="宋体" w:cs="宋体"/>
          <w:highlight w:val="none"/>
        </w:rPr>
      </w:pPr>
    </w:p>
    <w:p>
      <w:pPr>
        <w:rPr>
          <w:rStyle w:val="35"/>
          <w:rFonts w:hint="eastAsia" w:ascii="宋体" w:hAnsi="宋体" w:cs="宋体"/>
          <w:highlight w:val="none"/>
        </w:rPr>
      </w:pPr>
    </w:p>
    <w:p>
      <w:pPr>
        <w:adjustRightInd w:val="0"/>
        <w:snapToGrid w:val="0"/>
        <w:spacing w:line="360" w:lineRule="auto"/>
        <w:jc w:val="center"/>
        <w:rPr>
          <w:rFonts w:hint="eastAsia" w:ascii="宋体" w:hAnsi="宋体" w:cs="宋体"/>
          <w:b/>
          <w:sz w:val="32"/>
          <w:highlight w:val="none"/>
        </w:rPr>
      </w:pPr>
      <w:bookmarkStart w:id="84" w:name="_Toc152045791"/>
      <w:bookmarkStart w:id="85" w:name="_Toc507162845"/>
      <w:bookmarkStart w:id="86" w:name="_Toc152042580"/>
      <w:bookmarkStart w:id="87" w:name="_Toc507590785"/>
      <w:bookmarkStart w:id="88" w:name="_Toc247514283"/>
      <w:bookmarkStart w:id="89" w:name="_Toc300835213"/>
      <w:bookmarkStart w:id="90" w:name="_Toc144974860"/>
      <w:bookmarkStart w:id="91" w:name="_Toc247527831"/>
      <w:r>
        <w:rPr>
          <w:rFonts w:hint="eastAsia" w:ascii="宋体" w:hAnsi="宋体" w:cs="宋体"/>
          <w:b/>
          <w:sz w:val="32"/>
          <w:highlight w:val="none"/>
        </w:rPr>
        <w:t>法定代表人证明</w:t>
      </w:r>
      <w:bookmarkEnd w:id="84"/>
      <w:bookmarkEnd w:id="85"/>
      <w:bookmarkEnd w:id="86"/>
      <w:bookmarkEnd w:id="87"/>
      <w:bookmarkEnd w:id="88"/>
      <w:bookmarkEnd w:id="89"/>
      <w:bookmarkEnd w:id="90"/>
      <w:bookmarkEnd w:id="91"/>
      <w:r>
        <w:rPr>
          <w:rFonts w:hint="eastAsia" w:ascii="宋体" w:hAnsi="宋体" w:cs="宋体"/>
          <w:b/>
          <w:sz w:val="32"/>
          <w:highlight w:val="none"/>
        </w:rPr>
        <w:t>书</w:t>
      </w:r>
    </w:p>
    <w:p>
      <w:pPr>
        <w:adjustRightInd w:val="0"/>
        <w:snapToGrid w:val="0"/>
        <w:spacing w:line="360" w:lineRule="auto"/>
        <w:ind w:firstLine="400" w:firstLineChars="200"/>
        <w:rPr>
          <w:rFonts w:hint="eastAsia" w:ascii="宋体" w:hAnsi="宋体" w:cs="宋体"/>
          <w:sz w:val="20"/>
          <w:szCs w:val="20"/>
          <w:highlight w:val="none"/>
        </w:rPr>
      </w:pPr>
    </w:p>
    <w:p>
      <w:pPr>
        <w:adjustRightInd w:val="0"/>
        <w:snapToGrid w:val="0"/>
        <w:spacing w:line="360" w:lineRule="auto"/>
        <w:ind w:firstLine="480" w:firstLineChars="200"/>
        <w:rPr>
          <w:rFonts w:hint="eastAsia" w:ascii="宋体" w:hAnsi="宋体" w:cs="宋体"/>
          <w:sz w:val="24"/>
          <w:highlight w:val="none"/>
        </w:rPr>
      </w:pPr>
    </w:p>
    <w:p>
      <w:pPr>
        <w:adjustRightInd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 xml:space="preserve">          </w:t>
      </w:r>
      <w:r>
        <w:rPr>
          <w:rFonts w:hint="eastAsia" w:ascii="宋体" w:hAnsi="宋体" w:cs="宋体"/>
          <w:sz w:val="24"/>
          <w:highlight w:val="none"/>
        </w:rPr>
        <w:t>（姓名）现任我单位</w:t>
      </w:r>
      <w:r>
        <w:rPr>
          <w:rFonts w:hint="eastAsia" w:ascii="宋体" w:hAnsi="宋体" w:cs="宋体"/>
          <w:sz w:val="24"/>
          <w:highlight w:val="none"/>
          <w:u w:val="single"/>
        </w:rPr>
        <w:t xml:space="preserve">          </w:t>
      </w:r>
      <w:r>
        <w:rPr>
          <w:rFonts w:hint="eastAsia" w:ascii="宋体" w:hAnsi="宋体" w:cs="宋体"/>
          <w:sz w:val="24"/>
          <w:highlight w:val="none"/>
        </w:rPr>
        <w:t>职务，为我单位法定代表人，特此证明。</w:t>
      </w:r>
    </w:p>
    <w:p>
      <w:pPr>
        <w:adjustRightInd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有效期限：</w:t>
      </w:r>
      <w:r>
        <w:rPr>
          <w:rFonts w:hint="eastAsia" w:ascii="宋体" w:hAnsi="宋体" w:cs="宋体"/>
          <w:sz w:val="24"/>
          <w:highlight w:val="none"/>
          <w:u w:val="single"/>
        </w:rPr>
        <w:t xml:space="preserve">                                     </w:t>
      </w:r>
      <w:r>
        <w:rPr>
          <w:rFonts w:hint="eastAsia" w:ascii="宋体" w:hAnsi="宋体" w:cs="宋体"/>
          <w:sz w:val="24"/>
          <w:highlight w:val="none"/>
        </w:rPr>
        <w:t>。</w:t>
      </w:r>
    </w:p>
    <w:p>
      <w:pPr>
        <w:adjustRightInd w:val="0"/>
        <w:snapToGrid w:val="0"/>
        <w:spacing w:line="360" w:lineRule="auto"/>
        <w:ind w:firstLine="480" w:firstLineChars="200"/>
        <w:rPr>
          <w:rFonts w:hint="eastAsia" w:ascii="宋体" w:hAnsi="宋体" w:cs="宋体"/>
          <w:sz w:val="24"/>
          <w:highlight w:val="none"/>
        </w:rPr>
      </w:pP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，身份证号码：</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adjustRightInd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企业统一社会信用代码：</w:t>
      </w:r>
      <w:r>
        <w:rPr>
          <w:rFonts w:hint="eastAsia" w:ascii="宋体" w:hAnsi="宋体" w:cs="宋体"/>
          <w:sz w:val="24"/>
          <w:highlight w:val="none"/>
          <w:u w:val="single"/>
        </w:rPr>
        <w:t xml:space="preserve">             </w:t>
      </w:r>
      <w:r>
        <w:rPr>
          <w:rFonts w:hint="eastAsia" w:ascii="宋体" w:hAnsi="宋体" w:cs="宋体"/>
          <w:sz w:val="24"/>
          <w:highlight w:val="none"/>
        </w:rPr>
        <w:t>，企业类型：</w:t>
      </w:r>
      <w:r>
        <w:rPr>
          <w:rFonts w:hint="eastAsia" w:ascii="宋体" w:hAnsi="宋体" w:cs="宋体"/>
          <w:sz w:val="24"/>
          <w:highlight w:val="none"/>
          <w:u w:val="single"/>
        </w:rPr>
        <w:t xml:space="preserve">              </w:t>
      </w:r>
      <w:r>
        <w:rPr>
          <w:rFonts w:hint="eastAsia" w:ascii="宋体" w:hAnsi="宋体" w:cs="宋体"/>
          <w:sz w:val="24"/>
          <w:highlight w:val="none"/>
        </w:rPr>
        <w:t>。</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经营范围：</w:t>
      </w:r>
      <w:r>
        <w:rPr>
          <w:rFonts w:hint="eastAsia" w:ascii="宋体" w:hAnsi="宋体" w:cs="宋体"/>
          <w:sz w:val="24"/>
          <w:highlight w:val="none"/>
          <w:u w:val="single"/>
        </w:rPr>
        <w:t xml:space="preserve">                                                   </w:t>
      </w:r>
      <w:r>
        <w:rPr>
          <w:rFonts w:hint="eastAsia" w:ascii="宋体" w:hAnsi="宋体" w:cs="宋体"/>
          <w:sz w:val="24"/>
          <w:highlight w:val="none"/>
        </w:rPr>
        <w:t>。</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附：法定代表人身份证复印件</w:t>
      </w:r>
    </w:p>
    <w:p>
      <w:pPr>
        <w:adjustRightInd w:val="0"/>
        <w:snapToGrid w:val="0"/>
        <w:spacing w:line="360" w:lineRule="auto"/>
        <w:ind w:firstLine="480" w:firstLineChars="200"/>
        <w:rPr>
          <w:rFonts w:hint="eastAsia" w:ascii="宋体" w:hAnsi="宋体" w:cs="宋体"/>
          <w:sz w:val="24"/>
          <w:highlight w:val="none"/>
        </w:rPr>
      </w:pPr>
    </w:p>
    <w:p>
      <w:pPr>
        <w:adjustRightInd w:val="0"/>
        <w:snapToGrid w:val="0"/>
        <w:spacing w:line="360" w:lineRule="auto"/>
        <w:rPr>
          <w:rFonts w:hint="eastAsia" w:ascii="宋体" w:hAnsi="宋体" w:cs="宋体"/>
          <w:sz w:val="24"/>
          <w:highlight w:val="none"/>
        </w:rPr>
      </w:pPr>
    </w:p>
    <w:p>
      <w:pPr>
        <w:adjustRightInd w:val="0"/>
        <w:snapToGrid w:val="0"/>
        <w:spacing w:line="360" w:lineRule="auto"/>
        <w:rPr>
          <w:rFonts w:hint="eastAsia" w:ascii="宋体" w:hAnsi="宋体" w:cs="宋体"/>
          <w:sz w:val="24"/>
          <w:highlight w:val="none"/>
        </w:rPr>
      </w:pPr>
    </w:p>
    <w:p>
      <w:pPr>
        <w:adjustRightInd w:val="0"/>
        <w:snapToGrid w:val="0"/>
        <w:spacing w:line="360" w:lineRule="auto"/>
        <w:rPr>
          <w:rFonts w:hint="eastAsia" w:ascii="宋体" w:hAnsi="宋体" w:cs="宋体"/>
          <w:sz w:val="24"/>
          <w:highlight w:val="none"/>
        </w:rPr>
      </w:pPr>
    </w:p>
    <w:p>
      <w:pPr>
        <w:adjustRightInd w:val="0"/>
        <w:snapToGrid w:val="0"/>
        <w:spacing w:line="360" w:lineRule="auto"/>
        <w:rPr>
          <w:rFonts w:hint="eastAsia" w:ascii="宋体" w:hAnsi="宋体" w:cs="宋体"/>
          <w:sz w:val="24"/>
          <w:highlight w:val="none"/>
        </w:rPr>
      </w:pPr>
    </w:p>
    <w:p>
      <w:pPr>
        <w:adjustRightInd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投标人：（盖章）</w:t>
      </w:r>
      <w:r>
        <w:rPr>
          <w:rFonts w:hint="eastAsia" w:ascii="宋体" w:hAnsi="宋体" w:cs="宋体"/>
          <w:sz w:val="24"/>
          <w:highlight w:val="none"/>
          <w:u w:val="single"/>
        </w:rPr>
        <w:t xml:space="preserve">                               </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法定代表人：（签字或盖章）</w:t>
      </w:r>
      <w:r>
        <w:rPr>
          <w:rFonts w:hint="eastAsia" w:ascii="宋体" w:hAnsi="宋体" w:cs="宋体"/>
          <w:sz w:val="24"/>
          <w:highlight w:val="none"/>
          <w:u w:val="single"/>
        </w:rPr>
        <w:t xml:space="preserve">                     </w:t>
      </w:r>
    </w:p>
    <w:p>
      <w:pPr>
        <w:adjustRightInd w:val="0"/>
        <w:snapToGrid w:val="0"/>
        <w:spacing w:line="360" w:lineRule="auto"/>
        <w:ind w:firstLine="480" w:firstLineChars="200"/>
        <w:rPr>
          <w:rFonts w:hint="eastAsia" w:ascii="宋体" w:hAnsi="宋体" w:cs="宋体"/>
          <w:sz w:val="24"/>
          <w:highlight w:val="none"/>
          <w:u w:val="single"/>
        </w:rPr>
      </w:pP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w:t>
      </w:r>
    </w:p>
    <w:p>
      <w:pPr>
        <w:adjustRightInd w:val="0"/>
        <w:snapToGrid w:val="0"/>
        <w:spacing w:line="360" w:lineRule="auto"/>
        <w:ind w:firstLine="480" w:firstLineChars="200"/>
        <w:rPr>
          <w:rFonts w:hint="eastAsia" w:ascii="宋体" w:hAnsi="宋体" w:cs="宋体"/>
          <w:sz w:val="24"/>
          <w:highlight w:val="none"/>
        </w:rPr>
      </w:pPr>
    </w:p>
    <w:p>
      <w:pPr>
        <w:adjustRightInd w:val="0"/>
        <w:snapToGrid w:val="0"/>
        <w:spacing w:line="360" w:lineRule="auto"/>
        <w:ind w:firstLine="480" w:firstLineChars="200"/>
        <w:jc w:val="right"/>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 xml:space="preserve"> 日           </w:t>
      </w:r>
    </w:p>
    <w:p>
      <w:pPr>
        <w:adjustRightInd w:val="0"/>
        <w:snapToGrid w:val="0"/>
        <w:spacing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br w:type="page"/>
      </w:r>
    </w:p>
    <w:p>
      <w:pPr>
        <w:adjustRightInd w:val="0"/>
        <w:snapToGrid w:val="0"/>
        <w:spacing w:line="360" w:lineRule="auto"/>
        <w:jc w:val="center"/>
        <w:rPr>
          <w:rFonts w:hint="eastAsia" w:ascii="宋体" w:hAnsi="宋体" w:cs="宋体"/>
          <w:b/>
          <w:sz w:val="32"/>
          <w:highlight w:val="none"/>
        </w:rPr>
      </w:pPr>
      <w:bookmarkStart w:id="92" w:name="_Toc247514284"/>
      <w:bookmarkStart w:id="93" w:name="_Toc247527832"/>
      <w:bookmarkStart w:id="94" w:name="_Toc152045792"/>
      <w:bookmarkStart w:id="95" w:name="_Toc152042581"/>
      <w:bookmarkStart w:id="96" w:name="_Toc144974861"/>
      <w:bookmarkStart w:id="97" w:name="_Toc300835214"/>
      <w:bookmarkStart w:id="98" w:name="_Toc507162846"/>
      <w:bookmarkStart w:id="99" w:name="_Toc507590786"/>
      <w:r>
        <w:rPr>
          <w:rFonts w:hint="eastAsia" w:ascii="宋体" w:hAnsi="宋体" w:cs="宋体"/>
          <w:b/>
          <w:sz w:val="32"/>
          <w:highlight w:val="none"/>
        </w:rPr>
        <w:t>法定代表人授权书</w:t>
      </w:r>
      <w:bookmarkEnd w:id="92"/>
      <w:bookmarkEnd w:id="93"/>
      <w:bookmarkEnd w:id="94"/>
      <w:bookmarkEnd w:id="95"/>
      <w:bookmarkEnd w:id="96"/>
      <w:bookmarkEnd w:id="97"/>
      <w:bookmarkEnd w:id="98"/>
      <w:bookmarkEnd w:id="99"/>
    </w:p>
    <w:p>
      <w:pPr>
        <w:adjustRightInd w:val="0"/>
        <w:snapToGrid w:val="0"/>
        <w:spacing w:line="360" w:lineRule="auto"/>
        <w:ind w:firstLine="480" w:firstLineChars="200"/>
        <w:rPr>
          <w:rFonts w:hint="eastAsia" w:ascii="宋体" w:hAnsi="宋体" w:cs="宋体"/>
          <w:sz w:val="24"/>
          <w:highlight w:val="none"/>
        </w:rPr>
      </w:pPr>
    </w:p>
    <w:p>
      <w:pPr>
        <w:topLinePunct/>
        <w:adjustRightInd w:val="0"/>
        <w:snapToGrid w:val="0"/>
        <w:spacing w:line="360" w:lineRule="auto"/>
        <w:ind w:firstLine="480" w:firstLineChars="200"/>
        <w:rPr>
          <w:rFonts w:hint="eastAsia" w:ascii="宋体" w:hAnsi="宋体" w:cs="宋体"/>
          <w:sz w:val="24"/>
          <w:highlight w:val="none"/>
        </w:rPr>
      </w:pPr>
    </w:p>
    <w:p>
      <w:pPr>
        <w:topLinePunct/>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（姓名）为</w:t>
      </w:r>
      <w:r>
        <w:rPr>
          <w:rFonts w:hint="eastAsia" w:ascii="宋体" w:hAnsi="宋体" w:cs="宋体"/>
          <w:sz w:val="24"/>
          <w:highlight w:val="none"/>
          <w:u w:val="single"/>
        </w:rPr>
        <w:t xml:space="preserve">                </w:t>
      </w:r>
      <w:r>
        <w:rPr>
          <w:rFonts w:hint="eastAsia" w:ascii="宋体" w:hAnsi="宋体" w:cs="宋体"/>
          <w:sz w:val="24"/>
          <w:highlight w:val="none"/>
        </w:rPr>
        <w:t>（投标人名称）的法定代表人，现授</w:t>
      </w:r>
    </w:p>
    <w:p>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权</w:t>
      </w:r>
      <w:r>
        <w:rPr>
          <w:rFonts w:hint="eastAsia" w:ascii="宋体" w:hAnsi="宋体" w:cs="宋体"/>
          <w:sz w:val="24"/>
          <w:highlight w:val="none"/>
          <w:u w:val="single"/>
        </w:rPr>
        <w:t xml:space="preserve">        </w:t>
      </w:r>
      <w:r>
        <w:rPr>
          <w:rFonts w:hint="eastAsia" w:ascii="宋体" w:hAnsi="宋体" w:cs="宋体"/>
          <w:sz w:val="24"/>
          <w:highlight w:val="none"/>
        </w:rPr>
        <w:t>（姓名）为我方委托代理人。委托代理人根据授权，以我方名义签署、澄清、说明、补正、递交、撤回、修改</w:t>
      </w:r>
      <w:r>
        <w:rPr>
          <w:rFonts w:hint="eastAsia" w:ascii="宋体" w:hAnsi="宋体" w:cs="宋体"/>
          <w:sz w:val="24"/>
          <w:highlight w:val="none"/>
          <w:u w:val="single"/>
        </w:rPr>
        <w:t xml:space="preserve">             </w:t>
      </w:r>
      <w:r>
        <w:rPr>
          <w:rFonts w:hint="eastAsia" w:ascii="宋体" w:hAnsi="宋体" w:cs="宋体"/>
          <w:sz w:val="24"/>
          <w:highlight w:val="none"/>
        </w:rPr>
        <w:t>（项目名称）勘察设计投标文件，并处理有关事宜，其法律后果由我方承担。委托代理人无转委托权。</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有效期限：</w:t>
      </w:r>
      <w:r>
        <w:rPr>
          <w:rFonts w:hint="eastAsia" w:ascii="宋体" w:hAnsi="宋体" w:cs="宋体"/>
          <w:sz w:val="24"/>
          <w:highlight w:val="none"/>
          <w:u w:val="single"/>
        </w:rPr>
        <w:t xml:space="preserve">                                             </w:t>
      </w:r>
      <w:r>
        <w:rPr>
          <w:rFonts w:hint="eastAsia" w:ascii="宋体" w:hAnsi="宋体" w:cs="宋体"/>
          <w:sz w:val="24"/>
          <w:highlight w:val="none"/>
        </w:rPr>
        <w:t>。</w:t>
      </w:r>
    </w:p>
    <w:p>
      <w:pPr>
        <w:adjustRightInd w:val="0"/>
        <w:snapToGrid w:val="0"/>
        <w:spacing w:line="360" w:lineRule="auto"/>
        <w:rPr>
          <w:rFonts w:hint="eastAsia" w:ascii="宋体" w:hAnsi="宋体" w:cs="宋体"/>
          <w:sz w:val="24"/>
          <w:highlight w:val="none"/>
        </w:rPr>
      </w:pP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委托代理人性别：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，身份证号码：</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附：委托代理人身份证复印件</w:t>
      </w:r>
    </w:p>
    <w:p>
      <w:pPr>
        <w:adjustRightInd w:val="0"/>
        <w:snapToGrid w:val="0"/>
        <w:spacing w:line="360" w:lineRule="auto"/>
        <w:rPr>
          <w:rFonts w:hint="eastAsia" w:ascii="宋体" w:hAnsi="宋体" w:cs="宋体"/>
          <w:sz w:val="24"/>
          <w:highlight w:val="none"/>
        </w:rPr>
      </w:pPr>
    </w:p>
    <w:p>
      <w:pPr>
        <w:adjustRightInd w:val="0"/>
        <w:snapToGrid w:val="0"/>
        <w:spacing w:line="360" w:lineRule="auto"/>
        <w:rPr>
          <w:rFonts w:hint="eastAsia" w:ascii="宋体" w:hAnsi="宋体" w:cs="宋体"/>
          <w:sz w:val="24"/>
          <w:highlight w:val="none"/>
        </w:rPr>
      </w:pPr>
    </w:p>
    <w:p>
      <w:pPr>
        <w:adjustRightInd w:val="0"/>
        <w:snapToGrid w:val="0"/>
        <w:spacing w:line="360" w:lineRule="auto"/>
        <w:rPr>
          <w:rFonts w:hint="eastAsia" w:ascii="宋体" w:hAnsi="宋体" w:cs="宋体"/>
          <w:sz w:val="24"/>
          <w:highlight w:val="none"/>
        </w:rPr>
      </w:pPr>
    </w:p>
    <w:p>
      <w:pPr>
        <w:adjustRightInd w:val="0"/>
        <w:snapToGrid w:val="0"/>
        <w:spacing w:line="360" w:lineRule="auto"/>
        <w:rPr>
          <w:rFonts w:hint="eastAsia" w:ascii="宋体" w:hAnsi="宋体" w:cs="宋体"/>
          <w:sz w:val="24"/>
          <w:highlight w:val="none"/>
        </w:rPr>
      </w:pPr>
    </w:p>
    <w:p>
      <w:pPr>
        <w:adjustRightInd w:val="0"/>
        <w:snapToGrid w:val="0"/>
        <w:spacing w:line="360" w:lineRule="auto"/>
        <w:rPr>
          <w:rFonts w:hint="eastAsia" w:ascii="宋体" w:hAnsi="宋体" w:cs="宋体"/>
          <w:sz w:val="24"/>
          <w:highlight w:val="none"/>
        </w:rPr>
      </w:pP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投标人：（盖章）</w:t>
      </w:r>
      <w:r>
        <w:rPr>
          <w:rFonts w:hint="eastAsia" w:ascii="宋体" w:hAnsi="宋体" w:cs="宋体"/>
          <w:sz w:val="24"/>
          <w:highlight w:val="none"/>
          <w:u w:val="single"/>
        </w:rPr>
        <w:t xml:space="preserve">                                           </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法定代表人：（签字或盖章）</w:t>
      </w:r>
      <w:r>
        <w:rPr>
          <w:rFonts w:hint="eastAsia" w:ascii="宋体" w:hAnsi="宋体" w:cs="宋体"/>
          <w:sz w:val="24"/>
          <w:highlight w:val="none"/>
          <w:u w:val="single"/>
        </w:rPr>
        <w:t xml:space="preserve">                                 </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委托代理人：（签字或盖章）</w:t>
      </w:r>
      <w:r>
        <w:rPr>
          <w:rFonts w:hint="eastAsia" w:ascii="宋体" w:hAnsi="宋体" w:cs="宋体"/>
          <w:sz w:val="24"/>
          <w:highlight w:val="none"/>
          <w:u w:val="single"/>
        </w:rPr>
        <w:t xml:space="preserve">                                 </w:t>
      </w:r>
    </w:p>
    <w:p>
      <w:pPr>
        <w:adjustRightInd w:val="0"/>
        <w:snapToGrid w:val="0"/>
        <w:spacing w:line="360" w:lineRule="auto"/>
        <w:ind w:firstLine="480" w:firstLineChars="200"/>
        <w:rPr>
          <w:rFonts w:hint="eastAsia" w:ascii="宋体" w:hAnsi="宋体" w:cs="宋体"/>
          <w:sz w:val="24"/>
          <w:highlight w:val="none"/>
        </w:rPr>
      </w:pPr>
    </w:p>
    <w:p>
      <w:pPr>
        <w:adjustRightInd w:val="0"/>
        <w:snapToGrid w:val="0"/>
        <w:spacing w:line="360" w:lineRule="auto"/>
        <w:ind w:firstLine="480" w:firstLineChars="200"/>
        <w:rPr>
          <w:rFonts w:hint="eastAsia" w:ascii="宋体" w:hAnsi="宋体" w:cs="宋体"/>
          <w:sz w:val="24"/>
          <w:highlight w:val="none"/>
        </w:rPr>
      </w:pPr>
    </w:p>
    <w:p>
      <w:pPr>
        <w:adjustRightInd w:val="0"/>
        <w:snapToGrid w:val="0"/>
        <w:spacing w:line="360" w:lineRule="auto"/>
        <w:ind w:firstLine="480" w:firstLineChars="200"/>
        <w:rPr>
          <w:rFonts w:hint="eastAsia" w:ascii="宋体" w:hAnsi="宋体" w:cs="宋体"/>
          <w:sz w:val="24"/>
          <w:highlight w:val="none"/>
        </w:rPr>
      </w:pPr>
    </w:p>
    <w:p>
      <w:pPr>
        <w:adjustRightInd w:val="0"/>
        <w:snapToGrid w:val="0"/>
        <w:spacing w:line="360" w:lineRule="auto"/>
        <w:ind w:firstLine="4320" w:firstLineChars="1800"/>
        <w:jc w:val="right"/>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adjustRightInd w:val="0"/>
        <w:snapToGrid w:val="0"/>
        <w:spacing w:line="360" w:lineRule="auto"/>
        <w:rPr>
          <w:rStyle w:val="35"/>
          <w:rFonts w:hint="eastAsia" w:ascii="宋体" w:hAnsi="宋体" w:cs="宋体"/>
          <w:highlight w:val="none"/>
        </w:rPr>
      </w:pPr>
    </w:p>
    <w:p>
      <w:pPr>
        <w:adjustRightInd w:val="0"/>
        <w:snapToGrid w:val="0"/>
        <w:spacing w:line="360" w:lineRule="auto"/>
        <w:rPr>
          <w:rStyle w:val="35"/>
          <w:rFonts w:hint="eastAsia" w:ascii="宋体" w:hAnsi="宋体" w:cs="宋体"/>
          <w:highlight w:val="none"/>
        </w:rPr>
      </w:pPr>
    </w:p>
    <w:p>
      <w:pPr>
        <w:rPr>
          <w:rStyle w:val="35"/>
          <w:rFonts w:hint="eastAsia" w:ascii="宋体" w:hAnsi="宋体" w:cs="宋体"/>
          <w:highlight w:val="none"/>
        </w:rPr>
      </w:pPr>
    </w:p>
    <w:p>
      <w:pPr>
        <w:rPr>
          <w:rStyle w:val="35"/>
          <w:rFonts w:hint="eastAsia" w:ascii="宋体" w:hAnsi="宋体" w:cs="宋体"/>
          <w:highlight w:val="none"/>
        </w:rPr>
      </w:pPr>
    </w:p>
    <w:p>
      <w:pPr>
        <w:rPr>
          <w:rStyle w:val="35"/>
          <w:rFonts w:hint="eastAsia" w:ascii="宋体" w:hAnsi="宋体" w:cs="宋体"/>
          <w:highlight w:val="none"/>
        </w:rPr>
      </w:pPr>
    </w:p>
    <w:p>
      <w:pPr>
        <w:rPr>
          <w:rStyle w:val="35"/>
          <w:rFonts w:hint="eastAsia" w:ascii="宋体" w:hAnsi="宋体" w:cs="宋体"/>
          <w:highlight w:val="none"/>
        </w:rPr>
      </w:pPr>
    </w:p>
    <w:p>
      <w:pPr>
        <w:rPr>
          <w:rStyle w:val="35"/>
          <w:rFonts w:hint="eastAsia" w:ascii="宋体" w:hAnsi="宋体" w:cs="宋体"/>
          <w:highlight w:val="none"/>
        </w:rPr>
      </w:pPr>
      <w:bookmarkStart w:id="100" w:name="_Toc27175"/>
    </w:p>
    <w:p>
      <w:pPr>
        <w:rPr>
          <w:rFonts w:hint="eastAsia" w:ascii="宋体" w:hAnsi="宋体" w:cs="宋体"/>
          <w:strike/>
          <w:highlight w:val="none"/>
        </w:rPr>
      </w:pPr>
      <w:r>
        <w:rPr>
          <w:rFonts w:hint="eastAsia" w:ascii="宋体" w:hAnsi="宋体" w:cs="宋体"/>
          <w:strike/>
          <w:highlight w:val="none"/>
        </w:rPr>
        <w:br w:type="page"/>
      </w:r>
    </w:p>
    <w:p>
      <w:pPr>
        <w:pStyle w:val="6"/>
        <w:spacing w:before="156" w:after="156"/>
        <w:ind w:left="0" w:firstLine="0"/>
        <w:rPr>
          <w:rFonts w:hint="eastAsia" w:ascii="宋体" w:hAnsi="宋体" w:cs="宋体"/>
          <w:strike/>
          <w:highlight w:val="none"/>
        </w:rPr>
      </w:pPr>
      <w:r>
        <w:rPr>
          <w:rFonts w:hint="eastAsia" w:ascii="宋体" w:hAnsi="宋体" w:cs="宋体"/>
          <w:strike/>
          <w:highlight w:val="none"/>
        </w:rPr>
        <w:t>附件1</w:t>
      </w:r>
      <w:r>
        <w:rPr>
          <w:rFonts w:hint="eastAsia" w:ascii="宋体" w:hAnsi="宋体" w:cs="宋体"/>
          <w:strike/>
          <w:highlight w:val="none"/>
          <w:lang w:val="en-US" w:eastAsia="zh-CN"/>
        </w:rPr>
        <w:t>8</w:t>
      </w:r>
      <w:r>
        <w:rPr>
          <w:rFonts w:hint="eastAsia" w:ascii="宋体" w:hAnsi="宋体" w:cs="宋体"/>
          <w:strike/>
          <w:highlight w:val="none"/>
        </w:rPr>
        <w:t xml:space="preserve"> </w:t>
      </w:r>
      <w:r>
        <w:rPr>
          <w:rStyle w:val="35"/>
          <w:rFonts w:hint="eastAsia" w:ascii="宋体" w:hAnsi="宋体" w:cs="宋体"/>
          <w:b/>
          <w:bCs/>
          <w:strike/>
          <w:highlight w:val="none"/>
        </w:rPr>
        <w:t>联合体投标协议</w:t>
      </w:r>
    </w:p>
    <w:bookmarkEnd w:id="100"/>
    <w:p>
      <w:pPr>
        <w:rPr>
          <w:rFonts w:hint="eastAsia" w:ascii="宋体" w:hAnsi="宋体" w:cs="宋体"/>
          <w:b/>
          <w:bCs/>
          <w:strike/>
          <w:sz w:val="32"/>
          <w:highlight w:val="none"/>
        </w:rPr>
      </w:pPr>
    </w:p>
    <w:p>
      <w:pPr>
        <w:jc w:val="center"/>
        <w:rPr>
          <w:rFonts w:hint="eastAsia" w:ascii="宋体" w:hAnsi="宋体" w:cs="宋体"/>
          <w:strike/>
          <w:sz w:val="24"/>
          <w:highlight w:val="none"/>
        </w:rPr>
      </w:pPr>
      <w:r>
        <w:rPr>
          <w:rFonts w:hint="eastAsia" w:ascii="宋体" w:hAnsi="宋体" w:cs="宋体"/>
          <w:b/>
          <w:bCs/>
          <w:strike/>
          <w:sz w:val="32"/>
          <w:highlight w:val="none"/>
        </w:rPr>
        <w:t>联合体投标协议</w:t>
      </w:r>
    </w:p>
    <w:p>
      <w:pPr>
        <w:adjustRightInd w:val="0"/>
        <w:snapToGrid w:val="0"/>
        <w:spacing w:line="360" w:lineRule="auto"/>
        <w:rPr>
          <w:rFonts w:hint="eastAsia" w:ascii="宋体" w:hAnsi="宋体" w:cs="宋体"/>
          <w:strike/>
          <w:sz w:val="24"/>
          <w:highlight w:val="none"/>
        </w:rPr>
      </w:pPr>
    </w:p>
    <w:p>
      <w:pPr>
        <w:topLinePunct/>
        <w:adjustRightInd w:val="0"/>
        <w:snapToGrid w:val="0"/>
        <w:spacing w:line="360" w:lineRule="auto"/>
        <w:rPr>
          <w:rFonts w:hint="eastAsia" w:ascii="宋体" w:hAnsi="宋体" w:cs="宋体"/>
          <w:strike/>
          <w:sz w:val="24"/>
          <w:highlight w:val="none"/>
        </w:rPr>
      </w:pPr>
      <w:r>
        <w:rPr>
          <w:rFonts w:hint="eastAsia" w:ascii="宋体" w:hAnsi="宋体" w:cs="宋体"/>
          <w:strike/>
          <w:sz w:val="24"/>
          <w:highlight w:val="none"/>
        </w:rPr>
        <w:t xml:space="preserve">    我方自愿组成联合体共同参加</w:t>
      </w:r>
      <w:r>
        <w:rPr>
          <w:rFonts w:hint="eastAsia" w:ascii="宋体" w:hAnsi="宋体" w:cs="宋体"/>
          <w:strike/>
          <w:sz w:val="24"/>
          <w:highlight w:val="none"/>
          <w:u w:val="single"/>
        </w:rPr>
        <w:t xml:space="preserve">          </w:t>
      </w:r>
      <w:r>
        <w:rPr>
          <w:rFonts w:hint="eastAsia" w:ascii="宋体" w:hAnsi="宋体" w:cs="宋体"/>
          <w:strike/>
          <w:sz w:val="24"/>
          <w:highlight w:val="none"/>
        </w:rPr>
        <w:t>项目的投标，现就联合体投标事宜订立如下协议。</w:t>
      </w:r>
    </w:p>
    <w:p>
      <w:pPr>
        <w:topLinePunct/>
        <w:adjustRightInd w:val="0"/>
        <w:snapToGrid w:val="0"/>
        <w:spacing w:line="360" w:lineRule="auto"/>
        <w:ind w:firstLine="480" w:firstLineChars="200"/>
        <w:rPr>
          <w:rFonts w:hint="eastAsia" w:ascii="宋体" w:hAnsi="宋体" w:cs="宋体"/>
          <w:strike/>
          <w:sz w:val="24"/>
          <w:highlight w:val="none"/>
        </w:rPr>
      </w:pPr>
      <w:r>
        <w:rPr>
          <w:rFonts w:hint="eastAsia" w:ascii="宋体" w:hAnsi="宋体" w:cs="宋体"/>
          <w:strike/>
          <w:sz w:val="24"/>
          <w:highlight w:val="none"/>
        </w:rPr>
        <w:t>1.</w:t>
      </w:r>
      <w:r>
        <w:rPr>
          <w:rFonts w:hint="eastAsia" w:ascii="宋体" w:hAnsi="宋体" w:cs="宋体"/>
          <w:strike/>
          <w:sz w:val="24"/>
          <w:highlight w:val="none"/>
          <w:u w:val="single"/>
        </w:rPr>
        <w:t xml:space="preserve">               </w:t>
      </w:r>
      <w:r>
        <w:rPr>
          <w:rFonts w:hint="eastAsia" w:ascii="宋体" w:hAnsi="宋体" w:cs="宋体"/>
          <w:strike/>
          <w:sz w:val="24"/>
          <w:highlight w:val="none"/>
        </w:rPr>
        <w:t>为联合体主办方。</w:t>
      </w:r>
    </w:p>
    <w:p>
      <w:pPr>
        <w:topLinePunct/>
        <w:adjustRightInd w:val="0"/>
        <w:snapToGrid w:val="0"/>
        <w:spacing w:line="360" w:lineRule="auto"/>
        <w:ind w:firstLine="480" w:firstLineChars="200"/>
        <w:rPr>
          <w:rFonts w:hint="eastAsia" w:ascii="宋体" w:hAnsi="宋体" w:cs="宋体"/>
          <w:strike/>
          <w:sz w:val="24"/>
          <w:highlight w:val="none"/>
        </w:rPr>
      </w:pPr>
      <w:r>
        <w:rPr>
          <w:rFonts w:hint="eastAsia" w:ascii="宋体" w:hAnsi="宋体" w:cs="宋体"/>
          <w:strike/>
          <w:sz w:val="24"/>
          <w:highlight w:val="none"/>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adjustRightInd w:val="0"/>
        <w:snapToGrid w:val="0"/>
        <w:spacing w:line="360" w:lineRule="auto"/>
        <w:ind w:firstLine="480" w:firstLineChars="200"/>
        <w:rPr>
          <w:rFonts w:hint="eastAsia" w:ascii="宋体" w:hAnsi="宋体" w:cs="宋体"/>
          <w:strike/>
          <w:sz w:val="24"/>
          <w:highlight w:val="none"/>
        </w:rPr>
      </w:pPr>
      <w:r>
        <w:rPr>
          <w:rFonts w:hint="eastAsia" w:ascii="宋体" w:hAnsi="宋体" w:cs="宋体"/>
          <w:strike/>
          <w:sz w:val="24"/>
          <w:highlight w:val="none"/>
        </w:rPr>
        <w:t>2.联合体将严格按照招标文件的各项要求，递交投标文件，履行合同，并对外承担连带责任。</w:t>
      </w:r>
    </w:p>
    <w:p>
      <w:pPr>
        <w:topLinePunct/>
        <w:adjustRightInd w:val="0"/>
        <w:snapToGrid w:val="0"/>
        <w:spacing w:line="360" w:lineRule="auto"/>
        <w:ind w:firstLine="480" w:firstLineChars="200"/>
        <w:rPr>
          <w:rFonts w:hint="eastAsia" w:ascii="宋体" w:hAnsi="宋体" w:cs="宋体"/>
          <w:strike/>
          <w:sz w:val="24"/>
          <w:highlight w:val="none"/>
        </w:rPr>
      </w:pPr>
      <w:r>
        <w:rPr>
          <w:rFonts w:hint="eastAsia" w:ascii="宋体" w:hAnsi="宋体" w:cs="宋体"/>
          <w:strike/>
          <w:sz w:val="24"/>
          <w:highlight w:val="none"/>
        </w:rPr>
        <w:t xml:space="preserve">3.本协议书自签署之日起生效，合同履行完毕后自动失效。 </w:t>
      </w:r>
    </w:p>
    <w:p>
      <w:pPr>
        <w:topLinePunct/>
        <w:adjustRightInd w:val="0"/>
        <w:snapToGrid w:val="0"/>
        <w:spacing w:line="360" w:lineRule="auto"/>
        <w:ind w:firstLine="480" w:firstLineChars="200"/>
        <w:rPr>
          <w:rFonts w:hint="eastAsia" w:ascii="宋体" w:hAnsi="宋体" w:cs="宋体"/>
          <w:strike/>
          <w:sz w:val="24"/>
          <w:highlight w:val="none"/>
        </w:rPr>
      </w:pPr>
      <w:r>
        <w:rPr>
          <w:rFonts w:hint="eastAsia" w:ascii="宋体" w:hAnsi="宋体" w:cs="宋体"/>
          <w:strike/>
          <w:sz w:val="24"/>
          <w:highlight w:val="none"/>
        </w:rPr>
        <w:t>4.本协议书一式</w:t>
      </w:r>
      <w:r>
        <w:rPr>
          <w:rFonts w:hint="eastAsia" w:ascii="宋体" w:hAnsi="宋体" w:cs="宋体"/>
          <w:strike/>
          <w:sz w:val="24"/>
          <w:highlight w:val="none"/>
          <w:u w:val="single"/>
        </w:rPr>
        <w:t xml:space="preserve">     </w:t>
      </w:r>
      <w:r>
        <w:rPr>
          <w:rFonts w:hint="eastAsia" w:ascii="宋体" w:hAnsi="宋体" w:cs="宋体"/>
          <w:strike/>
          <w:sz w:val="24"/>
          <w:highlight w:val="none"/>
        </w:rPr>
        <w:t>份，联合体各成员和招标人各执一份。</w:t>
      </w:r>
    </w:p>
    <w:p>
      <w:pPr>
        <w:topLinePunct/>
        <w:adjustRightInd w:val="0"/>
        <w:snapToGrid w:val="0"/>
        <w:spacing w:line="360" w:lineRule="auto"/>
        <w:rPr>
          <w:rFonts w:hint="eastAsia" w:ascii="宋体" w:hAnsi="宋体" w:cs="宋体"/>
          <w:strike/>
          <w:sz w:val="24"/>
          <w:highlight w:val="none"/>
        </w:rPr>
      </w:pPr>
    </w:p>
    <w:p>
      <w:pPr>
        <w:topLinePunct/>
        <w:adjustRightInd w:val="0"/>
        <w:snapToGrid w:val="0"/>
        <w:spacing w:line="360" w:lineRule="auto"/>
        <w:ind w:firstLine="480" w:firstLineChars="200"/>
        <w:rPr>
          <w:rFonts w:hint="eastAsia" w:ascii="宋体" w:hAnsi="宋体" w:cs="宋体"/>
          <w:strike/>
          <w:sz w:val="24"/>
          <w:highlight w:val="none"/>
        </w:rPr>
      </w:pPr>
      <w:r>
        <w:rPr>
          <w:rFonts w:hint="eastAsia" w:ascii="宋体" w:hAnsi="宋体" w:cs="宋体"/>
          <w:strike/>
          <w:sz w:val="24"/>
          <w:highlight w:val="none"/>
        </w:rPr>
        <w:t>主办方名称：（盖章）</w:t>
      </w:r>
      <w:r>
        <w:rPr>
          <w:rFonts w:hint="eastAsia" w:ascii="宋体" w:hAnsi="宋体" w:cs="宋体"/>
          <w:strike/>
          <w:sz w:val="24"/>
          <w:highlight w:val="none"/>
          <w:u w:val="single"/>
        </w:rPr>
        <w:t xml:space="preserve">                                       </w:t>
      </w:r>
    </w:p>
    <w:p>
      <w:pPr>
        <w:topLinePunct/>
        <w:adjustRightInd w:val="0"/>
        <w:snapToGrid w:val="0"/>
        <w:spacing w:line="360" w:lineRule="auto"/>
        <w:ind w:firstLine="480" w:firstLineChars="200"/>
        <w:rPr>
          <w:rFonts w:hint="eastAsia" w:ascii="宋体" w:hAnsi="宋体" w:cs="宋体"/>
          <w:strike/>
          <w:sz w:val="24"/>
          <w:highlight w:val="none"/>
        </w:rPr>
      </w:pPr>
      <w:r>
        <w:rPr>
          <w:rFonts w:hint="eastAsia" w:ascii="宋体" w:hAnsi="宋体" w:cs="宋体"/>
          <w:strike/>
          <w:sz w:val="24"/>
          <w:highlight w:val="none"/>
        </w:rPr>
        <w:t>法定代表人：（签字或盖章）</w:t>
      </w:r>
      <w:r>
        <w:rPr>
          <w:rFonts w:hint="eastAsia" w:ascii="宋体" w:hAnsi="宋体" w:cs="宋体"/>
          <w:strike/>
          <w:sz w:val="24"/>
          <w:highlight w:val="none"/>
          <w:u w:val="single"/>
        </w:rPr>
        <w:t xml:space="preserve">                                 </w:t>
      </w:r>
    </w:p>
    <w:p>
      <w:pPr>
        <w:pStyle w:val="15"/>
        <w:adjustRightInd w:val="0"/>
        <w:snapToGrid w:val="0"/>
        <w:spacing w:line="360" w:lineRule="auto"/>
        <w:rPr>
          <w:rFonts w:hint="eastAsia" w:hAnsi="宋体" w:cs="宋体"/>
          <w:strike/>
          <w:sz w:val="24"/>
          <w:szCs w:val="24"/>
          <w:highlight w:val="none"/>
        </w:rPr>
      </w:pPr>
      <w:r>
        <w:rPr>
          <w:rFonts w:hint="eastAsia" w:hAnsi="宋体" w:cs="宋体"/>
          <w:strike/>
          <w:sz w:val="24"/>
          <w:szCs w:val="24"/>
          <w:highlight w:val="none"/>
        </w:rPr>
        <w:t xml:space="preserve">    分工内容：</w:t>
      </w:r>
      <w:r>
        <w:rPr>
          <w:rFonts w:hint="eastAsia" w:hAnsi="宋体" w:cs="宋体"/>
          <w:strike/>
          <w:sz w:val="24"/>
          <w:szCs w:val="24"/>
          <w:highlight w:val="none"/>
          <w:u w:val="single"/>
        </w:rPr>
        <w:t xml:space="preserve">                                                </w:t>
      </w:r>
    </w:p>
    <w:p>
      <w:pPr>
        <w:topLinePunct/>
        <w:adjustRightInd w:val="0"/>
        <w:snapToGrid w:val="0"/>
        <w:spacing w:line="360" w:lineRule="auto"/>
        <w:ind w:firstLine="480" w:firstLineChars="200"/>
        <w:rPr>
          <w:rFonts w:hint="eastAsia" w:ascii="宋体" w:hAnsi="宋体" w:cs="宋体"/>
          <w:strike/>
          <w:sz w:val="24"/>
          <w:highlight w:val="none"/>
        </w:rPr>
      </w:pPr>
    </w:p>
    <w:p>
      <w:pPr>
        <w:topLinePunct/>
        <w:adjustRightInd w:val="0"/>
        <w:snapToGrid w:val="0"/>
        <w:spacing w:line="360" w:lineRule="auto"/>
        <w:ind w:firstLine="480" w:firstLineChars="200"/>
        <w:rPr>
          <w:rFonts w:hint="eastAsia" w:ascii="宋体" w:hAnsi="宋体" w:cs="宋体"/>
          <w:strike/>
          <w:sz w:val="24"/>
          <w:highlight w:val="none"/>
        </w:rPr>
      </w:pPr>
      <w:r>
        <w:rPr>
          <w:rFonts w:hint="eastAsia" w:ascii="宋体" w:hAnsi="宋体" w:cs="宋体"/>
          <w:strike/>
          <w:sz w:val="24"/>
          <w:highlight w:val="none"/>
        </w:rPr>
        <w:t>成员一名称：（盖章）</w:t>
      </w:r>
      <w:r>
        <w:rPr>
          <w:rFonts w:hint="eastAsia" w:ascii="宋体" w:hAnsi="宋体" w:cs="宋体"/>
          <w:strike/>
          <w:sz w:val="24"/>
          <w:highlight w:val="none"/>
          <w:u w:val="single"/>
        </w:rPr>
        <w:t xml:space="preserve">                                        </w:t>
      </w:r>
    </w:p>
    <w:p>
      <w:pPr>
        <w:topLinePunct/>
        <w:adjustRightInd w:val="0"/>
        <w:snapToGrid w:val="0"/>
        <w:spacing w:line="360" w:lineRule="auto"/>
        <w:ind w:firstLine="480" w:firstLineChars="200"/>
        <w:rPr>
          <w:rFonts w:hint="eastAsia" w:ascii="宋体" w:hAnsi="宋体" w:cs="宋体"/>
          <w:strike/>
          <w:sz w:val="24"/>
          <w:highlight w:val="none"/>
        </w:rPr>
      </w:pPr>
      <w:r>
        <w:rPr>
          <w:rFonts w:hint="eastAsia" w:ascii="宋体" w:hAnsi="宋体" w:cs="宋体"/>
          <w:strike/>
          <w:sz w:val="24"/>
          <w:highlight w:val="none"/>
        </w:rPr>
        <w:t>法定代表人：（签字或盖章）</w:t>
      </w:r>
      <w:r>
        <w:rPr>
          <w:rFonts w:hint="eastAsia" w:ascii="宋体" w:hAnsi="宋体" w:cs="宋体"/>
          <w:strike/>
          <w:sz w:val="24"/>
          <w:highlight w:val="none"/>
          <w:u w:val="single"/>
        </w:rPr>
        <w:t xml:space="preserve">                                  </w:t>
      </w:r>
    </w:p>
    <w:p>
      <w:pPr>
        <w:pStyle w:val="15"/>
        <w:adjustRightInd w:val="0"/>
        <w:snapToGrid w:val="0"/>
        <w:spacing w:line="360" w:lineRule="auto"/>
        <w:ind w:firstLine="405"/>
        <w:rPr>
          <w:rFonts w:hint="eastAsia" w:hAnsi="宋体" w:cs="宋体"/>
          <w:strike/>
          <w:sz w:val="24"/>
          <w:szCs w:val="24"/>
          <w:highlight w:val="none"/>
        </w:rPr>
      </w:pPr>
      <w:r>
        <w:rPr>
          <w:rFonts w:hint="eastAsia" w:hAnsi="宋体" w:cs="宋体"/>
          <w:strike/>
          <w:sz w:val="24"/>
          <w:szCs w:val="24"/>
          <w:highlight w:val="none"/>
        </w:rPr>
        <w:t xml:space="preserve"> 分工内容：</w:t>
      </w:r>
      <w:r>
        <w:rPr>
          <w:rFonts w:hint="eastAsia" w:hAnsi="宋体" w:cs="宋体"/>
          <w:strike/>
          <w:sz w:val="24"/>
          <w:szCs w:val="24"/>
          <w:highlight w:val="none"/>
          <w:u w:val="single"/>
        </w:rPr>
        <w:t xml:space="preserve">                                                 </w:t>
      </w:r>
    </w:p>
    <w:p>
      <w:pPr>
        <w:topLinePunct/>
        <w:adjustRightInd w:val="0"/>
        <w:snapToGrid w:val="0"/>
        <w:spacing w:line="360" w:lineRule="auto"/>
        <w:ind w:firstLine="480" w:firstLineChars="200"/>
        <w:rPr>
          <w:rFonts w:hint="eastAsia" w:ascii="宋体" w:hAnsi="宋体" w:cs="宋体"/>
          <w:strike/>
          <w:sz w:val="24"/>
          <w:highlight w:val="none"/>
        </w:rPr>
      </w:pPr>
    </w:p>
    <w:p>
      <w:pPr>
        <w:topLinePunct/>
        <w:adjustRightInd w:val="0"/>
        <w:snapToGrid w:val="0"/>
        <w:spacing w:line="360" w:lineRule="auto"/>
        <w:ind w:firstLine="480" w:firstLineChars="200"/>
        <w:rPr>
          <w:rFonts w:hint="eastAsia" w:ascii="宋体" w:hAnsi="宋体" w:cs="宋体"/>
          <w:strike/>
          <w:sz w:val="24"/>
          <w:highlight w:val="none"/>
        </w:rPr>
      </w:pPr>
      <w:r>
        <w:rPr>
          <w:rFonts w:hint="eastAsia" w:ascii="宋体" w:hAnsi="宋体" w:cs="宋体"/>
          <w:strike/>
          <w:sz w:val="24"/>
          <w:highlight w:val="none"/>
        </w:rPr>
        <w:t>成员二名称：（盖章）</w:t>
      </w:r>
      <w:r>
        <w:rPr>
          <w:rFonts w:hint="eastAsia" w:ascii="宋体" w:hAnsi="宋体" w:cs="宋体"/>
          <w:strike/>
          <w:sz w:val="24"/>
          <w:highlight w:val="none"/>
          <w:u w:val="single"/>
        </w:rPr>
        <w:t xml:space="preserve">                                        </w:t>
      </w:r>
    </w:p>
    <w:p>
      <w:pPr>
        <w:topLinePunct/>
        <w:adjustRightInd w:val="0"/>
        <w:snapToGrid w:val="0"/>
        <w:spacing w:line="360" w:lineRule="auto"/>
        <w:ind w:firstLine="480" w:firstLineChars="200"/>
        <w:rPr>
          <w:rFonts w:hint="eastAsia" w:ascii="宋体" w:hAnsi="宋体" w:cs="宋体"/>
          <w:strike/>
          <w:sz w:val="24"/>
          <w:highlight w:val="none"/>
        </w:rPr>
      </w:pPr>
      <w:r>
        <w:rPr>
          <w:rFonts w:hint="eastAsia" w:ascii="宋体" w:hAnsi="宋体" w:cs="宋体"/>
          <w:strike/>
          <w:sz w:val="24"/>
          <w:highlight w:val="none"/>
        </w:rPr>
        <w:t>法定代表人：（签字或盖章）</w:t>
      </w:r>
      <w:r>
        <w:rPr>
          <w:rFonts w:hint="eastAsia" w:ascii="宋体" w:hAnsi="宋体" w:cs="宋体"/>
          <w:strike/>
          <w:sz w:val="24"/>
          <w:highlight w:val="none"/>
          <w:u w:val="single"/>
        </w:rPr>
        <w:t xml:space="preserve">                                  </w:t>
      </w:r>
    </w:p>
    <w:p>
      <w:pPr>
        <w:pStyle w:val="15"/>
        <w:adjustRightInd w:val="0"/>
        <w:snapToGrid w:val="0"/>
        <w:spacing w:line="360" w:lineRule="auto"/>
        <w:ind w:firstLine="405"/>
        <w:rPr>
          <w:rFonts w:hint="eastAsia" w:hAnsi="宋体" w:cs="宋体"/>
          <w:strike/>
          <w:sz w:val="24"/>
          <w:highlight w:val="none"/>
        </w:rPr>
      </w:pPr>
      <w:r>
        <w:rPr>
          <w:rFonts w:hint="eastAsia" w:hAnsi="宋体" w:cs="宋体"/>
          <w:strike/>
          <w:sz w:val="24"/>
          <w:szCs w:val="24"/>
          <w:highlight w:val="none"/>
        </w:rPr>
        <w:t xml:space="preserve"> 分工内容：</w:t>
      </w:r>
      <w:r>
        <w:rPr>
          <w:rFonts w:hint="eastAsia" w:hAnsi="宋体" w:cs="宋体"/>
          <w:strike/>
          <w:sz w:val="24"/>
          <w:szCs w:val="24"/>
          <w:highlight w:val="none"/>
          <w:u w:val="single"/>
        </w:rPr>
        <w:t xml:space="preserve">                                                 </w:t>
      </w:r>
    </w:p>
    <w:p>
      <w:pPr>
        <w:topLinePunct/>
        <w:adjustRightInd w:val="0"/>
        <w:snapToGrid w:val="0"/>
        <w:spacing w:line="360" w:lineRule="auto"/>
        <w:ind w:firstLine="480" w:firstLineChars="200"/>
        <w:rPr>
          <w:rFonts w:hint="eastAsia" w:ascii="宋体" w:hAnsi="宋体" w:cs="宋体"/>
          <w:strike/>
          <w:sz w:val="24"/>
          <w:highlight w:val="none"/>
        </w:rPr>
      </w:pPr>
    </w:p>
    <w:p>
      <w:pPr>
        <w:topLinePunct/>
        <w:adjustRightInd w:val="0"/>
        <w:snapToGrid w:val="0"/>
        <w:spacing w:line="360" w:lineRule="auto"/>
        <w:ind w:firstLine="480" w:firstLineChars="200"/>
        <w:rPr>
          <w:rFonts w:hint="eastAsia" w:ascii="宋体" w:hAnsi="宋体" w:cs="宋体"/>
          <w:strike/>
          <w:sz w:val="24"/>
          <w:highlight w:val="none"/>
        </w:rPr>
      </w:pPr>
    </w:p>
    <w:p>
      <w:pPr>
        <w:adjustRightInd w:val="0"/>
        <w:snapToGrid w:val="0"/>
        <w:spacing w:line="360" w:lineRule="auto"/>
        <w:ind w:firstLine="5160" w:firstLineChars="2150"/>
        <w:rPr>
          <w:rFonts w:hint="eastAsia" w:ascii="宋体" w:hAnsi="宋体" w:cs="宋体"/>
          <w:strike/>
          <w:sz w:val="24"/>
          <w:highlight w:val="none"/>
        </w:rPr>
      </w:pPr>
      <w:r>
        <w:rPr>
          <w:rFonts w:hint="eastAsia" w:ascii="宋体" w:hAnsi="宋体" w:cs="宋体"/>
          <w:strike/>
          <w:sz w:val="24"/>
          <w:highlight w:val="none"/>
          <w:u w:val="single"/>
        </w:rPr>
        <w:t xml:space="preserve">       </w:t>
      </w:r>
      <w:r>
        <w:rPr>
          <w:rFonts w:hint="eastAsia" w:ascii="宋体" w:hAnsi="宋体" w:cs="宋体"/>
          <w:strike/>
          <w:sz w:val="24"/>
          <w:highlight w:val="none"/>
        </w:rPr>
        <w:t>年</w:t>
      </w:r>
      <w:r>
        <w:rPr>
          <w:rFonts w:hint="eastAsia" w:ascii="宋体" w:hAnsi="宋体" w:cs="宋体"/>
          <w:strike/>
          <w:sz w:val="24"/>
          <w:highlight w:val="none"/>
          <w:u w:val="single"/>
        </w:rPr>
        <w:t xml:space="preserve">      </w:t>
      </w:r>
      <w:r>
        <w:rPr>
          <w:rFonts w:hint="eastAsia" w:ascii="宋体" w:hAnsi="宋体" w:cs="宋体"/>
          <w:strike/>
          <w:sz w:val="24"/>
          <w:highlight w:val="none"/>
        </w:rPr>
        <w:t>月</w:t>
      </w:r>
      <w:r>
        <w:rPr>
          <w:rFonts w:hint="eastAsia" w:ascii="宋体" w:hAnsi="宋体" w:cs="宋体"/>
          <w:strike/>
          <w:sz w:val="24"/>
          <w:highlight w:val="none"/>
          <w:u w:val="single"/>
        </w:rPr>
        <w:t xml:space="preserve">      </w:t>
      </w:r>
      <w:r>
        <w:rPr>
          <w:rFonts w:hint="eastAsia" w:ascii="宋体" w:hAnsi="宋体" w:cs="宋体"/>
          <w:strike/>
          <w:sz w:val="24"/>
          <w:highlight w:val="none"/>
        </w:rPr>
        <w:t>日</w:t>
      </w:r>
    </w:p>
    <w:p>
      <w:pPr>
        <w:rPr>
          <w:rFonts w:hint="eastAsia" w:ascii="宋体" w:hAnsi="宋体" w:cs="宋体"/>
          <w:highlight w:val="none"/>
        </w:rPr>
      </w:pPr>
      <w:bookmarkStart w:id="101" w:name="_Toc840"/>
      <w:r>
        <w:rPr>
          <w:rFonts w:hint="eastAsia" w:ascii="宋体" w:hAnsi="宋体" w:cs="宋体"/>
          <w:highlight w:val="none"/>
        </w:rPr>
        <w:br w:type="page"/>
      </w:r>
    </w:p>
    <w:p>
      <w:pPr>
        <w:pStyle w:val="6"/>
        <w:numPr>
          <w:ilvl w:val="3"/>
          <w:numId w:val="0"/>
        </w:numPr>
        <w:spacing w:before="156" w:after="156"/>
        <w:rPr>
          <w:rFonts w:hint="eastAsia" w:ascii="宋体" w:hAnsi="宋体" w:cs="宋体"/>
          <w:highlight w:val="none"/>
        </w:rPr>
      </w:pPr>
      <w:r>
        <w:rPr>
          <w:rFonts w:hint="eastAsia" w:ascii="宋体" w:hAnsi="宋体" w:cs="宋体"/>
          <w:highlight w:val="none"/>
        </w:rPr>
        <w:t>附件19  投标报价汇总表</w:t>
      </w:r>
    </w:p>
    <w:p>
      <w:pPr>
        <w:wordWrap w:val="0"/>
        <w:topLinePunct/>
        <w:snapToGrid w:val="0"/>
        <w:spacing w:line="240" w:lineRule="atLeast"/>
        <w:ind w:right="-686" w:rightChars="-327"/>
        <w:rPr>
          <w:rFonts w:hint="eastAsia" w:ascii="宋体" w:hAnsi="宋体" w:cs="宋体"/>
          <w:b/>
          <w:bCs/>
          <w:sz w:val="24"/>
          <w:highlight w:val="none"/>
        </w:rPr>
      </w:pPr>
    </w:p>
    <w:p>
      <w:pPr>
        <w:wordWrap w:val="0"/>
        <w:topLinePunct/>
        <w:snapToGrid w:val="0"/>
        <w:spacing w:line="240" w:lineRule="atLeast"/>
        <w:jc w:val="center"/>
        <w:outlineLvl w:val="9"/>
        <w:rPr>
          <w:rFonts w:hint="eastAsia" w:ascii="宋体" w:hAnsi="宋体" w:cs="宋体"/>
          <w:b/>
          <w:bCs/>
          <w:sz w:val="32"/>
          <w:szCs w:val="32"/>
          <w:highlight w:val="none"/>
        </w:rPr>
      </w:pPr>
      <w:r>
        <w:rPr>
          <w:rFonts w:hint="eastAsia" w:ascii="宋体" w:hAnsi="宋体" w:cs="宋体"/>
          <w:b/>
          <w:bCs/>
          <w:sz w:val="32"/>
          <w:szCs w:val="32"/>
          <w:highlight w:val="none"/>
        </w:rPr>
        <w:t>投标报价汇总表</w:t>
      </w:r>
    </w:p>
    <w:tbl>
      <w:tblPr>
        <w:tblStyle w:val="26"/>
        <w:tblW w:w="941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372"/>
        <w:gridCol w:w="2643"/>
        <w:gridCol w:w="3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74" w:type="dxa"/>
            <w:noWrap w:val="0"/>
            <w:vAlign w:val="center"/>
          </w:tcPr>
          <w:p>
            <w:pPr>
              <w:keepNext w:val="0"/>
              <w:keepLines w:val="0"/>
              <w:suppressLineNumbers w:val="0"/>
              <w:topLinePunct/>
              <w:snapToGrid w:val="0"/>
              <w:spacing w:before="0" w:beforeAutospacing="0" w:after="0" w:afterAutospacing="0" w:line="240" w:lineRule="atLeast"/>
              <w:ind w:left="0" w:right="-130" w:rightChars="-62"/>
              <w:jc w:val="center"/>
              <w:outlineLvl w:val="1"/>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72" w:type="dxa"/>
            <w:noWrap w:val="0"/>
            <w:vAlign w:val="center"/>
          </w:tcPr>
          <w:p>
            <w:pPr>
              <w:keepNext w:val="0"/>
              <w:keepLines w:val="0"/>
              <w:suppressLineNumbers w:val="0"/>
              <w:wordWrap w:val="0"/>
              <w:topLinePunct/>
              <w:snapToGrid w:val="0"/>
              <w:spacing w:before="0" w:beforeAutospacing="0" w:after="0" w:afterAutospacing="0" w:line="240" w:lineRule="atLeast"/>
              <w:ind w:left="0" w:right="-63" w:rightChars="-30"/>
              <w:jc w:val="center"/>
              <w:outlineLvl w:val="1"/>
              <w:rPr>
                <w:rFonts w:hint="eastAsia" w:ascii="宋体" w:hAnsi="宋体" w:eastAsia="宋体" w:cs="宋体"/>
                <w:b/>
                <w:bCs/>
                <w:sz w:val="24"/>
                <w:highlight w:val="none"/>
              </w:rPr>
            </w:pPr>
            <w:r>
              <w:rPr>
                <w:rFonts w:hint="eastAsia" w:ascii="宋体" w:hAnsi="宋体" w:eastAsia="宋体" w:cs="宋体"/>
                <w:b/>
                <w:bCs/>
                <w:sz w:val="24"/>
                <w:highlight w:val="none"/>
              </w:rPr>
              <w:t>项目</w:t>
            </w:r>
          </w:p>
        </w:tc>
        <w:tc>
          <w:tcPr>
            <w:tcW w:w="2643" w:type="dxa"/>
            <w:noWrap w:val="0"/>
            <w:vAlign w:val="center"/>
          </w:tcPr>
          <w:p>
            <w:pPr>
              <w:keepNext w:val="0"/>
              <w:keepLines w:val="0"/>
              <w:suppressLineNumbers w:val="0"/>
              <w:topLinePunct/>
              <w:snapToGrid w:val="0"/>
              <w:spacing w:before="0" w:beforeAutospacing="0" w:after="0" w:afterAutospacing="0" w:line="240" w:lineRule="atLeast"/>
              <w:ind w:left="0" w:right="-58" w:rightChars="-28"/>
              <w:jc w:val="center"/>
              <w:outlineLvl w:val="1"/>
              <w:rPr>
                <w:rFonts w:hint="eastAsia" w:ascii="宋体" w:hAnsi="宋体" w:eastAsia="宋体" w:cs="宋体"/>
                <w:b/>
                <w:bCs/>
                <w:sz w:val="24"/>
                <w:highlight w:val="none"/>
              </w:rPr>
            </w:pPr>
            <w:r>
              <w:rPr>
                <w:rFonts w:hint="eastAsia" w:ascii="宋体" w:hAnsi="宋体" w:eastAsia="宋体" w:cs="宋体"/>
                <w:b/>
                <w:bCs/>
                <w:sz w:val="24"/>
                <w:highlight w:val="none"/>
              </w:rPr>
              <w:t>金额（元）</w:t>
            </w:r>
          </w:p>
        </w:tc>
        <w:tc>
          <w:tcPr>
            <w:tcW w:w="3421" w:type="dxa"/>
            <w:noWrap w:val="0"/>
            <w:vAlign w:val="center"/>
          </w:tcPr>
          <w:p>
            <w:pPr>
              <w:keepNext w:val="0"/>
              <w:keepLines w:val="0"/>
              <w:suppressLineNumbers w:val="0"/>
              <w:topLinePunct/>
              <w:snapToGrid w:val="0"/>
              <w:spacing w:before="0" w:beforeAutospacing="0" w:after="0" w:afterAutospacing="0" w:line="240" w:lineRule="atLeast"/>
              <w:ind w:left="0" w:right="-58" w:rightChars="-28"/>
              <w:jc w:val="center"/>
              <w:outlineLvl w:val="1"/>
              <w:rPr>
                <w:rFonts w:hint="eastAsia" w:ascii="宋体" w:hAnsi="宋体" w:eastAsia="宋体" w:cs="宋体"/>
                <w:b/>
                <w:bCs/>
                <w:sz w:val="24"/>
                <w:highlight w:val="none"/>
              </w:rPr>
            </w:pPr>
            <w:r>
              <w:rPr>
                <w:rFonts w:hint="eastAsia" w:ascii="宋体" w:hAnsi="宋体" w:eastAsia="宋体" w:cs="宋体"/>
                <w:b/>
                <w:bCs/>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74" w:type="dxa"/>
            <w:noWrap w:val="0"/>
            <w:vAlign w:val="center"/>
          </w:tcPr>
          <w:p>
            <w:pPr>
              <w:keepNext w:val="0"/>
              <w:keepLines w:val="0"/>
              <w:suppressLineNumbers w:val="0"/>
              <w:topLinePunct/>
              <w:snapToGrid w:val="0"/>
              <w:spacing w:before="0" w:beforeAutospacing="0" w:after="0" w:afterAutospacing="0" w:line="240" w:lineRule="atLeast"/>
              <w:ind w:left="0" w:right="-130" w:rightChars="-62"/>
              <w:jc w:val="center"/>
              <w:outlineLvl w:val="1"/>
              <w:rPr>
                <w:rFonts w:hint="eastAsia" w:ascii="宋体" w:hAnsi="宋体" w:eastAsia="宋体" w:cs="宋体"/>
                <w:b/>
                <w:bCs/>
                <w:sz w:val="24"/>
                <w:highlight w:val="none"/>
              </w:rPr>
            </w:pPr>
            <w:r>
              <w:rPr>
                <w:rFonts w:hint="eastAsia" w:ascii="宋体" w:hAnsi="宋体" w:eastAsia="宋体" w:cs="宋体"/>
                <w:b/>
                <w:bCs/>
                <w:sz w:val="24"/>
                <w:highlight w:val="none"/>
              </w:rPr>
              <w:t>1</w:t>
            </w:r>
          </w:p>
        </w:tc>
        <w:tc>
          <w:tcPr>
            <w:tcW w:w="2372" w:type="dxa"/>
            <w:noWrap w:val="0"/>
            <w:vAlign w:val="center"/>
          </w:tcPr>
          <w:p>
            <w:pPr>
              <w:keepNext w:val="0"/>
              <w:keepLines w:val="0"/>
              <w:suppressLineNumbers w:val="0"/>
              <w:topLinePunct/>
              <w:snapToGrid w:val="0"/>
              <w:spacing w:before="0" w:beforeAutospacing="0" w:after="0" w:afterAutospacing="0" w:line="240" w:lineRule="atLeast"/>
              <w:ind w:left="0" w:right="-63" w:rightChars="-30"/>
              <w:jc w:val="center"/>
              <w:outlineLvl w:val="1"/>
              <w:rPr>
                <w:rFonts w:hint="eastAsia" w:ascii="宋体" w:hAnsi="宋体" w:eastAsia="宋体" w:cs="宋体"/>
                <w:b/>
                <w:bCs/>
                <w:sz w:val="24"/>
                <w:highlight w:val="none"/>
              </w:rPr>
            </w:pPr>
            <w:r>
              <w:rPr>
                <w:rFonts w:hint="eastAsia" w:ascii="宋体" w:hAnsi="宋体" w:eastAsia="宋体" w:cs="宋体"/>
                <w:b/>
                <w:bCs/>
                <w:sz w:val="24"/>
                <w:highlight w:val="none"/>
              </w:rPr>
              <w:t>设计费报价</w:t>
            </w:r>
          </w:p>
        </w:tc>
        <w:tc>
          <w:tcPr>
            <w:tcW w:w="2643" w:type="dxa"/>
            <w:noWrap w:val="0"/>
            <w:vAlign w:val="center"/>
          </w:tcPr>
          <w:p>
            <w:pPr>
              <w:keepNext w:val="0"/>
              <w:keepLines w:val="0"/>
              <w:suppressLineNumbers w:val="0"/>
              <w:wordWrap w:val="0"/>
              <w:topLinePunct/>
              <w:snapToGrid w:val="0"/>
              <w:spacing w:before="0" w:beforeAutospacing="0" w:after="0" w:afterAutospacing="0" w:line="240" w:lineRule="atLeast"/>
              <w:ind w:left="0" w:right="-199" w:rightChars="-95"/>
              <w:jc w:val="center"/>
              <w:outlineLvl w:val="1"/>
              <w:rPr>
                <w:rFonts w:hint="eastAsia" w:ascii="宋体" w:hAnsi="宋体" w:eastAsia="宋体" w:cs="宋体"/>
                <w:b/>
                <w:bCs/>
                <w:sz w:val="24"/>
                <w:highlight w:val="none"/>
              </w:rPr>
            </w:pPr>
          </w:p>
        </w:tc>
        <w:tc>
          <w:tcPr>
            <w:tcW w:w="3421" w:type="dxa"/>
            <w:noWrap w:val="0"/>
            <w:vAlign w:val="center"/>
          </w:tcPr>
          <w:p>
            <w:pPr>
              <w:keepNext w:val="0"/>
              <w:keepLines w:val="0"/>
              <w:suppressLineNumbers w:val="0"/>
              <w:wordWrap w:val="0"/>
              <w:topLinePunct/>
              <w:snapToGrid w:val="0"/>
              <w:spacing w:before="0" w:beforeAutospacing="0" w:after="0" w:afterAutospacing="0" w:line="240" w:lineRule="atLeast"/>
              <w:ind w:left="0" w:right="44" w:rightChars="21"/>
              <w:jc w:val="center"/>
              <w:outlineLvl w:val="1"/>
              <w:rPr>
                <w:rFonts w:hint="eastAsia" w:ascii="宋体" w:hAnsi="宋体" w:eastAsia="宋体" w:cs="宋体"/>
                <w:sz w:val="24"/>
                <w:highlight w:val="none"/>
              </w:rPr>
            </w:pPr>
            <w:r>
              <w:rPr>
                <w:rFonts w:hint="eastAsia" w:ascii="宋体" w:hAnsi="宋体" w:eastAsia="宋体" w:cs="宋体"/>
                <w:sz w:val="24"/>
                <w:highlight w:val="none"/>
              </w:rPr>
              <w:t>设计费报价不得超过最高投标限价</w:t>
            </w:r>
            <w:r>
              <w:rPr>
                <w:rFonts w:hint="eastAsia" w:ascii="宋体" w:hAnsi="宋体" w:eastAsia="宋体" w:cs="宋体"/>
                <w:sz w:val="24"/>
                <w:highlight w:val="none"/>
                <w:u w:val="single"/>
              </w:rPr>
              <w:t xml:space="preserve"> </w:t>
            </w:r>
            <w:r>
              <w:rPr>
                <w:rFonts w:hint="default" w:ascii="宋体" w:hAnsi="宋体" w:eastAsia="Times New Roman" w:cs="宋体"/>
                <w:sz w:val="24"/>
                <w:highlight w:val="none"/>
                <w:u w:val="single"/>
              </w:rPr>
              <w:t xml:space="preserve">411.99 </w:t>
            </w:r>
            <w:r>
              <w:rPr>
                <w:rFonts w:hint="eastAsia" w:ascii="宋体" w:hAnsi="宋体" w:eastAsia="宋体" w:cs="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74" w:type="dxa"/>
            <w:noWrap w:val="0"/>
            <w:vAlign w:val="center"/>
          </w:tcPr>
          <w:p>
            <w:pPr>
              <w:keepNext w:val="0"/>
              <w:keepLines w:val="0"/>
              <w:suppressLineNumbers w:val="0"/>
              <w:wordWrap w:val="0"/>
              <w:topLinePunct/>
              <w:snapToGrid w:val="0"/>
              <w:spacing w:before="0" w:beforeAutospacing="0" w:after="0" w:afterAutospacing="0" w:line="240" w:lineRule="atLeast"/>
              <w:ind w:left="0" w:right="-130" w:rightChars="-62"/>
              <w:jc w:val="center"/>
              <w:outlineLvl w:val="1"/>
              <w:rPr>
                <w:rFonts w:hint="eastAsia" w:ascii="宋体" w:hAnsi="宋体" w:eastAsia="等线" w:cs="宋体"/>
                <w:b/>
                <w:bCs/>
                <w:sz w:val="24"/>
                <w:highlight w:val="none"/>
              </w:rPr>
            </w:pPr>
            <w:r>
              <w:rPr>
                <w:rFonts w:hint="eastAsia" w:ascii="宋体" w:hAnsi="宋体" w:eastAsia="等线" w:cs="宋体"/>
                <w:b/>
                <w:bCs/>
                <w:sz w:val="24"/>
                <w:highlight w:val="none"/>
              </w:rPr>
              <w:t>2</w:t>
            </w:r>
          </w:p>
        </w:tc>
        <w:tc>
          <w:tcPr>
            <w:tcW w:w="2372" w:type="dxa"/>
            <w:noWrap w:val="0"/>
            <w:vAlign w:val="center"/>
          </w:tcPr>
          <w:p>
            <w:pPr>
              <w:keepNext w:val="0"/>
              <w:keepLines w:val="0"/>
              <w:suppressLineNumbers w:val="0"/>
              <w:wordWrap w:val="0"/>
              <w:topLinePunct/>
              <w:snapToGrid w:val="0"/>
              <w:spacing w:before="0" w:beforeAutospacing="0" w:after="0" w:afterAutospacing="0" w:line="240" w:lineRule="atLeast"/>
              <w:ind w:left="0" w:right="-63" w:rightChars="-30"/>
              <w:jc w:val="center"/>
              <w:outlineLvl w:val="1"/>
              <w:rPr>
                <w:rFonts w:hint="eastAsia" w:ascii="宋体" w:hAnsi="宋体" w:eastAsia="Times New Roman" w:cs="宋体"/>
                <w:b/>
                <w:bCs/>
                <w:sz w:val="24"/>
                <w:highlight w:val="none"/>
              </w:rPr>
            </w:pPr>
            <w:r>
              <w:rPr>
                <w:rFonts w:hint="eastAsia" w:ascii="宋体" w:hAnsi="宋体" w:eastAsia="宋体" w:cs="宋体"/>
                <w:b/>
                <w:bCs/>
                <w:sz w:val="24"/>
                <w:highlight w:val="none"/>
              </w:rPr>
              <w:t>树木保护专章报价</w:t>
            </w:r>
          </w:p>
        </w:tc>
        <w:tc>
          <w:tcPr>
            <w:tcW w:w="2643" w:type="dxa"/>
            <w:noWrap w:val="0"/>
            <w:vAlign w:val="center"/>
          </w:tcPr>
          <w:p>
            <w:pPr>
              <w:keepNext w:val="0"/>
              <w:keepLines w:val="0"/>
              <w:suppressLineNumbers w:val="0"/>
              <w:wordWrap w:val="0"/>
              <w:topLinePunct/>
              <w:snapToGrid w:val="0"/>
              <w:spacing w:before="0" w:beforeAutospacing="0" w:after="0" w:afterAutospacing="0" w:line="240" w:lineRule="atLeast"/>
              <w:ind w:left="0" w:right="-199" w:rightChars="-95"/>
              <w:jc w:val="center"/>
              <w:outlineLvl w:val="1"/>
              <w:rPr>
                <w:rFonts w:hint="eastAsia" w:ascii="宋体" w:hAnsi="宋体" w:eastAsia="Times New Roman" w:cs="宋体"/>
                <w:b/>
                <w:bCs/>
                <w:sz w:val="24"/>
                <w:highlight w:val="none"/>
              </w:rPr>
            </w:pPr>
          </w:p>
        </w:tc>
        <w:tc>
          <w:tcPr>
            <w:tcW w:w="3421" w:type="dxa"/>
            <w:noWrap w:val="0"/>
            <w:vAlign w:val="center"/>
          </w:tcPr>
          <w:p>
            <w:pPr>
              <w:keepNext w:val="0"/>
              <w:keepLines w:val="0"/>
              <w:suppressLineNumbers w:val="0"/>
              <w:wordWrap w:val="0"/>
              <w:topLinePunct/>
              <w:snapToGrid w:val="0"/>
              <w:spacing w:before="0" w:beforeAutospacing="0" w:after="0" w:afterAutospacing="0" w:line="240" w:lineRule="atLeast"/>
              <w:ind w:left="0" w:right="58" w:rightChars="28"/>
              <w:jc w:val="center"/>
              <w:outlineLvl w:val="1"/>
              <w:rPr>
                <w:rFonts w:hint="eastAsia" w:ascii="宋体" w:hAnsi="宋体" w:eastAsia="Times New Roman" w:cs="宋体"/>
                <w:sz w:val="24"/>
                <w:highlight w:val="none"/>
              </w:rPr>
            </w:pPr>
            <w:r>
              <w:rPr>
                <w:rFonts w:hint="eastAsia" w:ascii="宋体" w:hAnsi="宋体" w:eastAsia="宋体" w:cs="宋体"/>
                <w:sz w:val="24"/>
                <w:highlight w:val="none"/>
              </w:rPr>
              <w:t>树木保护专章报价不得超过最高投标限价</w:t>
            </w:r>
            <w:r>
              <w:rPr>
                <w:rFonts w:hint="eastAsia" w:ascii="宋体" w:hAnsi="宋体" w:eastAsia="宋体" w:cs="宋体"/>
                <w:sz w:val="24"/>
                <w:highlight w:val="none"/>
                <w:u w:val="single"/>
              </w:rPr>
              <w:t xml:space="preserve"> </w:t>
            </w:r>
            <w:r>
              <w:rPr>
                <w:rFonts w:hint="eastAsia" w:ascii="宋体" w:hAnsi="宋体" w:eastAsia="Times New Roman" w:cs="宋体"/>
                <w:sz w:val="24"/>
                <w:highlight w:val="none"/>
                <w:u w:val="single"/>
              </w:rPr>
              <w:t xml:space="preserve">21.15 </w:t>
            </w:r>
            <w:r>
              <w:rPr>
                <w:rFonts w:hint="eastAsia" w:ascii="宋体" w:hAnsi="宋体" w:eastAsia="宋体" w:cs="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74" w:type="dxa"/>
            <w:noWrap w:val="0"/>
            <w:vAlign w:val="center"/>
          </w:tcPr>
          <w:p>
            <w:pPr>
              <w:keepNext w:val="0"/>
              <w:keepLines w:val="0"/>
              <w:suppressLineNumbers w:val="0"/>
              <w:wordWrap w:val="0"/>
              <w:topLinePunct/>
              <w:snapToGrid w:val="0"/>
              <w:spacing w:before="0" w:beforeAutospacing="0" w:after="0" w:afterAutospacing="0" w:line="240" w:lineRule="atLeast"/>
              <w:ind w:left="0" w:right="-130" w:rightChars="-62"/>
              <w:jc w:val="center"/>
              <w:outlineLvl w:val="1"/>
              <w:rPr>
                <w:rFonts w:hint="eastAsia" w:ascii="宋体" w:hAnsi="宋体" w:eastAsia="宋体" w:cs="宋体"/>
                <w:b/>
                <w:bCs/>
                <w:sz w:val="24"/>
                <w:highlight w:val="none"/>
              </w:rPr>
            </w:pPr>
            <w:r>
              <w:rPr>
                <w:rFonts w:hint="eastAsia" w:ascii="宋体" w:hAnsi="宋体" w:eastAsia="宋体" w:cs="宋体"/>
                <w:b/>
                <w:bCs/>
                <w:sz w:val="24"/>
                <w:highlight w:val="none"/>
              </w:rPr>
              <w:t>3</w:t>
            </w:r>
          </w:p>
        </w:tc>
        <w:tc>
          <w:tcPr>
            <w:tcW w:w="2372" w:type="dxa"/>
            <w:noWrap w:val="0"/>
            <w:vAlign w:val="center"/>
          </w:tcPr>
          <w:p>
            <w:pPr>
              <w:keepNext w:val="0"/>
              <w:keepLines w:val="0"/>
              <w:suppressLineNumbers w:val="0"/>
              <w:wordWrap w:val="0"/>
              <w:topLinePunct/>
              <w:snapToGrid w:val="0"/>
              <w:spacing w:before="0" w:beforeAutospacing="0" w:after="0" w:afterAutospacing="0" w:line="240" w:lineRule="atLeast"/>
              <w:ind w:left="0" w:right="-63" w:rightChars="-30"/>
              <w:jc w:val="center"/>
              <w:outlineLvl w:val="1"/>
              <w:rPr>
                <w:rFonts w:hint="eastAsia" w:ascii="宋体" w:hAnsi="宋体" w:eastAsia="宋体" w:cs="宋体"/>
                <w:b/>
                <w:bCs/>
                <w:sz w:val="24"/>
                <w:highlight w:val="none"/>
              </w:rPr>
            </w:pPr>
            <w:r>
              <w:rPr>
                <w:rFonts w:hint="eastAsia" w:ascii="宋体" w:hAnsi="宋体" w:eastAsia="宋体" w:cs="宋体"/>
                <w:b/>
                <w:bCs/>
                <w:sz w:val="24"/>
                <w:highlight w:val="none"/>
              </w:rPr>
              <w:t>投标总报价</w:t>
            </w:r>
          </w:p>
        </w:tc>
        <w:tc>
          <w:tcPr>
            <w:tcW w:w="2643" w:type="dxa"/>
            <w:noWrap w:val="0"/>
            <w:vAlign w:val="center"/>
          </w:tcPr>
          <w:p>
            <w:pPr>
              <w:keepNext w:val="0"/>
              <w:keepLines w:val="0"/>
              <w:suppressLineNumbers w:val="0"/>
              <w:wordWrap w:val="0"/>
              <w:topLinePunct/>
              <w:snapToGrid w:val="0"/>
              <w:spacing w:before="0" w:beforeAutospacing="0" w:after="0" w:afterAutospacing="0" w:line="240" w:lineRule="atLeast"/>
              <w:ind w:left="0" w:right="-199" w:rightChars="-95"/>
              <w:jc w:val="center"/>
              <w:outlineLvl w:val="1"/>
              <w:rPr>
                <w:rFonts w:hint="eastAsia" w:ascii="宋体" w:hAnsi="宋体" w:eastAsia="宋体" w:cs="宋体"/>
                <w:b/>
                <w:bCs/>
                <w:sz w:val="24"/>
                <w:highlight w:val="none"/>
              </w:rPr>
            </w:pPr>
          </w:p>
        </w:tc>
        <w:tc>
          <w:tcPr>
            <w:tcW w:w="3421" w:type="dxa"/>
            <w:noWrap w:val="0"/>
            <w:vAlign w:val="center"/>
          </w:tcPr>
          <w:p>
            <w:pPr>
              <w:keepNext w:val="0"/>
              <w:keepLines w:val="0"/>
              <w:suppressLineNumbers w:val="0"/>
              <w:wordWrap w:val="0"/>
              <w:topLinePunct/>
              <w:snapToGrid w:val="0"/>
              <w:spacing w:before="0" w:beforeAutospacing="0" w:after="0" w:afterAutospacing="0" w:line="240" w:lineRule="atLeast"/>
              <w:ind w:left="0" w:right="-199" w:rightChars="-95"/>
              <w:jc w:val="center"/>
              <w:outlineLvl w:val="1"/>
              <w:rPr>
                <w:rFonts w:hint="eastAsia" w:ascii="宋体" w:hAnsi="宋体" w:eastAsia="宋体" w:cs="宋体"/>
                <w:b/>
                <w:bCs/>
                <w:sz w:val="24"/>
                <w:highlight w:val="none"/>
              </w:rPr>
            </w:pPr>
          </w:p>
        </w:tc>
      </w:tr>
    </w:tbl>
    <w:p>
      <w:pPr>
        <w:wordWrap w:val="0"/>
        <w:topLinePunct/>
        <w:snapToGrid w:val="0"/>
        <w:spacing w:line="240" w:lineRule="atLeast"/>
        <w:ind w:left="-359" w:right="-687"/>
        <w:rPr>
          <w:rFonts w:hint="eastAsia" w:ascii="宋体" w:hAnsi="宋体" w:cs="宋体"/>
          <w:szCs w:val="21"/>
          <w:highlight w:val="none"/>
        </w:rPr>
      </w:pPr>
    </w:p>
    <w:p>
      <w:pPr>
        <w:pStyle w:val="11"/>
        <w:spacing w:before="28" w:line="360" w:lineRule="auto"/>
        <w:ind w:left="245" w:right="-35"/>
        <w:rPr>
          <w:rFonts w:ascii="宋体" w:hAnsi="宋体" w:cs="宋体"/>
          <w:spacing w:val="7"/>
          <w:szCs w:val="21"/>
          <w:highlight w:val="none"/>
        </w:rPr>
      </w:pPr>
      <w:r>
        <w:rPr>
          <w:rFonts w:ascii="宋体" w:hAnsi="宋体" w:cs="宋体"/>
          <w:szCs w:val="21"/>
          <w:highlight w:val="none"/>
        </w:rPr>
        <w:t>注</w:t>
      </w:r>
      <w:r>
        <w:rPr>
          <w:rFonts w:ascii="宋体" w:hAnsi="宋体" w:cs="宋体"/>
          <w:spacing w:val="7"/>
          <w:szCs w:val="21"/>
          <w:highlight w:val="none"/>
        </w:rPr>
        <w:t>：</w:t>
      </w:r>
      <w:r>
        <w:rPr>
          <w:rFonts w:hint="eastAsia" w:ascii="宋体" w:hAnsi="宋体" w:cs="宋体"/>
          <w:spacing w:val="7"/>
          <w:szCs w:val="21"/>
          <w:highlight w:val="none"/>
        </w:rPr>
        <w:t>1</w:t>
      </w:r>
      <w:r>
        <w:rPr>
          <w:rFonts w:ascii="宋体" w:hAnsi="宋体" w:cs="宋体"/>
          <w:spacing w:val="7"/>
          <w:szCs w:val="21"/>
          <w:highlight w:val="none"/>
        </w:rPr>
        <w:t>、投标人根据自身情况自行报价，投标报价超出最高投标限价</w:t>
      </w:r>
      <w:r>
        <w:rPr>
          <w:rFonts w:hint="eastAsia"/>
          <w:highlight w:val="none"/>
          <w:lang w:eastAsia="zh-CN"/>
        </w:rPr>
        <w:t>总价或分项限价的</w:t>
      </w:r>
      <w:r>
        <w:rPr>
          <w:rFonts w:ascii="宋体" w:hAnsi="宋体" w:cs="宋体"/>
          <w:spacing w:val="7"/>
          <w:szCs w:val="21"/>
          <w:highlight w:val="none"/>
        </w:rPr>
        <w:t>，则由评标委员会作废标处理。</w:t>
      </w:r>
    </w:p>
    <w:p>
      <w:pPr>
        <w:spacing w:line="360" w:lineRule="auto"/>
        <w:ind w:left="280" w:right="86" w:firstLine="437"/>
        <w:rPr>
          <w:rFonts w:ascii="宋体" w:hAnsi="宋体" w:cs="宋体"/>
          <w:szCs w:val="21"/>
          <w:highlight w:val="none"/>
        </w:rPr>
      </w:pPr>
      <w:r>
        <w:rPr>
          <w:rFonts w:hint="eastAsia" w:ascii="宋体" w:hAnsi="宋体" w:cs="宋体"/>
          <w:spacing w:val="5"/>
          <w:szCs w:val="21"/>
          <w:highlight w:val="none"/>
        </w:rPr>
        <w:t>2</w:t>
      </w:r>
      <w:r>
        <w:rPr>
          <w:rFonts w:ascii="宋体" w:hAnsi="宋体" w:cs="宋体"/>
          <w:spacing w:val="2"/>
          <w:szCs w:val="21"/>
          <w:highlight w:val="none"/>
        </w:rPr>
        <w:t>、</w:t>
      </w:r>
      <w:r>
        <w:rPr>
          <w:rFonts w:hint="eastAsia" w:ascii="宋体" w:hAnsi="宋体" w:cs="宋体"/>
          <w:spacing w:val="7"/>
          <w:szCs w:val="21"/>
          <w:highlight w:val="none"/>
        </w:rPr>
        <w:t>投标总报价</w:t>
      </w:r>
      <w:r>
        <w:rPr>
          <w:rFonts w:ascii="宋体" w:hAnsi="宋体" w:cs="宋体"/>
          <w:spacing w:val="5"/>
          <w:szCs w:val="21"/>
          <w:highlight w:val="none"/>
        </w:rPr>
        <w:t>包</w:t>
      </w:r>
      <w:r>
        <w:rPr>
          <w:rFonts w:ascii="宋体" w:hAnsi="宋体" w:cs="宋体"/>
          <w:spacing w:val="7"/>
          <w:szCs w:val="21"/>
          <w:highlight w:val="none"/>
        </w:rPr>
        <w:t>括完</w:t>
      </w:r>
      <w:r>
        <w:rPr>
          <w:rFonts w:ascii="宋体" w:hAnsi="宋体" w:cs="宋体"/>
          <w:spacing w:val="5"/>
          <w:szCs w:val="21"/>
          <w:highlight w:val="none"/>
        </w:rPr>
        <w:t>成</w:t>
      </w:r>
      <w:r>
        <w:rPr>
          <w:rFonts w:ascii="宋体" w:hAnsi="宋体" w:cs="宋体"/>
          <w:spacing w:val="7"/>
          <w:szCs w:val="21"/>
          <w:highlight w:val="none"/>
        </w:rPr>
        <w:t>本项目招标内容的</w:t>
      </w:r>
      <w:r>
        <w:rPr>
          <w:rFonts w:ascii="宋体" w:hAnsi="宋体" w:cs="宋体"/>
          <w:spacing w:val="5"/>
          <w:szCs w:val="21"/>
          <w:highlight w:val="none"/>
        </w:rPr>
        <w:t>所</w:t>
      </w:r>
      <w:r>
        <w:rPr>
          <w:rFonts w:ascii="宋体" w:hAnsi="宋体" w:cs="宋体"/>
          <w:spacing w:val="7"/>
          <w:szCs w:val="21"/>
          <w:highlight w:val="none"/>
        </w:rPr>
        <w:t>有</w:t>
      </w:r>
      <w:r>
        <w:rPr>
          <w:rFonts w:ascii="宋体" w:hAnsi="宋体" w:cs="宋体"/>
          <w:spacing w:val="5"/>
          <w:szCs w:val="21"/>
          <w:highlight w:val="none"/>
        </w:rPr>
        <w:t>费</w:t>
      </w:r>
      <w:r>
        <w:rPr>
          <w:rFonts w:ascii="宋体" w:hAnsi="宋体" w:cs="宋体"/>
          <w:spacing w:val="7"/>
          <w:szCs w:val="21"/>
          <w:highlight w:val="none"/>
        </w:rPr>
        <w:t>用和税金等一切费用</w:t>
      </w:r>
      <w:r>
        <w:rPr>
          <w:rFonts w:ascii="宋体" w:hAnsi="宋体" w:cs="宋体"/>
          <w:spacing w:val="2"/>
          <w:szCs w:val="21"/>
          <w:highlight w:val="none"/>
        </w:rPr>
        <w:t>；</w:t>
      </w:r>
      <w:r>
        <w:rPr>
          <w:rFonts w:ascii="宋体" w:hAnsi="宋体" w:cs="宋体"/>
          <w:szCs w:val="21"/>
          <w:highlight w:val="none"/>
        </w:rPr>
        <w:t>具</w:t>
      </w:r>
      <w:r>
        <w:rPr>
          <w:rFonts w:ascii="宋体" w:hAnsi="宋体" w:cs="宋体"/>
          <w:spacing w:val="7"/>
          <w:szCs w:val="21"/>
          <w:highlight w:val="none"/>
        </w:rPr>
        <w:t>体结算原则详见合</w:t>
      </w:r>
      <w:r>
        <w:rPr>
          <w:rFonts w:ascii="宋体" w:hAnsi="宋体" w:cs="宋体"/>
          <w:spacing w:val="5"/>
          <w:szCs w:val="21"/>
          <w:highlight w:val="none"/>
        </w:rPr>
        <w:t>同</w:t>
      </w:r>
      <w:r>
        <w:rPr>
          <w:rFonts w:ascii="宋体" w:hAnsi="宋体" w:cs="宋体"/>
          <w:spacing w:val="7"/>
          <w:szCs w:val="21"/>
          <w:highlight w:val="none"/>
        </w:rPr>
        <w:t>条</w:t>
      </w:r>
      <w:r>
        <w:rPr>
          <w:rFonts w:ascii="宋体" w:hAnsi="宋体" w:cs="宋体"/>
          <w:spacing w:val="5"/>
          <w:szCs w:val="21"/>
          <w:highlight w:val="none"/>
        </w:rPr>
        <w:t>款</w:t>
      </w:r>
      <w:r>
        <w:rPr>
          <w:rFonts w:ascii="宋体" w:hAnsi="宋体" w:cs="宋体"/>
          <w:spacing w:val="7"/>
          <w:szCs w:val="21"/>
          <w:highlight w:val="none"/>
        </w:rPr>
        <w:t>的约定。</w:t>
      </w:r>
    </w:p>
    <w:p>
      <w:pPr>
        <w:pStyle w:val="6"/>
        <w:numPr>
          <w:ilvl w:val="3"/>
          <w:numId w:val="0"/>
        </w:numPr>
        <w:spacing w:before="156" w:after="156"/>
        <w:rPr>
          <w:rFonts w:hint="eastAsia" w:ascii="宋体" w:hAnsi="宋体" w:cs="宋体"/>
          <w:highlight w:val="none"/>
          <w:u w:val="single"/>
        </w:rPr>
      </w:pPr>
      <w:r>
        <w:rPr>
          <w:rFonts w:hint="eastAsia" w:ascii="宋体" w:hAnsi="宋体" w:cs="宋体"/>
          <w:strike/>
          <w:szCs w:val="21"/>
          <w:highlight w:val="none"/>
          <w:u w:val="single"/>
        </w:rPr>
        <w:br w:type="page"/>
      </w:r>
      <w:bookmarkEnd w:id="101"/>
      <w:bookmarkStart w:id="102" w:name="_Toc76384558"/>
      <w:r>
        <w:rPr>
          <w:rFonts w:hint="eastAsia" w:ascii="宋体" w:hAnsi="宋体" w:cs="宋体"/>
          <w:highlight w:val="none"/>
          <w:u w:val="single"/>
        </w:rPr>
        <w:t>附</w:t>
      </w:r>
      <w:r>
        <w:rPr>
          <w:rFonts w:hint="eastAsia" w:ascii="宋体" w:hAnsi="宋体" w:cs="宋体"/>
          <w:highlight w:val="none"/>
          <w:u w:val="single"/>
          <w:lang w:val="en-US" w:eastAsia="zh-CN"/>
        </w:rPr>
        <w:t>件</w:t>
      </w:r>
      <w:r>
        <w:rPr>
          <w:rFonts w:hint="eastAsia" w:ascii="宋体" w:hAnsi="宋体" w:cs="宋体"/>
          <w:highlight w:val="none"/>
          <w:u w:val="single"/>
        </w:rPr>
        <w:t>20  投标人已完成项目情况</w:t>
      </w:r>
      <w:bookmarkEnd w:id="102"/>
    </w:p>
    <w:p>
      <w:pPr>
        <w:pStyle w:val="55"/>
        <w:outlineLvl w:val="9"/>
        <w:rPr>
          <w:rFonts w:hint="eastAsia"/>
          <w:color w:val="auto"/>
          <w:highlight w:val="none"/>
        </w:rPr>
      </w:pPr>
      <w:bookmarkStart w:id="103" w:name="_Toc74858001"/>
      <w:bookmarkStart w:id="104" w:name="_Toc75435367"/>
      <w:bookmarkStart w:id="105" w:name="_Toc76384559"/>
      <w:bookmarkStart w:id="106" w:name="_Toc74855059"/>
      <w:r>
        <w:rPr>
          <w:rFonts w:hint="eastAsia"/>
          <w:color w:val="auto"/>
          <w:highlight w:val="none"/>
        </w:rPr>
        <w:t>投标人已完成项目情况</w:t>
      </w:r>
      <w:bookmarkEnd w:id="103"/>
      <w:bookmarkEnd w:id="104"/>
      <w:bookmarkEnd w:id="105"/>
      <w:bookmarkEnd w:id="106"/>
    </w:p>
    <w:tbl>
      <w:tblPr>
        <w:tblStyle w:val="26"/>
        <w:tblW w:w="48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863"/>
        <w:gridCol w:w="2016"/>
        <w:gridCol w:w="2065"/>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9"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合同签订时间</w:t>
            </w:r>
          </w:p>
        </w:tc>
        <w:tc>
          <w:tcPr>
            <w:tcW w:w="963"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项目概况</w:t>
            </w:r>
          </w:p>
        </w:tc>
        <w:tc>
          <w:tcPr>
            <w:tcW w:w="1042"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业主单位</w:t>
            </w:r>
          </w:p>
        </w:tc>
        <w:tc>
          <w:tcPr>
            <w:tcW w:w="1067"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完成情况</w:t>
            </w:r>
          </w:p>
        </w:tc>
        <w:tc>
          <w:tcPr>
            <w:tcW w:w="1066"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59"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963"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42"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67"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66"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59"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9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42"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6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3" w:hRule="atLeast"/>
        </w:trPr>
        <w:tc>
          <w:tcPr>
            <w:tcW w:w="859"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9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42"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6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59"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9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42"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6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59"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9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42"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6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59"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96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42"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c>
          <w:tcPr>
            <w:tcW w:w="106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p>
        </w:tc>
      </w:tr>
    </w:tbl>
    <w:p>
      <w:pPr>
        <w:spacing w:line="360" w:lineRule="auto"/>
        <w:ind w:left="630" w:hanging="630" w:hangingChars="300"/>
        <w:jc w:val="left"/>
        <w:rPr>
          <w:rFonts w:hint="eastAsia" w:ascii="宋体" w:hAnsi="宋体" w:cs="宋体"/>
          <w:highlight w:val="none"/>
        </w:rPr>
      </w:pPr>
      <w:r>
        <w:rPr>
          <w:rFonts w:hint="eastAsia" w:ascii="宋体" w:hAnsi="宋体" w:cs="宋体"/>
          <w:highlight w:val="none"/>
        </w:rPr>
        <w:t>注：①投标人应将近5年内（即2018年 1月1 日至今）已完成的类似设计项目情况填入本表中，以合同签订时间为准。类似业绩是指达到招标公告第二条（二）项所述资质（低于招标公告所述资质除外）方能承接的项目。</w:t>
      </w:r>
    </w:p>
    <w:p>
      <w:pPr>
        <w:spacing w:line="360" w:lineRule="auto"/>
        <w:ind w:left="630" w:leftChars="150" w:hanging="315" w:hangingChars="150"/>
        <w:jc w:val="left"/>
        <w:rPr>
          <w:rFonts w:hint="eastAsia" w:ascii="宋体" w:hAnsi="宋体" w:cs="宋体"/>
          <w:highlight w:val="none"/>
        </w:rPr>
      </w:pPr>
      <w:r>
        <w:rPr>
          <w:rFonts w:hint="eastAsia" w:ascii="宋体" w:hAnsi="宋体" w:cs="宋体"/>
          <w:highlight w:val="none"/>
        </w:rPr>
        <w:t>②项目概况包括：项目名称、项目等级、规模、建安费或总投资。</w:t>
      </w:r>
    </w:p>
    <w:p>
      <w:pPr>
        <w:spacing w:line="360" w:lineRule="auto"/>
        <w:ind w:left="630" w:leftChars="150" w:hanging="315" w:hangingChars="150"/>
        <w:jc w:val="left"/>
        <w:rPr>
          <w:rFonts w:hint="eastAsia" w:ascii="宋体" w:hAnsi="宋体" w:cs="宋体"/>
          <w:highlight w:val="none"/>
        </w:rPr>
      </w:pPr>
      <w:r>
        <w:rPr>
          <w:rFonts w:hint="eastAsia" w:ascii="宋体" w:hAnsi="宋体" w:cs="宋体"/>
          <w:highlight w:val="none"/>
        </w:rPr>
        <w:t>③完成情况：已完成施工图设计或已竣工。</w:t>
      </w:r>
    </w:p>
    <w:p>
      <w:pPr>
        <w:spacing w:line="360" w:lineRule="auto"/>
        <w:ind w:left="630" w:leftChars="150" w:hanging="315" w:hangingChars="150"/>
        <w:jc w:val="left"/>
        <w:rPr>
          <w:rFonts w:hint="eastAsia" w:ascii="宋体" w:hAnsi="宋体" w:cs="宋体"/>
          <w:highlight w:val="none"/>
        </w:rPr>
      </w:pPr>
      <w:r>
        <w:rPr>
          <w:rFonts w:hint="eastAsia" w:ascii="宋体" w:hAnsi="宋体" w:cs="宋体"/>
          <w:highlight w:val="none"/>
        </w:rPr>
        <w:t>④投标人应随本表出具所填项目（设计业绩）的合同文本、中标通知书（或免招标证明文件），否则，招标人将不考虑投标人所填项目的业绩。合同文本应含：项目名称，甲、乙方单位名称，设计工作内容、工作时间，甲、乙方单位签约人签名及单位公章等内容。</w:t>
      </w:r>
    </w:p>
    <w:p>
      <w:pPr>
        <w:wordWrap w:val="0"/>
        <w:topLinePunct/>
        <w:spacing w:line="360" w:lineRule="auto"/>
        <w:ind w:left="630" w:leftChars="200" w:hanging="210" w:hangingChars="100"/>
        <w:jc w:val="left"/>
        <w:rPr>
          <w:rFonts w:hint="eastAsia" w:ascii="宋体" w:hAnsi="宋体" w:cs="宋体"/>
          <w:szCs w:val="21"/>
          <w:highlight w:val="none"/>
          <w:u w:val="single"/>
        </w:rPr>
      </w:pPr>
      <w:r>
        <w:rPr>
          <w:rFonts w:hint="eastAsia" w:ascii="宋体" w:hAnsi="宋体" w:cs="宋体"/>
          <w:highlight w:val="none"/>
        </w:rPr>
        <w:t>⑤投标人所提供的证明材料，应如实反映出各设计项目的建设规模，如里程、等级、桥梁跨径、长度等相关数据。</w:t>
      </w:r>
    </w:p>
    <w:p>
      <w:pPr>
        <w:wordWrap w:val="0"/>
        <w:topLinePunct/>
        <w:spacing w:line="360" w:lineRule="auto"/>
        <w:ind w:firstLine="420" w:firstLineChars="200"/>
        <w:jc w:val="left"/>
        <w:rPr>
          <w:rFonts w:hint="eastAsia" w:ascii="宋体" w:hAnsi="宋体" w:cs="宋体"/>
          <w:szCs w:val="21"/>
          <w:highlight w:val="none"/>
          <w:u w:val="single"/>
        </w:rPr>
      </w:pPr>
    </w:p>
    <w:p>
      <w:pPr>
        <w:wordWrap w:val="0"/>
        <w:topLinePunct/>
        <w:spacing w:line="360" w:lineRule="auto"/>
        <w:ind w:firstLine="420" w:firstLineChars="200"/>
        <w:jc w:val="left"/>
        <w:rPr>
          <w:rFonts w:hint="eastAsia" w:ascii="宋体" w:hAnsi="宋体" w:cs="宋体"/>
          <w:szCs w:val="21"/>
          <w:highlight w:val="none"/>
          <w:u w:val="single"/>
        </w:rPr>
      </w:pPr>
    </w:p>
    <w:p>
      <w:pPr>
        <w:rPr>
          <w:rFonts w:hint="eastAsia" w:ascii="宋体" w:hAnsi="宋体" w:cs="宋体"/>
          <w:highlight w:val="none"/>
          <w:u w:val="single"/>
        </w:rPr>
      </w:pPr>
      <w:bookmarkStart w:id="107" w:name="_Toc76384560"/>
      <w:r>
        <w:rPr>
          <w:rFonts w:hint="eastAsia" w:ascii="宋体" w:hAnsi="宋体" w:cs="宋体"/>
          <w:highlight w:val="none"/>
          <w:u w:val="single"/>
        </w:rPr>
        <w:br w:type="page"/>
      </w:r>
    </w:p>
    <w:p>
      <w:pPr>
        <w:pStyle w:val="6"/>
        <w:numPr>
          <w:ilvl w:val="3"/>
          <w:numId w:val="0"/>
        </w:numPr>
        <w:spacing w:before="156" w:after="156"/>
        <w:rPr>
          <w:rFonts w:hint="eastAsia" w:ascii="宋体" w:hAnsi="宋体" w:cs="宋体"/>
          <w:highlight w:val="none"/>
          <w:u w:val="single"/>
        </w:rPr>
      </w:pPr>
      <w:r>
        <w:rPr>
          <w:rFonts w:hint="eastAsia" w:ascii="宋体" w:hAnsi="宋体" w:cs="宋体"/>
          <w:highlight w:val="none"/>
          <w:u w:val="single"/>
        </w:rPr>
        <w:t>附</w:t>
      </w:r>
      <w:r>
        <w:rPr>
          <w:rFonts w:hint="eastAsia" w:ascii="宋体" w:hAnsi="宋体" w:cs="宋体"/>
          <w:highlight w:val="none"/>
          <w:u w:val="single"/>
          <w:lang w:val="en-US" w:eastAsia="zh-CN"/>
        </w:rPr>
        <w:t>件</w:t>
      </w:r>
      <w:r>
        <w:rPr>
          <w:rFonts w:hint="eastAsia" w:ascii="宋体" w:hAnsi="宋体" w:cs="宋体"/>
          <w:highlight w:val="none"/>
          <w:u w:val="single"/>
        </w:rPr>
        <w:t>21  本项目拟投入的人员基本情况表</w:t>
      </w:r>
      <w:bookmarkEnd w:id="107"/>
    </w:p>
    <w:p>
      <w:pPr>
        <w:jc w:val="center"/>
        <w:rPr>
          <w:rFonts w:hint="eastAsia" w:ascii="宋体" w:hAnsi="宋体" w:cs="宋体"/>
          <w:b/>
          <w:sz w:val="32"/>
          <w:szCs w:val="32"/>
          <w:highlight w:val="none"/>
        </w:rPr>
      </w:pPr>
      <w:r>
        <w:rPr>
          <w:rFonts w:hint="eastAsia" w:ascii="宋体" w:hAnsi="宋体" w:cs="宋体"/>
          <w:b/>
          <w:sz w:val="32"/>
          <w:szCs w:val="32"/>
          <w:highlight w:val="none"/>
        </w:rPr>
        <w:t>本项目拟投入的人员基本情况表</w:t>
      </w:r>
    </w:p>
    <w:tbl>
      <w:tblPr>
        <w:tblStyle w:val="26"/>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455"/>
        <w:gridCol w:w="1735"/>
        <w:gridCol w:w="1449"/>
        <w:gridCol w:w="1659"/>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163"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人员安排</w:t>
            </w:r>
          </w:p>
        </w:tc>
        <w:tc>
          <w:tcPr>
            <w:tcW w:w="145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姓 名</w:t>
            </w:r>
          </w:p>
        </w:tc>
        <w:tc>
          <w:tcPr>
            <w:tcW w:w="173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 xml:space="preserve">执业资格情况  </w:t>
            </w:r>
          </w:p>
        </w:tc>
        <w:tc>
          <w:tcPr>
            <w:tcW w:w="144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职称情况</w:t>
            </w:r>
          </w:p>
        </w:tc>
        <w:tc>
          <w:tcPr>
            <w:tcW w:w="165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获奖情况</w:t>
            </w:r>
          </w:p>
        </w:tc>
        <w:tc>
          <w:tcPr>
            <w:tcW w:w="126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highlight w:val="none"/>
              </w:rPr>
            </w:pPr>
            <w:r>
              <w:rPr>
                <w:rFonts w:hint="eastAsia" w:ascii="宋体" w:hAnsi="宋体" w:eastAsia="宋体" w:cs="宋体"/>
                <w:b/>
                <w:highlight w:val="none"/>
              </w:rPr>
              <w:t>项目负责人</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26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highlight w:val="none"/>
              </w:rPr>
            </w:pPr>
            <w:r>
              <w:rPr>
                <w:rFonts w:hint="eastAsia" w:ascii="宋体" w:hAnsi="宋体" w:eastAsia="宋体" w:cs="宋体"/>
                <w:b/>
                <w:highlight w:val="none"/>
              </w:rPr>
              <w:t>景观园林专业负责人</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highlight w:val="none"/>
              </w:rPr>
            </w:pPr>
            <w:r>
              <w:rPr>
                <w:rFonts w:hint="eastAsia" w:ascii="宋体" w:hAnsi="宋体" w:eastAsia="宋体" w:cs="宋体"/>
                <w:b/>
                <w:highlight w:val="none"/>
              </w:rPr>
              <w:t>景观园林</w:t>
            </w:r>
            <w:r>
              <w:rPr>
                <w:rFonts w:hint="eastAsia" w:ascii="宋体" w:hAnsi="宋体" w:eastAsia="宋体" w:cs="宋体"/>
                <w:highlight w:val="none"/>
              </w:rPr>
              <w:t>专业设计人</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firstLine="599"/>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highlight w:val="none"/>
              </w:rPr>
            </w:pPr>
            <w:r>
              <w:rPr>
                <w:rFonts w:hint="eastAsia" w:ascii="宋体" w:hAnsi="宋体" w:eastAsia="宋体" w:cs="宋体"/>
                <w:highlight w:val="none"/>
              </w:rPr>
              <w:t>…</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highlight w:val="none"/>
              </w:rPr>
            </w:pPr>
            <w:r>
              <w:rPr>
                <w:rFonts w:hint="eastAsia" w:ascii="宋体" w:hAnsi="宋体" w:eastAsia="宋体" w:cs="宋体"/>
                <w:b/>
                <w:highlight w:val="none"/>
              </w:rPr>
              <w:t>给排水专业负责人</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highlight w:val="none"/>
              </w:rPr>
            </w:pPr>
            <w:r>
              <w:rPr>
                <w:rFonts w:hint="eastAsia" w:ascii="宋体" w:hAnsi="宋体" w:eastAsia="宋体" w:cs="宋体"/>
                <w:highlight w:val="none"/>
              </w:rPr>
              <w:t>给排水专业设计人</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highlight w:val="none"/>
              </w:rPr>
            </w:pPr>
            <w:r>
              <w:rPr>
                <w:rFonts w:hint="eastAsia" w:ascii="宋体" w:hAnsi="宋体" w:eastAsia="宋体" w:cs="宋体"/>
                <w:highlight w:val="none"/>
              </w:rPr>
              <w:t>…</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highlight w:val="none"/>
              </w:rPr>
            </w:pPr>
            <w:r>
              <w:rPr>
                <w:rFonts w:hint="eastAsia" w:ascii="宋体" w:hAnsi="宋体" w:eastAsia="宋体" w:cs="宋体"/>
                <w:b/>
                <w:highlight w:val="none"/>
              </w:rPr>
              <w:t>造价专业负责人</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highlight w:val="none"/>
              </w:rPr>
            </w:pPr>
            <w:r>
              <w:rPr>
                <w:rFonts w:hint="eastAsia" w:ascii="宋体" w:hAnsi="宋体" w:eastAsia="宋体" w:cs="宋体"/>
                <w:highlight w:val="none"/>
              </w:rPr>
              <w:t>造价专业设计人</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
                <w:highlight w:val="none"/>
              </w:rPr>
            </w:pPr>
            <w:r>
              <w:rPr>
                <w:rFonts w:hint="eastAsia" w:ascii="宋体" w:hAnsi="宋体" w:eastAsia="宋体" w:cs="宋体"/>
                <w:highlight w:val="none"/>
              </w:rPr>
              <w:t>…</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highlight w:val="none"/>
              </w:rPr>
            </w:pPr>
            <w:r>
              <w:rPr>
                <w:rFonts w:hint="eastAsia" w:ascii="宋体" w:hAnsi="宋体" w:eastAsia="宋体" w:cs="宋体"/>
                <w:highlight w:val="none"/>
              </w:rPr>
              <w:t>…</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2163" w:type="dxa"/>
            <w:noWrap w:val="0"/>
            <w:vAlign w:val="center"/>
          </w:tcPr>
          <w:p>
            <w:pPr>
              <w:keepNext w:val="0"/>
              <w:keepLines w:val="0"/>
              <w:suppressLineNumbers w:val="0"/>
              <w:topLinePunct/>
              <w:spacing w:before="0" w:beforeAutospacing="0" w:after="0" w:afterAutospacing="0"/>
              <w:ind w:left="0" w:right="0"/>
              <w:rPr>
                <w:rFonts w:hint="eastAsia" w:ascii="宋体" w:hAnsi="宋体" w:eastAsia="宋体" w:cs="宋体"/>
                <w:strike/>
                <w:highlight w:val="none"/>
              </w:rPr>
            </w:pPr>
            <w:r>
              <w:rPr>
                <w:rFonts w:hint="eastAsia" w:ascii="宋体" w:hAnsi="宋体" w:eastAsia="宋体" w:cs="宋体"/>
                <w:b/>
                <w:bCs/>
                <w:highlight w:val="none"/>
              </w:rPr>
              <w:t>拟投入的其他设计人员（根据实际工作需要自行填报））</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2163" w:type="dxa"/>
            <w:noWrap w:val="0"/>
            <w:vAlign w:val="center"/>
          </w:tcPr>
          <w:p>
            <w:pPr>
              <w:keepNext w:val="0"/>
              <w:keepLines w:val="0"/>
              <w:suppressLineNumbers w:val="0"/>
              <w:topLinePunct/>
              <w:spacing w:before="0" w:beforeAutospacing="0" w:after="0" w:afterAutospacing="0"/>
              <w:ind w:left="0" w:right="0"/>
              <w:rPr>
                <w:rFonts w:hint="eastAsia" w:ascii="宋体" w:hAnsi="宋体" w:eastAsia="宋体" w:cs="宋体"/>
                <w:b/>
                <w:bCs/>
                <w:highlight w:val="none"/>
              </w:rPr>
            </w:pPr>
            <w:r>
              <w:rPr>
                <w:rFonts w:hint="eastAsia" w:ascii="宋体" w:hAnsi="宋体" w:eastAsia="宋体" w:cs="宋体"/>
                <w:highlight w:val="none"/>
              </w:rPr>
              <w:t>…</w:t>
            </w: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noWrap w:val="0"/>
            <w:vAlign w:val="center"/>
          </w:tcPr>
          <w:p>
            <w:pPr>
              <w:keepNext w:val="0"/>
              <w:keepLines w:val="0"/>
              <w:suppressLineNumbers w:val="0"/>
              <w:topLinePunct/>
              <w:spacing w:before="0" w:beforeAutospacing="0" w:after="0" w:afterAutospacing="0"/>
              <w:ind w:left="0" w:right="0"/>
              <w:rPr>
                <w:rFonts w:hint="eastAsia" w:ascii="宋体" w:hAnsi="宋体" w:eastAsia="宋体" w:cs="宋体"/>
                <w:highlight w:val="none"/>
              </w:rPr>
            </w:pPr>
          </w:p>
        </w:tc>
        <w:tc>
          <w:tcPr>
            <w:tcW w:w="145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735"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449" w:type="dxa"/>
            <w:noWrap w:val="0"/>
            <w:vAlign w:val="center"/>
          </w:tcPr>
          <w:p>
            <w:pPr>
              <w:keepNext w:val="0"/>
              <w:keepLines w:val="0"/>
              <w:suppressLineNumbers w:val="0"/>
              <w:wordWrap w:val="0"/>
              <w:topLinePunct/>
              <w:spacing w:before="0" w:beforeAutospacing="0" w:after="0" w:afterAutospacing="0"/>
              <w:ind w:left="0" w:right="0"/>
              <w:rPr>
                <w:rFonts w:hint="eastAsia" w:ascii="宋体" w:hAnsi="宋体" w:eastAsia="宋体" w:cs="宋体"/>
                <w:highlight w:val="none"/>
              </w:rPr>
            </w:pPr>
          </w:p>
        </w:tc>
        <w:tc>
          <w:tcPr>
            <w:tcW w:w="1659"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不需要提供</w:t>
            </w:r>
          </w:p>
        </w:tc>
        <w:tc>
          <w:tcPr>
            <w:tcW w:w="1265"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highlight w:val="none"/>
              </w:rPr>
              <w:t>/</w:t>
            </w:r>
          </w:p>
        </w:tc>
      </w:tr>
    </w:tbl>
    <w:p>
      <w:pPr>
        <w:spacing w:line="360" w:lineRule="auto"/>
        <w:jc w:val="left"/>
        <w:rPr>
          <w:rFonts w:hint="eastAsia" w:ascii="宋体" w:hAnsi="宋体" w:cs="宋体"/>
          <w:sz w:val="24"/>
          <w:highlight w:val="none"/>
        </w:rPr>
      </w:pPr>
      <w:r>
        <w:rPr>
          <w:rFonts w:hint="eastAsia" w:ascii="宋体" w:hAnsi="宋体" w:cs="宋体"/>
          <w:sz w:val="24"/>
          <w:highlight w:val="none"/>
        </w:rPr>
        <w:t>注：①投标人应根据招标文件要求和招标项目的实际需要，列出项目负责人及各专业负责人，如园林专业负责人、给排水专业负责人、工程造价专业负责人等设计专业负责人。</w:t>
      </w:r>
    </w:p>
    <w:p>
      <w:pPr>
        <w:wordWrap w:val="0"/>
        <w:topLinePunct/>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②除项目负责人需要提供获奖证明外，其他拟投入人员不需要提供奖项与获奖证明材料。</w:t>
      </w:r>
    </w:p>
    <w:p>
      <w:pPr>
        <w:wordWrap w:val="0"/>
        <w:topLinePunct/>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③投标人拟投入的人员应为本单位人员，并提供本表所列人员近1个月（2023年7月）有效的参保的社保证明（含分公司或分支机构社保缴纳记录</w:t>
      </w:r>
      <w:r>
        <w:rPr>
          <w:rFonts w:hint="eastAsia" w:ascii="宋体" w:hAnsi="宋体" w:cs="宋体"/>
          <w:sz w:val="24"/>
          <w:highlight w:val="none"/>
          <w:lang w:eastAsia="zh-CN"/>
        </w:rPr>
        <w:t>，</w:t>
      </w:r>
      <w:r>
        <w:rPr>
          <w:rFonts w:hint="eastAsia" w:ascii="宋体" w:hAnsi="宋体" w:cs="宋体"/>
          <w:sz w:val="24"/>
          <w:highlight w:val="none"/>
        </w:rPr>
        <w:t>不含子公司。确定中标人后，招标人将采取有效措施，核实后续中标人管理团队的社保补缴情况）。</w:t>
      </w:r>
    </w:p>
    <w:p>
      <w:pPr>
        <w:wordWrap w:val="0"/>
        <w:topLinePunct/>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④关于职称、执业资格。投标人须备注清楚并附上有关证明材料。</w:t>
      </w:r>
    </w:p>
    <w:p>
      <w:pPr>
        <w:wordWrap w:val="0"/>
        <w:topLinePunct/>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highlight w:val="none"/>
          <w:u w:val="single"/>
        </w:rPr>
        <w:t>⑤获奖奖项如颁奖单位为相关行业协会/学会，相关行业协会/学会须在民政部门依法登记注册，人员获奖的，证书上需体现人员姓名，若无法体现的，需提供经建设单位认可的其他相关证明材料。</w:t>
      </w:r>
    </w:p>
    <w:p>
      <w:pPr>
        <w:wordWrap w:val="0"/>
        <w:topLinePunct/>
        <w:spacing w:line="360" w:lineRule="auto"/>
        <w:rPr>
          <w:rFonts w:hint="eastAsia" w:ascii="宋体" w:hAnsi="宋体" w:cs="宋体"/>
          <w:b/>
          <w:bCs/>
          <w:sz w:val="24"/>
          <w:highlight w:val="none"/>
        </w:rPr>
      </w:pPr>
    </w:p>
    <w:p>
      <w:pPr>
        <w:pStyle w:val="6"/>
        <w:numPr>
          <w:ilvl w:val="3"/>
          <w:numId w:val="0"/>
        </w:numPr>
        <w:spacing w:before="156" w:after="156"/>
        <w:rPr>
          <w:rFonts w:hint="eastAsia" w:ascii="宋体" w:hAnsi="宋体" w:cs="宋体"/>
          <w:b w:val="0"/>
          <w:bCs w:val="0"/>
          <w:sz w:val="32"/>
          <w:highlight w:val="none"/>
        </w:rPr>
      </w:pPr>
      <w:r>
        <w:rPr>
          <w:rFonts w:hint="eastAsia" w:ascii="宋体" w:hAnsi="宋体" w:cs="宋体"/>
          <w:b w:val="0"/>
          <w:sz w:val="32"/>
          <w:highlight w:val="none"/>
        </w:rPr>
        <w:br w:type="page"/>
      </w:r>
      <w:bookmarkStart w:id="108" w:name="_Toc76384561"/>
      <w:r>
        <w:rPr>
          <w:rFonts w:hint="eastAsia" w:ascii="宋体" w:hAnsi="宋体" w:cs="宋体"/>
          <w:highlight w:val="none"/>
          <w:u w:val="single"/>
        </w:rPr>
        <w:t>附</w:t>
      </w:r>
      <w:r>
        <w:rPr>
          <w:rFonts w:hint="eastAsia" w:ascii="宋体" w:hAnsi="宋体" w:cs="宋体"/>
          <w:highlight w:val="none"/>
          <w:u w:val="single"/>
          <w:lang w:val="en-US" w:eastAsia="zh-CN"/>
        </w:rPr>
        <w:t>件</w:t>
      </w:r>
      <w:r>
        <w:rPr>
          <w:rFonts w:hint="eastAsia" w:ascii="宋体" w:hAnsi="宋体" w:cs="宋体"/>
          <w:highlight w:val="none"/>
          <w:u w:val="single"/>
        </w:rPr>
        <w:t>22  投标文件光盘（备用）接收记录表格</w:t>
      </w:r>
      <w:bookmarkEnd w:id="108"/>
    </w:p>
    <w:p>
      <w:pPr>
        <w:wordWrap w:val="0"/>
        <w:topLinePunct/>
        <w:spacing w:line="360" w:lineRule="auto"/>
        <w:rPr>
          <w:rFonts w:hint="eastAsia" w:ascii="宋体" w:hAnsi="宋体" w:cs="宋体"/>
          <w:b/>
          <w:bCs/>
          <w:sz w:val="24"/>
          <w:highlight w:val="none"/>
        </w:rPr>
      </w:pPr>
      <w:r>
        <w:rPr>
          <w:rFonts w:hint="eastAsia" w:ascii="宋体" w:hAnsi="宋体" w:cs="宋体"/>
          <w:sz w:val="24"/>
          <w:highlight w:val="none"/>
        </w:rPr>
        <w:t>（本页接收投标文件时使用，结束时收回存档备查）</w:t>
      </w:r>
    </w:p>
    <w:p>
      <w:pPr>
        <w:wordWrap w:val="0"/>
        <w:topLinePunct/>
        <w:jc w:val="center"/>
        <w:rPr>
          <w:rFonts w:hint="eastAsia" w:ascii="宋体" w:hAnsi="宋体" w:cs="宋体"/>
          <w:b/>
          <w:bCs/>
          <w:sz w:val="32"/>
          <w:highlight w:val="none"/>
        </w:rPr>
      </w:pPr>
      <w:r>
        <w:rPr>
          <w:rFonts w:hint="eastAsia" w:ascii="宋体" w:hAnsi="宋体" w:cs="宋体"/>
          <w:b/>
          <w:bCs/>
          <w:sz w:val="32"/>
          <w:highlight w:val="none"/>
        </w:rPr>
        <w:t>投标文件光盘（备用）接收记录表格</w:t>
      </w:r>
    </w:p>
    <w:tbl>
      <w:tblPr>
        <w:tblStyle w:val="2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118"/>
        <w:gridCol w:w="1558"/>
        <w:gridCol w:w="1620"/>
        <w:gridCol w:w="162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1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r>
              <w:rPr>
                <w:rFonts w:hint="eastAsia" w:ascii="宋体" w:hAnsi="宋体" w:eastAsia="宋体" w:cs="宋体"/>
                <w:bCs/>
                <w:sz w:val="24"/>
                <w:highlight w:val="none"/>
              </w:rPr>
              <w:t>序号</w:t>
            </w:r>
          </w:p>
        </w:tc>
        <w:tc>
          <w:tcPr>
            <w:tcW w:w="211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r>
              <w:rPr>
                <w:rFonts w:hint="eastAsia" w:ascii="宋体" w:hAnsi="宋体" w:eastAsia="宋体" w:cs="宋体"/>
                <w:bCs/>
                <w:sz w:val="24"/>
                <w:highlight w:val="none"/>
              </w:rPr>
              <w:t>投标人名称</w:t>
            </w:r>
          </w:p>
        </w:tc>
        <w:tc>
          <w:tcPr>
            <w:tcW w:w="1558"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u w:val="single"/>
              </w:rPr>
            </w:pPr>
            <w:r>
              <w:rPr>
                <w:rFonts w:hint="eastAsia" w:ascii="宋体" w:hAnsi="宋体" w:eastAsia="宋体" w:cs="宋体"/>
                <w:bCs/>
                <w:sz w:val="24"/>
                <w:highlight w:val="none"/>
                <w:u w:val="single"/>
              </w:rPr>
              <w:t>投标文件光盘（备用）</w:t>
            </w:r>
          </w:p>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u w:val="single"/>
              </w:rPr>
            </w:pPr>
            <w:r>
              <w:rPr>
                <w:rFonts w:hint="eastAsia" w:ascii="宋体" w:hAnsi="宋体" w:eastAsia="宋体" w:cs="宋体"/>
                <w:bCs/>
                <w:sz w:val="24"/>
                <w:highlight w:val="none"/>
                <w:u w:val="single"/>
              </w:rPr>
              <w:t>接收情况</w:t>
            </w:r>
          </w:p>
        </w:tc>
        <w:tc>
          <w:tcPr>
            <w:tcW w:w="1620"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u w:val="single"/>
              </w:rPr>
            </w:pPr>
            <w:r>
              <w:rPr>
                <w:rFonts w:hint="eastAsia" w:ascii="宋体" w:hAnsi="宋体" w:eastAsia="宋体" w:cs="宋体"/>
                <w:bCs/>
                <w:sz w:val="24"/>
                <w:highlight w:val="none"/>
                <w:u w:val="single"/>
              </w:rPr>
              <w:t>递交时间</w:t>
            </w:r>
          </w:p>
        </w:tc>
        <w:tc>
          <w:tcPr>
            <w:tcW w:w="1620"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r>
              <w:rPr>
                <w:rFonts w:hint="eastAsia" w:ascii="宋体" w:hAnsi="宋体" w:eastAsia="宋体" w:cs="宋体"/>
                <w:bCs/>
                <w:sz w:val="24"/>
                <w:highlight w:val="none"/>
              </w:rPr>
              <w:t>投标人代表</w:t>
            </w:r>
          </w:p>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r>
              <w:rPr>
                <w:rFonts w:hint="eastAsia" w:ascii="宋体" w:hAnsi="宋体" w:eastAsia="宋体" w:cs="宋体"/>
                <w:bCs/>
                <w:sz w:val="24"/>
                <w:highlight w:val="none"/>
              </w:rPr>
              <w:t>签名</w:t>
            </w:r>
          </w:p>
        </w:tc>
        <w:tc>
          <w:tcPr>
            <w:tcW w:w="1397" w:type="dxa"/>
            <w:noWrap w:val="0"/>
            <w:vAlign w:val="center"/>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r>
              <w:rPr>
                <w:rFonts w:hint="eastAsia" w:ascii="宋体" w:hAnsi="宋体" w:eastAsia="宋体" w:cs="宋体"/>
                <w:bCs/>
                <w:sz w:val="24"/>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211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55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39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211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55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39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211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55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39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211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55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39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211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55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39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211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55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39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211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55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39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211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55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39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211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558"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620"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c>
          <w:tcPr>
            <w:tcW w:w="1397" w:type="dxa"/>
            <w:noWrap w:val="0"/>
            <w:vAlign w:val="top"/>
          </w:tcPr>
          <w:p>
            <w:pPr>
              <w:keepNext w:val="0"/>
              <w:keepLines w:val="0"/>
              <w:suppressLineNumbers w:val="0"/>
              <w:wordWrap w:val="0"/>
              <w:topLinePunct/>
              <w:spacing w:before="0" w:beforeAutospacing="0" w:after="0" w:afterAutospacing="0"/>
              <w:ind w:left="0" w:right="0"/>
              <w:jc w:val="center"/>
              <w:rPr>
                <w:rFonts w:hint="eastAsia" w:ascii="宋体" w:hAnsi="宋体" w:eastAsia="宋体" w:cs="宋体"/>
                <w:bCs/>
                <w:sz w:val="24"/>
                <w:highlight w:val="none"/>
              </w:rPr>
            </w:pPr>
          </w:p>
        </w:tc>
      </w:tr>
    </w:tbl>
    <w:p>
      <w:pPr>
        <w:wordWrap w:val="0"/>
        <w:topLinePunct/>
        <w:spacing w:line="360" w:lineRule="auto"/>
        <w:rPr>
          <w:rFonts w:hint="eastAsia" w:ascii="宋体" w:hAnsi="宋体" w:cs="宋体"/>
          <w:sz w:val="24"/>
          <w:highlight w:val="none"/>
        </w:rPr>
      </w:pPr>
      <w:r>
        <w:rPr>
          <w:rFonts w:hint="eastAsia" w:ascii="宋体" w:hAnsi="宋体" w:cs="宋体"/>
          <w:sz w:val="24"/>
          <w:highlight w:val="none"/>
        </w:rPr>
        <w:t>为方便联络，请</w:t>
      </w:r>
      <w:r>
        <w:rPr>
          <w:rFonts w:hint="eastAsia" w:ascii="宋体" w:hAnsi="宋体" w:cs="宋体"/>
          <w:bCs/>
          <w:sz w:val="24"/>
          <w:highlight w:val="none"/>
        </w:rPr>
        <w:t>投标人代表的手机保持开启状态。</w:t>
      </w:r>
    </w:p>
    <w:p>
      <w:pPr>
        <w:wordWrap w:val="0"/>
        <w:topLinePunct/>
        <w:spacing w:line="360" w:lineRule="auto"/>
        <w:rPr>
          <w:rFonts w:hint="eastAsia" w:ascii="宋体" w:hAnsi="宋体" w:cs="宋体"/>
          <w:sz w:val="24"/>
          <w:highlight w:val="none"/>
        </w:rPr>
      </w:pPr>
      <w:r>
        <w:rPr>
          <w:rFonts w:hint="eastAsia" w:ascii="宋体" w:hAnsi="宋体" w:cs="宋体"/>
          <w:sz w:val="24"/>
          <w:highlight w:val="none"/>
        </w:rPr>
        <w:t>代理机构代表：            见证人：           日期：      年    月    日</w:t>
      </w:r>
    </w:p>
    <w:p>
      <w:pPr>
        <w:pStyle w:val="15"/>
        <w:adjustRightInd w:val="0"/>
        <w:snapToGrid w:val="0"/>
        <w:spacing w:line="360" w:lineRule="auto"/>
        <w:rPr>
          <w:rFonts w:hint="eastAsia" w:hAnsi="宋体" w:cs="宋体"/>
          <w:sz w:val="24"/>
          <w:szCs w:val="24"/>
          <w:highlight w:val="none"/>
        </w:rPr>
      </w:pPr>
    </w:p>
    <w:sectPr>
      <w:footerReference r:id="rId18" w:type="default"/>
      <w:footerReference r:id="rId19" w:type="even"/>
      <w:type w:val="nextColum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方正仿宋_GBK">
    <w:altName w:val="宋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r>
                            <w:fldChar w:fldCharType="begin"/>
                          </w:r>
                          <w:r>
                            <w:instrText xml:space="preserve"> PAGE   \* MERGEFORMAT </w:instrText>
                          </w:r>
                          <w:r>
                            <w:fldChar w:fldCharType="separate"/>
                          </w:r>
                          <w:r>
                            <w:rPr>
                              <w:lang w:val="zh-CN"/>
                            </w:rPr>
                            <w:t>0</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7a8c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4tgdtzjwy4/vl5+/L7++kWXR&#10;pw9QY9pDwMQ0vPUDbk3WLfsBnZn2oKLNXyREMI7qnq/qyiERkR+tV+t1hSGBsfmCOOz2PERI76S3&#10;JBsNjTi+oio/fYA0ps4puZrz99qYMkLj/nIgZvawW4/ZSsN+mBrf+/aMfHqcfEMdLjol5r1DYfOS&#10;zEacjf1sHEPUh65sUa4H4c0xYROlt1xhhJ0K48gKu2m98k48vpes2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Th7a8ccBAACaAwAADgAAAAAAAAABACAAAAAeAQAAZHJzL2Uyb0RvYy54&#10;bWxQSwUGAAAAAAYABgBZAQAAVwUAAAAA&#10;">
              <v:fill on="f" focussize="0,0"/>
              <v:stroke on="f"/>
              <v:imagedata o:title=""/>
              <o:lock v:ext="edit" aspectratio="f"/>
              <v:textbox inset="0mm,0mm,0mm,0mm" style="mso-fit-shape-to-text:t;">
                <w:txbxContent>
                  <w:p>
                    <w:pPr>
                      <w:pStyle w:val="18"/>
                      <w:jc w:val="center"/>
                    </w:pPr>
                    <w:r>
                      <w:fldChar w:fldCharType="begin"/>
                    </w:r>
                    <w:r>
                      <w:instrText xml:space="preserve"> PAGE   \* MERGEFORMAT </w:instrText>
                    </w:r>
                    <w:r>
                      <w:fldChar w:fldCharType="separate"/>
                    </w:r>
                    <w:r>
                      <w:rPr>
                        <w:lang w:val="zh-CN"/>
                      </w:rPr>
                      <w:t>0</w:t>
                    </w:r>
                    <w:r>
                      <w:fldChar w:fldCharType="end"/>
                    </w:r>
                  </w:p>
                </w:txbxContent>
              </v:textbox>
            </v:shape>
          </w:pict>
        </mc:Fallback>
      </mc:AlternateContent>
    </w:r>
  </w:p>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J7p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Us&#10;X2e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knukyQEAAJs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21</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n0fIMk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zP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fR8gyQEAAJo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2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Style w:val="29"/>
                            </w:rPr>
                          </w:pPr>
                          <w:r>
                            <w:fldChar w:fldCharType="begin"/>
                          </w:r>
                          <w:r>
                            <w:rPr>
                              <w:rStyle w:val="29"/>
                            </w:rPr>
                            <w:instrText xml:space="preserve">PAGE  </w:instrText>
                          </w:r>
                          <w:r>
                            <w:fldChar w:fldCharType="separate"/>
                          </w:r>
                          <w:r>
                            <w:rPr>
                              <w:rStyle w:val="29"/>
                            </w:rPr>
                            <w:t>28</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pPr>
                      <w:pStyle w:val="18"/>
                      <w:rPr>
                        <w:rStyle w:val="29"/>
                      </w:rPr>
                    </w:pPr>
                    <w:r>
                      <w:fldChar w:fldCharType="begin"/>
                    </w:r>
                    <w:r>
                      <w:rPr>
                        <w:rStyle w:val="29"/>
                      </w:rPr>
                      <w:instrText xml:space="preserve">PAGE  </w:instrText>
                    </w:r>
                    <w:r>
                      <w:fldChar w:fldCharType="separate"/>
                    </w:r>
                    <w:r>
                      <w:rPr>
                        <w:rStyle w:val="29"/>
                      </w:rP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Style w:val="29"/>
                            </w:rPr>
                          </w:pPr>
                          <w:r>
                            <w:fldChar w:fldCharType="begin"/>
                          </w:r>
                          <w:r>
                            <w:rPr>
                              <w:rStyle w:val="29"/>
                            </w:rPr>
                            <w:instrText xml:space="preserve">PAGE  </w:instrText>
                          </w:r>
                          <w:r>
                            <w:fldChar w:fldCharType="separate"/>
                          </w:r>
                          <w:r>
                            <w:rPr>
                              <w:rStyle w:val="29"/>
                            </w:rPr>
                            <w:t>35</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xwCs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fHAKyQEAAJkDAAAOAAAAAAAAAAEAIAAAAB4BAABkcnMvZTJvRG9j&#10;LnhtbFBLBQYAAAAABgAGAFkBAABZBQAAAAA=&#10;">
              <v:fill on="f" focussize="0,0"/>
              <v:stroke on="f"/>
              <v:imagedata o:title=""/>
              <o:lock v:ext="edit" aspectratio="f"/>
              <v:textbox inset="0mm,0mm,0mm,0mm" style="mso-fit-shape-to-text:t;">
                <w:txbxContent>
                  <w:p>
                    <w:pPr>
                      <w:pStyle w:val="18"/>
                      <w:rPr>
                        <w:rStyle w:val="29"/>
                      </w:rPr>
                    </w:pPr>
                    <w:r>
                      <w:fldChar w:fldCharType="begin"/>
                    </w:r>
                    <w:r>
                      <w:rPr>
                        <w:rStyle w:val="29"/>
                      </w:rPr>
                      <w:instrText xml:space="preserve">PAGE  </w:instrText>
                    </w:r>
                    <w:r>
                      <w:fldChar w:fldCharType="separate"/>
                    </w:r>
                    <w:r>
                      <w:rPr>
                        <w:rStyle w:val="29"/>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Style w:val="29"/>
                            </w:rPr>
                          </w:pPr>
                          <w:r>
                            <w:rPr>
                              <w:rStyle w:val="29"/>
                            </w:rPr>
                            <w:fldChar w:fldCharType="begin"/>
                          </w:r>
                          <w:r>
                            <w:rPr>
                              <w:rStyle w:val="29"/>
                            </w:rPr>
                            <w:instrText xml:space="preserve">PAGE  </w:instrText>
                          </w:r>
                          <w:r>
                            <w:rPr>
                              <w:rStyle w:val="29"/>
                            </w:rPr>
                            <w:fldChar w:fldCharType="separate"/>
                          </w:r>
                          <w:r>
                            <w:rPr>
                              <w:rStyle w:val="29"/>
                            </w:rPr>
                            <w:t>52</w:t>
                          </w:r>
                          <w:r>
                            <w:rPr>
                              <w:rStyle w:val="29"/>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G+dc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UBJHLc48cvPH5dffy6/v5Pl&#10;KgvUB6gx7z5gZhre+QGTZz+gM/MeVLT5i4wIxhHrfJVXDomI/Gi9Wq8rDAmMzRfEZw/PQ4T0XnpL&#10;stHQiPMrsvLTR0hj6pySqzl/p40pMzTuHwdiZg/LvY89ZisN+2EitPftGfn0OPqGOtx0SswHh8pi&#10;f2k24mzsZ+MYoj50ZY1yPQi3x4RNlN5yhRF2KowzK+ym/cpL8fhes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3xvnXIAQAAmwMAAA4AAAAAAAAAAQAgAAAAHgEAAGRycy9lMm9Eb2Mu&#10;eG1sUEsFBgAAAAAGAAYAWQEAAFgFAAAAAA==&#10;">
              <v:fill on="f" focussize="0,0"/>
              <v:stroke on="f"/>
              <v:imagedata o:title=""/>
              <o:lock v:ext="edit" aspectratio="f"/>
              <v:textbox inset="0mm,0mm,0mm,0mm" style="mso-fit-shape-to-text:t;">
                <w:txbxContent>
                  <w:p>
                    <w:pPr>
                      <w:pStyle w:val="18"/>
                      <w:rPr>
                        <w:rStyle w:val="29"/>
                      </w:rPr>
                    </w:pPr>
                    <w:r>
                      <w:rPr>
                        <w:rStyle w:val="29"/>
                      </w:rPr>
                      <w:fldChar w:fldCharType="begin"/>
                    </w:r>
                    <w:r>
                      <w:rPr>
                        <w:rStyle w:val="29"/>
                      </w:rPr>
                      <w:instrText xml:space="preserve">PAGE  </w:instrText>
                    </w:r>
                    <w:r>
                      <w:rPr>
                        <w:rStyle w:val="29"/>
                      </w:rPr>
                      <w:fldChar w:fldCharType="separate"/>
                    </w:r>
                    <w:r>
                      <w:rPr>
                        <w:rStyle w:val="29"/>
                      </w:rPr>
                      <w:t>52</w:t>
                    </w:r>
                    <w:r>
                      <w:rPr>
                        <w:rStyle w:val="29"/>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w:t>
    </w:r>
    <w:r>
      <w:rPr>
        <w:rStyle w:val="29"/>
      </w:rPr>
      <w:fldChar w:fldCharType="end"/>
    </w:r>
  </w:p>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ind w:firstLine="360"/>
                            <w:jc w:val="center"/>
                          </w:pPr>
                          <w:r>
                            <w:fldChar w:fldCharType="begin"/>
                          </w:r>
                          <w:r>
                            <w:instrText xml:space="preserve">PAGE   \* MERGEFORMAT</w:instrText>
                          </w:r>
                          <w:r>
                            <w:fldChar w:fldCharType="separate"/>
                          </w:r>
                          <w:r>
                            <w:rPr>
                              <w:lang w:val="zh-CN"/>
                            </w:rPr>
                            <w:t>59</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pPr>
                      <w:pStyle w:val="18"/>
                      <w:ind w:firstLine="360"/>
                      <w:jc w:val="center"/>
                    </w:pPr>
                    <w:r>
                      <w:fldChar w:fldCharType="begin"/>
                    </w:r>
                    <w:r>
                      <w:instrText xml:space="preserve">PAGE   \* MERGEFORMAT</w:instrText>
                    </w:r>
                    <w:r>
                      <w:fldChar w:fldCharType="separate"/>
                    </w:r>
                    <w:r>
                      <w:rPr>
                        <w:lang w:val="zh-CN"/>
                      </w:rPr>
                      <w:t>59</w:t>
                    </w:r>
                    <w:r>
                      <w:fldChar w:fldCharType="end"/>
                    </w:r>
                  </w:p>
                </w:txbxContent>
              </v:textbox>
            </v:shape>
          </w:pict>
        </mc:Fallback>
      </mc:AlternateContent>
    </w:r>
  </w:p>
  <w:p>
    <w:pPr>
      <w:pStyle w:val="18"/>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89BD6"/>
    <w:multiLevelType w:val="singleLevel"/>
    <w:tmpl w:val="9E789BD6"/>
    <w:lvl w:ilvl="0" w:tentative="0">
      <w:start w:val="2"/>
      <w:numFmt w:val="chineseCounting"/>
      <w:suff w:val="space"/>
      <w:lvlText w:val="第%1章"/>
      <w:lvlJc w:val="left"/>
      <w:rPr>
        <w:rFonts w:hint="eastAsia"/>
      </w:rPr>
    </w:lvl>
  </w:abstractNum>
  <w:abstractNum w:abstractNumId="1">
    <w:nsid w:val="B3865C4C"/>
    <w:multiLevelType w:val="singleLevel"/>
    <w:tmpl w:val="B3865C4C"/>
    <w:lvl w:ilvl="0" w:tentative="0">
      <w:start w:val="2"/>
      <w:numFmt w:val="chineseCounting"/>
      <w:suff w:val="space"/>
      <w:lvlText w:val="（%1）"/>
      <w:lvlJc w:val="left"/>
      <w:rPr>
        <w:rFonts w:hint="eastAsia"/>
      </w:rPr>
    </w:lvl>
  </w:abstractNum>
  <w:abstractNum w:abstractNumId="2">
    <w:nsid w:val="394D7910"/>
    <w:multiLevelType w:val="multilevel"/>
    <w:tmpl w:val="394D7910"/>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FCF76C"/>
    <w:multiLevelType w:val="singleLevel"/>
    <w:tmpl w:val="3BFCF76C"/>
    <w:lvl w:ilvl="0" w:tentative="0">
      <w:start w:val="1"/>
      <w:numFmt w:val="decimal"/>
      <w:lvlText w:val="%1."/>
      <w:lvlJc w:val="left"/>
      <w:pPr>
        <w:tabs>
          <w:tab w:val="left" w:pos="312"/>
        </w:tabs>
      </w:pPr>
    </w:lvl>
  </w:abstractNum>
  <w:abstractNum w:abstractNumId="4">
    <w:nsid w:val="423AB9F8"/>
    <w:multiLevelType w:val="singleLevel"/>
    <w:tmpl w:val="423AB9F8"/>
    <w:lvl w:ilvl="0" w:tentative="0">
      <w:start w:val="1"/>
      <w:numFmt w:val="decimal"/>
      <w:suff w:val="nothing"/>
      <w:lvlText w:val="%1、"/>
      <w:lvlJc w:val="left"/>
    </w:lvl>
  </w:abstractNum>
  <w:abstractNum w:abstractNumId="5">
    <w:nsid w:val="5EDAACC8"/>
    <w:multiLevelType w:val="singleLevel"/>
    <w:tmpl w:val="5EDAACC8"/>
    <w:lvl w:ilvl="0" w:tentative="0">
      <w:start w:val="1"/>
      <w:numFmt w:val="decimal"/>
      <w:lvlText w:val="%1."/>
      <w:lvlJc w:val="left"/>
      <w:pPr>
        <w:tabs>
          <w:tab w:val="left" w:pos="312"/>
        </w:tabs>
      </w:pPr>
    </w:lvl>
  </w:abstractNum>
  <w:abstractNum w:abstractNumId="6">
    <w:nsid w:val="6E28377F"/>
    <w:multiLevelType w:val="multilevel"/>
    <w:tmpl w:val="6E28377F"/>
    <w:lvl w:ilvl="0" w:tentative="0">
      <w:start w:val="1"/>
      <w:numFmt w:val="japaneseCounting"/>
      <w:lvlText w:val="第%1章"/>
      <w:lvlJc w:val="left"/>
      <w:pPr>
        <w:ind w:left="1515" w:hanging="15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ZDdhYmVjZTVmYjE1NWI1NWJiMWVjNjNhNDZiOTAifQ=="/>
  </w:docVars>
  <w:rsids>
    <w:rsidRoot w:val="00172A27"/>
    <w:rsid w:val="00000C7A"/>
    <w:rsid w:val="00001263"/>
    <w:rsid w:val="00001C7D"/>
    <w:rsid w:val="00002C21"/>
    <w:rsid w:val="00005E9C"/>
    <w:rsid w:val="00006FAF"/>
    <w:rsid w:val="00007144"/>
    <w:rsid w:val="00007708"/>
    <w:rsid w:val="0001241C"/>
    <w:rsid w:val="00012B76"/>
    <w:rsid w:val="000152A3"/>
    <w:rsid w:val="00016265"/>
    <w:rsid w:val="000173B6"/>
    <w:rsid w:val="00017F85"/>
    <w:rsid w:val="000227AF"/>
    <w:rsid w:val="0002474C"/>
    <w:rsid w:val="000248D7"/>
    <w:rsid w:val="0002593A"/>
    <w:rsid w:val="00027ACA"/>
    <w:rsid w:val="00027B0D"/>
    <w:rsid w:val="00030DA2"/>
    <w:rsid w:val="00032E96"/>
    <w:rsid w:val="0003378A"/>
    <w:rsid w:val="0003606A"/>
    <w:rsid w:val="0004417C"/>
    <w:rsid w:val="000456B3"/>
    <w:rsid w:val="00046749"/>
    <w:rsid w:val="000467D4"/>
    <w:rsid w:val="000467EC"/>
    <w:rsid w:val="00046D7D"/>
    <w:rsid w:val="0004719B"/>
    <w:rsid w:val="000471C8"/>
    <w:rsid w:val="00050330"/>
    <w:rsid w:val="00050722"/>
    <w:rsid w:val="00052573"/>
    <w:rsid w:val="00052C12"/>
    <w:rsid w:val="00054A02"/>
    <w:rsid w:val="00055DC1"/>
    <w:rsid w:val="00061302"/>
    <w:rsid w:val="00061E98"/>
    <w:rsid w:val="000633C9"/>
    <w:rsid w:val="000635ED"/>
    <w:rsid w:val="000645DC"/>
    <w:rsid w:val="00065094"/>
    <w:rsid w:val="000652F6"/>
    <w:rsid w:val="0006594B"/>
    <w:rsid w:val="00066EFB"/>
    <w:rsid w:val="00067600"/>
    <w:rsid w:val="00070428"/>
    <w:rsid w:val="0007122F"/>
    <w:rsid w:val="00071670"/>
    <w:rsid w:val="00071D26"/>
    <w:rsid w:val="000730E7"/>
    <w:rsid w:val="0007648D"/>
    <w:rsid w:val="000774B1"/>
    <w:rsid w:val="00081742"/>
    <w:rsid w:val="00081F76"/>
    <w:rsid w:val="00085CF7"/>
    <w:rsid w:val="00086621"/>
    <w:rsid w:val="000879B3"/>
    <w:rsid w:val="00095B2F"/>
    <w:rsid w:val="00096BD7"/>
    <w:rsid w:val="00096DC1"/>
    <w:rsid w:val="00096EA3"/>
    <w:rsid w:val="000A1475"/>
    <w:rsid w:val="000A1A88"/>
    <w:rsid w:val="000A2DB3"/>
    <w:rsid w:val="000A4529"/>
    <w:rsid w:val="000A50F5"/>
    <w:rsid w:val="000A5692"/>
    <w:rsid w:val="000A6415"/>
    <w:rsid w:val="000A668A"/>
    <w:rsid w:val="000A69D2"/>
    <w:rsid w:val="000B0CD7"/>
    <w:rsid w:val="000B1242"/>
    <w:rsid w:val="000B2207"/>
    <w:rsid w:val="000B256E"/>
    <w:rsid w:val="000B46A1"/>
    <w:rsid w:val="000B48D1"/>
    <w:rsid w:val="000B5436"/>
    <w:rsid w:val="000B6743"/>
    <w:rsid w:val="000C0191"/>
    <w:rsid w:val="000C0F4C"/>
    <w:rsid w:val="000C132E"/>
    <w:rsid w:val="000C206C"/>
    <w:rsid w:val="000C28B1"/>
    <w:rsid w:val="000C527C"/>
    <w:rsid w:val="000C5F6F"/>
    <w:rsid w:val="000C616F"/>
    <w:rsid w:val="000C6348"/>
    <w:rsid w:val="000C6895"/>
    <w:rsid w:val="000C6D1B"/>
    <w:rsid w:val="000C74F0"/>
    <w:rsid w:val="000C7ACE"/>
    <w:rsid w:val="000D2E34"/>
    <w:rsid w:val="000D2EE3"/>
    <w:rsid w:val="000D40B0"/>
    <w:rsid w:val="000D4202"/>
    <w:rsid w:val="000D692A"/>
    <w:rsid w:val="000D790C"/>
    <w:rsid w:val="000E000C"/>
    <w:rsid w:val="000E0281"/>
    <w:rsid w:val="000E1154"/>
    <w:rsid w:val="000E16BE"/>
    <w:rsid w:val="000E2AD9"/>
    <w:rsid w:val="000E302F"/>
    <w:rsid w:val="000E3A14"/>
    <w:rsid w:val="000E49E8"/>
    <w:rsid w:val="000E4BB6"/>
    <w:rsid w:val="000E63B0"/>
    <w:rsid w:val="000E799D"/>
    <w:rsid w:val="000F24F1"/>
    <w:rsid w:val="000F3D14"/>
    <w:rsid w:val="001010FC"/>
    <w:rsid w:val="00101DB2"/>
    <w:rsid w:val="0010284C"/>
    <w:rsid w:val="001029D3"/>
    <w:rsid w:val="00104C5D"/>
    <w:rsid w:val="00104D4F"/>
    <w:rsid w:val="00105C65"/>
    <w:rsid w:val="001064D9"/>
    <w:rsid w:val="0011042D"/>
    <w:rsid w:val="001108CB"/>
    <w:rsid w:val="0011206B"/>
    <w:rsid w:val="00112382"/>
    <w:rsid w:val="00117258"/>
    <w:rsid w:val="0012446B"/>
    <w:rsid w:val="001245DF"/>
    <w:rsid w:val="00126434"/>
    <w:rsid w:val="00126755"/>
    <w:rsid w:val="0012726E"/>
    <w:rsid w:val="00130BE1"/>
    <w:rsid w:val="00131C47"/>
    <w:rsid w:val="00132C0E"/>
    <w:rsid w:val="00133F61"/>
    <w:rsid w:val="00134AB4"/>
    <w:rsid w:val="00137B28"/>
    <w:rsid w:val="001415FB"/>
    <w:rsid w:val="001418B8"/>
    <w:rsid w:val="00142F49"/>
    <w:rsid w:val="0014597E"/>
    <w:rsid w:val="00150375"/>
    <w:rsid w:val="00152690"/>
    <w:rsid w:val="00153DC9"/>
    <w:rsid w:val="00155638"/>
    <w:rsid w:val="001557DE"/>
    <w:rsid w:val="00156092"/>
    <w:rsid w:val="001567C4"/>
    <w:rsid w:val="00156979"/>
    <w:rsid w:val="001621A4"/>
    <w:rsid w:val="00163784"/>
    <w:rsid w:val="00165409"/>
    <w:rsid w:val="00166C22"/>
    <w:rsid w:val="00167952"/>
    <w:rsid w:val="001721F8"/>
    <w:rsid w:val="0017377C"/>
    <w:rsid w:val="00175914"/>
    <w:rsid w:val="00175A1B"/>
    <w:rsid w:val="001760D7"/>
    <w:rsid w:val="001768F1"/>
    <w:rsid w:val="001809AA"/>
    <w:rsid w:val="00180F0E"/>
    <w:rsid w:val="00181BFF"/>
    <w:rsid w:val="00181E2D"/>
    <w:rsid w:val="00182C28"/>
    <w:rsid w:val="00182ED7"/>
    <w:rsid w:val="00184CF4"/>
    <w:rsid w:val="001861C1"/>
    <w:rsid w:val="001863C2"/>
    <w:rsid w:val="00187551"/>
    <w:rsid w:val="001908F4"/>
    <w:rsid w:val="00191D0A"/>
    <w:rsid w:val="001923F2"/>
    <w:rsid w:val="00193E96"/>
    <w:rsid w:val="001942A8"/>
    <w:rsid w:val="0019453D"/>
    <w:rsid w:val="00194BE6"/>
    <w:rsid w:val="001975B7"/>
    <w:rsid w:val="00197CAC"/>
    <w:rsid w:val="001A1496"/>
    <w:rsid w:val="001A1870"/>
    <w:rsid w:val="001A44F5"/>
    <w:rsid w:val="001A6353"/>
    <w:rsid w:val="001A64B1"/>
    <w:rsid w:val="001A698B"/>
    <w:rsid w:val="001A6DEF"/>
    <w:rsid w:val="001A6DFA"/>
    <w:rsid w:val="001B0F54"/>
    <w:rsid w:val="001B24EE"/>
    <w:rsid w:val="001B290B"/>
    <w:rsid w:val="001B327D"/>
    <w:rsid w:val="001B5206"/>
    <w:rsid w:val="001B6D40"/>
    <w:rsid w:val="001C2322"/>
    <w:rsid w:val="001C23CF"/>
    <w:rsid w:val="001C2473"/>
    <w:rsid w:val="001C32F9"/>
    <w:rsid w:val="001C38C8"/>
    <w:rsid w:val="001D0B15"/>
    <w:rsid w:val="001D58C3"/>
    <w:rsid w:val="001E0695"/>
    <w:rsid w:val="001E0EF3"/>
    <w:rsid w:val="001E3210"/>
    <w:rsid w:val="001E3539"/>
    <w:rsid w:val="001E355A"/>
    <w:rsid w:val="001E366C"/>
    <w:rsid w:val="001E49D3"/>
    <w:rsid w:val="001E5654"/>
    <w:rsid w:val="001E5877"/>
    <w:rsid w:val="001E6561"/>
    <w:rsid w:val="001E7173"/>
    <w:rsid w:val="001F3189"/>
    <w:rsid w:val="001F3D03"/>
    <w:rsid w:val="001F5F86"/>
    <w:rsid w:val="001F66EE"/>
    <w:rsid w:val="001F7601"/>
    <w:rsid w:val="001F7A53"/>
    <w:rsid w:val="00202333"/>
    <w:rsid w:val="0020568F"/>
    <w:rsid w:val="002062D5"/>
    <w:rsid w:val="00206887"/>
    <w:rsid w:val="0020720E"/>
    <w:rsid w:val="002109BF"/>
    <w:rsid w:val="00210B13"/>
    <w:rsid w:val="0021134E"/>
    <w:rsid w:val="00215694"/>
    <w:rsid w:val="0021639F"/>
    <w:rsid w:val="00217F82"/>
    <w:rsid w:val="0022042B"/>
    <w:rsid w:val="00221249"/>
    <w:rsid w:val="00223311"/>
    <w:rsid w:val="00225383"/>
    <w:rsid w:val="00225CD3"/>
    <w:rsid w:val="00225DFC"/>
    <w:rsid w:val="00225F44"/>
    <w:rsid w:val="002268B4"/>
    <w:rsid w:val="0022723E"/>
    <w:rsid w:val="00230114"/>
    <w:rsid w:val="00230360"/>
    <w:rsid w:val="002316E9"/>
    <w:rsid w:val="00233C71"/>
    <w:rsid w:val="002345D3"/>
    <w:rsid w:val="0023590C"/>
    <w:rsid w:val="002379D0"/>
    <w:rsid w:val="00237EF9"/>
    <w:rsid w:val="00241934"/>
    <w:rsid w:val="00241A6C"/>
    <w:rsid w:val="00243F41"/>
    <w:rsid w:val="00245796"/>
    <w:rsid w:val="00245DDE"/>
    <w:rsid w:val="002461E0"/>
    <w:rsid w:val="00246582"/>
    <w:rsid w:val="0024767D"/>
    <w:rsid w:val="00250944"/>
    <w:rsid w:val="002511F2"/>
    <w:rsid w:val="002516E0"/>
    <w:rsid w:val="00251AA2"/>
    <w:rsid w:val="00251CF2"/>
    <w:rsid w:val="00255DC6"/>
    <w:rsid w:val="0025691B"/>
    <w:rsid w:val="00257541"/>
    <w:rsid w:val="0025765D"/>
    <w:rsid w:val="00260461"/>
    <w:rsid w:val="00262E1E"/>
    <w:rsid w:val="00264759"/>
    <w:rsid w:val="002714AD"/>
    <w:rsid w:val="00271EE0"/>
    <w:rsid w:val="0027248B"/>
    <w:rsid w:val="00274434"/>
    <w:rsid w:val="002759AE"/>
    <w:rsid w:val="00276A0F"/>
    <w:rsid w:val="00277D94"/>
    <w:rsid w:val="00281889"/>
    <w:rsid w:val="00281B0C"/>
    <w:rsid w:val="002820D3"/>
    <w:rsid w:val="00282EBD"/>
    <w:rsid w:val="00283180"/>
    <w:rsid w:val="00283497"/>
    <w:rsid w:val="002842E2"/>
    <w:rsid w:val="00284D43"/>
    <w:rsid w:val="002860AD"/>
    <w:rsid w:val="0028670E"/>
    <w:rsid w:val="00286F1D"/>
    <w:rsid w:val="00287A0E"/>
    <w:rsid w:val="00290A9F"/>
    <w:rsid w:val="0029233B"/>
    <w:rsid w:val="0029243D"/>
    <w:rsid w:val="00293DA3"/>
    <w:rsid w:val="002941FA"/>
    <w:rsid w:val="0029494B"/>
    <w:rsid w:val="00295C7A"/>
    <w:rsid w:val="002A0748"/>
    <w:rsid w:val="002A0D1E"/>
    <w:rsid w:val="002A3372"/>
    <w:rsid w:val="002A583A"/>
    <w:rsid w:val="002A6934"/>
    <w:rsid w:val="002B01C7"/>
    <w:rsid w:val="002B19BE"/>
    <w:rsid w:val="002B2F4D"/>
    <w:rsid w:val="002B5727"/>
    <w:rsid w:val="002B608C"/>
    <w:rsid w:val="002B65B3"/>
    <w:rsid w:val="002B69AF"/>
    <w:rsid w:val="002B6C43"/>
    <w:rsid w:val="002C04FA"/>
    <w:rsid w:val="002C34BB"/>
    <w:rsid w:val="002C388B"/>
    <w:rsid w:val="002C52C1"/>
    <w:rsid w:val="002D1267"/>
    <w:rsid w:val="002D1976"/>
    <w:rsid w:val="002D26E4"/>
    <w:rsid w:val="002D45D7"/>
    <w:rsid w:val="002D463E"/>
    <w:rsid w:val="002D49CD"/>
    <w:rsid w:val="002D5ADD"/>
    <w:rsid w:val="002D7216"/>
    <w:rsid w:val="002D7516"/>
    <w:rsid w:val="002D7B4E"/>
    <w:rsid w:val="002E2E9E"/>
    <w:rsid w:val="002E3CC8"/>
    <w:rsid w:val="002E48A3"/>
    <w:rsid w:val="002E4B72"/>
    <w:rsid w:val="002E61A6"/>
    <w:rsid w:val="002E66A1"/>
    <w:rsid w:val="002E71CA"/>
    <w:rsid w:val="002E7C73"/>
    <w:rsid w:val="002E7E87"/>
    <w:rsid w:val="002F2133"/>
    <w:rsid w:val="002F2E3F"/>
    <w:rsid w:val="002F340E"/>
    <w:rsid w:val="002F4896"/>
    <w:rsid w:val="003001A7"/>
    <w:rsid w:val="00300996"/>
    <w:rsid w:val="00302694"/>
    <w:rsid w:val="00302B5D"/>
    <w:rsid w:val="00310314"/>
    <w:rsid w:val="00311C0D"/>
    <w:rsid w:val="0031405B"/>
    <w:rsid w:val="00320ACE"/>
    <w:rsid w:val="00320AD1"/>
    <w:rsid w:val="00320EA4"/>
    <w:rsid w:val="0032112C"/>
    <w:rsid w:val="003220F3"/>
    <w:rsid w:val="003242A0"/>
    <w:rsid w:val="00325F63"/>
    <w:rsid w:val="00326330"/>
    <w:rsid w:val="00326919"/>
    <w:rsid w:val="003312DE"/>
    <w:rsid w:val="00331E48"/>
    <w:rsid w:val="003345B2"/>
    <w:rsid w:val="00335E61"/>
    <w:rsid w:val="0033652E"/>
    <w:rsid w:val="00337A6B"/>
    <w:rsid w:val="00337D7F"/>
    <w:rsid w:val="00342724"/>
    <w:rsid w:val="003439BA"/>
    <w:rsid w:val="00344937"/>
    <w:rsid w:val="00344BC3"/>
    <w:rsid w:val="003454AC"/>
    <w:rsid w:val="00345A80"/>
    <w:rsid w:val="003464F8"/>
    <w:rsid w:val="003513D9"/>
    <w:rsid w:val="00351779"/>
    <w:rsid w:val="00352D7C"/>
    <w:rsid w:val="00354C5F"/>
    <w:rsid w:val="00355AB5"/>
    <w:rsid w:val="00355B10"/>
    <w:rsid w:val="00357E29"/>
    <w:rsid w:val="003609C9"/>
    <w:rsid w:val="00363377"/>
    <w:rsid w:val="00363DA3"/>
    <w:rsid w:val="00363DA4"/>
    <w:rsid w:val="003647FF"/>
    <w:rsid w:val="0036583C"/>
    <w:rsid w:val="003710F8"/>
    <w:rsid w:val="00371767"/>
    <w:rsid w:val="003725AB"/>
    <w:rsid w:val="00373CE6"/>
    <w:rsid w:val="00376015"/>
    <w:rsid w:val="00376A74"/>
    <w:rsid w:val="00380B2F"/>
    <w:rsid w:val="0038480B"/>
    <w:rsid w:val="00385928"/>
    <w:rsid w:val="00385A55"/>
    <w:rsid w:val="00387C09"/>
    <w:rsid w:val="003908C4"/>
    <w:rsid w:val="003910F5"/>
    <w:rsid w:val="00391E7B"/>
    <w:rsid w:val="00392D5B"/>
    <w:rsid w:val="0039389B"/>
    <w:rsid w:val="00393FE4"/>
    <w:rsid w:val="00394034"/>
    <w:rsid w:val="00394BB0"/>
    <w:rsid w:val="00395416"/>
    <w:rsid w:val="0039564F"/>
    <w:rsid w:val="00396F1D"/>
    <w:rsid w:val="003977EF"/>
    <w:rsid w:val="00397941"/>
    <w:rsid w:val="003A0939"/>
    <w:rsid w:val="003A2036"/>
    <w:rsid w:val="003A4358"/>
    <w:rsid w:val="003A4731"/>
    <w:rsid w:val="003A4D55"/>
    <w:rsid w:val="003A5E5D"/>
    <w:rsid w:val="003A62B6"/>
    <w:rsid w:val="003A6B66"/>
    <w:rsid w:val="003A6CD6"/>
    <w:rsid w:val="003B07AB"/>
    <w:rsid w:val="003B65E6"/>
    <w:rsid w:val="003C27CF"/>
    <w:rsid w:val="003C4FA4"/>
    <w:rsid w:val="003C5DFE"/>
    <w:rsid w:val="003C6E6F"/>
    <w:rsid w:val="003D03BA"/>
    <w:rsid w:val="003D0F8B"/>
    <w:rsid w:val="003D1534"/>
    <w:rsid w:val="003D1CD4"/>
    <w:rsid w:val="003D2C16"/>
    <w:rsid w:val="003D30E4"/>
    <w:rsid w:val="003D318A"/>
    <w:rsid w:val="003D3E68"/>
    <w:rsid w:val="003D435A"/>
    <w:rsid w:val="003D5BFC"/>
    <w:rsid w:val="003D66DF"/>
    <w:rsid w:val="003D75A1"/>
    <w:rsid w:val="003E0C22"/>
    <w:rsid w:val="003E41CD"/>
    <w:rsid w:val="003E5466"/>
    <w:rsid w:val="003E74AD"/>
    <w:rsid w:val="003E7E5D"/>
    <w:rsid w:val="003F12E6"/>
    <w:rsid w:val="003F2B52"/>
    <w:rsid w:val="003F328B"/>
    <w:rsid w:val="003F45D6"/>
    <w:rsid w:val="003F5C94"/>
    <w:rsid w:val="003F7DF9"/>
    <w:rsid w:val="00400223"/>
    <w:rsid w:val="00400E2F"/>
    <w:rsid w:val="0040294D"/>
    <w:rsid w:val="004029E9"/>
    <w:rsid w:val="0040501A"/>
    <w:rsid w:val="00405BE0"/>
    <w:rsid w:val="0041202D"/>
    <w:rsid w:val="00412297"/>
    <w:rsid w:val="00412834"/>
    <w:rsid w:val="0041310D"/>
    <w:rsid w:val="004131B8"/>
    <w:rsid w:val="004131BE"/>
    <w:rsid w:val="004141B0"/>
    <w:rsid w:val="00415D7A"/>
    <w:rsid w:val="004235EF"/>
    <w:rsid w:val="0042360F"/>
    <w:rsid w:val="004239F3"/>
    <w:rsid w:val="00423A5C"/>
    <w:rsid w:val="00425501"/>
    <w:rsid w:val="004256A1"/>
    <w:rsid w:val="00426DAC"/>
    <w:rsid w:val="00430CC6"/>
    <w:rsid w:val="00431B59"/>
    <w:rsid w:val="004323CD"/>
    <w:rsid w:val="00432499"/>
    <w:rsid w:val="00432CF3"/>
    <w:rsid w:val="0043365D"/>
    <w:rsid w:val="00434819"/>
    <w:rsid w:val="004351E1"/>
    <w:rsid w:val="00435523"/>
    <w:rsid w:val="00435956"/>
    <w:rsid w:val="00435FC7"/>
    <w:rsid w:val="004369B8"/>
    <w:rsid w:val="00436D17"/>
    <w:rsid w:val="00440751"/>
    <w:rsid w:val="0044119C"/>
    <w:rsid w:val="004422D0"/>
    <w:rsid w:val="00442D51"/>
    <w:rsid w:val="00447504"/>
    <w:rsid w:val="0045016A"/>
    <w:rsid w:val="00451FDB"/>
    <w:rsid w:val="004537ED"/>
    <w:rsid w:val="00454568"/>
    <w:rsid w:val="004558A4"/>
    <w:rsid w:val="0045641C"/>
    <w:rsid w:val="004569DD"/>
    <w:rsid w:val="00456E6E"/>
    <w:rsid w:val="0045783D"/>
    <w:rsid w:val="00460A42"/>
    <w:rsid w:val="004644F8"/>
    <w:rsid w:val="004649BF"/>
    <w:rsid w:val="00464A84"/>
    <w:rsid w:val="00464D14"/>
    <w:rsid w:val="004655CD"/>
    <w:rsid w:val="00466D87"/>
    <w:rsid w:val="004714E5"/>
    <w:rsid w:val="00473254"/>
    <w:rsid w:val="00473765"/>
    <w:rsid w:val="00473A31"/>
    <w:rsid w:val="00473B6A"/>
    <w:rsid w:val="0047430C"/>
    <w:rsid w:val="00476920"/>
    <w:rsid w:val="004769C9"/>
    <w:rsid w:val="00476AAD"/>
    <w:rsid w:val="004807F6"/>
    <w:rsid w:val="0048167C"/>
    <w:rsid w:val="00483935"/>
    <w:rsid w:val="004839B1"/>
    <w:rsid w:val="00483BE7"/>
    <w:rsid w:val="00484D4B"/>
    <w:rsid w:val="0048653D"/>
    <w:rsid w:val="00486838"/>
    <w:rsid w:val="00486842"/>
    <w:rsid w:val="00486F9F"/>
    <w:rsid w:val="00487D7A"/>
    <w:rsid w:val="00495A86"/>
    <w:rsid w:val="004966F9"/>
    <w:rsid w:val="00497392"/>
    <w:rsid w:val="00497C96"/>
    <w:rsid w:val="004A09C5"/>
    <w:rsid w:val="004A0C0F"/>
    <w:rsid w:val="004A1588"/>
    <w:rsid w:val="004A4340"/>
    <w:rsid w:val="004A50F1"/>
    <w:rsid w:val="004A5A5D"/>
    <w:rsid w:val="004A7A79"/>
    <w:rsid w:val="004B0338"/>
    <w:rsid w:val="004B2A8C"/>
    <w:rsid w:val="004B381A"/>
    <w:rsid w:val="004B4363"/>
    <w:rsid w:val="004B4F87"/>
    <w:rsid w:val="004B54B9"/>
    <w:rsid w:val="004B747A"/>
    <w:rsid w:val="004B79F9"/>
    <w:rsid w:val="004B7C29"/>
    <w:rsid w:val="004C1FA9"/>
    <w:rsid w:val="004C2709"/>
    <w:rsid w:val="004C36A6"/>
    <w:rsid w:val="004C3A06"/>
    <w:rsid w:val="004C611C"/>
    <w:rsid w:val="004C6CD8"/>
    <w:rsid w:val="004C6FBD"/>
    <w:rsid w:val="004C7F23"/>
    <w:rsid w:val="004D07E4"/>
    <w:rsid w:val="004D13DC"/>
    <w:rsid w:val="004D1ECF"/>
    <w:rsid w:val="004D2BF5"/>
    <w:rsid w:val="004D4DB8"/>
    <w:rsid w:val="004D6AD1"/>
    <w:rsid w:val="004D6F2D"/>
    <w:rsid w:val="004D7037"/>
    <w:rsid w:val="004E1761"/>
    <w:rsid w:val="004E2237"/>
    <w:rsid w:val="004E270C"/>
    <w:rsid w:val="004E4EBD"/>
    <w:rsid w:val="004E50C3"/>
    <w:rsid w:val="004E5EB3"/>
    <w:rsid w:val="004E6327"/>
    <w:rsid w:val="004E6392"/>
    <w:rsid w:val="004E7DDE"/>
    <w:rsid w:val="004F0230"/>
    <w:rsid w:val="004F1883"/>
    <w:rsid w:val="004F302B"/>
    <w:rsid w:val="004F76B0"/>
    <w:rsid w:val="00500FED"/>
    <w:rsid w:val="00504A15"/>
    <w:rsid w:val="00504AFD"/>
    <w:rsid w:val="00506BE1"/>
    <w:rsid w:val="00510F5E"/>
    <w:rsid w:val="00512617"/>
    <w:rsid w:val="00512EEF"/>
    <w:rsid w:val="005151FE"/>
    <w:rsid w:val="00516781"/>
    <w:rsid w:val="00516D63"/>
    <w:rsid w:val="00516F56"/>
    <w:rsid w:val="00517181"/>
    <w:rsid w:val="00517E78"/>
    <w:rsid w:val="00521395"/>
    <w:rsid w:val="00521AA7"/>
    <w:rsid w:val="00524DEB"/>
    <w:rsid w:val="005252DA"/>
    <w:rsid w:val="00525311"/>
    <w:rsid w:val="005264F0"/>
    <w:rsid w:val="005270A5"/>
    <w:rsid w:val="0053112C"/>
    <w:rsid w:val="005339B1"/>
    <w:rsid w:val="0053406E"/>
    <w:rsid w:val="00534519"/>
    <w:rsid w:val="0053461A"/>
    <w:rsid w:val="00535004"/>
    <w:rsid w:val="00536095"/>
    <w:rsid w:val="00536629"/>
    <w:rsid w:val="00536684"/>
    <w:rsid w:val="00541327"/>
    <w:rsid w:val="005418B6"/>
    <w:rsid w:val="005451BD"/>
    <w:rsid w:val="00547052"/>
    <w:rsid w:val="005479A3"/>
    <w:rsid w:val="00550393"/>
    <w:rsid w:val="00550408"/>
    <w:rsid w:val="00553ABD"/>
    <w:rsid w:val="00554823"/>
    <w:rsid w:val="00555B7D"/>
    <w:rsid w:val="005602B4"/>
    <w:rsid w:val="00560509"/>
    <w:rsid w:val="00560A48"/>
    <w:rsid w:val="00563AAC"/>
    <w:rsid w:val="00570815"/>
    <w:rsid w:val="00571EC2"/>
    <w:rsid w:val="0057264C"/>
    <w:rsid w:val="00572D2B"/>
    <w:rsid w:val="0057312F"/>
    <w:rsid w:val="005766E9"/>
    <w:rsid w:val="00576903"/>
    <w:rsid w:val="00576AFB"/>
    <w:rsid w:val="00577ACA"/>
    <w:rsid w:val="00580407"/>
    <w:rsid w:val="00580E47"/>
    <w:rsid w:val="00581FC3"/>
    <w:rsid w:val="0058449B"/>
    <w:rsid w:val="00584607"/>
    <w:rsid w:val="00584B7C"/>
    <w:rsid w:val="0058512E"/>
    <w:rsid w:val="0058554F"/>
    <w:rsid w:val="005861BE"/>
    <w:rsid w:val="00587144"/>
    <w:rsid w:val="005871C3"/>
    <w:rsid w:val="00587A82"/>
    <w:rsid w:val="00587B41"/>
    <w:rsid w:val="00590B24"/>
    <w:rsid w:val="00590B85"/>
    <w:rsid w:val="00591707"/>
    <w:rsid w:val="0059199D"/>
    <w:rsid w:val="00591C35"/>
    <w:rsid w:val="00593110"/>
    <w:rsid w:val="00593F5A"/>
    <w:rsid w:val="005941EC"/>
    <w:rsid w:val="0059584A"/>
    <w:rsid w:val="00596DED"/>
    <w:rsid w:val="00597358"/>
    <w:rsid w:val="005A213F"/>
    <w:rsid w:val="005A26E5"/>
    <w:rsid w:val="005A3A30"/>
    <w:rsid w:val="005B0EAA"/>
    <w:rsid w:val="005B150F"/>
    <w:rsid w:val="005B1E46"/>
    <w:rsid w:val="005B22DF"/>
    <w:rsid w:val="005B2A4D"/>
    <w:rsid w:val="005B69E4"/>
    <w:rsid w:val="005B7315"/>
    <w:rsid w:val="005B7989"/>
    <w:rsid w:val="005C0269"/>
    <w:rsid w:val="005C0FC9"/>
    <w:rsid w:val="005C2910"/>
    <w:rsid w:val="005C2CC5"/>
    <w:rsid w:val="005C2EF0"/>
    <w:rsid w:val="005C417F"/>
    <w:rsid w:val="005C60CA"/>
    <w:rsid w:val="005C6703"/>
    <w:rsid w:val="005D09CB"/>
    <w:rsid w:val="005D2854"/>
    <w:rsid w:val="005D2FF2"/>
    <w:rsid w:val="005D462F"/>
    <w:rsid w:val="005D5B71"/>
    <w:rsid w:val="005D676C"/>
    <w:rsid w:val="005E019F"/>
    <w:rsid w:val="005E0912"/>
    <w:rsid w:val="005E096B"/>
    <w:rsid w:val="005E3C88"/>
    <w:rsid w:val="005E6577"/>
    <w:rsid w:val="005E7972"/>
    <w:rsid w:val="005F00C9"/>
    <w:rsid w:val="005F0582"/>
    <w:rsid w:val="005F0DBB"/>
    <w:rsid w:val="005F2F95"/>
    <w:rsid w:val="005F3D5E"/>
    <w:rsid w:val="005F5A2C"/>
    <w:rsid w:val="005F6455"/>
    <w:rsid w:val="005F6A06"/>
    <w:rsid w:val="00602737"/>
    <w:rsid w:val="00606581"/>
    <w:rsid w:val="00607917"/>
    <w:rsid w:val="00607DA7"/>
    <w:rsid w:val="006123AA"/>
    <w:rsid w:val="00615064"/>
    <w:rsid w:val="00615862"/>
    <w:rsid w:val="00616038"/>
    <w:rsid w:val="00616E55"/>
    <w:rsid w:val="006236D7"/>
    <w:rsid w:val="00624E96"/>
    <w:rsid w:val="00625048"/>
    <w:rsid w:val="006269B5"/>
    <w:rsid w:val="00631089"/>
    <w:rsid w:val="00632EC7"/>
    <w:rsid w:val="00635506"/>
    <w:rsid w:val="00635C9D"/>
    <w:rsid w:val="006373F0"/>
    <w:rsid w:val="00637791"/>
    <w:rsid w:val="00641D46"/>
    <w:rsid w:val="00642997"/>
    <w:rsid w:val="0064410B"/>
    <w:rsid w:val="00644CAF"/>
    <w:rsid w:val="006454BB"/>
    <w:rsid w:val="00645971"/>
    <w:rsid w:val="00647D05"/>
    <w:rsid w:val="00651F09"/>
    <w:rsid w:val="00657349"/>
    <w:rsid w:val="00657D24"/>
    <w:rsid w:val="006602A0"/>
    <w:rsid w:val="00663491"/>
    <w:rsid w:val="00663EA9"/>
    <w:rsid w:val="0066667D"/>
    <w:rsid w:val="006675BC"/>
    <w:rsid w:val="00667C98"/>
    <w:rsid w:val="0067131A"/>
    <w:rsid w:val="006732B3"/>
    <w:rsid w:val="00673A7E"/>
    <w:rsid w:val="006740EB"/>
    <w:rsid w:val="00676385"/>
    <w:rsid w:val="0067666F"/>
    <w:rsid w:val="00676C36"/>
    <w:rsid w:val="0067777F"/>
    <w:rsid w:val="00680379"/>
    <w:rsid w:val="006808DB"/>
    <w:rsid w:val="00680A30"/>
    <w:rsid w:val="00681B43"/>
    <w:rsid w:val="006821C8"/>
    <w:rsid w:val="006826BB"/>
    <w:rsid w:val="00682A44"/>
    <w:rsid w:val="006836D3"/>
    <w:rsid w:val="006901CE"/>
    <w:rsid w:val="00690AD2"/>
    <w:rsid w:val="00690D4B"/>
    <w:rsid w:val="00692345"/>
    <w:rsid w:val="00694C0A"/>
    <w:rsid w:val="00695F6C"/>
    <w:rsid w:val="006961DF"/>
    <w:rsid w:val="0069660F"/>
    <w:rsid w:val="00697773"/>
    <w:rsid w:val="00697A97"/>
    <w:rsid w:val="006A0C34"/>
    <w:rsid w:val="006A5078"/>
    <w:rsid w:val="006A79E5"/>
    <w:rsid w:val="006B0231"/>
    <w:rsid w:val="006B078D"/>
    <w:rsid w:val="006B1A1B"/>
    <w:rsid w:val="006B3825"/>
    <w:rsid w:val="006B5240"/>
    <w:rsid w:val="006B5484"/>
    <w:rsid w:val="006B6CBF"/>
    <w:rsid w:val="006B7683"/>
    <w:rsid w:val="006C0DAD"/>
    <w:rsid w:val="006C6EC3"/>
    <w:rsid w:val="006C79FA"/>
    <w:rsid w:val="006D34CA"/>
    <w:rsid w:val="006D45F1"/>
    <w:rsid w:val="006D6D50"/>
    <w:rsid w:val="006D7F1B"/>
    <w:rsid w:val="006D7FA4"/>
    <w:rsid w:val="006E0E1B"/>
    <w:rsid w:val="006E1B11"/>
    <w:rsid w:val="006E2837"/>
    <w:rsid w:val="006E3538"/>
    <w:rsid w:val="006E61BB"/>
    <w:rsid w:val="006E6D82"/>
    <w:rsid w:val="006F04C2"/>
    <w:rsid w:val="006F0834"/>
    <w:rsid w:val="006F2CF0"/>
    <w:rsid w:val="006F4044"/>
    <w:rsid w:val="006F4718"/>
    <w:rsid w:val="006F641E"/>
    <w:rsid w:val="006F6FCA"/>
    <w:rsid w:val="006F7E33"/>
    <w:rsid w:val="00700EB7"/>
    <w:rsid w:val="007018E6"/>
    <w:rsid w:val="007020F0"/>
    <w:rsid w:val="007061DF"/>
    <w:rsid w:val="00707ADE"/>
    <w:rsid w:val="00707F12"/>
    <w:rsid w:val="00707F71"/>
    <w:rsid w:val="00710C05"/>
    <w:rsid w:val="00712E77"/>
    <w:rsid w:val="0071465C"/>
    <w:rsid w:val="007177D1"/>
    <w:rsid w:val="0072385F"/>
    <w:rsid w:val="00725B5D"/>
    <w:rsid w:val="00727184"/>
    <w:rsid w:val="007278FC"/>
    <w:rsid w:val="0073035D"/>
    <w:rsid w:val="00730EC8"/>
    <w:rsid w:val="00731F15"/>
    <w:rsid w:val="007321F1"/>
    <w:rsid w:val="00732BA9"/>
    <w:rsid w:val="00733ABE"/>
    <w:rsid w:val="00737014"/>
    <w:rsid w:val="007409B0"/>
    <w:rsid w:val="00741A81"/>
    <w:rsid w:val="007420F2"/>
    <w:rsid w:val="007428D2"/>
    <w:rsid w:val="00742B04"/>
    <w:rsid w:val="00742F38"/>
    <w:rsid w:val="0074359C"/>
    <w:rsid w:val="007435CB"/>
    <w:rsid w:val="00744BD0"/>
    <w:rsid w:val="00746167"/>
    <w:rsid w:val="00747DD6"/>
    <w:rsid w:val="00751F85"/>
    <w:rsid w:val="007522E7"/>
    <w:rsid w:val="0075252A"/>
    <w:rsid w:val="007528A5"/>
    <w:rsid w:val="00752BCD"/>
    <w:rsid w:val="00754A0F"/>
    <w:rsid w:val="00755106"/>
    <w:rsid w:val="00755A37"/>
    <w:rsid w:val="0075622E"/>
    <w:rsid w:val="00760047"/>
    <w:rsid w:val="00761138"/>
    <w:rsid w:val="007614DC"/>
    <w:rsid w:val="007618A4"/>
    <w:rsid w:val="00761EAE"/>
    <w:rsid w:val="00763569"/>
    <w:rsid w:val="00764AA2"/>
    <w:rsid w:val="00765C40"/>
    <w:rsid w:val="007663FB"/>
    <w:rsid w:val="00766868"/>
    <w:rsid w:val="00772C31"/>
    <w:rsid w:val="00773880"/>
    <w:rsid w:val="007760CF"/>
    <w:rsid w:val="00777806"/>
    <w:rsid w:val="00777DEA"/>
    <w:rsid w:val="00782A76"/>
    <w:rsid w:val="00783123"/>
    <w:rsid w:val="0078568E"/>
    <w:rsid w:val="00786DCD"/>
    <w:rsid w:val="00787A3A"/>
    <w:rsid w:val="00787BAA"/>
    <w:rsid w:val="00791DA5"/>
    <w:rsid w:val="00793384"/>
    <w:rsid w:val="00794329"/>
    <w:rsid w:val="0079466F"/>
    <w:rsid w:val="0079509C"/>
    <w:rsid w:val="00795748"/>
    <w:rsid w:val="00795E89"/>
    <w:rsid w:val="00796ED8"/>
    <w:rsid w:val="00797333"/>
    <w:rsid w:val="00797AAC"/>
    <w:rsid w:val="007A17BE"/>
    <w:rsid w:val="007A1BBE"/>
    <w:rsid w:val="007A23EE"/>
    <w:rsid w:val="007A2538"/>
    <w:rsid w:val="007A2E10"/>
    <w:rsid w:val="007A2FD8"/>
    <w:rsid w:val="007A6824"/>
    <w:rsid w:val="007B02B3"/>
    <w:rsid w:val="007B0400"/>
    <w:rsid w:val="007B2209"/>
    <w:rsid w:val="007B5595"/>
    <w:rsid w:val="007B6FD9"/>
    <w:rsid w:val="007C1B66"/>
    <w:rsid w:val="007C3133"/>
    <w:rsid w:val="007C35D6"/>
    <w:rsid w:val="007C4425"/>
    <w:rsid w:val="007C5F69"/>
    <w:rsid w:val="007C60FA"/>
    <w:rsid w:val="007C73BD"/>
    <w:rsid w:val="007D113F"/>
    <w:rsid w:val="007D2695"/>
    <w:rsid w:val="007D337F"/>
    <w:rsid w:val="007D481D"/>
    <w:rsid w:val="007D5020"/>
    <w:rsid w:val="007E0B42"/>
    <w:rsid w:val="007E1233"/>
    <w:rsid w:val="007E16D3"/>
    <w:rsid w:val="007E1EF3"/>
    <w:rsid w:val="007E37A9"/>
    <w:rsid w:val="007E39A0"/>
    <w:rsid w:val="007E4565"/>
    <w:rsid w:val="007E4578"/>
    <w:rsid w:val="007E5381"/>
    <w:rsid w:val="007E7BA9"/>
    <w:rsid w:val="007F1891"/>
    <w:rsid w:val="007F27CB"/>
    <w:rsid w:val="007F450D"/>
    <w:rsid w:val="007F69FB"/>
    <w:rsid w:val="007F784E"/>
    <w:rsid w:val="00800499"/>
    <w:rsid w:val="008004D3"/>
    <w:rsid w:val="00800F75"/>
    <w:rsid w:val="00800FD0"/>
    <w:rsid w:val="00801F87"/>
    <w:rsid w:val="008029C7"/>
    <w:rsid w:val="00804EE1"/>
    <w:rsid w:val="00805B5C"/>
    <w:rsid w:val="00807620"/>
    <w:rsid w:val="00807965"/>
    <w:rsid w:val="00810876"/>
    <w:rsid w:val="00811B58"/>
    <w:rsid w:val="00812835"/>
    <w:rsid w:val="008153F8"/>
    <w:rsid w:val="00816AC8"/>
    <w:rsid w:val="008173B0"/>
    <w:rsid w:val="008200FB"/>
    <w:rsid w:val="00821141"/>
    <w:rsid w:val="00822571"/>
    <w:rsid w:val="008232DD"/>
    <w:rsid w:val="00823902"/>
    <w:rsid w:val="008263E2"/>
    <w:rsid w:val="0082700D"/>
    <w:rsid w:val="00827F91"/>
    <w:rsid w:val="00831651"/>
    <w:rsid w:val="008319C8"/>
    <w:rsid w:val="00833C92"/>
    <w:rsid w:val="00834A01"/>
    <w:rsid w:val="00840394"/>
    <w:rsid w:val="008419BB"/>
    <w:rsid w:val="008431B0"/>
    <w:rsid w:val="00844642"/>
    <w:rsid w:val="00846665"/>
    <w:rsid w:val="00846717"/>
    <w:rsid w:val="008506A5"/>
    <w:rsid w:val="0085093B"/>
    <w:rsid w:val="00850BB2"/>
    <w:rsid w:val="00851813"/>
    <w:rsid w:val="00852D5A"/>
    <w:rsid w:val="00853949"/>
    <w:rsid w:val="00853F77"/>
    <w:rsid w:val="00860FEB"/>
    <w:rsid w:val="00861A20"/>
    <w:rsid w:val="00864E48"/>
    <w:rsid w:val="0086597B"/>
    <w:rsid w:val="00870956"/>
    <w:rsid w:val="00871995"/>
    <w:rsid w:val="00871A63"/>
    <w:rsid w:val="00875001"/>
    <w:rsid w:val="00875BFF"/>
    <w:rsid w:val="00875C42"/>
    <w:rsid w:val="008760E7"/>
    <w:rsid w:val="0087734D"/>
    <w:rsid w:val="00877C4E"/>
    <w:rsid w:val="008804CE"/>
    <w:rsid w:val="008805BC"/>
    <w:rsid w:val="00880697"/>
    <w:rsid w:val="00882B00"/>
    <w:rsid w:val="0088457B"/>
    <w:rsid w:val="008845B8"/>
    <w:rsid w:val="0089064B"/>
    <w:rsid w:val="00891B64"/>
    <w:rsid w:val="00891B66"/>
    <w:rsid w:val="00893394"/>
    <w:rsid w:val="00894CDB"/>
    <w:rsid w:val="00894CFA"/>
    <w:rsid w:val="00894D1B"/>
    <w:rsid w:val="00896DC0"/>
    <w:rsid w:val="0089759F"/>
    <w:rsid w:val="008A4CCD"/>
    <w:rsid w:val="008A52CE"/>
    <w:rsid w:val="008A6481"/>
    <w:rsid w:val="008A7234"/>
    <w:rsid w:val="008B013D"/>
    <w:rsid w:val="008B049B"/>
    <w:rsid w:val="008B0DF3"/>
    <w:rsid w:val="008B2966"/>
    <w:rsid w:val="008B4052"/>
    <w:rsid w:val="008B5178"/>
    <w:rsid w:val="008B7536"/>
    <w:rsid w:val="008B7BE7"/>
    <w:rsid w:val="008C0AA6"/>
    <w:rsid w:val="008C2357"/>
    <w:rsid w:val="008C3FF6"/>
    <w:rsid w:val="008C536E"/>
    <w:rsid w:val="008C6850"/>
    <w:rsid w:val="008C7DEB"/>
    <w:rsid w:val="008D1B2B"/>
    <w:rsid w:val="008D40A5"/>
    <w:rsid w:val="008D5FFA"/>
    <w:rsid w:val="008D7329"/>
    <w:rsid w:val="008D7C97"/>
    <w:rsid w:val="008E086C"/>
    <w:rsid w:val="008E1E3A"/>
    <w:rsid w:val="008E36BE"/>
    <w:rsid w:val="008E6C4E"/>
    <w:rsid w:val="008E70F5"/>
    <w:rsid w:val="008F00DB"/>
    <w:rsid w:val="008F1EF0"/>
    <w:rsid w:val="008F48C1"/>
    <w:rsid w:val="008F63AA"/>
    <w:rsid w:val="008F64B9"/>
    <w:rsid w:val="008F6C91"/>
    <w:rsid w:val="009004F1"/>
    <w:rsid w:val="00901EFC"/>
    <w:rsid w:val="00902750"/>
    <w:rsid w:val="00903D57"/>
    <w:rsid w:val="0090532B"/>
    <w:rsid w:val="0090668B"/>
    <w:rsid w:val="00907EAC"/>
    <w:rsid w:val="00910B98"/>
    <w:rsid w:val="00912B43"/>
    <w:rsid w:val="0091412B"/>
    <w:rsid w:val="00914424"/>
    <w:rsid w:val="0091521E"/>
    <w:rsid w:val="009160EE"/>
    <w:rsid w:val="00917D22"/>
    <w:rsid w:val="00926317"/>
    <w:rsid w:val="0092725B"/>
    <w:rsid w:val="00930A01"/>
    <w:rsid w:val="009311BD"/>
    <w:rsid w:val="00933C0F"/>
    <w:rsid w:val="00935849"/>
    <w:rsid w:val="00937141"/>
    <w:rsid w:val="00937E63"/>
    <w:rsid w:val="009417E2"/>
    <w:rsid w:val="0094207E"/>
    <w:rsid w:val="00942AF5"/>
    <w:rsid w:val="00942CFB"/>
    <w:rsid w:val="00943EC2"/>
    <w:rsid w:val="00945EBC"/>
    <w:rsid w:val="00946E79"/>
    <w:rsid w:val="009525F8"/>
    <w:rsid w:val="0095386C"/>
    <w:rsid w:val="00954301"/>
    <w:rsid w:val="00955996"/>
    <w:rsid w:val="00956245"/>
    <w:rsid w:val="0095722E"/>
    <w:rsid w:val="009579E9"/>
    <w:rsid w:val="00957CFB"/>
    <w:rsid w:val="00960403"/>
    <w:rsid w:val="00961C1A"/>
    <w:rsid w:val="009638B6"/>
    <w:rsid w:val="009702BE"/>
    <w:rsid w:val="0097230C"/>
    <w:rsid w:val="0097396C"/>
    <w:rsid w:val="00975CD5"/>
    <w:rsid w:val="00980480"/>
    <w:rsid w:val="00980A77"/>
    <w:rsid w:val="00981659"/>
    <w:rsid w:val="00982997"/>
    <w:rsid w:val="00986BBE"/>
    <w:rsid w:val="00987075"/>
    <w:rsid w:val="009879F8"/>
    <w:rsid w:val="00987C44"/>
    <w:rsid w:val="009915D1"/>
    <w:rsid w:val="00995AB1"/>
    <w:rsid w:val="00995E88"/>
    <w:rsid w:val="00996769"/>
    <w:rsid w:val="00996982"/>
    <w:rsid w:val="009A0F99"/>
    <w:rsid w:val="009A172D"/>
    <w:rsid w:val="009A22B9"/>
    <w:rsid w:val="009A29E8"/>
    <w:rsid w:val="009A2C77"/>
    <w:rsid w:val="009A437C"/>
    <w:rsid w:val="009A49C5"/>
    <w:rsid w:val="009A645C"/>
    <w:rsid w:val="009A69C5"/>
    <w:rsid w:val="009B067D"/>
    <w:rsid w:val="009B0E16"/>
    <w:rsid w:val="009B2337"/>
    <w:rsid w:val="009B2C7C"/>
    <w:rsid w:val="009B2D98"/>
    <w:rsid w:val="009B4BBB"/>
    <w:rsid w:val="009B5851"/>
    <w:rsid w:val="009B6669"/>
    <w:rsid w:val="009B6BB3"/>
    <w:rsid w:val="009C02B6"/>
    <w:rsid w:val="009C10E6"/>
    <w:rsid w:val="009C1DDF"/>
    <w:rsid w:val="009C5E02"/>
    <w:rsid w:val="009C71C9"/>
    <w:rsid w:val="009C76D2"/>
    <w:rsid w:val="009D0DF2"/>
    <w:rsid w:val="009D201F"/>
    <w:rsid w:val="009D30F2"/>
    <w:rsid w:val="009D40C2"/>
    <w:rsid w:val="009D48D6"/>
    <w:rsid w:val="009D4D05"/>
    <w:rsid w:val="009D5417"/>
    <w:rsid w:val="009D623A"/>
    <w:rsid w:val="009D6B16"/>
    <w:rsid w:val="009D6C87"/>
    <w:rsid w:val="009D6CBC"/>
    <w:rsid w:val="009E0614"/>
    <w:rsid w:val="009E1D82"/>
    <w:rsid w:val="009E341E"/>
    <w:rsid w:val="009E4283"/>
    <w:rsid w:val="009E4FF0"/>
    <w:rsid w:val="009E68A9"/>
    <w:rsid w:val="009E79C2"/>
    <w:rsid w:val="009F2857"/>
    <w:rsid w:val="009F45AD"/>
    <w:rsid w:val="009F4E8E"/>
    <w:rsid w:val="009F62C9"/>
    <w:rsid w:val="009F6808"/>
    <w:rsid w:val="00A031BD"/>
    <w:rsid w:val="00A051A0"/>
    <w:rsid w:val="00A11F68"/>
    <w:rsid w:val="00A15A98"/>
    <w:rsid w:val="00A174A0"/>
    <w:rsid w:val="00A21EB8"/>
    <w:rsid w:val="00A22896"/>
    <w:rsid w:val="00A22CCA"/>
    <w:rsid w:val="00A234A7"/>
    <w:rsid w:val="00A24390"/>
    <w:rsid w:val="00A24610"/>
    <w:rsid w:val="00A262C5"/>
    <w:rsid w:val="00A27007"/>
    <w:rsid w:val="00A27A49"/>
    <w:rsid w:val="00A27FDA"/>
    <w:rsid w:val="00A309DA"/>
    <w:rsid w:val="00A3142F"/>
    <w:rsid w:val="00A320C0"/>
    <w:rsid w:val="00A34F94"/>
    <w:rsid w:val="00A353C4"/>
    <w:rsid w:val="00A35735"/>
    <w:rsid w:val="00A373BC"/>
    <w:rsid w:val="00A37E5F"/>
    <w:rsid w:val="00A404AC"/>
    <w:rsid w:val="00A41814"/>
    <w:rsid w:val="00A4210D"/>
    <w:rsid w:val="00A42C6D"/>
    <w:rsid w:val="00A42CEC"/>
    <w:rsid w:val="00A43465"/>
    <w:rsid w:val="00A46154"/>
    <w:rsid w:val="00A477DB"/>
    <w:rsid w:val="00A5064A"/>
    <w:rsid w:val="00A53E0E"/>
    <w:rsid w:val="00A558C5"/>
    <w:rsid w:val="00A56C79"/>
    <w:rsid w:val="00A5722D"/>
    <w:rsid w:val="00A5741E"/>
    <w:rsid w:val="00A57679"/>
    <w:rsid w:val="00A60A24"/>
    <w:rsid w:val="00A62903"/>
    <w:rsid w:val="00A63AB7"/>
    <w:rsid w:val="00A63DF8"/>
    <w:rsid w:val="00A647C1"/>
    <w:rsid w:val="00A6589C"/>
    <w:rsid w:val="00A667A7"/>
    <w:rsid w:val="00A66BB9"/>
    <w:rsid w:val="00A70503"/>
    <w:rsid w:val="00A71F95"/>
    <w:rsid w:val="00A7265C"/>
    <w:rsid w:val="00A74DB7"/>
    <w:rsid w:val="00A75CCC"/>
    <w:rsid w:val="00A76196"/>
    <w:rsid w:val="00A8001E"/>
    <w:rsid w:val="00A8211E"/>
    <w:rsid w:val="00A83186"/>
    <w:rsid w:val="00A852DC"/>
    <w:rsid w:val="00A86979"/>
    <w:rsid w:val="00A90D97"/>
    <w:rsid w:val="00A91F75"/>
    <w:rsid w:val="00A95A8D"/>
    <w:rsid w:val="00A95C10"/>
    <w:rsid w:val="00A973B6"/>
    <w:rsid w:val="00A973F5"/>
    <w:rsid w:val="00A97FCC"/>
    <w:rsid w:val="00AA1AAA"/>
    <w:rsid w:val="00AA410B"/>
    <w:rsid w:val="00AA5772"/>
    <w:rsid w:val="00AA5B9D"/>
    <w:rsid w:val="00AA5F5A"/>
    <w:rsid w:val="00AB2A75"/>
    <w:rsid w:val="00AB2DFE"/>
    <w:rsid w:val="00AB3195"/>
    <w:rsid w:val="00AB46DD"/>
    <w:rsid w:val="00AB621B"/>
    <w:rsid w:val="00AB6F3D"/>
    <w:rsid w:val="00AB7346"/>
    <w:rsid w:val="00AC1508"/>
    <w:rsid w:val="00AC2EB9"/>
    <w:rsid w:val="00AC5625"/>
    <w:rsid w:val="00AC5FE8"/>
    <w:rsid w:val="00AC741F"/>
    <w:rsid w:val="00AD086D"/>
    <w:rsid w:val="00AD1257"/>
    <w:rsid w:val="00AD14D4"/>
    <w:rsid w:val="00AD18CF"/>
    <w:rsid w:val="00AD19F7"/>
    <w:rsid w:val="00AD35E5"/>
    <w:rsid w:val="00AD360F"/>
    <w:rsid w:val="00AD3C6C"/>
    <w:rsid w:val="00AD7A8A"/>
    <w:rsid w:val="00AD7D68"/>
    <w:rsid w:val="00AE316C"/>
    <w:rsid w:val="00AE3BB9"/>
    <w:rsid w:val="00AE4713"/>
    <w:rsid w:val="00AE5C97"/>
    <w:rsid w:val="00AE798B"/>
    <w:rsid w:val="00AF0BEB"/>
    <w:rsid w:val="00AF0F4E"/>
    <w:rsid w:val="00AF19AD"/>
    <w:rsid w:val="00AF511D"/>
    <w:rsid w:val="00B02DD6"/>
    <w:rsid w:val="00B02FD6"/>
    <w:rsid w:val="00B047D8"/>
    <w:rsid w:val="00B048E0"/>
    <w:rsid w:val="00B04E77"/>
    <w:rsid w:val="00B053E7"/>
    <w:rsid w:val="00B05C4F"/>
    <w:rsid w:val="00B05CAA"/>
    <w:rsid w:val="00B06B20"/>
    <w:rsid w:val="00B07571"/>
    <w:rsid w:val="00B07632"/>
    <w:rsid w:val="00B102D9"/>
    <w:rsid w:val="00B109CE"/>
    <w:rsid w:val="00B10A23"/>
    <w:rsid w:val="00B111B6"/>
    <w:rsid w:val="00B11E1B"/>
    <w:rsid w:val="00B1707E"/>
    <w:rsid w:val="00B17554"/>
    <w:rsid w:val="00B20450"/>
    <w:rsid w:val="00B20B78"/>
    <w:rsid w:val="00B20FC8"/>
    <w:rsid w:val="00B23AEE"/>
    <w:rsid w:val="00B25B82"/>
    <w:rsid w:val="00B26465"/>
    <w:rsid w:val="00B27156"/>
    <w:rsid w:val="00B27588"/>
    <w:rsid w:val="00B33396"/>
    <w:rsid w:val="00B3375D"/>
    <w:rsid w:val="00B362D1"/>
    <w:rsid w:val="00B37CE4"/>
    <w:rsid w:val="00B37E88"/>
    <w:rsid w:val="00B40AD2"/>
    <w:rsid w:val="00B40C1A"/>
    <w:rsid w:val="00B40D82"/>
    <w:rsid w:val="00B4167E"/>
    <w:rsid w:val="00B41A41"/>
    <w:rsid w:val="00B42BDB"/>
    <w:rsid w:val="00B43BC5"/>
    <w:rsid w:val="00B44BC0"/>
    <w:rsid w:val="00B450A5"/>
    <w:rsid w:val="00B454BB"/>
    <w:rsid w:val="00B5122A"/>
    <w:rsid w:val="00B515CE"/>
    <w:rsid w:val="00B52BFB"/>
    <w:rsid w:val="00B52D36"/>
    <w:rsid w:val="00B54AC0"/>
    <w:rsid w:val="00B55E2B"/>
    <w:rsid w:val="00B5750D"/>
    <w:rsid w:val="00B6229E"/>
    <w:rsid w:val="00B63099"/>
    <w:rsid w:val="00B631A1"/>
    <w:rsid w:val="00B6436F"/>
    <w:rsid w:val="00B65769"/>
    <w:rsid w:val="00B6592B"/>
    <w:rsid w:val="00B67AEF"/>
    <w:rsid w:val="00B70D8D"/>
    <w:rsid w:val="00B716CC"/>
    <w:rsid w:val="00B722EE"/>
    <w:rsid w:val="00B738D2"/>
    <w:rsid w:val="00B74556"/>
    <w:rsid w:val="00B75F46"/>
    <w:rsid w:val="00B8018F"/>
    <w:rsid w:val="00B80423"/>
    <w:rsid w:val="00B80D4C"/>
    <w:rsid w:val="00B81614"/>
    <w:rsid w:val="00B82499"/>
    <w:rsid w:val="00B82937"/>
    <w:rsid w:val="00B859CD"/>
    <w:rsid w:val="00B9075C"/>
    <w:rsid w:val="00B91A42"/>
    <w:rsid w:val="00B91AF4"/>
    <w:rsid w:val="00B93ADD"/>
    <w:rsid w:val="00B9558B"/>
    <w:rsid w:val="00B9591A"/>
    <w:rsid w:val="00B95DE8"/>
    <w:rsid w:val="00B965D2"/>
    <w:rsid w:val="00B97327"/>
    <w:rsid w:val="00B97E1D"/>
    <w:rsid w:val="00BA0C02"/>
    <w:rsid w:val="00BA17D4"/>
    <w:rsid w:val="00BA27D3"/>
    <w:rsid w:val="00BA2FFF"/>
    <w:rsid w:val="00BA5374"/>
    <w:rsid w:val="00BA64A1"/>
    <w:rsid w:val="00BB1E72"/>
    <w:rsid w:val="00BB33E9"/>
    <w:rsid w:val="00BB381B"/>
    <w:rsid w:val="00BB696B"/>
    <w:rsid w:val="00BB70F8"/>
    <w:rsid w:val="00BC0DEF"/>
    <w:rsid w:val="00BC3941"/>
    <w:rsid w:val="00BC3B47"/>
    <w:rsid w:val="00BC414E"/>
    <w:rsid w:val="00BC4B0C"/>
    <w:rsid w:val="00BC52F4"/>
    <w:rsid w:val="00BC5559"/>
    <w:rsid w:val="00BC6943"/>
    <w:rsid w:val="00BD6C1E"/>
    <w:rsid w:val="00BD6D7F"/>
    <w:rsid w:val="00BD7E16"/>
    <w:rsid w:val="00BE07E2"/>
    <w:rsid w:val="00BE0B24"/>
    <w:rsid w:val="00BE1092"/>
    <w:rsid w:val="00BE1A8E"/>
    <w:rsid w:val="00BE5113"/>
    <w:rsid w:val="00BE61E9"/>
    <w:rsid w:val="00BE656C"/>
    <w:rsid w:val="00BE6EDB"/>
    <w:rsid w:val="00BE7229"/>
    <w:rsid w:val="00BF58FB"/>
    <w:rsid w:val="00BF64A3"/>
    <w:rsid w:val="00C00263"/>
    <w:rsid w:val="00C0313C"/>
    <w:rsid w:val="00C05730"/>
    <w:rsid w:val="00C057E6"/>
    <w:rsid w:val="00C05DB1"/>
    <w:rsid w:val="00C06189"/>
    <w:rsid w:val="00C108BA"/>
    <w:rsid w:val="00C12876"/>
    <w:rsid w:val="00C156C4"/>
    <w:rsid w:val="00C1677B"/>
    <w:rsid w:val="00C1795E"/>
    <w:rsid w:val="00C22A6C"/>
    <w:rsid w:val="00C23AC6"/>
    <w:rsid w:val="00C2500F"/>
    <w:rsid w:val="00C25D97"/>
    <w:rsid w:val="00C2625B"/>
    <w:rsid w:val="00C275E0"/>
    <w:rsid w:val="00C326B0"/>
    <w:rsid w:val="00C35DC4"/>
    <w:rsid w:val="00C36357"/>
    <w:rsid w:val="00C40C99"/>
    <w:rsid w:val="00C4101A"/>
    <w:rsid w:val="00C43A76"/>
    <w:rsid w:val="00C5118F"/>
    <w:rsid w:val="00C51D97"/>
    <w:rsid w:val="00C52745"/>
    <w:rsid w:val="00C52DB1"/>
    <w:rsid w:val="00C53B45"/>
    <w:rsid w:val="00C56DAC"/>
    <w:rsid w:val="00C61126"/>
    <w:rsid w:val="00C616FB"/>
    <w:rsid w:val="00C636D8"/>
    <w:rsid w:val="00C662B6"/>
    <w:rsid w:val="00C66B35"/>
    <w:rsid w:val="00C67DAC"/>
    <w:rsid w:val="00C70BDD"/>
    <w:rsid w:val="00C70BEB"/>
    <w:rsid w:val="00C71CE5"/>
    <w:rsid w:val="00C732AB"/>
    <w:rsid w:val="00C73B2A"/>
    <w:rsid w:val="00C74B02"/>
    <w:rsid w:val="00C771E8"/>
    <w:rsid w:val="00C77C28"/>
    <w:rsid w:val="00C87BE2"/>
    <w:rsid w:val="00C90E7A"/>
    <w:rsid w:val="00C91097"/>
    <w:rsid w:val="00C91E54"/>
    <w:rsid w:val="00C922C1"/>
    <w:rsid w:val="00C92F5C"/>
    <w:rsid w:val="00C956C2"/>
    <w:rsid w:val="00C95F17"/>
    <w:rsid w:val="00C975AC"/>
    <w:rsid w:val="00CA1288"/>
    <w:rsid w:val="00CA2750"/>
    <w:rsid w:val="00CA320E"/>
    <w:rsid w:val="00CA5B26"/>
    <w:rsid w:val="00CA71B1"/>
    <w:rsid w:val="00CA7BC8"/>
    <w:rsid w:val="00CB05FF"/>
    <w:rsid w:val="00CB0743"/>
    <w:rsid w:val="00CB28A8"/>
    <w:rsid w:val="00CB3A46"/>
    <w:rsid w:val="00CB5BD9"/>
    <w:rsid w:val="00CB5EE6"/>
    <w:rsid w:val="00CB616A"/>
    <w:rsid w:val="00CB717C"/>
    <w:rsid w:val="00CC064A"/>
    <w:rsid w:val="00CC134C"/>
    <w:rsid w:val="00CC1B6B"/>
    <w:rsid w:val="00CC38E4"/>
    <w:rsid w:val="00CC3D35"/>
    <w:rsid w:val="00CC4229"/>
    <w:rsid w:val="00CC4654"/>
    <w:rsid w:val="00CC4AEC"/>
    <w:rsid w:val="00CC5853"/>
    <w:rsid w:val="00CC5AD2"/>
    <w:rsid w:val="00CC67E6"/>
    <w:rsid w:val="00CC6D32"/>
    <w:rsid w:val="00CD014A"/>
    <w:rsid w:val="00CD4858"/>
    <w:rsid w:val="00CD6293"/>
    <w:rsid w:val="00CE011B"/>
    <w:rsid w:val="00CE02B4"/>
    <w:rsid w:val="00CE1892"/>
    <w:rsid w:val="00CE1B29"/>
    <w:rsid w:val="00CE1C71"/>
    <w:rsid w:val="00CE2407"/>
    <w:rsid w:val="00CF0182"/>
    <w:rsid w:val="00CF1E82"/>
    <w:rsid w:val="00CF4275"/>
    <w:rsid w:val="00CF4E50"/>
    <w:rsid w:val="00CF54D5"/>
    <w:rsid w:val="00CF7741"/>
    <w:rsid w:val="00CF7AE3"/>
    <w:rsid w:val="00D00A7B"/>
    <w:rsid w:val="00D00CC9"/>
    <w:rsid w:val="00D013D6"/>
    <w:rsid w:val="00D01494"/>
    <w:rsid w:val="00D0212A"/>
    <w:rsid w:val="00D02E14"/>
    <w:rsid w:val="00D02F94"/>
    <w:rsid w:val="00D030A7"/>
    <w:rsid w:val="00D031C6"/>
    <w:rsid w:val="00D04CC7"/>
    <w:rsid w:val="00D060C0"/>
    <w:rsid w:val="00D064C6"/>
    <w:rsid w:val="00D06D37"/>
    <w:rsid w:val="00D07728"/>
    <w:rsid w:val="00D11FD5"/>
    <w:rsid w:val="00D16854"/>
    <w:rsid w:val="00D16905"/>
    <w:rsid w:val="00D16B4B"/>
    <w:rsid w:val="00D16C1A"/>
    <w:rsid w:val="00D2084B"/>
    <w:rsid w:val="00D22D95"/>
    <w:rsid w:val="00D247BA"/>
    <w:rsid w:val="00D263B5"/>
    <w:rsid w:val="00D2668E"/>
    <w:rsid w:val="00D26E1B"/>
    <w:rsid w:val="00D3214A"/>
    <w:rsid w:val="00D3250A"/>
    <w:rsid w:val="00D33114"/>
    <w:rsid w:val="00D33325"/>
    <w:rsid w:val="00D3454C"/>
    <w:rsid w:val="00D34E5A"/>
    <w:rsid w:val="00D37741"/>
    <w:rsid w:val="00D37FD5"/>
    <w:rsid w:val="00D46E96"/>
    <w:rsid w:val="00D50C89"/>
    <w:rsid w:val="00D527AA"/>
    <w:rsid w:val="00D5289E"/>
    <w:rsid w:val="00D53067"/>
    <w:rsid w:val="00D54737"/>
    <w:rsid w:val="00D5496C"/>
    <w:rsid w:val="00D55256"/>
    <w:rsid w:val="00D56A1A"/>
    <w:rsid w:val="00D56AA6"/>
    <w:rsid w:val="00D56F2E"/>
    <w:rsid w:val="00D6027E"/>
    <w:rsid w:val="00D60468"/>
    <w:rsid w:val="00D604BE"/>
    <w:rsid w:val="00D60BE1"/>
    <w:rsid w:val="00D61E06"/>
    <w:rsid w:val="00D63C93"/>
    <w:rsid w:val="00D64602"/>
    <w:rsid w:val="00D64D83"/>
    <w:rsid w:val="00D64E55"/>
    <w:rsid w:val="00D66E2F"/>
    <w:rsid w:val="00D70E04"/>
    <w:rsid w:val="00D70F82"/>
    <w:rsid w:val="00D724B6"/>
    <w:rsid w:val="00D73FDA"/>
    <w:rsid w:val="00D75BBC"/>
    <w:rsid w:val="00D80387"/>
    <w:rsid w:val="00D80FDF"/>
    <w:rsid w:val="00D81174"/>
    <w:rsid w:val="00D812CC"/>
    <w:rsid w:val="00D813A2"/>
    <w:rsid w:val="00D815CB"/>
    <w:rsid w:val="00D84F2B"/>
    <w:rsid w:val="00D86FDA"/>
    <w:rsid w:val="00D87EB0"/>
    <w:rsid w:val="00D90B10"/>
    <w:rsid w:val="00D91F9B"/>
    <w:rsid w:val="00D926BE"/>
    <w:rsid w:val="00D949D7"/>
    <w:rsid w:val="00D94A5D"/>
    <w:rsid w:val="00D96C73"/>
    <w:rsid w:val="00DA2F20"/>
    <w:rsid w:val="00DA38F3"/>
    <w:rsid w:val="00DA4A77"/>
    <w:rsid w:val="00DA77D0"/>
    <w:rsid w:val="00DA7DCA"/>
    <w:rsid w:val="00DB00F5"/>
    <w:rsid w:val="00DB0163"/>
    <w:rsid w:val="00DB164D"/>
    <w:rsid w:val="00DB1E54"/>
    <w:rsid w:val="00DB44BD"/>
    <w:rsid w:val="00DB46A0"/>
    <w:rsid w:val="00DB5CC2"/>
    <w:rsid w:val="00DB6B23"/>
    <w:rsid w:val="00DC1D8D"/>
    <w:rsid w:val="00DC6F8A"/>
    <w:rsid w:val="00DD04E3"/>
    <w:rsid w:val="00DD0F70"/>
    <w:rsid w:val="00DD32BB"/>
    <w:rsid w:val="00DD46E2"/>
    <w:rsid w:val="00DD4873"/>
    <w:rsid w:val="00DD5923"/>
    <w:rsid w:val="00DE08E0"/>
    <w:rsid w:val="00DE23E6"/>
    <w:rsid w:val="00DE3A3F"/>
    <w:rsid w:val="00DE402F"/>
    <w:rsid w:val="00DE4B22"/>
    <w:rsid w:val="00DE50F9"/>
    <w:rsid w:val="00DE64B6"/>
    <w:rsid w:val="00DE7E6C"/>
    <w:rsid w:val="00DF054F"/>
    <w:rsid w:val="00DF0F4D"/>
    <w:rsid w:val="00DF2555"/>
    <w:rsid w:val="00DF51E4"/>
    <w:rsid w:val="00DF5201"/>
    <w:rsid w:val="00DF7564"/>
    <w:rsid w:val="00DF77FA"/>
    <w:rsid w:val="00E01D21"/>
    <w:rsid w:val="00E03A73"/>
    <w:rsid w:val="00E07571"/>
    <w:rsid w:val="00E105A2"/>
    <w:rsid w:val="00E10B3D"/>
    <w:rsid w:val="00E10DF5"/>
    <w:rsid w:val="00E11DEC"/>
    <w:rsid w:val="00E123AF"/>
    <w:rsid w:val="00E123E8"/>
    <w:rsid w:val="00E131F5"/>
    <w:rsid w:val="00E13798"/>
    <w:rsid w:val="00E140F9"/>
    <w:rsid w:val="00E153F5"/>
    <w:rsid w:val="00E16183"/>
    <w:rsid w:val="00E21128"/>
    <w:rsid w:val="00E23900"/>
    <w:rsid w:val="00E25048"/>
    <w:rsid w:val="00E25687"/>
    <w:rsid w:val="00E26238"/>
    <w:rsid w:val="00E26560"/>
    <w:rsid w:val="00E26C8A"/>
    <w:rsid w:val="00E30763"/>
    <w:rsid w:val="00E31B41"/>
    <w:rsid w:val="00E32CA9"/>
    <w:rsid w:val="00E32D91"/>
    <w:rsid w:val="00E32D9E"/>
    <w:rsid w:val="00E33978"/>
    <w:rsid w:val="00E34A1D"/>
    <w:rsid w:val="00E35C90"/>
    <w:rsid w:val="00E36ED0"/>
    <w:rsid w:val="00E37BE6"/>
    <w:rsid w:val="00E4191A"/>
    <w:rsid w:val="00E44F8F"/>
    <w:rsid w:val="00E4574D"/>
    <w:rsid w:val="00E47411"/>
    <w:rsid w:val="00E522CC"/>
    <w:rsid w:val="00E5276A"/>
    <w:rsid w:val="00E52BF3"/>
    <w:rsid w:val="00E5399A"/>
    <w:rsid w:val="00E53A68"/>
    <w:rsid w:val="00E5498D"/>
    <w:rsid w:val="00E56192"/>
    <w:rsid w:val="00E56A54"/>
    <w:rsid w:val="00E56BEC"/>
    <w:rsid w:val="00E600C1"/>
    <w:rsid w:val="00E601EF"/>
    <w:rsid w:val="00E60D31"/>
    <w:rsid w:val="00E61A15"/>
    <w:rsid w:val="00E624E0"/>
    <w:rsid w:val="00E633D2"/>
    <w:rsid w:val="00E64E92"/>
    <w:rsid w:val="00E650D1"/>
    <w:rsid w:val="00E6554D"/>
    <w:rsid w:val="00E666FB"/>
    <w:rsid w:val="00E66893"/>
    <w:rsid w:val="00E706B0"/>
    <w:rsid w:val="00E7222B"/>
    <w:rsid w:val="00E72D34"/>
    <w:rsid w:val="00E7331C"/>
    <w:rsid w:val="00E73991"/>
    <w:rsid w:val="00E7405D"/>
    <w:rsid w:val="00E748CF"/>
    <w:rsid w:val="00E75680"/>
    <w:rsid w:val="00E76416"/>
    <w:rsid w:val="00E76601"/>
    <w:rsid w:val="00E77BD6"/>
    <w:rsid w:val="00E806FA"/>
    <w:rsid w:val="00E81E3D"/>
    <w:rsid w:val="00E82542"/>
    <w:rsid w:val="00E82648"/>
    <w:rsid w:val="00E82C54"/>
    <w:rsid w:val="00E83BD4"/>
    <w:rsid w:val="00E84365"/>
    <w:rsid w:val="00E85CB7"/>
    <w:rsid w:val="00E9217D"/>
    <w:rsid w:val="00E92E61"/>
    <w:rsid w:val="00E93862"/>
    <w:rsid w:val="00E94140"/>
    <w:rsid w:val="00E957F9"/>
    <w:rsid w:val="00E9750C"/>
    <w:rsid w:val="00EA19EF"/>
    <w:rsid w:val="00EA1AFB"/>
    <w:rsid w:val="00EA2822"/>
    <w:rsid w:val="00EA35FF"/>
    <w:rsid w:val="00EA3F1C"/>
    <w:rsid w:val="00EA5AFE"/>
    <w:rsid w:val="00EB1318"/>
    <w:rsid w:val="00EB27E3"/>
    <w:rsid w:val="00EB3E96"/>
    <w:rsid w:val="00EB590D"/>
    <w:rsid w:val="00EB5D35"/>
    <w:rsid w:val="00EB6379"/>
    <w:rsid w:val="00EB6910"/>
    <w:rsid w:val="00EB743C"/>
    <w:rsid w:val="00EC44E7"/>
    <w:rsid w:val="00EC4E0B"/>
    <w:rsid w:val="00EC4EEA"/>
    <w:rsid w:val="00EC601D"/>
    <w:rsid w:val="00EC683D"/>
    <w:rsid w:val="00EC7F1C"/>
    <w:rsid w:val="00ED074F"/>
    <w:rsid w:val="00ED0ACE"/>
    <w:rsid w:val="00ED0B9D"/>
    <w:rsid w:val="00ED1D54"/>
    <w:rsid w:val="00ED28EC"/>
    <w:rsid w:val="00ED2F25"/>
    <w:rsid w:val="00ED41CE"/>
    <w:rsid w:val="00ED4402"/>
    <w:rsid w:val="00ED467F"/>
    <w:rsid w:val="00ED68A4"/>
    <w:rsid w:val="00ED7F00"/>
    <w:rsid w:val="00EE350B"/>
    <w:rsid w:val="00EE3598"/>
    <w:rsid w:val="00EE76CA"/>
    <w:rsid w:val="00EF0EFA"/>
    <w:rsid w:val="00EF0FF7"/>
    <w:rsid w:val="00EF25FB"/>
    <w:rsid w:val="00EF4B82"/>
    <w:rsid w:val="00EF5907"/>
    <w:rsid w:val="00F00879"/>
    <w:rsid w:val="00F018FB"/>
    <w:rsid w:val="00F02360"/>
    <w:rsid w:val="00F02F10"/>
    <w:rsid w:val="00F056E0"/>
    <w:rsid w:val="00F05E32"/>
    <w:rsid w:val="00F07175"/>
    <w:rsid w:val="00F12B0F"/>
    <w:rsid w:val="00F14AC2"/>
    <w:rsid w:val="00F15177"/>
    <w:rsid w:val="00F166CE"/>
    <w:rsid w:val="00F1766D"/>
    <w:rsid w:val="00F20D8C"/>
    <w:rsid w:val="00F21F34"/>
    <w:rsid w:val="00F223C3"/>
    <w:rsid w:val="00F26539"/>
    <w:rsid w:val="00F27A1E"/>
    <w:rsid w:val="00F32274"/>
    <w:rsid w:val="00F33244"/>
    <w:rsid w:val="00F33F71"/>
    <w:rsid w:val="00F35EFD"/>
    <w:rsid w:val="00F363C4"/>
    <w:rsid w:val="00F367CF"/>
    <w:rsid w:val="00F37F6A"/>
    <w:rsid w:val="00F408C2"/>
    <w:rsid w:val="00F42B94"/>
    <w:rsid w:val="00F45347"/>
    <w:rsid w:val="00F45F22"/>
    <w:rsid w:val="00F51E40"/>
    <w:rsid w:val="00F528E5"/>
    <w:rsid w:val="00F52F36"/>
    <w:rsid w:val="00F53DC9"/>
    <w:rsid w:val="00F54296"/>
    <w:rsid w:val="00F55007"/>
    <w:rsid w:val="00F60073"/>
    <w:rsid w:val="00F63AE7"/>
    <w:rsid w:val="00F66B82"/>
    <w:rsid w:val="00F677BD"/>
    <w:rsid w:val="00F70EF2"/>
    <w:rsid w:val="00F72568"/>
    <w:rsid w:val="00F7288D"/>
    <w:rsid w:val="00F73F34"/>
    <w:rsid w:val="00F745E0"/>
    <w:rsid w:val="00F749DB"/>
    <w:rsid w:val="00F74BF9"/>
    <w:rsid w:val="00F7781D"/>
    <w:rsid w:val="00F81656"/>
    <w:rsid w:val="00F828D6"/>
    <w:rsid w:val="00F83137"/>
    <w:rsid w:val="00F8324E"/>
    <w:rsid w:val="00F832FB"/>
    <w:rsid w:val="00F83AF1"/>
    <w:rsid w:val="00F83F7D"/>
    <w:rsid w:val="00F8470C"/>
    <w:rsid w:val="00F8483C"/>
    <w:rsid w:val="00F85226"/>
    <w:rsid w:val="00F85268"/>
    <w:rsid w:val="00F85301"/>
    <w:rsid w:val="00F8534C"/>
    <w:rsid w:val="00F90283"/>
    <w:rsid w:val="00F917A9"/>
    <w:rsid w:val="00F92F07"/>
    <w:rsid w:val="00F93241"/>
    <w:rsid w:val="00F94AB1"/>
    <w:rsid w:val="00F95AAA"/>
    <w:rsid w:val="00F95AFC"/>
    <w:rsid w:val="00F96402"/>
    <w:rsid w:val="00F965E8"/>
    <w:rsid w:val="00FA1CE8"/>
    <w:rsid w:val="00FA603C"/>
    <w:rsid w:val="00FA6924"/>
    <w:rsid w:val="00FA7AA6"/>
    <w:rsid w:val="00FB0BF3"/>
    <w:rsid w:val="00FB18A1"/>
    <w:rsid w:val="00FB1EB9"/>
    <w:rsid w:val="00FB59E0"/>
    <w:rsid w:val="00FC02AF"/>
    <w:rsid w:val="00FC075D"/>
    <w:rsid w:val="00FC0A6E"/>
    <w:rsid w:val="00FC0A96"/>
    <w:rsid w:val="00FC1C6B"/>
    <w:rsid w:val="00FC330A"/>
    <w:rsid w:val="00FC3441"/>
    <w:rsid w:val="00FC520B"/>
    <w:rsid w:val="00FC59E6"/>
    <w:rsid w:val="00FC5F46"/>
    <w:rsid w:val="00FC6809"/>
    <w:rsid w:val="00FC7801"/>
    <w:rsid w:val="00FD04EE"/>
    <w:rsid w:val="00FD1551"/>
    <w:rsid w:val="00FD173A"/>
    <w:rsid w:val="00FD3DF8"/>
    <w:rsid w:val="00FD4EBA"/>
    <w:rsid w:val="00FD5328"/>
    <w:rsid w:val="00FD5430"/>
    <w:rsid w:val="00FD5659"/>
    <w:rsid w:val="00FD5D21"/>
    <w:rsid w:val="00FD6AE4"/>
    <w:rsid w:val="00FD6B3A"/>
    <w:rsid w:val="00FE2256"/>
    <w:rsid w:val="00FE2E40"/>
    <w:rsid w:val="00FE4F77"/>
    <w:rsid w:val="00FE68BD"/>
    <w:rsid w:val="00FF0955"/>
    <w:rsid w:val="00FF1CF2"/>
    <w:rsid w:val="00FF313C"/>
    <w:rsid w:val="00FF41F7"/>
    <w:rsid w:val="00FF48ED"/>
    <w:rsid w:val="00FF4AE0"/>
    <w:rsid w:val="00FF752A"/>
    <w:rsid w:val="010D35DC"/>
    <w:rsid w:val="011078C7"/>
    <w:rsid w:val="0116344A"/>
    <w:rsid w:val="011F489C"/>
    <w:rsid w:val="013F384D"/>
    <w:rsid w:val="014557C2"/>
    <w:rsid w:val="014F2180"/>
    <w:rsid w:val="0159711C"/>
    <w:rsid w:val="015A4EC4"/>
    <w:rsid w:val="015A77D2"/>
    <w:rsid w:val="015B4D96"/>
    <w:rsid w:val="017444B6"/>
    <w:rsid w:val="01816A22"/>
    <w:rsid w:val="01BB3B89"/>
    <w:rsid w:val="01C00C7E"/>
    <w:rsid w:val="01C74429"/>
    <w:rsid w:val="01E0213B"/>
    <w:rsid w:val="01E81ECA"/>
    <w:rsid w:val="01E97C97"/>
    <w:rsid w:val="01EC7019"/>
    <w:rsid w:val="01FA65AD"/>
    <w:rsid w:val="0204742C"/>
    <w:rsid w:val="0206212E"/>
    <w:rsid w:val="020C46CD"/>
    <w:rsid w:val="02150639"/>
    <w:rsid w:val="021E2025"/>
    <w:rsid w:val="02224B89"/>
    <w:rsid w:val="02250A00"/>
    <w:rsid w:val="02297530"/>
    <w:rsid w:val="022F5994"/>
    <w:rsid w:val="023E7C53"/>
    <w:rsid w:val="02442DCD"/>
    <w:rsid w:val="02465807"/>
    <w:rsid w:val="02477A4C"/>
    <w:rsid w:val="026C7C61"/>
    <w:rsid w:val="028265A2"/>
    <w:rsid w:val="02897931"/>
    <w:rsid w:val="02931A1B"/>
    <w:rsid w:val="029A086E"/>
    <w:rsid w:val="02B34934"/>
    <w:rsid w:val="02CD3CC1"/>
    <w:rsid w:val="02D15FD5"/>
    <w:rsid w:val="02F042C6"/>
    <w:rsid w:val="02F870B4"/>
    <w:rsid w:val="0305093B"/>
    <w:rsid w:val="03062D2F"/>
    <w:rsid w:val="03072607"/>
    <w:rsid w:val="03083433"/>
    <w:rsid w:val="03190CB5"/>
    <w:rsid w:val="03283023"/>
    <w:rsid w:val="033F0240"/>
    <w:rsid w:val="034758E1"/>
    <w:rsid w:val="03476497"/>
    <w:rsid w:val="03576A7D"/>
    <w:rsid w:val="035C71F0"/>
    <w:rsid w:val="035F32F6"/>
    <w:rsid w:val="03741228"/>
    <w:rsid w:val="037575AA"/>
    <w:rsid w:val="03773C2D"/>
    <w:rsid w:val="037E4BD5"/>
    <w:rsid w:val="03833C88"/>
    <w:rsid w:val="0387141F"/>
    <w:rsid w:val="038D7E22"/>
    <w:rsid w:val="039157C4"/>
    <w:rsid w:val="03987A8C"/>
    <w:rsid w:val="03AF33C7"/>
    <w:rsid w:val="03B409DD"/>
    <w:rsid w:val="03C4743B"/>
    <w:rsid w:val="03DA48E8"/>
    <w:rsid w:val="03DE215A"/>
    <w:rsid w:val="03EC4643"/>
    <w:rsid w:val="03EE5959"/>
    <w:rsid w:val="03F417A2"/>
    <w:rsid w:val="03F514C7"/>
    <w:rsid w:val="040942C4"/>
    <w:rsid w:val="040E29E5"/>
    <w:rsid w:val="041A602A"/>
    <w:rsid w:val="04216EB0"/>
    <w:rsid w:val="04341E7A"/>
    <w:rsid w:val="043D731B"/>
    <w:rsid w:val="04462C95"/>
    <w:rsid w:val="045B0566"/>
    <w:rsid w:val="045C354F"/>
    <w:rsid w:val="045F6AA3"/>
    <w:rsid w:val="046824F7"/>
    <w:rsid w:val="048349A3"/>
    <w:rsid w:val="0484381D"/>
    <w:rsid w:val="048F24A6"/>
    <w:rsid w:val="049C1179"/>
    <w:rsid w:val="04C82992"/>
    <w:rsid w:val="04D534D9"/>
    <w:rsid w:val="04D70E27"/>
    <w:rsid w:val="04DD0B20"/>
    <w:rsid w:val="04DF17CC"/>
    <w:rsid w:val="04E77F9C"/>
    <w:rsid w:val="04EF0764"/>
    <w:rsid w:val="04F33FAE"/>
    <w:rsid w:val="04FF6D71"/>
    <w:rsid w:val="0506530C"/>
    <w:rsid w:val="05136968"/>
    <w:rsid w:val="05204079"/>
    <w:rsid w:val="05216171"/>
    <w:rsid w:val="052E7AA7"/>
    <w:rsid w:val="052F77B9"/>
    <w:rsid w:val="05597A8E"/>
    <w:rsid w:val="055B28AB"/>
    <w:rsid w:val="05657CA4"/>
    <w:rsid w:val="05681C67"/>
    <w:rsid w:val="057448C8"/>
    <w:rsid w:val="05843A1B"/>
    <w:rsid w:val="05986BCA"/>
    <w:rsid w:val="059A5935"/>
    <w:rsid w:val="05A201A5"/>
    <w:rsid w:val="05C60FCC"/>
    <w:rsid w:val="05D57A43"/>
    <w:rsid w:val="05D657BE"/>
    <w:rsid w:val="05EE6C2A"/>
    <w:rsid w:val="05F0205D"/>
    <w:rsid w:val="05F77C99"/>
    <w:rsid w:val="06084345"/>
    <w:rsid w:val="060C66F4"/>
    <w:rsid w:val="06150735"/>
    <w:rsid w:val="06232125"/>
    <w:rsid w:val="062E26AD"/>
    <w:rsid w:val="06385D44"/>
    <w:rsid w:val="063950BA"/>
    <w:rsid w:val="06424BAA"/>
    <w:rsid w:val="06512AEE"/>
    <w:rsid w:val="065F130F"/>
    <w:rsid w:val="0669497A"/>
    <w:rsid w:val="06720127"/>
    <w:rsid w:val="06781D56"/>
    <w:rsid w:val="06826622"/>
    <w:rsid w:val="068C7B0B"/>
    <w:rsid w:val="06955A9B"/>
    <w:rsid w:val="069B1164"/>
    <w:rsid w:val="069E5B13"/>
    <w:rsid w:val="06AB256C"/>
    <w:rsid w:val="06BD5DFB"/>
    <w:rsid w:val="06D82C35"/>
    <w:rsid w:val="06E05825"/>
    <w:rsid w:val="06E17D3B"/>
    <w:rsid w:val="06ED38D6"/>
    <w:rsid w:val="06EE06AA"/>
    <w:rsid w:val="070E763E"/>
    <w:rsid w:val="07191D46"/>
    <w:rsid w:val="07227A64"/>
    <w:rsid w:val="072344E1"/>
    <w:rsid w:val="07261857"/>
    <w:rsid w:val="07351A77"/>
    <w:rsid w:val="073904F6"/>
    <w:rsid w:val="07412A29"/>
    <w:rsid w:val="07516C37"/>
    <w:rsid w:val="07520DFD"/>
    <w:rsid w:val="07597573"/>
    <w:rsid w:val="076C2C3C"/>
    <w:rsid w:val="076F5251"/>
    <w:rsid w:val="077842E5"/>
    <w:rsid w:val="07857D25"/>
    <w:rsid w:val="078C0CF0"/>
    <w:rsid w:val="07AD5E6F"/>
    <w:rsid w:val="07B0403D"/>
    <w:rsid w:val="07B90213"/>
    <w:rsid w:val="07BE314B"/>
    <w:rsid w:val="07C66F31"/>
    <w:rsid w:val="07D179BE"/>
    <w:rsid w:val="07D42CF5"/>
    <w:rsid w:val="07F14281"/>
    <w:rsid w:val="07F177D3"/>
    <w:rsid w:val="07FF6CAF"/>
    <w:rsid w:val="07FF7DA4"/>
    <w:rsid w:val="0802440D"/>
    <w:rsid w:val="08037705"/>
    <w:rsid w:val="08205BE0"/>
    <w:rsid w:val="08275C22"/>
    <w:rsid w:val="08277CEC"/>
    <w:rsid w:val="082D6FB0"/>
    <w:rsid w:val="083420ED"/>
    <w:rsid w:val="083F68A9"/>
    <w:rsid w:val="08400A92"/>
    <w:rsid w:val="0854278F"/>
    <w:rsid w:val="085D1644"/>
    <w:rsid w:val="0865499C"/>
    <w:rsid w:val="0867177C"/>
    <w:rsid w:val="086A2875"/>
    <w:rsid w:val="087A7375"/>
    <w:rsid w:val="087B7D1C"/>
    <w:rsid w:val="0882554E"/>
    <w:rsid w:val="0883569E"/>
    <w:rsid w:val="08836193"/>
    <w:rsid w:val="08874FBB"/>
    <w:rsid w:val="088D65C4"/>
    <w:rsid w:val="08932206"/>
    <w:rsid w:val="089471F9"/>
    <w:rsid w:val="08963894"/>
    <w:rsid w:val="08A30C69"/>
    <w:rsid w:val="08A431A0"/>
    <w:rsid w:val="08BC04B6"/>
    <w:rsid w:val="08BC722F"/>
    <w:rsid w:val="08BD1809"/>
    <w:rsid w:val="08CD5377"/>
    <w:rsid w:val="08D1117E"/>
    <w:rsid w:val="08DC440E"/>
    <w:rsid w:val="08EB6C4F"/>
    <w:rsid w:val="09341F2E"/>
    <w:rsid w:val="09354D6D"/>
    <w:rsid w:val="09392E72"/>
    <w:rsid w:val="094D74A4"/>
    <w:rsid w:val="094D790A"/>
    <w:rsid w:val="09545916"/>
    <w:rsid w:val="095A08C2"/>
    <w:rsid w:val="09651E40"/>
    <w:rsid w:val="096C4663"/>
    <w:rsid w:val="096D3B08"/>
    <w:rsid w:val="09765925"/>
    <w:rsid w:val="09774D0C"/>
    <w:rsid w:val="097B64F5"/>
    <w:rsid w:val="0985372C"/>
    <w:rsid w:val="09956EC8"/>
    <w:rsid w:val="09976DD7"/>
    <w:rsid w:val="09A90DB5"/>
    <w:rsid w:val="09B41737"/>
    <w:rsid w:val="09B4184C"/>
    <w:rsid w:val="09B910EF"/>
    <w:rsid w:val="09C0632E"/>
    <w:rsid w:val="09CD6A6A"/>
    <w:rsid w:val="09D01144"/>
    <w:rsid w:val="09D771D4"/>
    <w:rsid w:val="09E87DA7"/>
    <w:rsid w:val="09EC0A3E"/>
    <w:rsid w:val="0A086597"/>
    <w:rsid w:val="0A0A66F3"/>
    <w:rsid w:val="0A1246B0"/>
    <w:rsid w:val="0A160B5B"/>
    <w:rsid w:val="0A1E007C"/>
    <w:rsid w:val="0A402FCB"/>
    <w:rsid w:val="0A5847B8"/>
    <w:rsid w:val="0A5A185D"/>
    <w:rsid w:val="0A600E73"/>
    <w:rsid w:val="0A6C0677"/>
    <w:rsid w:val="0A765497"/>
    <w:rsid w:val="0A7D6BA6"/>
    <w:rsid w:val="0A810EE7"/>
    <w:rsid w:val="0A817297"/>
    <w:rsid w:val="0AA55E5A"/>
    <w:rsid w:val="0AA81391"/>
    <w:rsid w:val="0AA83FD1"/>
    <w:rsid w:val="0AC7081F"/>
    <w:rsid w:val="0AC7795C"/>
    <w:rsid w:val="0AC82737"/>
    <w:rsid w:val="0AD81455"/>
    <w:rsid w:val="0AD83197"/>
    <w:rsid w:val="0ADA240B"/>
    <w:rsid w:val="0ADE4C47"/>
    <w:rsid w:val="0AE43588"/>
    <w:rsid w:val="0AEC3AF8"/>
    <w:rsid w:val="0AED4B8A"/>
    <w:rsid w:val="0AF26DAC"/>
    <w:rsid w:val="0B04251C"/>
    <w:rsid w:val="0B065FC2"/>
    <w:rsid w:val="0B073AE9"/>
    <w:rsid w:val="0B0A5AEB"/>
    <w:rsid w:val="0B0C7E7D"/>
    <w:rsid w:val="0B16361E"/>
    <w:rsid w:val="0B1B1342"/>
    <w:rsid w:val="0B301291"/>
    <w:rsid w:val="0B4018D9"/>
    <w:rsid w:val="0B467EB0"/>
    <w:rsid w:val="0B530B4C"/>
    <w:rsid w:val="0B5E5DFE"/>
    <w:rsid w:val="0B611D18"/>
    <w:rsid w:val="0B651F79"/>
    <w:rsid w:val="0B6C511A"/>
    <w:rsid w:val="0B8E0EBB"/>
    <w:rsid w:val="0BA21BB0"/>
    <w:rsid w:val="0BA57B45"/>
    <w:rsid w:val="0BC22902"/>
    <w:rsid w:val="0BC31A3F"/>
    <w:rsid w:val="0BC45EAD"/>
    <w:rsid w:val="0BC64922"/>
    <w:rsid w:val="0BCD7356"/>
    <w:rsid w:val="0BD82677"/>
    <w:rsid w:val="0BDA7E52"/>
    <w:rsid w:val="0BF24799"/>
    <w:rsid w:val="0C060244"/>
    <w:rsid w:val="0C071AA3"/>
    <w:rsid w:val="0C0A2874"/>
    <w:rsid w:val="0C12398C"/>
    <w:rsid w:val="0C272382"/>
    <w:rsid w:val="0C324B95"/>
    <w:rsid w:val="0C383503"/>
    <w:rsid w:val="0C3F5621"/>
    <w:rsid w:val="0C4237E6"/>
    <w:rsid w:val="0C4261DB"/>
    <w:rsid w:val="0C4548C9"/>
    <w:rsid w:val="0C4C2589"/>
    <w:rsid w:val="0C4D4E55"/>
    <w:rsid w:val="0C5D47C5"/>
    <w:rsid w:val="0C5D65C5"/>
    <w:rsid w:val="0C6130E9"/>
    <w:rsid w:val="0C662A91"/>
    <w:rsid w:val="0C670CE3"/>
    <w:rsid w:val="0C6F6B49"/>
    <w:rsid w:val="0C733EB7"/>
    <w:rsid w:val="0C7521AE"/>
    <w:rsid w:val="0C7B7026"/>
    <w:rsid w:val="0C9413AC"/>
    <w:rsid w:val="0C9C4945"/>
    <w:rsid w:val="0CA6467A"/>
    <w:rsid w:val="0CA73ED8"/>
    <w:rsid w:val="0CA93D36"/>
    <w:rsid w:val="0CBE3D05"/>
    <w:rsid w:val="0CCA3020"/>
    <w:rsid w:val="0CD0326B"/>
    <w:rsid w:val="0CD81D5A"/>
    <w:rsid w:val="0CE80819"/>
    <w:rsid w:val="0CEA0C2A"/>
    <w:rsid w:val="0CEE6BD6"/>
    <w:rsid w:val="0CEE6D0E"/>
    <w:rsid w:val="0CF21ECE"/>
    <w:rsid w:val="0CF87B8D"/>
    <w:rsid w:val="0CF91174"/>
    <w:rsid w:val="0CFE23D1"/>
    <w:rsid w:val="0CFE31D3"/>
    <w:rsid w:val="0D157D63"/>
    <w:rsid w:val="0D1718D0"/>
    <w:rsid w:val="0D2E28C4"/>
    <w:rsid w:val="0D336E17"/>
    <w:rsid w:val="0D37337A"/>
    <w:rsid w:val="0D4378A7"/>
    <w:rsid w:val="0D544DF8"/>
    <w:rsid w:val="0D5F647C"/>
    <w:rsid w:val="0D612D6F"/>
    <w:rsid w:val="0D7041B7"/>
    <w:rsid w:val="0D7434D8"/>
    <w:rsid w:val="0D7C4727"/>
    <w:rsid w:val="0D7D2359"/>
    <w:rsid w:val="0D7E5681"/>
    <w:rsid w:val="0D841421"/>
    <w:rsid w:val="0D883062"/>
    <w:rsid w:val="0D954824"/>
    <w:rsid w:val="0D9E215E"/>
    <w:rsid w:val="0DA33F9D"/>
    <w:rsid w:val="0DA9591E"/>
    <w:rsid w:val="0DAE3F8D"/>
    <w:rsid w:val="0DB238A3"/>
    <w:rsid w:val="0DBB439E"/>
    <w:rsid w:val="0DBC3938"/>
    <w:rsid w:val="0DBD1A63"/>
    <w:rsid w:val="0DC62E9B"/>
    <w:rsid w:val="0DD95340"/>
    <w:rsid w:val="0DDB50F6"/>
    <w:rsid w:val="0DE2043C"/>
    <w:rsid w:val="0DF27629"/>
    <w:rsid w:val="0DF43B65"/>
    <w:rsid w:val="0E0735D0"/>
    <w:rsid w:val="0E186F6C"/>
    <w:rsid w:val="0E1C5AFD"/>
    <w:rsid w:val="0E1C68F4"/>
    <w:rsid w:val="0E240F4E"/>
    <w:rsid w:val="0E4C792F"/>
    <w:rsid w:val="0E72571D"/>
    <w:rsid w:val="0E750FB6"/>
    <w:rsid w:val="0E7C57B3"/>
    <w:rsid w:val="0E8D78AA"/>
    <w:rsid w:val="0E9B1C39"/>
    <w:rsid w:val="0EA303A9"/>
    <w:rsid w:val="0EB53261"/>
    <w:rsid w:val="0EB65ABB"/>
    <w:rsid w:val="0EBC1F94"/>
    <w:rsid w:val="0EC051A0"/>
    <w:rsid w:val="0EC15E13"/>
    <w:rsid w:val="0EC9275C"/>
    <w:rsid w:val="0ED2440E"/>
    <w:rsid w:val="0ED83CC4"/>
    <w:rsid w:val="0EE75307"/>
    <w:rsid w:val="0EFC205D"/>
    <w:rsid w:val="0F0071CD"/>
    <w:rsid w:val="0F0C791F"/>
    <w:rsid w:val="0F0D180C"/>
    <w:rsid w:val="0F0E11F3"/>
    <w:rsid w:val="0F0F0D9C"/>
    <w:rsid w:val="0F1D3424"/>
    <w:rsid w:val="0F256C33"/>
    <w:rsid w:val="0F3522AA"/>
    <w:rsid w:val="0F3874E9"/>
    <w:rsid w:val="0F3E5300"/>
    <w:rsid w:val="0F415B87"/>
    <w:rsid w:val="0F505928"/>
    <w:rsid w:val="0F5F036A"/>
    <w:rsid w:val="0F71655C"/>
    <w:rsid w:val="0F76123D"/>
    <w:rsid w:val="0F856A93"/>
    <w:rsid w:val="0F870855"/>
    <w:rsid w:val="0F874BF7"/>
    <w:rsid w:val="0F8B5560"/>
    <w:rsid w:val="0F916077"/>
    <w:rsid w:val="0F96368D"/>
    <w:rsid w:val="0FA7589A"/>
    <w:rsid w:val="0FAA681C"/>
    <w:rsid w:val="0FAB7138"/>
    <w:rsid w:val="0FB038AC"/>
    <w:rsid w:val="0FB87AA7"/>
    <w:rsid w:val="0FBF4992"/>
    <w:rsid w:val="0FD36BEB"/>
    <w:rsid w:val="0FE37019"/>
    <w:rsid w:val="0FE52B98"/>
    <w:rsid w:val="0FE61E3D"/>
    <w:rsid w:val="0FF24E51"/>
    <w:rsid w:val="0FF42010"/>
    <w:rsid w:val="0FF96772"/>
    <w:rsid w:val="0FFC5F9B"/>
    <w:rsid w:val="100940A1"/>
    <w:rsid w:val="100B484A"/>
    <w:rsid w:val="10211DFA"/>
    <w:rsid w:val="102F7DE0"/>
    <w:rsid w:val="10423C18"/>
    <w:rsid w:val="10442524"/>
    <w:rsid w:val="104566C6"/>
    <w:rsid w:val="104650B3"/>
    <w:rsid w:val="104A6951"/>
    <w:rsid w:val="104E6DE0"/>
    <w:rsid w:val="105552F6"/>
    <w:rsid w:val="105D41BB"/>
    <w:rsid w:val="1062311E"/>
    <w:rsid w:val="10741C87"/>
    <w:rsid w:val="10817E99"/>
    <w:rsid w:val="10886067"/>
    <w:rsid w:val="109C4CD3"/>
    <w:rsid w:val="10AB74D0"/>
    <w:rsid w:val="10B34C4D"/>
    <w:rsid w:val="10C343C0"/>
    <w:rsid w:val="10C667C0"/>
    <w:rsid w:val="10C95EFC"/>
    <w:rsid w:val="10CD1E1B"/>
    <w:rsid w:val="10D25D7B"/>
    <w:rsid w:val="10E356A6"/>
    <w:rsid w:val="10F845FF"/>
    <w:rsid w:val="11015460"/>
    <w:rsid w:val="110636A8"/>
    <w:rsid w:val="11333ABD"/>
    <w:rsid w:val="11351258"/>
    <w:rsid w:val="113A250B"/>
    <w:rsid w:val="11567578"/>
    <w:rsid w:val="11592BC4"/>
    <w:rsid w:val="1162621E"/>
    <w:rsid w:val="116B48D8"/>
    <w:rsid w:val="116E5421"/>
    <w:rsid w:val="117A48B0"/>
    <w:rsid w:val="11810752"/>
    <w:rsid w:val="11816B9F"/>
    <w:rsid w:val="118D4F0C"/>
    <w:rsid w:val="119E7BC5"/>
    <w:rsid w:val="11A774C2"/>
    <w:rsid w:val="11C403C0"/>
    <w:rsid w:val="11CB3AC2"/>
    <w:rsid w:val="11CE0E2B"/>
    <w:rsid w:val="11D30BC8"/>
    <w:rsid w:val="11D37F61"/>
    <w:rsid w:val="11E018BC"/>
    <w:rsid w:val="11E132E5"/>
    <w:rsid w:val="11E458EC"/>
    <w:rsid w:val="11F052D6"/>
    <w:rsid w:val="12165546"/>
    <w:rsid w:val="121E7C56"/>
    <w:rsid w:val="122F2F88"/>
    <w:rsid w:val="12302F19"/>
    <w:rsid w:val="12376DD3"/>
    <w:rsid w:val="123A4473"/>
    <w:rsid w:val="124E2D9E"/>
    <w:rsid w:val="125E7B09"/>
    <w:rsid w:val="126A32DB"/>
    <w:rsid w:val="126D2DCB"/>
    <w:rsid w:val="126D4373"/>
    <w:rsid w:val="12725BE3"/>
    <w:rsid w:val="127557DC"/>
    <w:rsid w:val="127759F8"/>
    <w:rsid w:val="127B27A1"/>
    <w:rsid w:val="12812451"/>
    <w:rsid w:val="128B263D"/>
    <w:rsid w:val="128B4FFF"/>
    <w:rsid w:val="129B5A08"/>
    <w:rsid w:val="12A62374"/>
    <w:rsid w:val="12AA7C46"/>
    <w:rsid w:val="12AF6F40"/>
    <w:rsid w:val="12B45655"/>
    <w:rsid w:val="12B55926"/>
    <w:rsid w:val="12CF313E"/>
    <w:rsid w:val="12DE7437"/>
    <w:rsid w:val="12DF0916"/>
    <w:rsid w:val="12EE0BB8"/>
    <w:rsid w:val="12FB50BD"/>
    <w:rsid w:val="13030C81"/>
    <w:rsid w:val="131C433E"/>
    <w:rsid w:val="132739B8"/>
    <w:rsid w:val="132E6781"/>
    <w:rsid w:val="133D7397"/>
    <w:rsid w:val="13404933"/>
    <w:rsid w:val="13565AD6"/>
    <w:rsid w:val="1364477F"/>
    <w:rsid w:val="13657904"/>
    <w:rsid w:val="138C102F"/>
    <w:rsid w:val="13CE33F5"/>
    <w:rsid w:val="13DD1A6E"/>
    <w:rsid w:val="13E55281"/>
    <w:rsid w:val="13E7309E"/>
    <w:rsid w:val="13E77C6B"/>
    <w:rsid w:val="13F439DD"/>
    <w:rsid w:val="13FC0DA8"/>
    <w:rsid w:val="13FD1F2D"/>
    <w:rsid w:val="14024F5C"/>
    <w:rsid w:val="14123E75"/>
    <w:rsid w:val="142D2812"/>
    <w:rsid w:val="14335595"/>
    <w:rsid w:val="143462B3"/>
    <w:rsid w:val="14357918"/>
    <w:rsid w:val="14373691"/>
    <w:rsid w:val="147070D6"/>
    <w:rsid w:val="147E381D"/>
    <w:rsid w:val="148924AB"/>
    <w:rsid w:val="14994553"/>
    <w:rsid w:val="14A71656"/>
    <w:rsid w:val="14BA5EF6"/>
    <w:rsid w:val="14BD7BFB"/>
    <w:rsid w:val="14C91E0F"/>
    <w:rsid w:val="14CD6F95"/>
    <w:rsid w:val="14CE3319"/>
    <w:rsid w:val="14D22336"/>
    <w:rsid w:val="14E11AC3"/>
    <w:rsid w:val="14E153AA"/>
    <w:rsid w:val="14E20227"/>
    <w:rsid w:val="14E46C49"/>
    <w:rsid w:val="14F56481"/>
    <w:rsid w:val="14F679A0"/>
    <w:rsid w:val="15023C9F"/>
    <w:rsid w:val="150714A1"/>
    <w:rsid w:val="151516A5"/>
    <w:rsid w:val="151B522B"/>
    <w:rsid w:val="151B6817"/>
    <w:rsid w:val="151C00A5"/>
    <w:rsid w:val="151E24CF"/>
    <w:rsid w:val="152D239E"/>
    <w:rsid w:val="154C7934"/>
    <w:rsid w:val="155C6C8A"/>
    <w:rsid w:val="155C7686"/>
    <w:rsid w:val="15625869"/>
    <w:rsid w:val="156C2EC6"/>
    <w:rsid w:val="1585667E"/>
    <w:rsid w:val="158E0022"/>
    <w:rsid w:val="15A54A3B"/>
    <w:rsid w:val="15AD5397"/>
    <w:rsid w:val="15B0574A"/>
    <w:rsid w:val="15B06693"/>
    <w:rsid w:val="15B605E5"/>
    <w:rsid w:val="15CA344B"/>
    <w:rsid w:val="15D31197"/>
    <w:rsid w:val="15D51495"/>
    <w:rsid w:val="15E32C48"/>
    <w:rsid w:val="15EA31CD"/>
    <w:rsid w:val="15FD4679"/>
    <w:rsid w:val="161A572C"/>
    <w:rsid w:val="162240E2"/>
    <w:rsid w:val="162B4B2F"/>
    <w:rsid w:val="162D786B"/>
    <w:rsid w:val="164C57BB"/>
    <w:rsid w:val="164E6553"/>
    <w:rsid w:val="164F6017"/>
    <w:rsid w:val="16552C4F"/>
    <w:rsid w:val="166242C9"/>
    <w:rsid w:val="16730284"/>
    <w:rsid w:val="167F37F3"/>
    <w:rsid w:val="1682713B"/>
    <w:rsid w:val="16832E74"/>
    <w:rsid w:val="168828F9"/>
    <w:rsid w:val="168D120F"/>
    <w:rsid w:val="16A05C14"/>
    <w:rsid w:val="16A06A59"/>
    <w:rsid w:val="16A55CC1"/>
    <w:rsid w:val="16B26FFE"/>
    <w:rsid w:val="16B93A76"/>
    <w:rsid w:val="16C91620"/>
    <w:rsid w:val="16CA3D4D"/>
    <w:rsid w:val="16D1539E"/>
    <w:rsid w:val="16F01B34"/>
    <w:rsid w:val="16F7364B"/>
    <w:rsid w:val="16FE22AA"/>
    <w:rsid w:val="1704314D"/>
    <w:rsid w:val="1706754F"/>
    <w:rsid w:val="170830C2"/>
    <w:rsid w:val="170A00B7"/>
    <w:rsid w:val="170B631F"/>
    <w:rsid w:val="170C0A14"/>
    <w:rsid w:val="170F7833"/>
    <w:rsid w:val="171E20CD"/>
    <w:rsid w:val="17290124"/>
    <w:rsid w:val="172E1005"/>
    <w:rsid w:val="172F5151"/>
    <w:rsid w:val="174F74BF"/>
    <w:rsid w:val="1753461A"/>
    <w:rsid w:val="17575DF8"/>
    <w:rsid w:val="175F5EFB"/>
    <w:rsid w:val="17785DB8"/>
    <w:rsid w:val="17793FC0"/>
    <w:rsid w:val="178B51C5"/>
    <w:rsid w:val="17984446"/>
    <w:rsid w:val="17B07A26"/>
    <w:rsid w:val="17BB7D72"/>
    <w:rsid w:val="17BC1B6B"/>
    <w:rsid w:val="17C02FD4"/>
    <w:rsid w:val="17CE075E"/>
    <w:rsid w:val="17D73282"/>
    <w:rsid w:val="17E946CE"/>
    <w:rsid w:val="17F43647"/>
    <w:rsid w:val="17F92FC3"/>
    <w:rsid w:val="180D079C"/>
    <w:rsid w:val="18126BD6"/>
    <w:rsid w:val="18166D0E"/>
    <w:rsid w:val="18194E5B"/>
    <w:rsid w:val="18215A5B"/>
    <w:rsid w:val="18230CBA"/>
    <w:rsid w:val="18251DE9"/>
    <w:rsid w:val="182E5CEF"/>
    <w:rsid w:val="183529EC"/>
    <w:rsid w:val="183A30A2"/>
    <w:rsid w:val="18422604"/>
    <w:rsid w:val="18490540"/>
    <w:rsid w:val="184C5231"/>
    <w:rsid w:val="18500614"/>
    <w:rsid w:val="18506ACF"/>
    <w:rsid w:val="18507733"/>
    <w:rsid w:val="185542BD"/>
    <w:rsid w:val="185A4A8F"/>
    <w:rsid w:val="186E51A7"/>
    <w:rsid w:val="186F359F"/>
    <w:rsid w:val="1872454A"/>
    <w:rsid w:val="18777C35"/>
    <w:rsid w:val="187D53DF"/>
    <w:rsid w:val="188350F6"/>
    <w:rsid w:val="18890297"/>
    <w:rsid w:val="189E20D7"/>
    <w:rsid w:val="18A43395"/>
    <w:rsid w:val="18A65C68"/>
    <w:rsid w:val="18AE2637"/>
    <w:rsid w:val="18AE783E"/>
    <w:rsid w:val="18B87239"/>
    <w:rsid w:val="18D91DFD"/>
    <w:rsid w:val="191342B4"/>
    <w:rsid w:val="194D03AE"/>
    <w:rsid w:val="194D1260"/>
    <w:rsid w:val="19502AFF"/>
    <w:rsid w:val="195C14A3"/>
    <w:rsid w:val="195C1583"/>
    <w:rsid w:val="196A29E3"/>
    <w:rsid w:val="196B27E7"/>
    <w:rsid w:val="197E766C"/>
    <w:rsid w:val="198435D0"/>
    <w:rsid w:val="198D2909"/>
    <w:rsid w:val="198E56F6"/>
    <w:rsid w:val="19941667"/>
    <w:rsid w:val="1998697F"/>
    <w:rsid w:val="19A43CC3"/>
    <w:rsid w:val="19B6767E"/>
    <w:rsid w:val="19B703E9"/>
    <w:rsid w:val="19BB5D48"/>
    <w:rsid w:val="19BD0050"/>
    <w:rsid w:val="19BE585F"/>
    <w:rsid w:val="19C07905"/>
    <w:rsid w:val="19C257AA"/>
    <w:rsid w:val="19C66865"/>
    <w:rsid w:val="19C86B39"/>
    <w:rsid w:val="19CE1F47"/>
    <w:rsid w:val="19D61895"/>
    <w:rsid w:val="19EE0386"/>
    <w:rsid w:val="19F83BC1"/>
    <w:rsid w:val="19F85670"/>
    <w:rsid w:val="1A030B50"/>
    <w:rsid w:val="1A1D45B2"/>
    <w:rsid w:val="1A222768"/>
    <w:rsid w:val="1A41401B"/>
    <w:rsid w:val="1A616F59"/>
    <w:rsid w:val="1A6525DA"/>
    <w:rsid w:val="1A654388"/>
    <w:rsid w:val="1A777FBC"/>
    <w:rsid w:val="1A7E7025"/>
    <w:rsid w:val="1A811BC7"/>
    <w:rsid w:val="1A833F8B"/>
    <w:rsid w:val="1A890FF8"/>
    <w:rsid w:val="1A8E1B30"/>
    <w:rsid w:val="1A90637A"/>
    <w:rsid w:val="1A925858"/>
    <w:rsid w:val="1A9A61BB"/>
    <w:rsid w:val="1AA562D2"/>
    <w:rsid w:val="1AAA0DD0"/>
    <w:rsid w:val="1AAF0531"/>
    <w:rsid w:val="1AB01AA7"/>
    <w:rsid w:val="1AC52392"/>
    <w:rsid w:val="1ACB6AAA"/>
    <w:rsid w:val="1ADD1713"/>
    <w:rsid w:val="1AE05C32"/>
    <w:rsid w:val="1AE25373"/>
    <w:rsid w:val="1AE315F8"/>
    <w:rsid w:val="1AE45BF4"/>
    <w:rsid w:val="1AE7679B"/>
    <w:rsid w:val="1AE96D67"/>
    <w:rsid w:val="1AEC0D6E"/>
    <w:rsid w:val="1AED4AA9"/>
    <w:rsid w:val="1AF17968"/>
    <w:rsid w:val="1AF5175E"/>
    <w:rsid w:val="1B1675FA"/>
    <w:rsid w:val="1B1F6DAB"/>
    <w:rsid w:val="1B2603E2"/>
    <w:rsid w:val="1B2F65F5"/>
    <w:rsid w:val="1B383876"/>
    <w:rsid w:val="1B3B1CB8"/>
    <w:rsid w:val="1B4C3B70"/>
    <w:rsid w:val="1B526B8C"/>
    <w:rsid w:val="1B6A434C"/>
    <w:rsid w:val="1B776D54"/>
    <w:rsid w:val="1B81269E"/>
    <w:rsid w:val="1B850413"/>
    <w:rsid w:val="1B994DB3"/>
    <w:rsid w:val="1B9E4C36"/>
    <w:rsid w:val="1BAD0F21"/>
    <w:rsid w:val="1BAD3334"/>
    <w:rsid w:val="1BAD5FE6"/>
    <w:rsid w:val="1BC67911"/>
    <w:rsid w:val="1BC82B04"/>
    <w:rsid w:val="1BDB6A8E"/>
    <w:rsid w:val="1BF12377"/>
    <w:rsid w:val="1BF73705"/>
    <w:rsid w:val="1C006C4C"/>
    <w:rsid w:val="1C0603ED"/>
    <w:rsid w:val="1C072A05"/>
    <w:rsid w:val="1C0A3436"/>
    <w:rsid w:val="1C0B715C"/>
    <w:rsid w:val="1C0F0A4F"/>
    <w:rsid w:val="1C1A10DB"/>
    <w:rsid w:val="1C3D05FC"/>
    <w:rsid w:val="1C512E16"/>
    <w:rsid w:val="1C5652E8"/>
    <w:rsid w:val="1C5A654D"/>
    <w:rsid w:val="1C6430D6"/>
    <w:rsid w:val="1C646507"/>
    <w:rsid w:val="1C666B9D"/>
    <w:rsid w:val="1C6A33EE"/>
    <w:rsid w:val="1C6C2E0D"/>
    <w:rsid w:val="1C7A2139"/>
    <w:rsid w:val="1C7D7FE4"/>
    <w:rsid w:val="1C8E5B3E"/>
    <w:rsid w:val="1C9207DF"/>
    <w:rsid w:val="1C9B4A78"/>
    <w:rsid w:val="1CA20A69"/>
    <w:rsid w:val="1CAE73ED"/>
    <w:rsid w:val="1CB279C3"/>
    <w:rsid w:val="1CB44424"/>
    <w:rsid w:val="1CBD04AB"/>
    <w:rsid w:val="1CE41A7A"/>
    <w:rsid w:val="1CE974F2"/>
    <w:rsid w:val="1CF00951"/>
    <w:rsid w:val="1CF0509F"/>
    <w:rsid w:val="1CF77E61"/>
    <w:rsid w:val="1D065A30"/>
    <w:rsid w:val="1D08270C"/>
    <w:rsid w:val="1D0A20F5"/>
    <w:rsid w:val="1D0C76BA"/>
    <w:rsid w:val="1D147A5A"/>
    <w:rsid w:val="1D1E0530"/>
    <w:rsid w:val="1D1E1270"/>
    <w:rsid w:val="1D2317AD"/>
    <w:rsid w:val="1D27079C"/>
    <w:rsid w:val="1D2D1301"/>
    <w:rsid w:val="1D2E35B2"/>
    <w:rsid w:val="1D2F509E"/>
    <w:rsid w:val="1D3366B4"/>
    <w:rsid w:val="1D5417DF"/>
    <w:rsid w:val="1D554DA0"/>
    <w:rsid w:val="1D5A35F1"/>
    <w:rsid w:val="1D5B7088"/>
    <w:rsid w:val="1D633306"/>
    <w:rsid w:val="1D7D00E8"/>
    <w:rsid w:val="1D7E40DE"/>
    <w:rsid w:val="1D892FE8"/>
    <w:rsid w:val="1D8F68FB"/>
    <w:rsid w:val="1D9B058E"/>
    <w:rsid w:val="1DB12AA3"/>
    <w:rsid w:val="1DB45D52"/>
    <w:rsid w:val="1DC808D4"/>
    <w:rsid w:val="1DDC399E"/>
    <w:rsid w:val="1DE502C9"/>
    <w:rsid w:val="1DF3687A"/>
    <w:rsid w:val="1E0B17D8"/>
    <w:rsid w:val="1E161E79"/>
    <w:rsid w:val="1E192AEB"/>
    <w:rsid w:val="1E225352"/>
    <w:rsid w:val="1E3438B4"/>
    <w:rsid w:val="1E347F24"/>
    <w:rsid w:val="1E3C6B9F"/>
    <w:rsid w:val="1E477828"/>
    <w:rsid w:val="1E594141"/>
    <w:rsid w:val="1E5F1947"/>
    <w:rsid w:val="1E5F3407"/>
    <w:rsid w:val="1E6D2242"/>
    <w:rsid w:val="1E70688C"/>
    <w:rsid w:val="1E71066B"/>
    <w:rsid w:val="1E7203B0"/>
    <w:rsid w:val="1E7B4808"/>
    <w:rsid w:val="1E826F6C"/>
    <w:rsid w:val="1E894AE9"/>
    <w:rsid w:val="1E8A2FE7"/>
    <w:rsid w:val="1E8C27FC"/>
    <w:rsid w:val="1EA32F83"/>
    <w:rsid w:val="1EAD18F1"/>
    <w:rsid w:val="1EC04283"/>
    <w:rsid w:val="1EC97F04"/>
    <w:rsid w:val="1EDB2359"/>
    <w:rsid w:val="1EDB3B06"/>
    <w:rsid w:val="1EE76B71"/>
    <w:rsid w:val="1EF17361"/>
    <w:rsid w:val="1EF55945"/>
    <w:rsid w:val="1EF60B4A"/>
    <w:rsid w:val="1EFF5FB9"/>
    <w:rsid w:val="1F03592B"/>
    <w:rsid w:val="1F0B7BF4"/>
    <w:rsid w:val="1F1021B0"/>
    <w:rsid w:val="1F134CFA"/>
    <w:rsid w:val="1F230764"/>
    <w:rsid w:val="1F333EAE"/>
    <w:rsid w:val="1F372797"/>
    <w:rsid w:val="1F3A3460"/>
    <w:rsid w:val="1F3A5DE3"/>
    <w:rsid w:val="1F3C11DB"/>
    <w:rsid w:val="1F44668D"/>
    <w:rsid w:val="1F491554"/>
    <w:rsid w:val="1F4E243A"/>
    <w:rsid w:val="1F582B1D"/>
    <w:rsid w:val="1F6044FA"/>
    <w:rsid w:val="1F6C2C05"/>
    <w:rsid w:val="1F6C6364"/>
    <w:rsid w:val="1F7B38E8"/>
    <w:rsid w:val="1F8012D0"/>
    <w:rsid w:val="1F83778A"/>
    <w:rsid w:val="1F8B0C9D"/>
    <w:rsid w:val="1F9459EA"/>
    <w:rsid w:val="1FA20A33"/>
    <w:rsid w:val="1FB66ED2"/>
    <w:rsid w:val="1FC242FA"/>
    <w:rsid w:val="1FC5659A"/>
    <w:rsid w:val="1FD37FAB"/>
    <w:rsid w:val="1FED10A7"/>
    <w:rsid w:val="1FF12AE6"/>
    <w:rsid w:val="20085535"/>
    <w:rsid w:val="200B0ABD"/>
    <w:rsid w:val="201E74B3"/>
    <w:rsid w:val="20270FB0"/>
    <w:rsid w:val="204F20A9"/>
    <w:rsid w:val="205626FC"/>
    <w:rsid w:val="2056467B"/>
    <w:rsid w:val="205933EC"/>
    <w:rsid w:val="20594498"/>
    <w:rsid w:val="205E3D53"/>
    <w:rsid w:val="20631369"/>
    <w:rsid w:val="2067002B"/>
    <w:rsid w:val="206769F2"/>
    <w:rsid w:val="206872A3"/>
    <w:rsid w:val="20692E24"/>
    <w:rsid w:val="206F742D"/>
    <w:rsid w:val="20A0700B"/>
    <w:rsid w:val="20AB1AE9"/>
    <w:rsid w:val="20B251AF"/>
    <w:rsid w:val="20BC2202"/>
    <w:rsid w:val="20BF3995"/>
    <w:rsid w:val="20C46852"/>
    <w:rsid w:val="20C66676"/>
    <w:rsid w:val="20CE6B70"/>
    <w:rsid w:val="20DC4EE7"/>
    <w:rsid w:val="20DD3136"/>
    <w:rsid w:val="20EB0848"/>
    <w:rsid w:val="20F05B2E"/>
    <w:rsid w:val="21090A5D"/>
    <w:rsid w:val="210C37AF"/>
    <w:rsid w:val="21133EEE"/>
    <w:rsid w:val="21316437"/>
    <w:rsid w:val="213626DA"/>
    <w:rsid w:val="21374FDC"/>
    <w:rsid w:val="213D5DDE"/>
    <w:rsid w:val="21485015"/>
    <w:rsid w:val="21501790"/>
    <w:rsid w:val="2152635E"/>
    <w:rsid w:val="216006EB"/>
    <w:rsid w:val="21734897"/>
    <w:rsid w:val="217C26E3"/>
    <w:rsid w:val="217D4755"/>
    <w:rsid w:val="21933ED0"/>
    <w:rsid w:val="21A10A7D"/>
    <w:rsid w:val="21A14DDD"/>
    <w:rsid w:val="21A8227A"/>
    <w:rsid w:val="21AC2E79"/>
    <w:rsid w:val="21B924CA"/>
    <w:rsid w:val="21C100B0"/>
    <w:rsid w:val="21D56B2C"/>
    <w:rsid w:val="21DA522F"/>
    <w:rsid w:val="21DD54BE"/>
    <w:rsid w:val="21DE15EF"/>
    <w:rsid w:val="21E12EE9"/>
    <w:rsid w:val="21E46C39"/>
    <w:rsid w:val="21E94958"/>
    <w:rsid w:val="21F225BC"/>
    <w:rsid w:val="21FC65F5"/>
    <w:rsid w:val="21FF7AFF"/>
    <w:rsid w:val="22050BB6"/>
    <w:rsid w:val="22081D39"/>
    <w:rsid w:val="2208666C"/>
    <w:rsid w:val="222273C1"/>
    <w:rsid w:val="22242028"/>
    <w:rsid w:val="223032B9"/>
    <w:rsid w:val="2245341D"/>
    <w:rsid w:val="2247305D"/>
    <w:rsid w:val="22477195"/>
    <w:rsid w:val="22617B2B"/>
    <w:rsid w:val="22624FBF"/>
    <w:rsid w:val="22627A6F"/>
    <w:rsid w:val="226A107D"/>
    <w:rsid w:val="226D3D97"/>
    <w:rsid w:val="226D658B"/>
    <w:rsid w:val="2271125D"/>
    <w:rsid w:val="22721D38"/>
    <w:rsid w:val="22737F8A"/>
    <w:rsid w:val="228E04A0"/>
    <w:rsid w:val="2291703F"/>
    <w:rsid w:val="229526AA"/>
    <w:rsid w:val="229543C3"/>
    <w:rsid w:val="229555C6"/>
    <w:rsid w:val="229D0C0C"/>
    <w:rsid w:val="22A15DF3"/>
    <w:rsid w:val="22A611B6"/>
    <w:rsid w:val="22A7378F"/>
    <w:rsid w:val="22AC6FF8"/>
    <w:rsid w:val="22B07C79"/>
    <w:rsid w:val="22BE5C44"/>
    <w:rsid w:val="22C26B34"/>
    <w:rsid w:val="22D34937"/>
    <w:rsid w:val="22D97950"/>
    <w:rsid w:val="22D97F7D"/>
    <w:rsid w:val="22DE426A"/>
    <w:rsid w:val="22ED4484"/>
    <w:rsid w:val="22F8223D"/>
    <w:rsid w:val="23052BAC"/>
    <w:rsid w:val="230D2CFD"/>
    <w:rsid w:val="231833D8"/>
    <w:rsid w:val="23217C8B"/>
    <w:rsid w:val="232E02C7"/>
    <w:rsid w:val="23304B74"/>
    <w:rsid w:val="23426CF1"/>
    <w:rsid w:val="234B3C7F"/>
    <w:rsid w:val="2357470C"/>
    <w:rsid w:val="23593B91"/>
    <w:rsid w:val="235C0A1E"/>
    <w:rsid w:val="235D553D"/>
    <w:rsid w:val="23620392"/>
    <w:rsid w:val="23702442"/>
    <w:rsid w:val="23752A9C"/>
    <w:rsid w:val="2376089B"/>
    <w:rsid w:val="237F729C"/>
    <w:rsid w:val="23864D4F"/>
    <w:rsid w:val="23885244"/>
    <w:rsid w:val="23920EA4"/>
    <w:rsid w:val="23974748"/>
    <w:rsid w:val="239C1ED3"/>
    <w:rsid w:val="23B00944"/>
    <w:rsid w:val="23BC09C7"/>
    <w:rsid w:val="23D376BC"/>
    <w:rsid w:val="23F14EAB"/>
    <w:rsid w:val="240402DA"/>
    <w:rsid w:val="240C5EF1"/>
    <w:rsid w:val="241005BB"/>
    <w:rsid w:val="241B709D"/>
    <w:rsid w:val="24275A74"/>
    <w:rsid w:val="242E495B"/>
    <w:rsid w:val="244D65B8"/>
    <w:rsid w:val="246D7F1F"/>
    <w:rsid w:val="24716039"/>
    <w:rsid w:val="24732610"/>
    <w:rsid w:val="24782CB5"/>
    <w:rsid w:val="248B4DDD"/>
    <w:rsid w:val="249B1EE3"/>
    <w:rsid w:val="24A15356"/>
    <w:rsid w:val="24A57774"/>
    <w:rsid w:val="24B54DA3"/>
    <w:rsid w:val="24B72A09"/>
    <w:rsid w:val="24C2773B"/>
    <w:rsid w:val="24C56A6D"/>
    <w:rsid w:val="24D435A2"/>
    <w:rsid w:val="24E23972"/>
    <w:rsid w:val="24EA0BC0"/>
    <w:rsid w:val="25036F63"/>
    <w:rsid w:val="250C6474"/>
    <w:rsid w:val="25134876"/>
    <w:rsid w:val="251C1D4D"/>
    <w:rsid w:val="2522053B"/>
    <w:rsid w:val="25281250"/>
    <w:rsid w:val="252A21F2"/>
    <w:rsid w:val="253B28B5"/>
    <w:rsid w:val="254730CE"/>
    <w:rsid w:val="25551820"/>
    <w:rsid w:val="25592D3B"/>
    <w:rsid w:val="25635747"/>
    <w:rsid w:val="256C2A6E"/>
    <w:rsid w:val="257747F7"/>
    <w:rsid w:val="257B14F7"/>
    <w:rsid w:val="257B2300"/>
    <w:rsid w:val="258A1146"/>
    <w:rsid w:val="259C77F7"/>
    <w:rsid w:val="259E7A55"/>
    <w:rsid w:val="25A22934"/>
    <w:rsid w:val="25A55F80"/>
    <w:rsid w:val="25A62D99"/>
    <w:rsid w:val="25AF1724"/>
    <w:rsid w:val="25BC57A1"/>
    <w:rsid w:val="25BE2B22"/>
    <w:rsid w:val="25C1221C"/>
    <w:rsid w:val="25CC1BAB"/>
    <w:rsid w:val="25D91FEB"/>
    <w:rsid w:val="25E11946"/>
    <w:rsid w:val="25E76599"/>
    <w:rsid w:val="25EC071F"/>
    <w:rsid w:val="25F61914"/>
    <w:rsid w:val="2601765A"/>
    <w:rsid w:val="262F6953"/>
    <w:rsid w:val="264509AB"/>
    <w:rsid w:val="264802D0"/>
    <w:rsid w:val="26491FB1"/>
    <w:rsid w:val="26502390"/>
    <w:rsid w:val="26556AA8"/>
    <w:rsid w:val="26585798"/>
    <w:rsid w:val="26667006"/>
    <w:rsid w:val="26826A20"/>
    <w:rsid w:val="26854C4B"/>
    <w:rsid w:val="268553CE"/>
    <w:rsid w:val="268B5560"/>
    <w:rsid w:val="26A76454"/>
    <w:rsid w:val="26B47976"/>
    <w:rsid w:val="26BA2794"/>
    <w:rsid w:val="26BD40B2"/>
    <w:rsid w:val="26DE6928"/>
    <w:rsid w:val="26E06C97"/>
    <w:rsid w:val="26E33204"/>
    <w:rsid w:val="26E81C14"/>
    <w:rsid w:val="26F92B53"/>
    <w:rsid w:val="26F92FB9"/>
    <w:rsid w:val="26FB67A0"/>
    <w:rsid w:val="27181100"/>
    <w:rsid w:val="27197F9C"/>
    <w:rsid w:val="271D6716"/>
    <w:rsid w:val="272359D8"/>
    <w:rsid w:val="272F01F7"/>
    <w:rsid w:val="273A2A7D"/>
    <w:rsid w:val="273F111A"/>
    <w:rsid w:val="274A3369"/>
    <w:rsid w:val="275D3177"/>
    <w:rsid w:val="277255D9"/>
    <w:rsid w:val="278511B1"/>
    <w:rsid w:val="27863D7C"/>
    <w:rsid w:val="278726D8"/>
    <w:rsid w:val="278D0E3B"/>
    <w:rsid w:val="27901A3C"/>
    <w:rsid w:val="279E2D7E"/>
    <w:rsid w:val="27A247BE"/>
    <w:rsid w:val="27AB3D22"/>
    <w:rsid w:val="27AC5CEC"/>
    <w:rsid w:val="27C83396"/>
    <w:rsid w:val="27C941A8"/>
    <w:rsid w:val="27CB3EF3"/>
    <w:rsid w:val="27DA395E"/>
    <w:rsid w:val="27E510D2"/>
    <w:rsid w:val="27E66D1A"/>
    <w:rsid w:val="27EF7987"/>
    <w:rsid w:val="27F52DD1"/>
    <w:rsid w:val="27FD106E"/>
    <w:rsid w:val="27FD20A3"/>
    <w:rsid w:val="280653FC"/>
    <w:rsid w:val="28177609"/>
    <w:rsid w:val="281F6283"/>
    <w:rsid w:val="28210723"/>
    <w:rsid w:val="284C572F"/>
    <w:rsid w:val="28537F15"/>
    <w:rsid w:val="285C559A"/>
    <w:rsid w:val="286A3A19"/>
    <w:rsid w:val="286C653E"/>
    <w:rsid w:val="28706D19"/>
    <w:rsid w:val="28744220"/>
    <w:rsid w:val="287A0153"/>
    <w:rsid w:val="288B19BF"/>
    <w:rsid w:val="289E6239"/>
    <w:rsid w:val="28A24174"/>
    <w:rsid w:val="28A557B7"/>
    <w:rsid w:val="28A854D5"/>
    <w:rsid w:val="28AF104E"/>
    <w:rsid w:val="28B254B8"/>
    <w:rsid w:val="28B94BC2"/>
    <w:rsid w:val="28C41975"/>
    <w:rsid w:val="28E26571"/>
    <w:rsid w:val="28FC235B"/>
    <w:rsid w:val="290B0DA8"/>
    <w:rsid w:val="290C28C8"/>
    <w:rsid w:val="290D4E5A"/>
    <w:rsid w:val="291A08A2"/>
    <w:rsid w:val="29205073"/>
    <w:rsid w:val="2925095D"/>
    <w:rsid w:val="29305E05"/>
    <w:rsid w:val="293A0866"/>
    <w:rsid w:val="29483C7B"/>
    <w:rsid w:val="294F4B81"/>
    <w:rsid w:val="295E1FDB"/>
    <w:rsid w:val="298D174A"/>
    <w:rsid w:val="298D3628"/>
    <w:rsid w:val="298D582C"/>
    <w:rsid w:val="298F29FD"/>
    <w:rsid w:val="2996310D"/>
    <w:rsid w:val="299800C3"/>
    <w:rsid w:val="299B7E12"/>
    <w:rsid w:val="29A22F84"/>
    <w:rsid w:val="29A562FF"/>
    <w:rsid w:val="29AA0009"/>
    <w:rsid w:val="29AE14C8"/>
    <w:rsid w:val="29B37317"/>
    <w:rsid w:val="29B42C36"/>
    <w:rsid w:val="29C154DD"/>
    <w:rsid w:val="29C9048F"/>
    <w:rsid w:val="29CD5469"/>
    <w:rsid w:val="29D05CC2"/>
    <w:rsid w:val="29D140E8"/>
    <w:rsid w:val="29D25378"/>
    <w:rsid w:val="29D701ED"/>
    <w:rsid w:val="29D85DDC"/>
    <w:rsid w:val="29E33FFD"/>
    <w:rsid w:val="29E754BD"/>
    <w:rsid w:val="29F114FF"/>
    <w:rsid w:val="29F179E6"/>
    <w:rsid w:val="29F9577F"/>
    <w:rsid w:val="29FF2103"/>
    <w:rsid w:val="2A023CC5"/>
    <w:rsid w:val="2A0A5652"/>
    <w:rsid w:val="2A0B39A8"/>
    <w:rsid w:val="2A1460BC"/>
    <w:rsid w:val="2A222295"/>
    <w:rsid w:val="2A275A21"/>
    <w:rsid w:val="2A290874"/>
    <w:rsid w:val="2A3408C6"/>
    <w:rsid w:val="2A377B79"/>
    <w:rsid w:val="2A3D3CB2"/>
    <w:rsid w:val="2A42050C"/>
    <w:rsid w:val="2A427CB4"/>
    <w:rsid w:val="2A54273D"/>
    <w:rsid w:val="2A580523"/>
    <w:rsid w:val="2A5C54D0"/>
    <w:rsid w:val="2A6814A5"/>
    <w:rsid w:val="2A710E0D"/>
    <w:rsid w:val="2A7D0A12"/>
    <w:rsid w:val="2A97377C"/>
    <w:rsid w:val="2A997B09"/>
    <w:rsid w:val="2AC75C6A"/>
    <w:rsid w:val="2ACD3FAF"/>
    <w:rsid w:val="2AD218FF"/>
    <w:rsid w:val="2AD6555A"/>
    <w:rsid w:val="2ADD5394"/>
    <w:rsid w:val="2AE45302"/>
    <w:rsid w:val="2AE5579D"/>
    <w:rsid w:val="2AF957B3"/>
    <w:rsid w:val="2B0068B0"/>
    <w:rsid w:val="2B0B2D29"/>
    <w:rsid w:val="2B2636BF"/>
    <w:rsid w:val="2B310407"/>
    <w:rsid w:val="2B3247C2"/>
    <w:rsid w:val="2B3E6A0E"/>
    <w:rsid w:val="2B3F176F"/>
    <w:rsid w:val="2B43105B"/>
    <w:rsid w:val="2B4612F4"/>
    <w:rsid w:val="2B4703ED"/>
    <w:rsid w:val="2B4F3A1C"/>
    <w:rsid w:val="2B4F48DB"/>
    <w:rsid w:val="2B65380C"/>
    <w:rsid w:val="2B740257"/>
    <w:rsid w:val="2B7B1C5D"/>
    <w:rsid w:val="2B7F4F5B"/>
    <w:rsid w:val="2B86067F"/>
    <w:rsid w:val="2B8D373E"/>
    <w:rsid w:val="2B9953E7"/>
    <w:rsid w:val="2BA02BF3"/>
    <w:rsid w:val="2BA07916"/>
    <w:rsid w:val="2BA32F62"/>
    <w:rsid w:val="2BA33512"/>
    <w:rsid w:val="2BB20F9C"/>
    <w:rsid w:val="2BB47030"/>
    <w:rsid w:val="2BC26C73"/>
    <w:rsid w:val="2BC82E31"/>
    <w:rsid w:val="2BCC55A2"/>
    <w:rsid w:val="2BCF3D57"/>
    <w:rsid w:val="2BD64255"/>
    <w:rsid w:val="2BD85978"/>
    <w:rsid w:val="2BDE5488"/>
    <w:rsid w:val="2BDF1064"/>
    <w:rsid w:val="2BE7002E"/>
    <w:rsid w:val="2BEC6DB5"/>
    <w:rsid w:val="2BFC2406"/>
    <w:rsid w:val="2C161986"/>
    <w:rsid w:val="2C186DA5"/>
    <w:rsid w:val="2C1B0D4A"/>
    <w:rsid w:val="2C2310AE"/>
    <w:rsid w:val="2C271DE5"/>
    <w:rsid w:val="2C2C6882"/>
    <w:rsid w:val="2C3577DB"/>
    <w:rsid w:val="2C375E39"/>
    <w:rsid w:val="2C395D0F"/>
    <w:rsid w:val="2C705A02"/>
    <w:rsid w:val="2C776B20"/>
    <w:rsid w:val="2C78456E"/>
    <w:rsid w:val="2CA156F3"/>
    <w:rsid w:val="2CAF258B"/>
    <w:rsid w:val="2CB222EE"/>
    <w:rsid w:val="2CCF7A20"/>
    <w:rsid w:val="2CD530D4"/>
    <w:rsid w:val="2CD77367"/>
    <w:rsid w:val="2CDF7FCA"/>
    <w:rsid w:val="2CF649B5"/>
    <w:rsid w:val="2CF7218A"/>
    <w:rsid w:val="2CFE6867"/>
    <w:rsid w:val="2CFF4F0C"/>
    <w:rsid w:val="2D101DE1"/>
    <w:rsid w:val="2D28647B"/>
    <w:rsid w:val="2D2D0BCD"/>
    <w:rsid w:val="2D3215B6"/>
    <w:rsid w:val="2D364FC2"/>
    <w:rsid w:val="2D383FD6"/>
    <w:rsid w:val="2D483DC1"/>
    <w:rsid w:val="2D495603"/>
    <w:rsid w:val="2D517A1D"/>
    <w:rsid w:val="2D572256"/>
    <w:rsid w:val="2D654973"/>
    <w:rsid w:val="2D7C7917"/>
    <w:rsid w:val="2D814379"/>
    <w:rsid w:val="2D857BA6"/>
    <w:rsid w:val="2DA84860"/>
    <w:rsid w:val="2DB4264F"/>
    <w:rsid w:val="2DC15DE7"/>
    <w:rsid w:val="2DCC1ABA"/>
    <w:rsid w:val="2DD417B4"/>
    <w:rsid w:val="2DDD275B"/>
    <w:rsid w:val="2DED6B54"/>
    <w:rsid w:val="2DF33A92"/>
    <w:rsid w:val="2DF60795"/>
    <w:rsid w:val="2DFD73B1"/>
    <w:rsid w:val="2DFF5AE0"/>
    <w:rsid w:val="2E04267D"/>
    <w:rsid w:val="2E0A39AC"/>
    <w:rsid w:val="2E0F5C30"/>
    <w:rsid w:val="2E1741D0"/>
    <w:rsid w:val="2E196EC6"/>
    <w:rsid w:val="2E2E2FB7"/>
    <w:rsid w:val="2E325FC7"/>
    <w:rsid w:val="2E3262F9"/>
    <w:rsid w:val="2E3D58F0"/>
    <w:rsid w:val="2E3F7339"/>
    <w:rsid w:val="2E4A126C"/>
    <w:rsid w:val="2E554E2C"/>
    <w:rsid w:val="2E56130F"/>
    <w:rsid w:val="2E5A4BC3"/>
    <w:rsid w:val="2E677BCD"/>
    <w:rsid w:val="2E6B4D52"/>
    <w:rsid w:val="2E7F1A64"/>
    <w:rsid w:val="2E8E1CA7"/>
    <w:rsid w:val="2E966A50"/>
    <w:rsid w:val="2E9E65BE"/>
    <w:rsid w:val="2EA04272"/>
    <w:rsid w:val="2EA0680B"/>
    <w:rsid w:val="2EAC58B3"/>
    <w:rsid w:val="2EC60048"/>
    <w:rsid w:val="2EC97183"/>
    <w:rsid w:val="2ECD0A22"/>
    <w:rsid w:val="2ED052E5"/>
    <w:rsid w:val="2ED65CB7"/>
    <w:rsid w:val="2ED718A0"/>
    <w:rsid w:val="2ED75DCF"/>
    <w:rsid w:val="2EDC6EB7"/>
    <w:rsid w:val="2EE41B99"/>
    <w:rsid w:val="2EEB355F"/>
    <w:rsid w:val="2EED4C20"/>
    <w:rsid w:val="2EF54203"/>
    <w:rsid w:val="2EFA2F20"/>
    <w:rsid w:val="2F170624"/>
    <w:rsid w:val="2F1818AC"/>
    <w:rsid w:val="2F437A07"/>
    <w:rsid w:val="2F473367"/>
    <w:rsid w:val="2F502456"/>
    <w:rsid w:val="2F6731AB"/>
    <w:rsid w:val="2F7B0D55"/>
    <w:rsid w:val="2F7E1D1C"/>
    <w:rsid w:val="2F803CE6"/>
    <w:rsid w:val="2F862062"/>
    <w:rsid w:val="2FAA48BF"/>
    <w:rsid w:val="2FAD47A0"/>
    <w:rsid w:val="2FB7389A"/>
    <w:rsid w:val="2FBB0F6A"/>
    <w:rsid w:val="2FD22068"/>
    <w:rsid w:val="2FDB0B18"/>
    <w:rsid w:val="2FDB36CF"/>
    <w:rsid w:val="2FE34D23"/>
    <w:rsid w:val="2FE350B1"/>
    <w:rsid w:val="2FE70FD1"/>
    <w:rsid w:val="2FF107BF"/>
    <w:rsid w:val="2FFB3E85"/>
    <w:rsid w:val="300544D8"/>
    <w:rsid w:val="300603EE"/>
    <w:rsid w:val="300C7629"/>
    <w:rsid w:val="300F16F1"/>
    <w:rsid w:val="301A4AF2"/>
    <w:rsid w:val="301A5EE8"/>
    <w:rsid w:val="301F4739"/>
    <w:rsid w:val="302476E2"/>
    <w:rsid w:val="30281666"/>
    <w:rsid w:val="303456D5"/>
    <w:rsid w:val="30361B17"/>
    <w:rsid w:val="303D32A6"/>
    <w:rsid w:val="303E14AB"/>
    <w:rsid w:val="304525A1"/>
    <w:rsid w:val="304A4EC4"/>
    <w:rsid w:val="304C6F12"/>
    <w:rsid w:val="30596E74"/>
    <w:rsid w:val="30633D43"/>
    <w:rsid w:val="30656A38"/>
    <w:rsid w:val="30677CC3"/>
    <w:rsid w:val="30731155"/>
    <w:rsid w:val="30755746"/>
    <w:rsid w:val="3079156B"/>
    <w:rsid w:val="30814717"/>
    <w:rsid w:val="30881B66"/>
    <w:rsid w:val="30890978"/>
    <w:rsid w:val="309C68FD"/>
    <w:rsid w:val="309E514A"/>
    <w:rsid w:val="30A231FF"/>
    <w:rsid w:val="30A34D32"/>
    <w:rsid w:val="30A76F5D"/>
    <w:rsid w:val="30AD05FE"/>
    <w:rsid w:val="30B23641"/>
    <w:rsid w:val="30B4039B"/>
    <w:rsid w:val="30B5112F"/>
    <w:rsid w:val="30B51E2C"/>
    <w:rsid w:val="30BE2670"/>
    <w:rsid w:val="30C406EC"/>
    <w:rsid w:val="30C6397A"/>
    <w:rsid w:val="30D97503"/>
    <w:rsid w:val="30E414C7"/>
    <w:rsid w:val="30F74AAA"/>
    <w:rsid w:val="31005290"/>
    <w:rsid w:val="310A002F"/>
    <w:rsid w:val="311073A4"/>
    <w:rsid w:val="311276FE"/>
    <w:rsid w:val="313E4BD6"/>
    <w:rsid w:val="3154430B"/>
    <w:rsid w:val="31560C2F"/>
    <w:rsid w:val="31653193"/>
    <w:rsid w:val="31657925"/>
    <w:rsid w:val="31747CB3"/>
    <w:rsid w:val="317E4255"/>
    <w:rsid w:val="31815AF3"/>
    <w:rsid w:val="318525F3"/>
    <w:rsid w:val="31AC29F6"/>
    <w:rsid w:val="31B14699"/>
    <w:rsid w:val="31B45EC9"/>
    <w:rsid w:val="31BA0FE1"/>
    <w:rsid w:val="31BB12F2"/>
    <w:rsid w:val="31C041C3"/>
    <w:rsid w:val="31D544A4"/>
    <w:rsid w:val="31D74B3B"/>
    <w:rsid w:val="31E07B6C"/>
    <w:rsid w:val="31E61912"/>
    <w:rsid w:val="31EB11BF"/>
    <w:rsid w:val="31FC4A8C"/>
    <w:rsid w:val="31FE5396"/>
    <w:rsid w:val="32074C03"/>
    <w:rsid w:val="3211172D"/>
    <w:rsid w:val="321C0913"/>
    <w:rsid w:val="3220530C"/>
    <w:rsid w:val="32225902"/>
    <w:rsid w:val="322A3093"/>
    <w:rsid w:val="3231340C"/>
    <w:rsid w:val="3231663D"/>
    <w:rsid w:val="32363124"/>
    <w:rsid w:val="32423576"/>
    <w:rsid w:val="324F00F4"/>
    <w:rsid w:val="32781F26"/>
    <w:rsid w:val="327A0EC0"/>
    <w:rsid w:val="32964371"/>
    <w:rsid w:val="32A26BCD"/>
    <w:rsid w:val="32A41F76"/>
    <w:rsid w:val="32B048E2"/>
    <w:rsid w:val="32B051AB"/>
    <w:rsid w:val="32B85EC7"/>
    <w:rsid w:val="32CC4EE9"/>
    <w:rsid w:val="32CF3E54"/>
    <w:rsid w:val="32D06B3D"/>
    <w:rsid w:val="32DB45BD"/>
    <w:rsid w:val="32DE0DAB"/>
    <w:rsid w:val="32DE3D66"/>
    <w:rsid w:val="32DF462E"/>
    <w:rsid w:val="32E3065E"/>
    <w:rsid w:val="32F146FE"/>
    <w:rsid w:val="32F42B38"/>
    <w:rsid w:val="32FC0050"/>
    <w:rsid w:val="330D2238"/>
    <w:rsid w:val="3316604A"/>
    <w:rsid w:val="331843A1"/>
    <w:rsid w:val="331B6D71"/>
    <w:rsid w:val="3341257D"/>
    <w:rsid w:val="33434411"/>
    <w:rsid w:val="3348400D"/>
    <w:rsid w:val="33563738"/>
    <w:rsid w:val="33564270"/>
    <w:rsid w:val="336630EE"/>
    <w:rsid w:val="33682E15"/>
    <w:rsid w:val="336E6D7C"/>
    <w:rsid w:val="33755392"/>
    <w:rsid w:val="3396172D"/>
    <w:rsid w:val="339A5496"/>
    <w:rsid w:val="339F04B3"/>
    <w:rsid w:val="33A14F25"/>
    <w:rsid w:val="33A33CEC"/>
    <w:rsid w:val="33A5598D"/>
    <w:rsid w:val="33AB615F"/>
    <w:rsid w:val="33B6069A"/>
    <w:rsid w:val="33E072F5"/>
    <w:rsid w:val="33E12941"/>
    <w:rsid w:val="33F10EEE"/>
    <w:rsid w:val="33F60114"/>
    <w:rsid w:val="340071A3"/>
    <w:rsid w:val="34097FCD"/>
    <w:rsid w:val="3411502B"/>
    <w:rsid w:val="34217FB9"/>
    <w:rsid w:val="34232E92"/>
    <w:rsid w:val="3425300E"/>
    <w:rsid w:val="342934EA"/>
    <w:rsid w:val="342E1F62"/>
    <w:rsid w:val="3440253A"/>
    <w:rsid w:val="344C063B"/>
    <w:rsid w:val="34525525"/>
    <w:rsid w:val="345D20EE"/>
    <w:rsid w:val="345D2848"/>
    <w:rsid w:val="3470713B"/>
    <w:rsid w:val="348778C5"/>
    <w:rsid w:val="348B112E"/>
    <w:rsid w:val="348E2A55"/>
    <w:rsid w:val="34B217DB"/>
    <w:rsid w:val="34D83B27"/>
    <w:rsid w:val="350356F8"/>
    <w:rsid w:val="350379F2"/>
    <w:rsid w:val="350E3B42"/>
    <w:rsid w:val="352404A2"/>
    <w:rsid w:val="354160D5"/>
    <w:rsid w:val="35426AC4"/>
    <w:rsid w:val="354563A8"/>
    <w:rsid w:val="35523A2F"/>
    <w:rsid w:val="356814A4"/>
    <w:rsid w:val="356B2D42"/>
    <w:rsid w:val="356D5A32"/>
    <w:rsid w:val="357B165D"/>
    <w:rsid w:val="358838F4"/>
    <w:rsid w:val="3589015C"/>
    <w:rsid w:val="358B3AB9"/>
    <w:rsid w:val="3590041F"/>
    <w:rsid w:val="359C7837"/>
    <w:rsid w:val="35B355F7"/>
    <w:rsid w:val="35BA1483"/>
    <w:rsid w:val="35BD5ADE"/>
    <w:rsid w:val="35CB37E1"/>
    <w:rsid w:val="35DF60DB"/>
    <w:rsid w:val="35E236FF"/>
    <w:rsid w:val="35ED183E"/>
    <w:rsid w:val="35EF383D"/>
    <w:rsid w:val="35F248C8"/>
    <w:rsid w:val="35F455A9"/>
    <w:rsid w:val="360D6DDE"/>
    <w:rsid w:val="360F2C65"/>
    <w:rsid w:val="36120C83"/>
    <w:rsid w:val="361433DA"/>
    <w:rsid w:val="361578B9"/>
    <w:rsid w:val="361F793E"/>
    <w:rsid w:val="36435F8E"/>
    <w:rsid w:val="36462435"/>
    <w:rsid w:val="36466806"/>
    <w:rsid w:val="36492A9B"/>
    <w:rsid w:val="36573AEF"/>
    <w:rsid w:val="365B0F8C"/>
    <w:rsid w:val="36640BB1"/>
    <w:rsid w:val="36657752"/>
    <w:rsid w:val="36675ACC"/>
    <w:rsid w:val="367D4C07"/>
    <w:rsid w:val="3686234F"/>
    <w:rsid w:val="36982120"/>
    <w:rsid w:val="369D40F6"/>
    <w:rsid w:val="36A3166F"/>
    <w:rsid w:val="36A643F7"/>
    <w:rsid w:val="36B3500C"/>
    <w:rsid w:val="36CB3689"/>
    <w:rsid w:val="36CC4CAB"/>
    <w:rsid w:val="36CE3589"/>
    <w:rsid w:val="36CF31A8"/>
    <w:rsid w:val="36D3481A"/>
    <w:rsid w:val="36DD1FA8"/>
    <w:rsid w:val="36E12A83"/>
    <w:rsid w:val="36E825B5"/>
    <w:rsid w:val="36EB0E1B"/>
    <w:rsid w:val="36F23231"/>
    <w:rsid w:val="370A2E45"/>
    <w:rsid w:val="370A56A2"/>
    <w:rsid w:val="371243C8"/>
    <w:rsid w:val="37143A9B"/>
    <w:rsid w:val="37173C80"/>
    <w:rsid w:val="37232C54"/>
    <w:rsid w:val="372C149A"/>
    <w:rsid w:val="372E48DE"/>
    <w:rsid w:val="372E7E27"/>
    <w:rsid w:val="373A4F8C"/>
    <w:rsid w:val="373D24BC"/>
    <w:rsid w:val="373D426B"/>
    <w:rsid w:val="374F7C2C"/>
    <w:rsid w:val="37567ECB"/>
    <w:rsid w:val="375F1CC0"/>
    <w:rsid w:val="377A1469"/>
    <w:rsid w:val="377D1E25"/>
    <w:rsid w:val="3781453C"/>
    <w:rsid w:val="378D6FA0"/>
    <w:rsid w:val="37981B61"/>
    <w:rsid w:val="379876F3"/>
    <w:rsid w:val="379C247D"/>
    <w:rsid w:val="379E11AD"/>
    <w:rsid w:val="37A940A9"/>
    <w:rsid w:val="37C4673A"/>
    <w:rsid w:val="37C817DD"/>
    <w:rsid w:val="37D82850"/>
    <w:rsid w:val="37DB40E5"/>
    <w:rsid w:val="37F4096C"/>
    <w:rsid w:val="37F43659"/>
    <w:rsid w:val="37F46A89"/>
    <w:rsid w:val="37FD1385"/>
    <w:rsid w:val="380A05F1"/>
    <w:rsid w:val="38173143"/>
    <w:rsid w:val="381C20D2"/>
    <w:rsid w:val="381D1C4E"/>
    <w:rsid w:val="384076D5"/>
    <w:rsid w:val="38535704"/>
    <w:rsid w:val="38574831"/>
    <w:rsid w:val="386C3DAC"/>
    <w:rsid w:val="386D6817"/>
    <w:rsid w:val="38796EF4"/>
    <w:rsid w:val="387B13CE"/>
    <w:rsid w:val="388106B1"/>
    <w:rsid w:val="388902E5"/>
    <w:rsid w:val="388F4F9A"/>
    <w:rsid w:val="389F0B5E"/>
    <w:rsid w:val="38A17543"/>
    <w:rsid w:val="38AD68CF"/>
    <w:rsid w:val="38B32876"/>
    <w:rsid w:val="38B84384"/>
    <w:rsid w:val="38C44911"/>
    <w:rsid w:val="38CC12C5"/>
    <w:rsid w:val="38CC404E"/>
    <w:rsid w:val="38DC2EB6"/>
    <w:rsid w:val="38DF198F"/>
    <w:rsid w:val="38E173B8"/>
    <w:rsid w:val="38E467C7"/>
    <w:rsid w:val="38EB0EE7"/>
    <w:rsid w:val="38FF7335"/>
    <w:rsid w:val="390770BE"/>
    <w:rsid w:val="390F1C37"/>
    <w:rsid w:val="39161BF2"/>
    <w:rsid w:val="391A0D07"/>
    <w:rsid w:val="392321BF"/>
    <w:rsid w:val="392576AC"/>
    <w:rsid w:val="39297B99"/>
    <w:rsid w:val="3937180C"/>
    <w:rsid w:val="394414DB"/>
    <w:rsid w:val="394B2208"/>
    <w:rsid w:val="39563846"/>
    <w:rsid w:val="39881393"/>
    <w:rsid w:val="39971E79"/>
    <w:rsid w:val="39A67759"/>
    <w:rsid w:val="39B7398B"/>
    <w:rsid w:val="39BB2C88"/>
    <w:rsid w:val="39BC648A"/>
    <w:rsid w:val="39C3307D"/>
    <w:rsid w:val="39D64548"/>
    <w:rsid w:val="39D662B1"/>
    <w:rsid w:val="39E15AA3"/>
    <w:rsid w:val="39E60BE9"/>
    <w:rsid w:val="39EC5E31"/>
    <w:rsid w:val="39F43028"/>
    <w:rsid w:val="3A03490C"/>
    <w:rsid w:val="3A1126EB"/>
    <w:rsid w:val="3A127C30"/>
    <w:rsid w:val="3A1E1A64"/>
    <w:rsid w:val="3A252904"/>
    <w:rsid w:val="3A28184F"/>
    <w:rsid w:val="3A314CDA"/>
    <w:rsid w:val="3A390800"/>
    <w:rsid w:val="3A3C6E6D"/>
    <w:rsid w:val="3A4045C8"/>
    <w:rsid w:val="3A410F9A"/>
    <w:rsid w:val="3A417BB9"/>
    <w:rsid w:val="3A431015"/>
    <w:rsid w:val="3A4974E8"/>
    <w:rsid w:val="3A62241F"/>
    <w:rsid w:val="3A787D98"/>
    <w:rsid w:val="3A9438BA"/>
    <w:rsid w:val="3A997251"/>
    <w:rsid w:val="3A9D462D"/>
    <w:rsid w:val="3AA44FDE"/>
    <w:rsid w:val="3ABA5023"/>
    <w:rsid w:val="3ABB4A08"/>
    <w:rsid w:val="3ABD29B5"/>
    <w:rsid w:val="3ABE77D0"/>
    <w:rsid w:val="3AC614B9"/>
    <w:rsid w:val="3AD13648"/>
    <w:rsid w:val="3AD95034"/>
    <w:rsid w:val="3AE0439C"/>
    <w:rsid w:val="3AE3699C"/>
    <w:rsid w:val="3AF8027D"/>
    <w:rsid w:val="3AF84F80"/>
    <w:rsid w:val="3AFF3D75"/>
    <w:rsid w:val="3B0373AF"/>
    <w:rsid w:val="3B0D1484"/>
    <w:rsid w:val="3B125029"/>
    <w:rsid w:val="3B2F6473"/>
    <w:rsid w:val="3B31058A"/>
    <w:rsid w:val="3B345984"/>
    <w:rsid w:val="3B4A5169"/>
    <w:rsid w:val="3B4C72D8"/>
    <w:rsid w:val="3B537B7A"/>
    <w:rsid w:val="3B5A1183"/>
    <w:rsid w:val="3B6759D9"/>
    <w:rsid w:val="3B675D5A"/>
    <w:rsid w:val="3B6A5348"/>
    <w:rsid w:val="3B6A6AF1"/>
    <w:rsid w:val="3B6B3BA2"/>
    <w:rsid w:val="3B6C7C8D"/>
    <w:rsid w:val="3B81506E"/>
    <w:rsid w:val="3B893A3C"/>
    <w:rsid w:val="3B8F1192"/>
    <w:rsid w:val="3B9332B6"/>
    <w:rsid w:val="3B9C1715"/>
    <w:rsid w:val="3BB44E6A"/>
    <w:rsid w:val="3BB670C3"/>
    <w:rsid w:val="3BBE1E95"/>
    <w:rsid w:val="3BCA1646"/>
    <w:rsid w:val="3BD64C40"/>
    <w:rsid w:val="3BD818BB"/>
    <w:rsid w:val="3BE2515E"/>
    <w:rsid w:val="3BE61018"/>
    <w:rsid w:val="3BF36836"/>
    <w:rsid w:val="3BF565DB"/>
    <w:rsid w:val="3BFA0E0B"/>
    <w:rsid w:val="3C011778"/>
    <w:rsid w:val="3C025C44"/>
    <w:rsid w:val="3C0637C5"/>
    <w:rsid w:val="3C12216A"/>
    <w:rsid w:val="3C1557B6"/>
    <w:rsid w:val="3C157564"/>
    <w:rsid w:val="3C1812A5"/>
    <w:rsid w:val="3C1A43E6"/>
    <w:rsid w:val="3C295511"/>
    <w:rsid w:val="3C3510FF"/>
    <w:rsid w:val="3C43280A"/>
    <w:rsid w:val="3C495460"/>
    <w:rsid w:val="3C4D13F4"/>
    <w:rsid w:val="3C543059"/>
    <w:rsid w:val="3C5C1FCF"/>
    <w:rsid w:val="3C5D7131"/>
    <w:rsid w:val="3C5E53AF"/>
    <w:rsid w:val="3C6B6E92"/>
    <w:rsid w:val="3C751896"/>
    <w:rsid w:val="3C862210"/>
    <w:rsid w:val="3C8F2F38"/>
    <w:rsid w:val="3CA76E87"/>
    <w:rsid w:val="3CB36DF5"/>
    <w:rsid w:val="3CC35212"/>
    <w:rsid w:val="3CC91942"/>
    <w:rsid w:val="3CCA6D28"/>
    <w:rsid w:val="3CD7090D"/>
    <w:rsid w:val="3CDF0509"/>
    <w:rsid w:val="3D1B69F3"/>
    <w:rsid w:val="3D2F5ED3"/>
    <w:rsid w:val="3D380109"/>
    <w:rsid w:val="3D3E7C37"/>
    <w:rsid w:val="3D472FA2"/>
    <w:rsid w:val="3D4A3C94"/>
    <w:rsid w:val="3D536596"/>
    <w:rsid w:val="3D624A2B"/>
    <w:rsid w:val="3D690D97"/>
    <w:rsid w:val="3D6E6B96"/>
    <w:rsid w:val="3D7B3F2B"/>
    <w:rsid w:val="3D89645B"/>
    <w:rsid w:val="3D8B4FAE"/>
    <w:rsid w:val="3D9943FF"/>
    <w:rsid w:val="3DA76714"/>
    <w:rsid w:val="3DA7761D"/>
    <w:rsid w:val="3DAA5532"/>
    <w:rsid w:val="3DBB5750"/>
    <w:rsid w:val="3DC61F75"/>
    <w:rsid w:val="3DCE6660"/>
    <w:rsid w:val="3DE2791A"/>
    <w:rsid w:val="3DED69EA"/>
    <w:rsid w:val="3DEE3B21"/>
    <w:rsid w:val="3E062D76"/>
    <w:rsid w:val="3E0B3A2A"/>
    <w:rsid w:val="3E0E070F"/>
    <w:rsid w:val="3E1D50F2"/>
    <w:rsid w:val="3E2C1058"/>
    <w:rsid w:val="3E314773"/>
    <w:rsid w:val="3E351D7A"/>
    <w:rsid w:val="3E3839DE"/>
    <w:rsid w:val="3E3B477B"/>
    <w:rsid w:val="3E421BC7"/>
    <w:rsid w:val="3E4A33D3"/>
    <w:rsid w:val="3E515129"/>
    <w:rsid w:val="3E51576D"/>
    <w:rsid w:val="3E5647B7"/>
    <w:rsid w:val="3E616DB6"/>
    <w:rsid w:val="3E642A25"/>
    <w:rsid w:val="3E6622F9"/>
    <w:rsid w:val="3E6E1A7C"/>
    <w:rsid w:val="3E7855FB"/>
    <w:rsid w:val="3E7A71F6"/>
    <w:rsid w:val="3E8945B7"/>
    <w:rsid w:val="3E9B4F20"/>
    <w:rsid w:val="3E9E7D09"/>
    <w:rsid w:val="3EAB0D7F"/>
    <w:rsid w:val="3EAB1BCB"/>
    <w:rsid w:val="3EB64F27"/>
    <w:rsid w:val="3EC54AA6"/>
    <w:rsid w:val="3EC820E4"/>
    <w:rsid w:val="3ECA63B6"/>
    <w:rsid w:val="3ECF3A5E"/>
    <w:rsid w:val="3EF45E92"/>
    <w:rsid w:val="3F007CBD"/>
    <w:rsid w:val="3F046B32"/>
    <w:rsid w:val="3F07476D"/>
    <w:rsid w:val="3F0B2EA0"/>
    <w:rsid w:val="3F133C75"/>
    <w:rsid w:val="3F147FA7"/>
    <w:rsid w:val="3F1A2E80"/>
    <w:rsid w:val="3F284C0D"/>
    <w:rsid w:val="3F2C1B1B"/>
    <w:rsid w:val="3F402B4A"/>
    <w:rsid w:val="3F493A4B"/>
    <w:rsid w:val="3F4C37C1"/>
    <w:rsid w:val="3F5616AC"/>
    <w:rsid w:val="3F6A4111"/>
    <w:rsid w:val="3F747212"/>
    <w:rsid w:val="3F7F7B16"/>
    <w:rsid w:val="3F807BF7"/>
    <w:rsid w:val="3F9410E8"/>
    <w:rsid w:val="3F990B5A"/>
    <w:rsid w:val="3FB158E0"/>
    <w:rsid w:val="3FBB7C6C"/>
    <w:rsid w:val="3FC41D4F"/>
    <w:rsid w:val="3FDA3CE5"/>
    <w:rsid w:val="3FF75F7C"/>
    <w:rsid w:val="3FF83425"/>
    <w:rsid w:val="40004521"/>
    <w:rsid w:val="400049D8"/>
    <w:rsid w:val="40017E59"/>
    <w:rsid w:val="4010419E"/>
    <w:rsid w:val="401269AD"/>
    <w:rsid w:val="40161AFD"/>
    <w:rsid w:val="401D5D72"/>
    <w:rsid w:val="402677D9"/>
    <w:rsid w:val="40271093"/>
    <w:rsid w:val="402802AC"/>
    <w:rsid w:val="402C196F"/>
    <w:rsid w:val="40312052"/>
    <w:rsid w:val="4033439B"/>
    <w:rsid w:val="40334D8F"/>
    <w:rsid w:val="40423A82"/>
    <w:rsid w:val="404B3E9C"/>
    <w:rsid w:val="404F6DFD"/>
    <w:rsid w:val="405577FC"/>
    <w:rsid w:val="40597F5F"/>
    <w:rsid w:val="40617A4F"/>
    <w:rsid w:val="406B7A02"/>
    <w:rsid w:val="40785132"/>
    <w:rsid w:val="408E5B37"/>
    <w:rsid w:val="409101D9"/>
    <w:rsid w:val="409A032F"/>
    <w:rsid w:val="409D66CD"/>
    <w:rsid w:val="409F4BC5"/>
    <w:rsid w:val="40A9553A"/>
    <w:rsid w:val="40B12ECE"/>
    <w:rsid w:val="40B21B50"/>
    <w:rsid w:val="40C94DC1"/>
    <w:rsid w:val="40D51339"/>
    <w:rsid w:val="40DE261A"/>
    <w:rsid w:val="40F94B04"/>
    <w:rsid w:val="40FF07E3"/>
    <w:rsid w:val="410043E0"/>
    <w:rsid w:val="410302D3"/>
    <w:rsid w:val="410316C9"/>
    <w:rsid w:val="410748FD"/>
    <w:rsid w:val="41083B3B"/>
    <w:rsid w:val="412070D7"/>
    <w:rsid w:val="4125715B"/>
    <w:rsid w:val="412E0EC0"/>
    <w:rsid w:val="4143768A"/>
    <w:rsid w:val="414D2B2F"/>
    <w:rsid w:val="41550801"/>
    <w:rsid w:val="416C3E5A"/>
    <w:rsid w:val="417000E7"/>
    <w:rsid w:val="417109F2"/>
    <w:rsid w:val="417E204F"/>
    <w:rsid w:val="418238EE"/>
    <w:rsid w:val="419453CF"/>
    <w:rsid w:val="41A20DC0"/>
    <w:rsid w:val="41A724EA"/>
    <w:rsid w:val="41B6584D"/>
    <w:rsid w:val="41B85C92"/>
    <w:rsid w:val="41E46116"/>
    <w:rsid w:val="41E81277"/>
    <w:rsid w:val="41F3189F"/>
    <w:rsid w:val="420460B1"/>
    <w:rsid w:val="420F6D85"/>
    <w:rsid w:val="42151652"/>
    <w:rsid w:val="421519DB"/>
    <w:rsid w:val="421D45E4"/>
    <w:rsid w:val="42343565"/>
    <w:rsid w:val="424C55F2"/>
    <w:rsid w:val="425733A8"/>
    <w:rsid w:val="4258284D"/>
    <w:rsid w:val="425D4D27"/>
    <w:rsid w:val="42657A48"/>
    <w:rsid w:val="426603BA"/>
    <w:rsid w:val="4268455C"/>
    <w:rsid w:val="426917BD"/>
    <w:rsid w:val="426F73CA"/>
    <w:rsid w:val="42725710"/>
    <w:rsid w:val="427303DB"/>
    <w:rsid w:val="427A1188"/>
    <w:rsid w:val="427F607F"/>
    <w:rsid w:val="4281686E"/>
    <w:rsid w:val="428169F4"/>
    <w:rsid w:val="42886AFF"/>
    <w:rsid w:val="428B6BB2"/>
    <w:rsid w:val="428E62C2"/>
    <w:rsid w:val="429A4C67"/>
    <w:rsid w:val="42AE629D"/>
    <w:rsid w:val="42B52B86"/>
    <w:rsid w:val="42D74986"/>
    <w:rsid w:val="42D85FAC"/>
    <w:rsid w:val="42DC0DDB"/>
    <w:rsid w:val="42DE1C5E"/>
    <w:rsid w:val="42EA2B14"/>
    <w:rsid w:val="42EB1456"/>
    <w:rsid w:val="42F110E7"/>
    <w:rsid w:val="43052B5B"/>
    <w:rsid w:val="431829BB"/>
    <w:rsid w:val="431F1440"/>
    <w:rsid w:val="432B3704"/>
    <w:rsid w:val="432E715D"/>
    <w:rsid w:val="432F5CFA"/>
    <w:rsid w:val="433230F1"/>
    <w:rsid w:val="433274B6"/>
    <w:rsid w:val="433F4936"/>
    <w:rsid w:val="43414DC5"/>
    <w:rsid w:val="434D7B15"/>
    <w:rsid w:val="436B010A"/>
    <w:rsid w:val="437B23A2"/>
    <w:rsid w:val="437C611B"/>
    <w:rsid w:val="43A0126E"/>
    <w:rsid w:val="43A23E8E"/>
    <w:rsid w:val="43B670C6"/>
    <w:rsid w:val="43B90A79"/>
    <w:rsid w:val="43C53A67"/>
    <w:rsid w:val="43C57AC2"/>
    <w:rsid w:val="43CC56C5"/>
    <w:rsid w:val="43D133A9"/>
    <w:rsid w:val="43D75233"/>
    <w:rsid w:val="43DA20A1"/>
    <w:rsid w:val="43E46646"/>
    <w:rsid w:val="43ED5731"/>
    <w:rsid w:val="44097CD2"/>
    <w:rsid w:val="44166814"/>
    <w:rsid w:val="44210EF2"/>
    <w:rsid w:val="443A147B"/>
    <w:rsid w:val="443D4766"/>
    <w:rsid w:val="446B17B1"/>
    <w:rsid w:val="44777A3C"/>
    <w:rsid w:val="448311AF"/>
    <w:rsid w:val="448832C9"/>
    <w:rsid w:val="448A6DC7"/>
    <w:rsid w:val="4493623E"/>
    <w:rsid w:val="44983428"/>
    <w:rsid w:val="449864DC"/>
    <w:rsid w:val="44992CF9"/>
    <w:rsid w:val="449E3316"/>
    <w:rsid w:val="44A26055"/>
    <w:rsid w:val="44A8229F"/>
    <w:rsid w:val="44B22807"/>
    <w:rsid w:val="44C661B1"/>
    <w:rsid w:val="44CF2431"/>
    <w:rsid w:val="44D66CFF"/>
    <w:rsid w:val="44DC45C7"/>
    <w:rsid w:val="44DF4BB3"/>
    <w:rsid w:val="44EE4DF6"/>
    <w:rsid w:val="44F41B07"/>
    <w:rsid w:val="44F86379"/>
    <w:rsid w:val="44FB4F41"/>
    <w:rsid w:val="4504461A"/>
    <w:rsid w:val="45121B54"/>
    <w:rsid w:val="451901A3"/>
    <w:rsid w:val="451D5D08"/>
    <w:rsid w:val="45425F36"/>
    <w:rsid w:val="45437DB7"/>
    <w:rsid w:val="454A6F9B"/>
    <w:rsid w:val="454E63C8"/>
    <w:rsid w:val="45521F31"/>
    <w:rsid w:val="4556182B"/>
    <w:rsid w:val="45764982"/>
    <w:rsid w:val="45795008"/>
    <w:rsid w:val="457C792D"/>
    <w:rsid w:val="45832CE4"/>
    <w:rsid w:val="458373D6"/>
    <w:rsid w:val="458D2E96"/>
    <w:rsid w:val="45A31498"/>
    <w:rsid w:val="45B13982"/>
    <w:rsid w:val="45C1081E"/>
    <w:rsid w:val="45CA5697"/>
    <w:rsid w:val="45CE269E"/>
    <w:rsid w:val="45CF4C28"/>
    <w:rsid w:val="45D55BDF"/>
    <w:rsid w:val="45D62A27"/>
    <w:rsid w:val="45E06E35"/>
    <w:rsid w:val="45E7296A"/>
    <w:rsid w:val="45F34DBA"/>
    <w:rsid w:val="460C237C"/>
    <w:rsid w:val="460D1924"/>
    <w:rsid w:val="460E3CAA"/>
    <w:rsid w:val="4612240A"/>
    <w:rsid w:val="46176016"/>
    <w:rsid w:val="461D54D6"/>
    <w:rsid w:val="46277DD4"/>
    <w:rsid w:val="46285919"/>
    <w:rsid w:val="463C252A"/>
    <w:rsid w:val="46504A5C"/>
    <w:rsid w:val="46613C09"/>
    <w:rsid w:val="46774191"/>
    <w:rsid w:val="468A2C15"/>
    <w:rsid w:val="46966CED"/>
    <w:rsid w:val="46A16BE1"/>
    <w:rsid w:val="46A77A84"/>
    <w:rsid w:val="46B277C4"/>
    <w:rsid w:val="46B75228"/>
    <w:rsid w:val="46B96251"/>
    <w:rsid w:val="46BC7F69"/>
    <w:rsid w:val="46C946C0"/>
    <w:rsid w:val="46DA56C9"/>
    <w:rsid w:val="46DA5A49"/>
    <w:rsid w:val="46DE788C"/>
    <w:rsid w:val="470F0215"/>
    <w:rsid w:val="47412C01"/>
    <w:rsid w:val="474E5941"/>
    <w:rsid w:val="474F3D62"/>
    <w:rsid w:val="47513C76"/>
    <w:rsid w:val="4754346B"/>
    <w:rsid w:val="4754348E"/>
    <w:rsid w:val="475573AE"/>
    <w:rsid w:val="4756001A"/>
    <w:rsid w:val="47577798"/>
    <w:rsid w:val="4772156B"/>
    <w:rsid w:val="47727F60"/>
    <w:rsid w:val="4779355C"/>
    <w:rsid w:val="47835CCA"/>
    <w:rsid w:val="47842186"/>
    <w:rsid w:val="479159F0"/>
    <w:rsid w:val="47952AA8"/>
    <w:rsid w:val="47A05CA8"/>
    <w:rsid w:val="47A14A5B"/>
    <w:rsid w:val="47A44DDE"/>
    <w:rsid w:val="47A91A92"/>
    <w:rsid w:val="47B73BC5"/>
    <w:rsid w:val="47BE00CA"/>
    <w:rsid w:val="47C41D7A"/>
    <w:rsid w:val="47D972AC"/>
    <w:rsid w:val="47FC5A7C"/>
    <w:rsid w:val="480372B3"/>
    <w:rsid w:val="48050DD4"/>
    <w:rsid w:val="480F3A01"/>
    <w:rsid w:val="481A678E"/>
    <w:rsid w:val="484E277B"/>
    <w:rsid w:val="485510DD"/>
    <w:rsid w:val="48567268"/>
    <w:rsid w:val="485910A0"/>
    <w:rsid w:val="48592ECE"/>
    <w:rsid w:val="485B5C1D"/>
    <w:rsid w:val="487A7938"/>
    <w:rsid w:val="487D6BBD"/>
    <w:rsid w:val="487F0B87"/>
    <w:rsid w:val="4880750B"/>
    <w:rsid w:val="48833DCA"/>
    <w:rsid w:val="48837E5C"/>
    <w:rsid w:val="4888031C"/>
    <w:rsid w:val="4893360E"/>
    <w:rsid w:val="48952158"/>
    <w:rsid w:val="48B56357"/>
    <w:rsid w:val="48BB0555"/>
    <w:rsid w:val="48BC1AD2"/>
    <w:rsid w:val="48BE05EB"/>
    <w:rsid w:val="48BF686B"/>
    <w:rsid w:val="48C90054"/>
    <w:rsid w:val="48CB2D64"/>
    <w:rsid w:val="48F958C4"/>
    <w:rsid w:val="490302D6"/>
    <w:rsid w:val="49076DE4"/>
    <w:rsid w:val="490F4E33"/>
    <w:rsid w:val="49116D99"/>
    <w:rsid w:val="49260F85"/>
    <w:rsid w:val="49276B29"/>
    <w:rsid w:val="49373CCE"/>
    <w:rsid w:val="493C751F"/>
    <w:rsid w:val="494D658F"/>
    <w:rsid w:val="49543FF8"/>
    <w:rsid w:val="49557B3A"/>
    <w:rsid w:val="496E6F77"/>
    <w:rsid w:val="496F3F2D"/>
    <w:rsid w:val="49826941"/>
    <w:rsid w:val="49880A83"/>
    <w:rsid w:val="4989643B"/>
    <w:rsid w:val="498D6B08"/>
    <w:rsid w:val="499D21D7"/>
    <w:rsid w:val="49AE68E2"/>
    <w:rsid w:val="49B400F2"/>
    <w:rsid w:val="49CB7C5B"/>
    <w:rsid w:val="49D27776"/>
    <w:rsid w:val="49E06D63"/>
    <w:rsid w:val="49EA64D4"/>
    <w:rsid w:val="4A032358"/>
    <w:rsid w:val="4A167AA0"/>
    <w:rsid w:val="4A225C6E"/>
    <w:rsid w:val="4A3E237C"/>
    <w:rsid w:val="4A402110"/>
    <w:rsid w:val="4A404BE5"/>
    <w:rsid w:val="4A4C6847"/>
    <w:rsid w:val="4A517BDD"/>
    <w:rsid w:val="4A573C21"/>
    <w:rsid w:val="4A5C7964"/>
    <w:rsid w:val="4A6A055C"/>
    <w:rsid w:val="4A6A1E2E"/>
    <w:rsid w:val="4A7F7B71"/>
    <w:rsid w:val="4A9001BD"/>
    <w:rsid w:val="4A9A3B52"/>
    <w:rsid w:val="4A9B5A20"/>
    <w:rsid w:val="4AA2290B"/>
    <w:rsid w:val="4AA463A3"/>
    <w:rsid w:val="4AAF6DD6"/>
    <w:rsid w:val="4ABF20E6"/>
    <w:rsid w:val="4AC00FE3"/>
    <w:rsid w:val="4AC9433B"/>
    <w:rsid w:val="4ACC5BD9"/>
    <w:rsid w:val="4AE41A09"/>
    <w:rsid w:val="4AE70E6F"/>
    <w:rsid w:val="4AEF1363"/>
    <w:rsid w:val="4AF62C56"/>
    <w:rsid w:val="4B0B1980"/>
    <w:rsid w:val="4B1A6945"/>
    <w:rsid w:val="4B217A64"/>
    <w:rsid w:val="4B247B3E"/>
    <w:rsid w:val="4B3C1D5A"/>
    <w:rsid w:val="4B3D35EA"/>
    <w:rsid w:val="4B401063"/>
    <w:rsid w:val="4B412866"/>
    <w:rsid w:val="4B4340EE"/>
    <w:rsid w:val="4B4439C2"/>
    <w:rsid w:val="4B522468"/>
    <w:rsid w:val="4B5D7416"/>
    <w:rsid w:val="4B6A7B28"/>
    <w:rsid w:val="4B77418C"/>
    <w:rsid w:val="4B821F6F"/>
    <w:rsid w:val="4BAB4501"/>
    <w:rsid w:val="4BB62637"/>
    <w:rsid w:val="4BBA0128"/>
    <w:rsid w:val="4BC01147"/>
    <w:rsid w:val="4BC8237B"/>
    <w:rsid w:val="4BD34A3E"/>
    <w:rsid w:val="4BD50ABE"/>
    <w:rsid w:val="4BE40515"/>
    <w:rsid w:val="4BE8007E"/>
    <w:rsid w:val="4BFE496A"/>
    <w:rsid w:val="4C0A7F13"/>
    <w:rsid w:val="4C117394"/>
    <w:rsid w:val="4C1359B8"/>
    <w:rsid w:val="4C1363AC"/>
    <w:rsid w:val="4C141244"/>
    <w:rsid w:val="4C1D4ECD"/>
    <w:rsid w:val="4C2848F6"/>
    <w:rsid w:val="4C2F4B2A"/>
    <w:rsid w:val="4C371028"/>
    <w:rsid w:val="4C3905EE"/>
    <w:rsid w:val="4C39104D"/>
    <w:rsid w:val="4C3A75CA"/>
    <w:rsid w:val="4C3C28EB"/>
    <w:rsid w:val="4C577B71"/>
    <w:rsid w:val="4C6A5459"/>
    <w:rsid w:val="4C8308E0"/>
    <w:rsid w:val="4C9022D2"/>
    <w:rsid w:val="4C911C7F"/>
    <w:rsid w:val="4C9218BA"/>
    <w:rsid w:val="4CA846C6"/>
    <w:rsid w:val="4CC25DA9"/>
    <w:rsid w:val="4CCA0A28"/>
    <w:rsid w:val="4CCF375F"/>
    <w:rsid w:val="4CD40D75"/>
    <w:rsid w:val="4CD42DFC"/>
    <w:rsid w:val="4CD7668E"/>
    <w:rsid w:val="4CDF0B8E"/>
    <w:rsid w:val="4CE174B3"/>
    <w:rsid w:val="4CEB1F6F"/>
    <w:rsid w:val="4CF3744D"/>
    <w:rsid w:val="4CF85189"/>
    <w:rsid w:val="4CFE5CB2"/>
    <w:rsid w:val="4D0E4287"/>
    <w:rsid w:val="4D1161ED"/>
    <w:rsid w:val="4D163D05"/>
    <w:rsid w:val="4D1A21D3"/>
    <w:rsid w:val="4D484E3F"/>
    <w:rsid w:val="4D4B4D1B"/>
    <w:rsid w:val="4D6006FF"/>
    <w:rsid w:val="4D615244"/>
    <w:rsid w:val="4D7B4610"/>
    <w:rsid w:val="4D7B7443"/>
    <w:rsid w:val="4D7F3AE1"/>
    <w:rsid w:val="4D8725CB"/>
    <w:rsid w:val="4D971784"/>
    <w:rsid w:val="4DA16EA9"/>
    <w:rsid w:val="4DBD372A"/>
    <w:rsid w:val="4DC4528E"/>
    <w:rsid w:val="4DC82688"/>
    <w:rsid w:val="4DCE307B"/>
    <w:rsid w:val="4DDB4784"/>
    <w:rsid w:val="4DE2087B"/>
    <w:rsid w:val="4DE4323A"/>
    <w:rsid w:val="4DEA4C33"/>
    <w:rsid w:val="4DEB3C6F"/>
    <w:rsid w:val="4DF64356"/>
    <w:rsid w:val="4DF968DE"/>
    <w:rsid w:val="4E021F96"/>
    <w:rsid w:val="4E093780"/>
    <w:rsid w:val="4E0F0EE3"/>
    <w:rsid w:val="4E181D10"/>
    <w:rsid w:val="4E1B01A6"/>
    <w:rsid w:val="4E23390C"/>
    <w:rsid w:val="4E365B18"/>
    <w:rsid w:val="4E4D022C"/>
    <w:rsid w:val="4E5D22CA"/>
    <w:rsid w:val="4E695A35"/>
    <w:rsid w:val="4E766588"/>
    <w:rsid w:val="4E79563B"/>
    <w:rsid w:val="4E873E5C"/>
    <w:rsid w:val="4E8F13F8"/>
    <w:rsid w:val="4E92550E"/>
    <w:rsid w:val="4E973D29"/>
    <w:rsid w:val="4E9C7829"/>
    <w:rsid w:val="4E9E788D"/>
    <w:rsid w:val="4EA966B0"/>
    <w:rsid w:val="4EB13A2B"/>
    <w:rsid w:val="4EB53881"/>
    <w:rsid w:val="4ED238D7"/>
    <w:rsid w:val="4ED81AE1"/>
    <w:rsid w:val="4EDD6546"/>
    <w:rsid w:val="4EE4759A"/>
    <w:rsid w:val="4F0564F7"/>
    <w:rsid w:val="4F0E5943"/>
    <w:rsid w:val="4F18352B"/>
    <w:rsid w:val="4F1B2FD8"/>
    <w:rsid w:val="4F282FC6"/>
    <w:rsid w:val="4F3B332E"/>
    <w:rsid w:val="4F3F3889"/>
    <w:rsid w:val="4F427E04"/>
    <w:rsid w:val="4F434F6D"/>
    <w:rsid w:val="4F4915A7"/>
    <w:rsid w:val="4F4A58D5"/>
    <w:rsid w:val="4F4A6072"/>
    <w:rsid w:val="4F4B5D06"/>
    <w:rsid w:val="4F5C08DC"/>
    <w:rsid w:val="4F691C49"/>
    <w:rsid w:val="4F701229"/>
    <w:rsid w:val="4F96042F"/>
    <w:rsid w:val="4F9A5211"/>
    <w:rsid w:val="4F9C6BEF"/>
    <w:rsid w:val="4FA07E30"/>
    <w:rsid w:val="4FB01539"/>
    <w:rsid w:val="4FB5062E"/>
    <w:rsid w:val="4FB953C3"/>
    <w:rsid w:val="4FBD4248"/>
    <w:rsid w:val="4FC056FC"/>
    <w:rsid w:val="4FC07045"/>
    <w:rsid w:val="4FC7696F"/>
    <w:rsid w:val="4FCA5C30"/>
    <w:rsid w:val="4FD15328"/>
    <w:rsid w:val="4FD23653"/>
    <w:rsid w:val="4FD64B28"/>
    <w:rsid w:val="4FF03C38"/>
    <w:rsid w:val="4FF167AD"/>
    <w:rsid w:val="50104F87"/>
    <w:rsid w:val="5018554F"/>
    <w:rsid w:val="502F0A3B"/>
    <w:rsid w:val="50404006"/>
    <w:rsid w:val="5043249A"/>
    <w:rsid w:val="50512241"/>
    <w:rsid w:val="505A4FA4"/>
    <w:rsid w:val="506863A4"/>
    <w:rsid w:val="507C59AC"/>
    <w:rsid w:val="50830799"/>
    <w:rsid w:val="50857DC3"/>
    <w:rsid w:val="50A11F89"/>
    <w:rsid w:val="50A90636"/>
    <w:rsid w:val="50BC428F"/>
    <w:rsid w:val="50CA0F39"/>
    <w:rsid w:val="50CA44CB"/>
    <w:rsid w:val="50CF00DA"/>
    <w:rsid w:val="50DD4FAC"/>
    <w:rsid w:val="50E866FF"/>
    <w:rsid w:val="50E9484F"/>
    <w:rsid w:val="50EC48E0"/>
    <w:rsid w:val="50F0320B"/>
    <w:rsid w:val="5103637E"/>
    <w:rsid w:val="510E5157"/>
    <w:rsid w:val="51183927"/>
    <w:rsid w:val="51273B6A"/>
    <w:rsid w:val="512C5624"/>
    <w:rsid w:val="51380854"/>
    <w:rsid w:val="51611382"/>
    <w:rsid w:val="51640CA2"/>
    <w:rsid w:val="51762672"/>
    <w:rsid w:val="517735F4"/>
    <w:rsid w:val="51824B1B"/>
    <w:rsid w:val="51870EC4"/>
    <w:rsid w:val="518E45B2"/>
    <w:rsid w:val="51905BB3"/>
    <w:rsid w:val="51917CBD"/>
    <w:rsid w:val="519C3505"/>
    <w:rsid w:val="51A605AA"/>
    <w:rsid w:val="51AB383E"/>
    <w:rsid w:val="51B01DB1"/>
    <w:rsid w:val="51B76209"/>
    <w:rsid w:val="51B8629A"/>
    <w:rsid w:val="51C12D81"/>
    <w:rsid w:val="51C70EA9"/>
    <w:rsid w:val="51D11D27"/>
    <w:rsid w:val="51DC051F"/>
    <w:rsid w:val="51E23F34"/>
    <w:rsid w:val="51E76134"/>
    <w:rsid w:val="51F0248E"/>
    <w:rsid w:val="51F82BD8"/>
    <w:rsid w:val="52036F78"/>
    <w:rsid w:val="520632A0"/>
    <w:rsid w:val="520B7B01"/>
    <w:rsid w:val="521A0344"/>
    <w:rsid w:val="52233B82"/>
    <w:rsid w:val="52236390"/>
    <w:rsid w:val="522C230B"/>
    <w:rsid w:val="52456153"/>
    <w:rsid w:val="524D7600"/>
    <w:rsid w:val="525676EC"/>
    <w:rsid w:val="525C3650"/>
    <w:rsid w:val="526B0D84"/>
    <w:rsid w:val="52797D57"/>
    <w:rsid w:val="52802007"/>
    <w:rsid w:val="52846D9A"/>
    <w:rsid w:val="528632BB"/>
    <w:rsid w:val="52934E81"/>
    <w:rsid w:val="52A442F1"/>
    <w:rsid w:val="52A8211D"/>
    <w:rsid w:val="52A8520F"/>
    <w:rsid w:val="52B67DF6"/>
    <w:rsid w:val="52B7063F"/>
    <w:rsid w:val="52B753C1"/>
    <w:rsid w:val="52BD2767"/>
    <w:rsid w:val="52C65A7C"/>
    <w:rsid w:val="52C73D9F"/>
    <w:rsid w:val="52CA50F4"/>
    <w:rsid w:val="52CE7E43"/>
    <w:rsid w:val="52D4387D"/>
    <w:rsid w:val="52D47D21"/>
    <w:rsid w:val="52EE16C7"/>
    <w:rsid w:val="52FE1912"/>
    <w:rsid w:val="531F7404"/>
    <w:rsid w:val="53226249"/>
    <w:rsid w:val="53235405"/>
    <w:rsid w:val="5325200F"/>
    <w:rsid w:val="532C39E8"/>
    <w:rsid w:val="53374CF5"/>
    <w:rsid w:val="533756F5"/>
    <w:rsid w:val="53385F62"/>
    <w:rsid w:val="53394028"/>
    <w:rsid w:val="53396111"/>
    <w:rsid w:val="535B6FAA"/>
    <w:rsid w:val="536C466B"/>
    <w:rsid w:val="5371731E"/>
    <w:rsid w:val="537744CD"/>
    <w:rsid w:val="53851FDA"/>
    <w:rsid w:val="53930F2D"/>
    <w:rsid w:val="53C11E7C"/>
    <w:rsid w:val="53C8782F"/>
    <w:rsid w:val="53D964A0"/>
    <w:rsid w:val="53DD2C05"/>
    <w:rsid w:val="53E32CC7"/>
    <w:rsid w:val="53ED5672"/>
    <w:rsid w:val="53F0013F"/>
    <w:rsid w:val="53F258E9"/>
    <w:rsid w:val="54030047"/>
    <w:rsid w:val="541011D9"/>
    <w:rsid w:val="54293073"/>
    <w:rsid w:val="5435659E"/>
    <w:rsid w:val="54421D66"/>
    <w:rsid w:val="54475B2B"/>
    <w:rsid w:val="54531D4B"/>
    <w:rsid w:val="54731DF7"/>
    <w:rsid w:val="54A07FBB"/>
    <w:rsid w:val="54A11E85"/>
    <w:rsid w:val="54A96A6F"/>
    <w:rsid w:val="54B24092"/>
    <w:rsid w:val="54BE2487"/>
    <w:rsid w:val="54D264E2"/>
    <w:rsid w:val="54DE6C35"/>
    <w:rsid w:val="54E10067"/>
    <w:rsid w:val="54E83610"/>
    <w:rsid w:val="54F2623D"/>
    <w:rsid w:val="54F6391C"/>
    <w:rsid w:val="54FC09A3"/>
    <w:rsid w:val="550544B7"/>
    <w:rsid w:val="552A00CC"/>
    <w:rsid w:val="55346855"/>
    <w:rsid w:val="55347D54"/>
    <w:rsid w:val="5540344C"/>
    <w:rsid w:val="55403C26"/>
    <w:rsid w:val="55477B29"/>
    <w:rsid w:val="554967A4"/>
    <w:rsid w:val="554A3E5A"/>
    <w:rsid w:val="554A6079"/>
    <w:rsid w:val="55520A91"/>
    <w:rsid w:val="55534BDF"/>
    <w:rsid w:val="555B0465"/>
    <w:rsid w:val="555D25DA"/>
    <w:rsid w:val="55631B73"/>
    <w:rsid w:val="556A38D4"/>
    <w:rsid w:val="556D4594"/>
    <w:rsid w:val="558275C0"/>
    <w:rsid w:val="55847143"/>
    <w:rsid w:val="558848EA"/>
    <w:rsid w:val="558853CC"/>
    <w:rsid w:val="558868C1"/>
    <w:rsid w:val="558C1437"/>
    <w:rsid w:val="55963813"/>
    <w:rsid w:val="559956CE"/>
    <w:rsid w:val="559B0682"/>
    <w:rsid w:val="559B68D4"/>
    <w:rsid w:val="559B72C0"/>
    <w:rsid w:val="559F0129"/>
    <w:rsid w:val="55AB48AB"/>
    <w:rsid w:val="55AF5076"/>
    <w:rsid w:val="55B61960"/>
    <w:rsid w:val="55B70B9B"/>
    <w:rsid w:val="55D81300"/>
    <w:rsid w:val="55DC1CF8"/>
    <w:rsid w:val="55E12304"/>
    <w:rsid w:val="55EC6B05"/>
    <w:rsid w:val="55F12998"/>
    <w:rsid w:val="55F71B46"/>
    <w:rsid w:val="55F81F79"/>
    <w:rsid w:val="55FA667D"/>
    <w:rsid w:val="56015790"/>
    <w:rsid w:val="560263C5"/>
    <w:rsid w:val="56130B60"/>
    <w:rsid w:val="561C5302"/>
    <w:rsid w:val="561D4266"/>
    <w:rsid w:val="56264891"/>
    <w:rsid w:val="56332FB1"/>
    <w:rsid w:val="56333C0C"/>
    <w:rsid w:val="56352C6E"/>
    <w:rsid w:val="563F543B"/>
    <w:rsid w:val="564D0EFB"/>
    <w:rsid w:val="56503B63"/>
    <w:rsid w:val="567426AF"/>
    <w:rsid w:val="56764EEC"/>
    <w:rsid w:val="568273C8"/>
    <w:rsid w:val="569D6BFD"/>
    <w:rsid w:val="56A83CA3"/>
    <w:rsid w:val="56B11C92"/>
    <w:rsid w:val="56C63E25"/>
    <w:rsid w:val="56D71B8E"/>
    <w:rsid w:val="56DE0492"/>
    <w:rsid w:val="56EE0AC9"/>
    <w:rsid w:val="56FD75BD"/>
    <w:rsid w:val="57042970"/>
    <w:rsid w:val="57076AE3"/>
    <w:rsid w:val="570C1E32"/>
    <w:rsid w:val="57104CCF"/>
    <w:rsid w:val="571C1C97"/>
    <w:rsid w:val="572052E3"/>
    <w:rsid w:val="57342B3C"/>
    <w:rsid w:val="57454D4A"/>
    <w:rsid w:val="574E3EC2"/>
    <w:rsid w:val="57535AC0"/>
    <w:rsid w:val="57554D3D"/>
    <w:rsid w:val="575C2093"/>
    <w:rsid w:val="576158FB"/>
    <w:rsid w:val="57743C5F"/>
    <w:rsid w:val="578259EE"/>
    <w:rsid w:val="578A6C00"/>
    <w:rsid w:val="57916C23"/>
    <w:rsid w:val="57A12BA3"/>
    <w:rsid w:val="57A50298"/>
    <w:rsid w:val="57A75A04"/>
    <w:rsid w:val="57AA6421"/>
    <w:rsid w:val="57BB14B0"/>
    <w:rsid w:val="57C5514A"/>
    <w:rsid w:val="57C55E8A"/>
    <w:rsid w:val="57C86319"/>
    <w:rsid w:val="57D8636B"/>
    <w:rsid w:val="57DE3E80"/>
    <w:rsid w:val="57E207EA"/>
    <w:rsid w:val="57E87A70"/>
    <w:rsid w:val="57F762A4"/>
    <w:rsid w:val="57FB18AC"/>
    <w:rsid w:val="58041A8A"/>
    <w:rsid w:val="581C7BA5"/>
    <w:rsid w:val="581D6136"/>
    <w:rsid w:val="58245C64"/>
    <w:rsid w:val="582B049B"/>
    <w:rsid w:val="58334BB6"/>
    <w:rsid w:val="5843474D"/>
    <w:rsid w:val="58656B24"/>
    <w:rsid w:val="588549CF"/>
    <w:rsid w:val="58873140"/>
    <w:rsid w:val="58881433"/>
    <w:rsid w:val="58A70A83"/>
    <w:rsid w:val="58AE201B"/>
    <w:rsid w:val="58C60BC3"/>
    <w:rsid w:val="58D12CB8"/>
    <w:rsid w:val="58D34170"/>
    <w:rsid w:val="59046180"/>
    <w:rsid w:val="590F7080"/>
    <w:rsid w:val="591744C0"/>
    <w:rsid w:val="59241E44"/>
    <w:rsid w:val="592B61C1"/>
    <w:rsid w:val="59344D3A"/>
    <w:rsid w:val="59407996"/>
    <w:rsid w:val="594655CE"/>
    <w:rsid w:val="59475C47"/>
    <w:rsid w:val="5962746E"/>
    <w:rsid w:val="596C5940"/>
    <w:rsid w:val="598122E2"/>
    <w:rsid w:val="598A2EE8"/>
    <w:rsid w:val="598F7065"/>
    <w:rsid w:val="599962C6"/>
    <w:rsid w:val="599D1056"/>
    <w:rsid w:val="599D563B"/>
    <w:rsid w:val="59A22CA1"/>
    <w:rsid w:val="59BA36C6"/>
    <w:rsid w:val="59BC7C54"/>
    <w:rsid w:val="59BD1300"/>
    <w:rsid w:val="59C95662"/>
    <w:rsid w:val="59C975D8"/>
    <w:rsid w:val="59D447A7"/>
    <w:rsid w:val="59E23C8E"/>
    <w:rsid w:val="5A2E6E39"/>
    <w:rsid w:val="5A394900"/>
    <w:rsid w:val="5A3A007D"/>
    <w:rsid w:val="5A3D1059"/>
    <w:rsid w:val="5A3D21AC"/>
    <w:rsid w:val="5A405C9C"/>
    <w:rsid w:val="5A411C28"/>
    <w:rsid w:val="5A451A6F"/>
    <w:rsid w:val="5A4B59DE"/>
    <w:rsid w:val="5A5231FA"/>
    <w:rsid w:val="5A583462"/>
    <w:rsid w:val="5A584479"/>
    <w:rsid w:val="5A593BC2"/>
    <w:rsid w:val="5A6A4AC7"/>
    <w:rsid w:val="5A73697E"/>
    <w:rsid w:val="5A843575"/>
    <w:rsid w:val="5A875A83"/>
    <w:rsid w:val="5A8F6BE1"/>
    <w:rsid w:val="5A9658BC"/>
    <w:rsid w:val="5A98341B"/>
    <w:rsid w:val="5A992E24"/>
    <w:rsid w:val="5A9C774E"/>
    <w:rsid w:val="5AA37BE7"/>
    <w:rsid w:val="5AA535A1"/>
    <w:rsid w:val="5AAB39E4"/>
    <w:rsid w:val="5ABD044A"/>
    <w:rsid w:val="5AC60732"/>
    <w:rsid w:val="5AE226DE"/>
    <w:rsid w:val="5AE47F3F"/>
    <w:rsid w:val="5AE90928"/>
    <w:rsid w:val="5AEA554E"/>
    <w:rsid w:val="5AF82E11"/>
    <w:rsid w:val="5B0F43BC"/>
    <w:rsid w:val="5B293EE6"/>
    <w:rsid w:val="5B39779F"/>
    <w:rsid w:val="5B3F7D02"/>
    <w:rsid w:val="5B492032"/>
    <w:rsid w:val="5B542F09"/>
    <w:rsid w:val="5B631C42"/>
    <w:rsid w:val="5B745BFD"/>
    <w:rsid w:val="5B8160E7"/>
    <w:rsid w:val="5B8356F9"/>
    <w:rsid w:val="5B895BA0"/>
    <w:rsid w:val="5B995664"/>
    <w:rsid w:val="5B9A5959"/>
    <w:rsid w:val="5BA9277B"/>
    <w:rsid w:val="5BB035C1"/>
    <w:rsid w:val="5BB55B20"/>
    <w:rsid w:val="5BB672D7"/>
    <w:rsid w:val="5BD31D3E"/>
    <w:rsid w:val="5BD74EB9"/>
    <w:rsid w:val="5BDB1D91"/>
    <w:rsid w:val="5BE03255"/>
    <w:rsid w:val="5BEA2ED5"/>
    <w:rsid w:val="5BEF04C1"/>
    <w:rsid w:val="5BF10C7F"/>
    <w:rsid w:val="5C0714B6"/>
    <w:rsid w:val="5C242EEA"/>
    <w:rsid w:val="5C3026D1"/>
    <w:rsid w:val="5C354E6F"/>
    <w:rsid w:val="5C3855C4"/>
    <w:rsid w:val="5C47568C"/>
    <w:rsid w:val="5C5957FD"/>
    <w:rsid w:val="5C5E1262"/>
    <w:rsid w:val="5C875E04"/>
    <w:rsid w:val="5C8B03F9"/>
    <w:rsid w:val="5C9F4139"/>
    <w:rsid w:val="5CC8326A"/>
    <w:rsid w:val="5CCA4EC2"/>
    <w:rsid w:val="5CDC71CA"/>
    <w:rsid w:val="5CE9261B"/>
    <w:rsid w:val="5D0A1226"/>
    <w:rsid w:val="5D0A65CF"/>
    <w:rsid w:val="5D0D12BC"/>
    <w:rsid w:val="5D147BCB"/>
    <w:rsid w:val="5D183A16"/>
    <w:rsid w:val="5D27079D"/>
    <w:rsid w:val="5D380EAD"/>
    <w:rsid w:val="5D3B1FD8"/>
    <w:rsid w:val="5D4169D2"/>
    <w:rsid w:val="5D440549"/>
    <w:rsid w:val="5D4B183C"/>
    <w:rsid w:val="5D513266"/>
    <w:rsid w:val="5D572029"/>
    <w:rsid w:val="5D672182"/>
    <w:rsid w:val="5D69550A"/>
    <w:rsid w:val="5D706898"/>
    <w:rsid w:val="5D707B02"/>
    <w:rsid w:val="5D744C4B"/>
    <w:rsid w:val="5D8638C7"/>
    <w:rsid w:val="5D9C4A21"/>
    <w:rsid w:val="5DA16F81"/>
    <w:rsid w:val="5DA2410F"/>
    <w:rsid w:val="5DA34A85"/>
    <w:rsid w:val="5DA56542"/>
    <w:rsid w:val="5DCB3ACF"/>
    <w:rsid w:val="5DCB7360"/>
    <w:rsid w:val="5DD028B9"/>
    <w:rsid w:val="5DD230AF"/>
    <w:rsid w:val="5DD313F1"/>
    <w:rsid w:val="5DD4562A"/>
    <w:rsid w:val="5DD501BD"/>
    <w:rsid w:val="5DEB1ACD"/>
    <w:rsid w:val="5DF171B3"/>
    <w:rsid w:val="5DFE6708"/>
    <w:rsid w:val="5E1965E9"/>
    <w:rsid w:val="5E1C2235"/>
    <w:rsid w:val="5E2E7D25"/>
    <w:rsid w:val="5E333346"/>
    <w:rsid w:val="5E4A6E89"/>
    <w:rsid w:val="5E524DB4"/>
    <w:rsid w:val="5E5A0B19"/>
    <w:rsid w:val="5E5C25D8"/>
    <w:rsid w:val="5E612F90"/>
    <w:rsid w:val="5E715BDC"/>
    <w:rsid w:val="5E92698D"/>
    <w:rsid w:val="5E9D3904"/>
    <w:rsid w:val="5EA057E6"/>
    <w:rsid w:val="5EC57708"/>
    <w:rsid w:val="5ECA1FD8"/>
    <w:rsid w:val="5ECC3FA2"/>
    <w:rsid w:val="5ED4609B"/>
    <w:rsid w:val="5EDB34AB"/>
    <w:rsid w:val="5EF95C8B"/>
    <w:rsid w:val="5EFF1C82"/>
    <w:rsid w:val="5F103E8F"/>
    <w:rsid w:val="5F2470DC"/>
    <w:rsid w:val="5F253C9F"/>
    <w:rsid w:val="5F273367"/>
    <w:rsid w:val="5F2E2B9C"/>
    <w:rsid w:val="5F3538F6"/>
    <w:rsid w:val="5F381B77"/>
    <w:rsid w:val="5F3A5ACD"/>
    <w:rsid w:val="5F3F688F"/>
    <w:rsid w:val="5F601BA9"/>
    <w:rsid w:val="5F6B5569"/>
    <w:rsid w:val="5F7103EE"/>
    <w:rsid w:val="5F7D5E13"/>
    <w:rsid w:val="5F824661"/>
    <w:rsid w:val="5F9546E8"/>
    <w:rsid w:val="5FA77E70"/>
    <w:rsid w:val="5FAB7289"/>
    <w:rsid w:val="5FAD3202"/>
    <w:rsid w:val="5FBC7B73"/>
    <w:rsid w:val="5FC94113"/>
    <w:rsid w:val="5FD561C0"/>
    <w:rsid w:val="600265DB"/>
    <w:rsid w:val="600532C8"/>
    <w:rsid w:val="601F65D4"/>
    <w:rsid w:val="60311CC6"/>
    <w:rsid w:val="60600D9F"/>
    <w:rsid w:val="60662B73"/>
    <w:rsid w:val="60690FFD"/>
    <w:rsid w:val="606E367F"/>
    <w:rsid w:val="607A6872"/>
    <w:rsid w:val="6090446E"/>
    <w:rsid w:val="6097124B"/>
    <w:rsid w:val="609A301F"/>
    <w:rsid w:val="60A805F1"/>
    <w:rsid w:val="60AB014E"/>
    <w:rsid w:val="60BD2EDA"/>
    <w:rsid w:val="60D84E80"/>
    <w:rsid w:val="60EE4DD2"/>
    <w:rsid w:val="60F17CF0"/>
    <w:rsid w:val="61071EF9"/>
    <w:rsid w:val="610819E9"/>
    <w:rsid w:val="61091C8A"/>
    <w:rsid w:val="61123B93"/>
    <w:rsid w:val="611C1F81"/>
    <w:rsid w:val="61227FA4"/>
    <w:rsid w:val="612A1533"/>
    <w:rsid w:val="614B0AA0"/>
    <w:rsid w:val="615358E6"/>
    <w:rsid w:val="61700C15"/>
    <w:rsid w:val="61733826"/>
    <w:rsid w:val="617478C1"/>
    <w:rsid w:val="61750921"/>
    <w:rsid w:val="61826378"/>
    <w:rsid w:val="618A0F27"/>
    <w:rsid w:val="619764D8"/>
    <w:rsid w:val="61B4233F"/>
    <w:rsid w:val="61D56762"/>
    <w:rsid w:val="61D666DA"/>
    <w:rsid w:val="61D93B94"/>
    <w:rsid w:val="61D9656F"/>
    <w:rsid w:val="61EC1883"/>
    <w:rsid w:val="62007435"/>
    <w:rsid w:val="621D60A8"/>
    <w:rsid w:val="622217B5"/>
    <w:rsid w:val="622B77AD"/>
    <w:rsid w:val="62314848"/>
    <w:rsid w:val="62377985"/>
    <w:rsid w:val="623C31ED"/>
    <w:rsid w:val="62402CDD"/>
    <w:rsid w:val="6242766D"/>
    <w:rsid w:val="625423E8"/>
    <w:rsid w:val="625C563D"/>
    <w:rsid w:val="625E2306"/>
    <w:rsid w:val="626069B6"/>
    <w:rsid w:val="626369CC"/>
    <w:rsid w:val="62741947"/>
    <w:rsid w:val="627766D1"/>
    <w:rsid w:val="627D37AE"/>
    <w:rsid w:val="62925356"/>
    <w:rsid w:val="629A12DB"/>
    <w:rsid w:val="629A18C2"/>
    <w:rsid w:val="62A84F5D"/>
    <w:rsid w:val="62EA2C49"/>
    <w:rsid w:val="62F06D4B"/>
    <w:rsid w:val="62F12229"/>
    <w:rsid w:val="62F123F2"/>
    <w:rsid w:val="62F34C34"/>
    <w:rsid w:val="631E6AA2"/>
    <w:rsid w:val="632E45F1"/>
    <w:rsid w:val="633D6FAF"/>
    <w:rsid w:val="634E5AEB"/>
    <w:rsid w:val="635118BC"/>
    <w:rsid w:val="635D0E8F"/>
    <w:rsid w:val="6364137C"/>
    <w:rsid w:val="63660521"/>
    <w:rsid w:val="63683731"/>
    <w:rsid w:val="639250D9"/>
    <w:rsid w:val="63950E07"/>
    <w:rsid w:val="63A71724"/>
    <w:rsid w:val="63A948B2"/>
    <w:rsid w:val="63B26C13"/>
    <w:rsid w:val="63B70D7D"/>
    <w:rsid w:val="63D126E7"/>
    <w:rsid w:val="63DC6A36"/>
    <w:rsid w:val="63E853DA"/>
    <w:rsid w:val="63F43D7F"/>
    <w:rsid w:val="63F532AE"/>
    <w:rsid w:val="63FB6993"/>
    <w:rsid w:val="63FC70D8"/>
    <w:rsid w:val="640D4A64"/>
    <w:rsid w:val="640E03F5"/>
    <w:rsid w:val="64175CC0"/>
    <w:rsid w:val="641B57B0"/>
    <w:rsid w:val="641C61C3"/>
    <w:rsid w:val="6429154F"/>
    <w:rsid w:val="64661443"/>
    <w:rsid w:val="647153D0"/>
    <w:rsid w:val="64752DA1"/>
    <w:rsid w:val="647D7530"/>
    <w:rsid w:val="6481680F"/>
    <w:rsid w:val="649540B4"/>
    <w:rsid w:val="64A5135D"/>
    <w:rsid w:val="64A9519C"/>
    <w:rsid w:val="64B74EE8"/>
    <w:rsid w:val="64C5396E"/>
    <w:rsid w:val="64EA33D4"/>
    <w:rsid w:val="65071890"/>
    <w:rsid w:val="65121733"/>
    <w:rsid w:val="65214198"/>
    <w:rsid w:val="652F0F37"/>
    <w:rsid w:val="65311259"/>
    <w:rsid w:val="653C6362"/>
    <w:rsid w:val="653E19AA"/>
    <w:rsid w:val="654768D3"/>
    <w:rsid w:val="654E340A"/>
    <w:rsid w:val="654E74BF"/>
    <w:rsid w:val="654F096F"/>
    <w:rsid w:val="65560B11"/>
    <w:rsid w:val="655A590C"/>
    <w:rsid w:val="65610BC1"/>
    <w:rsid w:val="656E00D7"/>
    <w:rsid w:val="65736F26"/>
    <w:rsid w:val="65773A2C"/>
    <w:rsid w:val="65782042"/>
    <w:rsid w:val="658A1798"/>
    <w:rsid w:val="65931376"/>
    <w:rsid w:val="659375C8"/>
    <w:rsid w:val="659B259E"/>
    <w:rsid w:val="65A17FE2"/>
    <w:rsid w:val="65B20D2A"/>
    <w:rsid w:val="65B364C0"/>
    <w:rsid w:val="65C634F9"/>
    <w:rsid w:val="65C819E0"/>
    <w:rsid w:val="65D80666"/>
    <w:rsid w:val="65DF280D"/>
    <w:rsid w:val="65E4196F"/>
    <w:rsid w:val="65F067C8"/>
    <w:rsid w:val="65F32FB4"/>
    <w:rsid w:val="66014531"/>
    <w:rsid w:val="66197755"/>
    <w:rsid w:val="661D46A7"/>
    <w:rsid w:val="661E5AA5"/>
    <w:rsid w:val="661F5519"/>
    <w:rsid w:val="66241B9F"/>
    <w:rsid w:val="662E11BB"/>
    <w:rsid w:val="66335744"/>
    <w:rsid w:val="663C0F4B"/>
    <w:rsid w:val="663D638D"/>
    <w:rsid w:val="66434B4A"/>
    <w:rsid w:val="665844E5"/>
    <w:rsid w:val="666F3B91"/>
    <w:rsid w:val="66812E0A"/>
    <w:rsid w:val="669577B8"/>
    <w:rsid w:val="66A11209"/>
    <w:rsid w:val="66A315D7"/>
    <w:rsid w:val="66A3630F"/>
    <w:rsid w:val="66A615BF"/>
    <w:rsid w:val="66A96DA4"/>
    <w:rsid w:val="66B24344"/>
    <w:rsid w:val="66BC4FD6"/>
    <w:rsid w:val="66BE7F14"/>
    <w:rsid w:val="66D07F91"/>
    <w:rsid w:val="66E27908"/>
    <w:rsid w:val="66E42FF0"/>
    <w:rsid w:val="66EE5F70"/>
    <w:rsid w:val="66F17833"/>
    <w:rsid w:val="67063142"/>
    <w:rsid w:val="670F3ECD"/>
    <w:rsid w:val="67106E1D"/>
    <w:rsid w:val="671C6E72"/>
    <w:rsid w:val="67391868"/>
    <w:rsid w:val="673B29A9"/>
    <w:rsid w:val="673D0F21"/>
    <w:rsid w:val="674B010F"/>
    <w:rsid w:val="674E59CC"/>
    <w:rsid w:val="675436AF"/>
    <w:rsid w:val="67543C18"/>
    <w:rsid w:val="675B54A4"/>
    <w:rsid w:val="67696037"/>
    <w:rsid w:val="676A1C7E"/>
    <w:rsid w:val="676C3DE8"/>
    <w:rsid w:val="676D3A35"/>
    <w:rsid w:val="67754259"/>
    <w:rsid w:val="677704F8"/>
    <w:rsid w:val="677B47B7"/>
    <w:rsid w:val="677C2B6E"/>
    <w:rsid w:val="67892A30"/>
    <w:rsid w:val="67897000"/>
    <w:rsid w:val="679A18F7"/>
    <w:rsid w:val="67A94E81"/>
    <w:rsid w:val="67AA29A7"/>
    <w:rsid w:val="67AF1918"/>
    <w:rsid w:val="67B54F46"/>
    <w:rsid w:val="67B84180"/>
    <w:rsid w:val="67B850C4"/>
    <w:rsid w:val="67BB76D8"/>
    <w:rsid w:val="67C5649F"/>
    <w:rsid w:val="67DD4B2A"/>
    <w:rsid w:val="68030A35"/>
    <w:rsid w:val="68034C9A"/>
    <w:rsid w:val="6806767B"/>
    <w:rsid w:val="680C4794"/>
    <w:rsid w:val="68123806"/>
    <w:rsid w:val="681C0235"/>
    <w:rsid w:val="681E0330"/>
    <w:rsid w:val="68267751"/>
    <w:rsid w:val="682F23FE"/>
    <w:rsid w:val="683106CA"/>
    <w:rsid w:val="68322C31"/>
    <w:rsid w:val="683352DA"/>
    <w:rsid w:val="68357F19"/>
    <w:rsid w:val="683E5085"/>
    <w:rsid w:val="684479EE"/>
    <w:rsid w:val="684F1CE0"/>
    <w:rsid w:val="685046E0"/>
    <w:rsid w:val="685B36CB"/>
    <w:rsid w:val="686315D8"/>
    <w:rsid w:val="68633BD5"/>
    <w:rsid w:val="68692764"/>
    <w:rsid w:val="686D2352"/>
    <w:rsid w:val="6873723D"/>
    <w:rsid w:val="687705E8"/>
    <w:rsid w:val="6887350C"/>
    <w:rsid w:val="688F07FD"/>
    <w:rsid w:val="688F3D8F"/>
    <w:rsid w:val="689B2A76"/>
    <w:rsid w:val="689C4F76"/>
    <w:rsid w:val="68AD274F"/>
    <w:rsid w:val="68B11A04"/>
    <w:rsid w:val="68B37680"/>
    <w:rsid w:val="68B63CF9"/>
    <w:rsid w:val="68B95EC8"/>
    <w:rsid w:val="68BB086E"/>
    <w:rsid w:val="68C43DB3"/>
    <w:rsid w:val="68DD797F"/>
    <w:rsid w:val="68E136C0"/>
    <w:rsid w:val="68E1689C"/>
    <w:rsid w:val="68E51EE8"/>
    <w:rsid w:val="68EE1E59"/>
    <w:rsid w:val="68F33DF4"/>
    <w:rsid w:val="68F7684C"/>
    <w:rsid w:val="68FC5484"/>
    <w:rsid w:val="69000385"/>
    <w:rsid w:val="69041AA8"/>
    <w:rsid w:val="690A4422"/>
    <w:rsid w:val="690A7BA1"/>
    <w:rsid w:val="69177FF0"/>
    <w:rsid w:val="691950B8"/>
    <w:rsid w:val="692B1797"/>
    <w:rsid w:val="692C63E9"/>
    <w:rsid w:val="69315888"/>
    <w:rsid w:val="6933120A"/>
    <w:rsid w:val="694330B3"/>
    <w:rsid w:val="69485055"/>
    <w:rsid w:val="69506FBC"/>
    <w:rsid w:val="696279DD"/>
    <w:rsid w:val="697B45FB"/>
    <w:rsid w:val="69830296"/>
    <w:rsid w:val="698A58EA"/>
    <w:rsid w:val="6996209D"/>
    <w:rsid w:val="69965C57"/>
    <w:rsid w:val="69A51678"/>
    <w:rsid w:val="69B820CC"/>
    <w:rsid w:val="69C0524B"/>
    <w:rsid w:val="69CE4B8D"/>
    <w:rsid w:val="69E4533D"/>
    <w:rsid w:val="69E623BC"/>
    <w:rsid w:val="69E84808"/>
    <w:rsid w:val="69ED1AC8"/>
    <w:rsid w:val="6A0B05AF"/>
    <w:rsid w:val="6A0E1913"/>
    <w:rsid w:val="6A145BF5"/>
    <w:rsid w:val="6A177135"/>
    <w:rsid w:val="6A197826"/>
    <w:rsid w:val="6A235659"/>
    <w:rsid w:val="6A2616DB"/>
    <w:rsid w:val="6A3528D3"/>
    <w:rsid w:val="6A3A77E0"/>
    <w:rsid w:val="6A4A1C75"/>
    <w:rsid w:val="6A863DF8"/>
    <w:rsid w:val="6A990CB6"/>
    <w:rsid w:val="6AA46AEF"/>
    <w:rsid w:val="6ABF0DA2"/>
    <w:rsid w:val="6ACC2ED3"/>
    <w:rsid w:val="6ADC2CD8"/>
    <w:rsid w:val="6AEA2525"/>
    <w:rsid w:val="6AEE6EE7"/>
    <w:rsid w:val="6AF13F6E"/>
    <w:rsid w:val="6AF25199"/>
    <w:rsid w:val="6AF503DD"/>
    <w:rsid w:val="6AFD3680"/>
    <w:rsid w:val="6B0C33AE"/>
    <w:rsid w:val="6B142F59"/>
    <w:rsid w:val="6B1D40F2"/>
    <w:rsid w:val="6B1E7212"/>
    <w:rsid w:val="6B2036CF"/>
    <w:rsid w:val="6B235FB0"/>
    <w:rsid w:val="6B2F3674"/>
    <w:rsid w:val="6B2F3761"/>
    <w:rsid w:val="6B334F77"/>
    <w:rsid w:val="6B3B022A"/>
    <w:rsid w:val="6B3F4545"/>
    <w:rsid w:val="6B41736F"/>
    <w:rsid w:val="6B5143C5"/>
    <w:rsid w:val="6B53130C"/>
    <w:rsid w:val="6B5C3865"/>
    <w:rsid w:val="6B667505"/>
    <w:rsid w:val="6B673089"/>
    <w:rsid w:val="6B7539AD"/>
    <w:rsid w:val="6B80333F"/>
    <w:rsid w:val="6B80359D"/>
    <w:rsid w:val="6B916358"/>
    <w:rsid w:val="6B9A27F5"/>
    <w:rsid w:val="6B9B466A"/>
    <w:rsid w:val="6BA52D36"/>
    <w:rsid w:val="6BB87815"/>
    <w:rsid w:val="6BBB5B37"/>
    <w:rsid w:val="6BD607FB"/>
    <w:rsid w:val="6BDC1299"/>
    <w:rsid w:val="6BE24BDF"/>
    <w:rsid w:val="6BEC40E3"/>
    <w:rsid w:val="6BF333A7"/>
    <w:rsid w:val="6BF73D80"/>
    <w:rsid w:val="6BF93FA0"/>
    <w:rsid w:val="6BFB5EC7"/>
    <w:rsid w:val="6C0134DD"/>
    <w:rsid w:val="6C0476FB"/>
    <w:rsid w:val="6C1A634D"/>
    <w:rsid w:val="6C1F1BB5"/>
    <w:rsid w:val="6C23508C"/>
    <w:rsid w:val="6C357717"/>
    <w:rsid w:val="6C4D61C6"/>
    <w:rsid w:val="6C6911A0"/>
    <w:rsid w:val="6C6E48EB"/>
    <w:rsid w:val="6C6F6140"/>
    <w:rsid w:val="6C7F3D94"/>
    <w:rsid w:val="6C8133BF"/>
    <w:rsid w:val="6C8163CC"/>
    <w:rsid w:val="6C826AC6"/>
    <w:rsid w:val="6C912E92"/>
    <w:rsid w:val="6C936E90"/>
    <w:rsid w:val="6C951B4D"/>
    <w:rsid w:val="6C97174C"/>
    <w:rsid w:val="6CA200F0"/>
    <w:rsid w:val="6CA24A11"/>
    <w:rsid w:val="6CA50CD7"/>
    <w:rsid w:val="6CA76393"/>
    <w:rsid w:val="6CB0011B"/>
    <w:rsid w:val="6CBB3CC2"/>
    <w:rsid w:val="6CC8492E"/>
    <w:rsid w:val="6CD95CEF"/>
    <w:rsid w:val="6CDC1854"/>
    <w:rsid w:val="6CE37EBE"/>
    <w:rsid w:val="6CE93D90"/>
    <w:rsid w:val="6CEB5442"/>
    <w:rsid w:val="6D02422C"/>
    <w:rsid w:val="6D0466E7"/>
    <w:rsid w:val="6D082120"/>
    <w:rsid w:val="6D237483"/>
    <w:rsid w:val="6D287100"/>
    <w:rsid w:val="6D2F121B"/>
    <w:rsid w:val="6D33483C"/>
    <w:rsid w:val="6D341743"/>
    <w:rsid w:val="6D412B46"/>
    <w:rsid w:val="6D4171D1"/>
    <w:rsid w:val="6D4318D3"/>
    <w:rsid w:val="6D494A75"/>
    <w:rsid w:val="6D557A81"/>
    <w:rsid w:val="6D6064F9"/>
    <w:rsid w:val="6D714693"/>
    <w:rsid w:val="6D79545D"/>
    <w:rsid w:val="6D7C72B5"/>
    <w:rsid w:val="6D94502B"/>
    <w:rsid w:val="6DCD368C"/>
    <w:rsid w:val="6DCE66C0"/>
    <w:rsid w:val="6DD118B3"/>
    <w:rsid w:val="6DD54C21"/>
    <w:rsid w:val="6DD8719F"/>
    <w:rsid w:val="6DE9631A"/>
    <w:rsid w:val="6DEB454C"/>
    <w:rsid w:val="6DED635B"/>
    <w:rsid w:val="6DF45185"/>
    <w:rsid w:val="6DF5534F"/>
    <w:rsid w:val="6DF57FB1"/>
    <w:rsid w:val="6E0070C0"/>
    <w:rsid w:val="6E020E90"/>
    <w:rsid w:val="6E072901"/>
    <w:rsid w:val="6E1B63AC"/>
    <w:rsid w:val="6E20137D"/>
    <w:rsid w:val="6E2435F8"/>
    <w:rsid w:val="6E296D1B"/>
    <w:rsid w:val="6E2E79AC"/>
    <w:rsid w:val="6E332EB3"/>
    <w:rsid w:val="6E43491B"/>
    <w:rsid w:val="6E494CC8"/>
    <w:rsid w:val="6E502CF0"/>
    <w:rsid w:val="6E533621"/>
    <w:rsid w:val="6E63269F"/>
    <w:rsid w:val="6E661D1D"/>
    <w:rsid w:val="6E7D2BC3"/>
    <w:rsid w:val="6E995BEA"/>
    <w:rsid w:val="6E9D5013"/>
    <w:rsid w:val="6EA068B7"/>
    <w:rsid w:val="6EA07602"/>
    <w:rsid w:val="6EA168B2"/>
    <w:rsid w:val="6EA2087C"/>
    <w:rsid w:val="6EC33517"/>
    <w:rsid w:val="6EC53CE1"/>
    <w:rsid w:val="6EDE43D8"/>
    <w:rsid w:val="6EEE7408"/>
    <w:rsid w:val="6F14373B"/>
    <w:rsid w:val="6F1A7D18"/>
    <w:rsid w:val="6F2572EC"/>
    <w:rsid w:val="6F43232A"/>
    <w:rsid w:val="6F465F3D"/>
    <w:rsid w:val="6F54601A"/>
    <w:rsid w:val="6F5D3981"/>
    <w:rsid w:val="6F67654C"/>
    <w:rsid w:val="6F6D2D8A"/>
    <w:rsid w:val="6F741D3B"/>
    <w:rsid w:val="6F7B2954"/>
    <w:rsid w:val="6F7B5355"/>
    <w:rsid w:val="6F7E2A2C"/>
    <w:rsid w:val="6F7F0550"/>
    <w:rsid w:val="6F8333C0"/>
    <w:rsid w:val="6F8B1FB0"/>
    <w:rsid w:val="6F9435BE"/>
    <w:rsid w:val="6F956C3A"/>
    <w:rsid w:val="6F9A052D"/>
    <w:rsid w:val="6FA55B54"/>
    <w:rsid w:val="6FA93482"/>
    <w:rsid w:val="6FAC5FE0"/>
    <w:rsid w:val="6FB2595E"/>
    <w:rsid w:val="6FC0490D"/>
    <w:rsid w:val="6FD42CB7"/>
    <w:rsid w:val="6FD5229F"/>
    <w:rsid w:val="6FD90043"/>
    <w:rsid w:val="6FDC5F0C"/>
    <w:rsid w:val="6FE96AF0"/>
    <w:rsid w:val="6FF40AC0"/>
    <w:rsid w:val="6FF45107"/>
    <w:rsid w:val="6FF9271D"/>
    <w:rsid w:val="6FF952D9"/>
    <w:rsid w:val="701F19A3"/>
    <w:rsid w:val="70264F95"/>
    <w:rsid w:val="703440D3"/>
    <w:rsid w:val="70344BF2"/>
    <w:rsid w:val="703A15CE"/>
    <w:rsid w:val="703C6F61"/>
    <w:rsid w:val="70436AC9"/>
    <w:rsid w:val="70504892"/>
    <w:rsid w:val="705E4C75"/>
    <w:rsid w:val="706F1F58"/>
    <w:rsid w:val="70762FD4"/>
    <w:rsid w:val="707B75D6"/>
    <w:rsid w:val="70927221"/>
    <w:rsid w:val="709366CE"/>
    <w:rsid w:val="70967108"/>
    <w:rsid w:val="70A6135F"/>
    <w:rsid w:val="70A94143"/>
    <w:rsid w:val="70AA6554"/>
    <w:rsid w:val="70C20D61"/>
    <w:rsid w:val="70E31EE1"/>
    <w:rsid w:val="70E43F50"/>
    <w:rsid w:val="70EA76D5"/>
    <w:rsid w:val="70EF47E2"/>
    <w:rsid w:val="70F037A6"/>
    <w:rsid w:val="70F13C6C"/>
    <w:rsid w:val="70F1655B"/>
    <w:rsid w:val="71035DAF"/>
    <w:rsid w:val="7114183A"/>
    <w:rsid w:val="71141B48"/>
    <w:rsid w:val="711625FA"/>
    <w:rsid w:val="711A7807"/>
    <w:rsid w:val="711D4D63"/>
    <w:rsid w:val="713F0AB5"/>
    <w:rsid w:val="71506DC1"/>
    <w:rsid w:val="7155263E"/>
    <w:rsid w:val="71585E27"/>
    <w:rsid w:val="715B6B66"/>
    <w:rsid w:val="716501F3"/>
    <w:rsid w:val="716807CF"/>
    <w:rsid w:val="717304C5"/>
    <w:rsid w:val="71733862"/>
    <w:rsid w:val="71805700"/>
    <w:rsid w:val="718F3339"/>
    <w:rsid w:val="71950145"/>
    <w:rsid w:val="71995F66"/>
    <w:rsid w:val="71A14792"/>
    <w:rsid w:val="71B5108D"/>
    <w:rsid w:val="71C57BFE"/>
    <w:rsid w:val="71CB49CC"/>
    <w:rsid w:val="71DA1BBC"/>
    <w:rsid w:val="71DE003C"/>
    <w:rsid w:val="71EB5F1B"/>
    <w:rsid w:val="71F26B16"/>
    <w:rsid w:val="71FB0B55"/>
    <w:rsid w:val="71FB5A27"/>
    <w:rsid w:val="72123D8F"/>
    <w:rsid w:val="722A037F"/>
    <w:rsid w:val="72345AE6"/>
    <w:rsid w:val="723C004D"/>
    <w:rsid w:val="723E221B"/>
    <w:rsid w:val="72490669"/>
    <w:rsid w:val="724B79B3"/>
    <w:rsid w:val="72554C16"/>
    <w:rsid w:val="725974A3"/>
    <w:rsid w:val="725D51E5"/>
    <w:rsid w:val="725D60BF"/>
    <w:rsid w:val="72730565"/>
    <w:rsid w:val="727F69A8"/>
    <w:rsid w:val="72885B18"/>
    <w:rsid w:val="729848C7"/>
    <w:rsid w:val="729855C7"/>
    <w:rsid w:val="7298621E"/>
    <w:rsid w:val="729C33B1"/>
    <w:rsid w:val="72A76461"/>
    <w:rsid w:val="72C5521B"/>
    <w:rsid w:val="72DA478C"/>
    <w:rsid w:val="72EC5D52"/>
    <w:rsid w:val="72ED27C9"/>
    <w:rsid w:val="72FE5F1C"/>
    <w:rsid w:val="73125FD0"/>
    <w:rsid w:val="731C29AB"/>
    <w:rsid w:val="732238BD"/>
    <w:rsid w:val="73251B60"/>
    <w:rsid w:val="732652F6"/>
    <w:rsid w:val="73282D19"/>
    <w:rsid w:val="73295D4B"/>
    <w:rsid w:val="733028FA"/>
    <w:rsid w:val="73433E83"/>
    <w:rsid w:val="736362E9"/>
    <w:rsid w:val="73835F93"/>
    <w:rsid w:val="73867FDE"/>
    <w:rsid w:val="738D5656"/>
    <w:rsid w:val="739326AF"/>
    <w:rsid w:val="739A0841"/>
    <w:rsid w:val="739D6D83"/>
    <w:rsid w:val="73A57896"/>
    <w:rsid w:val="73B21561"/>
    <w:rsid w:val="73BA21C4"/>
    <w:rsid w:val="73CA1CA2"/>
    <w:rsid w:val="73CF70B4"/>
    <w:rsid w:val="73D6013B"/>
    <w:rsid w:val="73E06C61"/>
    <w:rsid w:val="73ED2039"/>
    <w:rsid w:val="73F13F70"/>
    <w:rsid w:val="73FA1B82"/>
    <w:rsid w:val="741B7106"/>
    <w:rsid w:val="741D2E7E"/>
    <w:rsid w:val="74215AA5"/>
    <w:rsid w:val="743018DF"/>
    <w:rsid w:val="74354E1E"/>
    <w:rsid w:val="7435719E"/>
    <w:rsid w:val="744E0B8A"/>
    <w:rsid w:val="744F46F7"/>
    <w:rsid w:val="7461578B"/>
    <w:rsid w:val="746960C4"/>
    <w:rsid w:val="746E36DA"/>
    <w:rsid w:val="747762DA"/>
    <w:rsid w:val="74782C63"/>
    <w:rsid w:val="747D0960"/>
    <w:rsid w:val="74827F39"/>
    <w:rsid w:val="74981A4F"/>
    <w:rsid w:val="74AE3AD6"/>
    <w:rsid w:val="74B166A1"/>
    <w:rsid w:val="74B66E2F"/>
    <w:rsid w:val="74BE3E5B"/>
    <w:rsid w:val="74C14350"/>
    <w:rsid w:val="74CC56BD"/>
    <w:rsid w:val="74D50665"/>
    <w:rsid w:val="74D56CDF"/>
    <w:rsid w:val="74E120FE"/>
    <w:rsid w:val="74F82FA3"/>
    <w:rsid w:val="75022C6C"/>
    <w:rsid w:val="75110FEE"/>
    <w:rsid w:val="75157FF9"/>
    <w:rsid w:val="75187475"/>
    <w:rsid w:val="751C3136"/>
    <w:rsid w:val="752646D1"/>
    <w:rsid w:val="752A621F"/>
    <w:rsid w:val="752C2D3F"/>
    <w:rsid w:val="752C7208"/>
    <w:rsid w:val="753E1F87"/>
    <w:rsid w:val="75476E5B"/>
    <w:rsid w:val="754B59D2"/>
    <w:rsid w:val="755407D6"/>
    <w:rsid w:val="75556648"/>
    <w:rsid w:val="7556319E"/>
    <w:rsid w:val="755A22C7"/>
    <w:rsid w:val="756D686E"/>
    <w:rsid w:val="757B0317"/>
    <w:rsid w:val="75841C37"/>
    <w:rsid w:val="7594295B"/>
    <w:rsid w:val="75A26D0F"/>
    <w:rsid w:val="75AA6994"/>
    <w:rsid w:val="75C4718A"/>
    <w:rsid w:val="75C502F5"/>
    <w:rsid w:val="75C86E1A"/>
    <w:rsid w:val="75CB06B8"/>
    <w:rsid w:val="75D22950"/>
    <w:rsid w:val="75DB4DEB"/>
    <w:rsid w:val="75E70180"/>
    <w:rsid w:val="75F22A64"/>
    <w:rsid w:val="75F95A6D"/>
    <w:rsid w:val="76051E1C"/>
    <w:rsid w:val="761958F1"/>
    <w:rsid w:val="761B0CCD"/>
    <w:rsid w:val="761C2262"/>
    <w:rsid w:val="762A015E"/>
    <w:rsid w:val="762A3631"/>
    <w:rsid w:val="762F6E99"/>
    <w:rsid w:val="763F587E"/>
    <w:rsid w:val="76434E81"/>
    <w:rsid w:val="764566BC"/>
    <w:rsid w:val="76466E90"/>
    <w:rsid w:val="76497C25"/>
    <w:rsid w:val="76506516"/>
    <w:rsid w:val="76544B8E"/>
    <w:rsid w:val="76613040"/>
    <w:rsid w:val="76692262"/>
    <w:rsid w:val="76796768"/>
    <w:rsid w:val="76810FC1"/>
    <w:rsid w:val="76825E72"/>
    <w:rsid w:val="76852BE0"/>
    <w:rsid w:val="768A2321"/>
    <w:rsid w:val="76966E1D"/>
    <w:rsid w:val="76966F18"/>
    <w:rsid w:val="76B50C00"/>
    <w:rsid w:val="76B83B4B"/>
    <w:rsid w:val="76C53359"/>
    <w:rsid w:val="76CC18A6"/>
    <w:rsid w:val="76D417EE"/>
    <w:rsid w:val="76E0347F"/>
    <w:rsid w:val="76E22981"/>
    <w:rsid w:val="76F24FEE"/>
    <w:rsid w:val="76FF2D0F"/>
    <w:rsid w:val="76FF686B"/>
    <w:rsid w:val="770434E9"/>
    <w:rsid w:val="770A4BDD"/>
    <w:rsid w:val="771E6D62"/>
    <w:rsid w:val="773A4199"/>
    <w:rsid w:val="775A66AF"/>
    <w:rsid w:val="77692D92"/>
    <w:rsid w:val="776C3A6B"/>
    <w:rsid w:val="776E3704"/>
    <w:rsid w:val="77811976"/>
    <w:rsid w:val="779D6AFC"/>
    <w:rsid w:val="77A15B74"/>
    <w:rsid w:val="77A2369A"/>
    <w:rsid w:val="77A66E2C"/>
    <w:rsid w:val="77B2575F"/>
    <w:rsid w:val="77BE504A"/>
    <w:rsid w:val="77CC7954"/>
    <w:rsid w:val="77D45F4A"/>
    <w:rsid w:val="77D62EF8"/>
    <w:rsid w:val="77E0620B"/>
    <w:rsid w:val="77E30A58"/>
    <w:rsid w:val="77E67A2B"/>
    <w:rsid w:val="77FE4202"/>
    <w:rsid w:val="77FE6DF1"/>
    <w:rsid w:val="781D3B25"/>
    <w:rsid w:val="7821598F"/>
    <w:rsid w:val="78434436"/>
    <w:rsid w:val="78537305"/>
    <w:rsid w:val="78574485"/>
    <w:rsid w:val="7868635F"/>
    <w:rsid w:val="786D5A56"/>
    <w:rsid w:val="78715CDA"/>
    <w:rsid w:val="787E5EB6"/>
    <w:rsid w:val="788A3ACE"/>
    <w:rsid w:val="78977525"/>
    <w:rsid w:val="789D4F61"/>
    <w:rsid w:val="78A27DF6"/>
    <w:rsid w:val="78AB5CD4"/>
    <w:rsid w:val="78B638A1"/>
    <w:rsid w:val="78B8778C"/>
    <w:rsid w:val="78BD0AF8"/>
    <w:rsid w:val="78C532E5"/>
    <w:rsid w:val="78CA3277"/>
    <w:rsid w:val="78CA7E82"/>
    <w:rsid w:val="78D104E8"/>
    <w:rsid w:val="78D107E8"/>
    <w:rsid w:val="78D6454A"/>
    <w:rsid w:val="78EE014B"/>
    <w:rsid w:val="78F16688"/>
    <w:rsid w:val="78F91702"/>
    <w:rsid w:val="7904460D"/>
    <w:rsid w:val="79075EAB"/>
    <w:rsid w:val="791A3E30"/>
    <w:rsid w:val="791C6160"/>
    <w:rsid w:val="792419AC"/>
    <w:rsid w:val="792E4D91"/>
    <w:rsid w:val="793507DA"/>
    <w:rsid w:val="793C15B6"/>
    <w:rsid w:val="793D367B"/>
    <w:rsid w:val="79444B68"/>
    <w:rsid w:val="794E1AAC"/>
    <w:rsid w:val="79517126"/>
    <w:rsid w:val="795B1D53"/>
    <w:rsid w:val="796606F6"/>
    <w:rsid w:val="7985576F"/>
    <w:rsid w:val="799B6D6B"/>
    <w:rsid w:val="79BF0534"/>
    <w:rsid w:val="79CE0D5E"/>
    <w:rsid w:val="79D95F69"/>
    <w:rsid w:val="79F53CDA"/>
    <w:rsid w:val="7A1002C9"/>
    <w:rsid w:val="7A184287"/>
    <w:rsid w:val="7A1B0A08"/>
    <w:rsid w:val="7A2D5683"/>
    <w:rsid w:val="7A3201C8"/>
    <w:rsid w:val="7A356A48"/>
    <w:rsid w:val="7A3A6E47"/>
    <w:rsid w:val="7A456C8B"/>
    <w:rsid w:val="7A543209"/>
    <w:rsid w:val="7A5944E4"/>
    <w:rsid w:val="7A5A2A2A"/>
    <w:rsid w:val="7A652E89"/>
    <w:rsid w:val="7A7823D0"/>
    <w:rsid w:val="7A795E59"/>
    <w:rsid w:val="7A796935"/>
    <w:rsid w:val="7A8025CD"/>
    <w:rsid w:val="7A8E4F4E"/>
    <w:rsid w:val="7A8F43AA"/>
    <w:rsid w:val="7A996F18"/>
    <w:rsid w:val="7A9A1A5D"/>
    <w:rsid w:val="7AA67A10"/>
    <w:rsid w:val="7AAA46C6"/>
    <w:rsid w:val="7AAB74C0"/>
    <w:rsid w:val="7AAF34DD"/>
    <w:rsid w:val="7AB926F1"/>
    <w:rsid w:val="7ACB0B6F"/>
    <w:rsid w:val="7AD222F1"/>
    <w:rsid w:val="7ADC1EA2"/>
    <w:rsid w:val="7AED351C"/>
    <w:rsid w:val="7AF1471D"/>
    <w:rsid w:val="7AF735ED"/>
    <w:rsid w:val="7AF83666"/>
    <w:rsid w:val="7AF93770"/>
    <w:rsid w:val="7AFC60F2"/>
    <w:rsid w:val="7AFD1314"/>
    <w:rsid w:val="7B006A4E"/>
    <w:rsid w:val="7B0E3521"/>
    <w:rsid w:val="7B146A23"/>
    <w:rsid w:val="7B242D44"/>
    <w:rsid w:val="7B270F5F"/>
    <w:rsid w:val="7B2E2293"/>
    <w:rsid w:val="7B40191C"/>
    <w:rsid w:val="7B4231CA"/>
    <w:rsid w:val="7B4F6827"/>
    <w:rsid w:val="7B55001E"/>
    <w:rsid w:val="7B554FA7"/>
    <w:rsid w:val="7B5A41FF"/>
    <w:rsid w:val="7B5A730B"/>
    <w:rsid w:val="7B5B5563"/>
    <w:rsid w:val="7B5F2533"/>
    <w:rsid w:val="7B6B470D"/>
    <w:rsid w:val="7B7C16A0"/>
    <w:rsid w:val="7B8455F7"/>
    <w:rsid w:val="7B854CE6"/>
    <w:rsid w:val="7B912A9D"/>
    <w:rsid w:val="7B9C5107"/>
    <w:rsid w:val="7B9D2AF7"/>
    <w:rsid w:val="7BCA6995"/>
    <w:rsid w:val="7BCC6021"/>
    <w:rsid w:val="7BCD7314"/>
    <w:rsid w:val="7BDD49F0"/>
    <w:rsid w:val="7BEC3136"/>
    <w:rsid w:val="7BEF674F"/>
    <w:rsid w:val="7BF01F31"/>
    <w:rsid w:val="7BF76DA3"/>
    <w:rsid w:val="7BFB45CD"/>
    <w:rsid w:val="7BFF1E08"/>
    <w:rsid w:val="7C164264"/>
    <w:rsid w:val="7C223DFF"/>
    <w:rsid w:val="7C2823C0"/>
    <w:rsid w:val="7C3135B1"/>
    <w:rsid w:val="7C433450"/>
    <w:rsid w:val="7C475B9A"/>
    <w:rsid w:val="7C501425"/>
    <w:rsid w:val="7C570460"/>
    <w:rsid w:val="7C596A1E"/>
    <w:rsid w:val="7C5C02BC"/>
    <w:rsid w:val="7C5F578C"/>
    <w:rsid w:val="7C645F76"/>
    <w:rsid w:val="7C676C62"/>
    <w:rsid w:val="7C776298"/>
    <w:rsid w:val="7C792F0B"/>
    <w:rsid w:val="7C811E42"/>
    <w:rsid w:val="7C9521B6"/>
    <w:rsid w:val="7C957697"/>
    <w:rsid w:val="7C9F63FA"/>
    <w:rsid w:val="7CAD6D69"/>
    <w:rsid w:val="7CBB6DAA"/>
    <w:rsid w:val="7CBD41B3"/>
    <w:rsid w:val="7CFF35E0"/>
    <w:rsid w:val="7D016B17"/>
    <w:rsid w:val="7D024E0D"/>
    <w:rsid w:val="7D1452E6"/>
    <w:rsid w:val="7D1B3CD3"/>
    <w:rsid w:val="7D3715AC"/>
    <w:rsid w:val="7D3850D1"/>
    <w:rsid w:val="7D501E09"/>
    <w:rsid w:val="7D5C72E9"/>
    <w:rsid w:val="7D5E13E8"/>
    <w:rsid w:val="7D6C176D"/>
    <w:rsid w:val="7D744F4F"/>
    <w:rsid w:val="7D87429F"/>
    <w:rsid w:val="7D8B7EED"/>
    <w:rsid w:val="7D98153E"/>
    <w:rsid w:val="7D9838F3"/>
    <w:rsid w:val="7D99109C"/>
    <w:rsid w:val="7D9B1FFF"/>
    <w:rsid w:val="7D9E00BD"/>
    <w:rsid w:val="7D9E392F"/>
    <w:rsid w:val="7D9F2B56"/>
    <w:rsid w:val="7D9F662F"/>
    <w:rsid w:val="7DA26B6C"/>
    <w:rsid w:val="7DA85427"/>
    <w:rsid w:val="7DAA7855"/>
    <w:rsid w:val="7DAB49B9"/>
    <w:rsid w:val="7DBA71F2"/>
    <w:rsid w:val="7DC0110E"/>
    <w:rsid w:val="7DC235BD"/>
    <w:rsid w:val="7DC76C96"/>
    <w:rsid w:val="7DD746D6"/>
    <w:rsid w:val="7DFB17A0"/>
    <w:rsid w:val="7E0E7975"/>
    <w:rsid w:val="7E1A603C"/>
    <w:rsid w:val="7E226178"/>
    <w:rsid w:val="7E2E5718"/>
    <w:rsid w:val="7E370FE0"/>
    <w:rsid w:val="7E3F224C"/>
    <w:rsid w:val="7E4940C8"/>
    <w:rsid w:val="7E527824"/>
    <w:rsid w:val="7E6B2A38"/>
    <w:rsid w:val="7E6F0BC4"/>
    <w:rsid w:val="7E8669CE"/>
    <w:rsid w:val="7E8B4DF6"/>
    <w:rsid w:val="7E8E6727"/>
    <w:rsid w:val="7E917B12"/>
    <w:rsid w:val="7EAD3266"/>
    <w:rsid w:val="7EAE7573"/>
    <w:rsid w:val="7EB0669D"/>
    <w:rsid w:val="7EBA3EB4"/>
    <w:rsid w:val="7EC44D97"/>
    <w:rsid w:val="7EC753E0"/>
    <w:rsid w:val="7ECA144B"/>
    <w:rsid w:val="7ED22AB7"/>
    <w:rsid w:val="7ED405DD"/>
    <w:rsid w:val="7EDC7492"/>
    <w:rsid w:val="7EDF43B8"/>
    <w:rsid w:val="7EE11FCC"/>
    <w:rsid w:val="7EE2314C"/>
    <w:rsid w:val="7EE3297E"/>
    <w:rsid w:val="7EE634A2"/>
    <w:rsid w:val="7EF12D97"/>
    <w:rsid w:val="7EF30C76"/>
    <w:rsid w:val="7EF74583"/>
    <w:rsid w:val="7EF8698B"/>
    <w:rsid w:val="7EFB714E"/>
    <w:rsid w:val="7EFC7B34"/>
    <w:rsid w:val="7F111831"/>
    <w:rsid w:val="7F2853DC"/>
    <w:rsid w:val="7F497C8F"/>
    <w:rsid w:val="7F4E1DC3"/>
    <w:rsid w:val="7F5A6822"/>
    <w:rsid w:val="7F78365F"/>
    <w:rsid w:val="7F7F78FC"/>
    <w:rsid w:val="7F86679B"/>
    <w:rsid w:val="7F89761A"/>
    <w:rsid w:val="7F8A1B09"/>
    <w:rsid w:val="7F8A7891"/>
    <w:rsid w:val="7F9E2999"/>
    <w:rsid w:val="7FA270AF"/>
    <w:rsid w:val="7FAB6ACA"/>
    <w:rsid w:val="7FAC2420"/>
    <w:rsid w:val="7FAD3580"/>
    <w:rsid w:val="7FB5619E"/>
    <w:rsid w:val="7FC30181"/>
    <w:rsid w:val="7FCE0772"/>
    <w:rsid w:val="7FDA4219"/>
    <w:rsid w:val="7FDE2A9A"/>
    <w:rsid w:val="7FF705DA"/>
    <w:rsid w:val="7FF70C35"/>
    <w:rsid w:val="7FF937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center"/>
      <w:outlineLvl w:val="0"/>
    </w:pPr>
    <w:rPr>
      <w:rFonts w:hint="eastAsia" w:ascii="宋体" w:hAnsi="宋体" w:cs="宋体"/>
      <w:b/>
      <w:kern w:val="44"/>
      <w:sz w:val="36"/>
      <w:szCs w:val="21"/>
      <w:lang w:bidi="ar"/>
    </w:rPr>
  </w:style>
  <w:style w:type="paragraph" w:styleId="4">
    <w:name w:val="heading 2"/>
    <w:basedOn w:val="1"/>
    <w:next w:val="1"/>
    <w:link w:val="34"/>
    <w:qFormat/>
    <w:uiPriority w:val="0"/>
    <w:pPr>
      <w:keepNext/>
      <w:keepLines/>
      <w:spacing w:before="240" w:beforeLines="0" w:after="120" w:afterLines="0" w:line="360" w:lineRule="auto"/>
      <w:jc w:val="center"/>
      <w:outlineLvl w:val="1"/>
    </w:pPr>
    <w:rPr>
      <w:rFonts w:ascii="仿宋_GB2312" w:hAnsi="仿宋_GB2312"/>
      <w:b/>
      <w:kern w:val="0"/>
      <w:sz w:val="32"/>
      <w:szCs w:val="30"/>
    </w:rPr>
  </w:style>
  <w:style w:type="paragraph" w:styleId="5">
    <w:name w:val="heading 3"/>
    <w:basedOn w:val="1"/>
    <w:next w:val="1"/>
    <w:qFormat/>
    <w:uiPriority w:val="0"/>
    <w:pPr>
      <w:keepNext/>
      <w:keepLines/>
      <w:spacing w:before="260" w:after="260" w:line="360" w:lineRule="auto"/>
      <w:jc w:val="center"/>
      <w:outlineLvl w:val="2"/>
    </w:pPr>
    <w:rPr>
      <w:b/>
      <w:bCs/>
      <w:sz w:val="30"/>
      <w:szCs w:val="32"/>
    </w:rPr>
  </w:style>
  <w:style w:type="paragraph" w:styleId="6">
    <w:name w:val="heading 4"/>
    <w:basedOn w:val="1"/>
    <w:next w:val="1"/>
    <w:link w:val="35"/>
    <w:qFormat/>
    <w:uiPriority w:val="0"/>
    <w:pPr>
      <w:spacing w:before="50" w:beforeLines="50" w:after="50" w:afterLines="50" w:line="360" w:lineRule="auto"/>
      <w:ind w:left="284" w:hanging="284"/>
      <w:jc w:val="left"/>
      <w:outlineLvl w:val="3"/>
    </w:pPr>
    <w:rPr>
      <w:rFonts w:ascii="Arial" w:hAnsi="Arial"/>
      <w:b/>
      <w:bCs/>
      <w:sz w:val="24"/>
    </w:rPr>
  </w:style>
  <w:style w:type="paragraph" w:styleId="7">
    <w:name w:val="heading 5"/>
    <w:basedOn w:val="6"/>
    <w:next w:val="2"/>
    <w:qFormat/>
    <w:uiPriority w:val="0"/>
    <w:pPr>
      <w:spacing w:line="240" w:lineRule="exact"/>
      <w:outlineLvl w:val="4"/>
    </w:pPr>
  </w:style>
  <w:style w:type="paragraph" w:styleId="8">
    <w:name w:val="heading 7"/>
    <w:basedOn w:val="1"/>
    <w:next w:val="2"/>
    <w:qFormat/>
    <w:uiPriority w:val="0"/>
    <w:pPr>
      <w:keepNext/>
      <w:keepLines/>
      <w:spacing w:before="240" w:after="64" w:line="320" w:lineRule="auto"/>
      <w:outlineLvl w:val="6"/>
    </w:pPr>
    <w:rPr>
      <w:b/>
      <w:sz w:val="24"/>
      <w:szCs w:val="20"/>
    </w:rPr>
  </w:style>
  <w:style w:type="paragraph" w:styleId="9">
    <w:name w:val="heading 8"/>
    <w:basedOn w:val="1"/>
    <w:next w:val="2"/>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2"/>
    <w:qFormat/>
    <w:uiPriority w:val="0"/>
    <w:pPr>
      <w:keepNext/>
      <w:keepLines/>
      <w:spacing w:before="240" w:after="64" w:line="320" w:lineRule="auto"/>
      <w:outlineLvl w:val="8"/>
    </w:pPr>
    <w:rPr>
      <w:rFonts w:ascii="Arial" w:hAnsi="Arial" w:eastAsia="黑体"/>
      <w:szCs w:val="20"/>
    </w:rPr>
  </w:style>
  <w:style w:type="character" w:default="1" w:styleId="28">
    <w:name w:val="Default Paragraph Font"/>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11">
    <w:name w:val="annotation text"/>
    <w:basedOn w:val="1"/>
    <w:link w:val="36"/>
    <w:qFormat/>
    <w:uiPriority w:val="0"/>
    <w:pPr>
      <w:jc w:val="left"/>
    </w:pPr>
  </w:style>
  <w:style w:type="paragraph" w:styleId="12">
    <w:name w:val="Body Text"/>
    <w:basedOn w:val="1"/>
    <w:qFormat/>
    <w:uiPriority w:val="0"/>
    <w:pPr>
      <w:pBdr>
        <w:top w:val="single" w:color="auto" w:sz="4" w:space="1"/>
      </w:pBdr>
    </w:pPr>
    <w:rPr>
      <w:b/>
      <w:bCs/>
    </w:rPr>
  </w:style>
  <w:style w:type="paragraph" w:styleId="13">
    <w:name w:val="Body Text Indent"/>
    <w:basedOn w:val="1"/>
    <w:link w:val="37"/>
    <w:qFormat/>
    <w:uiPriority w:val="0"/>
    <w:pPr>
      <w:ind w:firstLine="600" w:firstLineChars="200"/>
    </w:pPr>
    <w:rPr>
      <w:rFonts w:ascii="宋体" w:hAnsi="Times New Roman"/>
      <w:sz w:val="30"/>
      <w:szCs w:val="20"/>
    </w:rPr>
  </w:style>
  <w:style w:type="paragraph" w:styleId="14">
    <w:name w:val="toc 3"/>
    <w:basedOn w:val="1"/>
    <w:next w:val="1"/>
    <w:qFormat/>
    <w:uiPriority w:val="0"/>
    <w:pPr>
      <w:ind w:left="840" w:leftChars="400"/>
    </w:pPr>
  </w:style>
  <w:style w:type="paragraph" w:styleId="15">
    <w:name w:val="Plain Text"/>
    <w:basedOn w:val="1"/>
    <w:link w:val="38"/>
    <w:qFormat/>
    <w:uiPriority w:val="0"/>
    <w:rPr>
      <w:rFonts w:ascii="宋体" w:hAnsi="Courier New"/>
      <w:szCs w:val="20"/>
    </w:rPr>
  </w:style>
  <w:style w:type="paragraph" w:styleId="16">
    <w:name w:val="Date"/>
    <w:basedOn w:val="1"/>
    <w:next w:val="1"/>
    <w:qFormat/>
    <w:uiPriority w:val="0"/>
    <w:rPr>
      <w:rFonts w:ascii="Times New Roman" w:hAnsi="Times New Roman" w:eastAsia="楷体_GB2312" w:cs="Times New Roman"/>
      <w:szCs w:val="20"/>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pPr>
      <w:tabs>
        <w:tab w:val="right" w:leader="dot" w:pos="8990"/>
      </w:tabs>
      <w:spacing w:line="360" w:lineRule="auto"/>
    </w:pPr>
  </w:style>
  <w:style w:type="paragraph" w:styleId="21">
    <w:name w:val="toc 4"/>
    <w:basedOn w:val="1"/>
    <w:next w:val="1"/>
    <w:qFormat/>
    <w:uiPriority w:val="0"/>
    <w:pPr>
      <w:ind w:left="1260" w:leftChars="600"/>
    </w:p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paragraph" w:styleId="24">
    <w:name w:val="annotation subject"/>
    <w:basedOn w:val="11"/>
    <w:next w:val="11"/>
    <w:qFormat/>
    <w:uiPriority w:val="0"/>
    <w:rPr>
      <w:b/>
      <w:bCs/>
    </w:rPr>
  </w:style>
  <w:style w:type="paragraph" w:styleId="25">
    <w:name w:val="Body Text First Indent"/>
    <w:basedOn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style>
  <w:style w:type="character" w:styleId="30">
    <w:name w:val="FollowedHyperlink"/>
    <w:qFormat/>
    <w:uiPriority w:val="0"/>
    <w:rPr>
      <w:color w:val="000000"/>
      <w:u w:val="none"/>
    </w:rPr>
  </w:style>
  <w:style w:type="character" w:styleId="31">
    <w:name w:val="Emphasis"/>
    <w:qFormat/>
    <w:uiPriority w:val="0"/>
  </w:style>
  <w:style w:type="character" w:styleId="32">
    <w:name w:val="Hyperlink"/>
    <w:qFormat/>
    <w:uiPriority w:val="0"/>
    <w:rPr>
      <w:color w:val="000000"/>
      <w:u w:val="none"/>
    </w:rPr>
  </w:style>
  <w:style w:type="character" w:styleId="33">
    <w:name w:val="annotation reference"/>
    <w:qFormat/>
    <w:uiPriority w:val="0"/>
    <w:rPr>
      <w:sz w:val="21"/>
      <w:szCs w:val="21"/>
    </w:rPr>
  </w:style>
  <w:style w:type="character" w:customStyle="1" w:styleId="34">
    <w:name w:val="标题 2 Char"/>
    <w:link w:val="4"/>
    <w:qFormat/>
    <w:uiPriority w:val="0"/>
    <w:rPr>
      <w:rFonts w:ascii="仿宋_GB2312" w:hAnsi="仿宋_GB2312" w:eastAsia="宋体" w:cs="宋体"/>
      <w:b/>
      <w:sz w:val="32"/>
      <w:szCs w:val="30"/>
    </w:rPr>
  </w:style>
  <w:style w:type="character" w:customStyle="1" w:styleId="35">
    <w:name w:val="标题 4 Char"/>
    <w:link w:val="6"/>
    <w:qFormat/>
    <w:uiPriority w:val="0"/>
    <w:rPr>
      <w:rFonts w:ascii="Arial" w:hAnsi="Arial"/>
      <w:b/>
      <w:bCs/>
      <w:kern w:val="2"/>
      <w:sz w:val="24"/>
      <w:szCs w:val="24"/>
    </w:rPr>
  </w:style>
  <w:style w:type="character" w:customStyle="1" w:styleId="36">
    <w:name w:val="批注文字 Char"/>
    <w:link w:val="11"/>
    <w:qFormat/>
    <w:uiPriority w:val="0"/>
    <w:rPr>
      <w:rFonts w:ascii="Calibri" w:hAnsi="Calibri"/>
      <w:kern w:val="2"/>
      <w:sz w:val="21"/>
      <w:szCs w:val="24"/>
    </w:rPr>
  </w:style>
  <w:style w:type="character" w:customStyle="1" w:styleId="37">
    <w:name w:val="正文文本缩进 Char"/>
    <w:link w:val="13"/>
    <w:qFormat/>
    <w:uiPriority w:val="0"/>
    <w:rPr>
      <w:rFonts w:ascii="宋体"/>
      <w:kern w:val="2"/>
      <w:sz w:val="30"/>
    </w:rPr>
  </w:style>
  <w:style w:type="character" w:customStyle="1" w:styleId="38">
    <w:name w:val="纯文本 Char"/>
    <w:link w:val="15"/>
    <w:qFormat/>
    <w:locked/>
    <w:uiPriority w:val="0"/>
    <w:rPr>
      <w:rFonts w:ascii="宋体" w:hAnsi="Courier New"/>
      <w:kern w:val="2"/>
      <w:sz w:val="21"/>
    </w:rPr>
  </w:style>
  <w:style w:type="character" w:customStyle="1" w:styleId="39">
    <w:name w:val="ewm"/>
    <w:qFormat/>
    <w:uiPriority w:val="0"/>
  </w:style>
  <w:style w:type="character" w:customStyle="1" w:styleId="40">
    <w:name w:val="z-crt2"/>
    <w:qFormat/>
    <w:uiPriority w:val="0"/>
    <w:rPr>
      <w:color w:val="FFFFFF"/>
      <w:bdr w:val="single" w:color="5294E5" w:sz="6" w:space="0"/>
      <w:shd w:val="clear" w:color="auto" w:fill="5294E5"/>
    </w:rPr>
  </w:style>
  <w:style w:type="character" w:customStyle="1" w:styleId="41">
    <w:name w:val="r-search1"/>
    <w:qFormat/>
    <w:uiPriority w:val="0"/>
  </w:style>
  <w:style w:type="character" w:customStyle="1" w:styleId="42">
    <w:name w:val="_Style 2"/>
    <w:qFormat/>
    <w:uiPriority w:val="0"/>
    <w:rPr>
      <w:rFonts w:eastAsia="仿宋_GB2312"/>
      <w:bCs/>
      <w:iCs/>
      <w:color w:val="auto"/>
      <w:sz w:val="32"/>
    </w:rPr>
  </w:style>
  <w:style w:type="character" w:customStyle="1" w:styleId="43">
    <w:name w:val="hover42"/>
    <w:qFormat/>
    <w:uiPriority w:val="0"/>
  </w:style>
  <w:style w:type="character" w:customStyle="1" w:styleId="44">
    <w:name w:val="r-search"/>
    <w:qFormat/>
    <w:uiPriority w:val="0"/>
  </w:style>
  <w:style w:type="character" w:customStyle="1" w:styleId="45">
    <w:name w:val="times"/>
    <w:qFormat/>
    <w:uiPriority w:val="0"/>
    <w:rPr>
      <w:color w:val="3399FF"/>
      <w:bdr w:val="single" w:color="D1EDF8" w:sz="6" w:space="0"/>
      <w:shd w:val="clear" w:color="auto" w:fill="EAF9FF"/>
    </w:rPr>
  </w:style>
  <w:style w:type="character" w:customStyle="1" w:styleId="46">
    <w:name w:val="hover33"/>
    <w:qFormat/>
    <w:uiPriority w:val="0"/>
    <w:rPr>
      <w:color w:val="FFFFFF"/>
      <w:bdr w:val="single" w:color="5294E5" w:sz="6" w:space="0"/>
      <w:shd w:val="clear" w:color="auto" w:fill="5294E5"/>
    </w:rPr>
  </w:style>
  <w:style w:type="character" w:customStyle="1" w:styleId="47">
    <w:name w:val="times1"/>
    <w:qFormat/>
    <w:uiPriority w:val="0"/>
    <w:rPr>
      <w:color w:val="CDCDCD"/>
      <w:bdr w:val="single" w:color="CDCDCD" w:sz="6" w:space="0"/>
      <w:shd w:val="clear" w:color="auto" w:fill="EFEFEF"/>
    </w:rPr>
  </w:style>
  <w:style w:type="character" w:customStyle="1" w:styleId="48">
    <w:name w:val="z-crt1"/>
    <w:qFormat/>
    <w:uiPriority w:val="0"/>
    <w:rPr>
      <w:color w:val="FFFFFF"/>
      <w:bdr w:val="single" w:color="5295E6" w:sz="6" w:space="0"/>
      <w:shd w:val="clear" w:color="auto" w:fill="5295E6"/>
    </w:rPr>
  </w:style>
  <w:style w:type="character" w:customStyle="1" w:styleId="49">
    <w:name w:val="first-child1"/>
    <w:qFormat/>
    <w:uiPriority w:val="0"/>
  </w:style>
  <w:style w:type="paragraph" w:customStyle="1" w:styleId="50">
    <w:name w:val="条款节部分"/>
    <w:basedOn w:val="1"/>
    <w:qFormat/>
    <w:uiPriority w:val="0"/>
    <w:pPr>
      <w:tabs>
        <w:tab w:val="left" w:pos="2850"/>
      </w:tabs>
      <w:ind w:left="2850" w:hanging="1770"/>
    </w:pPr>
    <w:rPr>
      <w:rFonts w:eastAsia="仿宋_GB2312"/>
      <w:sz w:val="32"/>
      <w:szCs w:val="32"/>
    </w:rPr>
  </w:style>
  <w:style w:type="paragraph" w:customStyle="1" w:styleId="51">
    <w:name w:val=" Char Char Char Char Char Char Char"/>
    <w:basedOn w:val="1"/>
    <w:qFormat/>
    <w:uiPriority w:val="0"/>
    <w:pPr>
      <w:tabs>
        <w:tab w:val="left" w:pos="425"/>
      </w:tabs>
      <w:ind w:left="425" w:hanging="425"/>
    </w:pPr>
    <w:rPr>
      <w:rFonts w:eastAsia="仿宋_GB2312"/>
      <w:kern w:val="24"/>
      <w:sz w:val="24"/>
    </w:rPr>
  </w:style>
  <w:style w:type="paragraph" w:customStyle="1" w:styleId="5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3">
    <w:name w:val="发文落款"/>
    <w:basedOn w:val="52"/>
    <w:qFormat/>
    <w:uiPriority w:val="0"/>
    <w:pPr>
      <w:ind w:left="4094" w:right="607" w:firstLine="0"/>
      <w:jc w:val="center"/>
    </w:pPr>
  </w:style>
  <w:style w:type="paragraph" w:customStyle="1" w:styleId="54">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55">
    <w:name w:val="样式 标题 3 + 首行缩进:  1.06 厘米"/>
    <w:basedOn w:val="5"/>
    <w:qFormat/>
    <w:uiPriority w:val="0"/>
    <w:pPr>
      <w:spacing w:before="120" w:after="0" w:line="240" w:lineRule="auto"/>
    </w:pPr>
    <w:rPr>
      <w:rFonts w:ascii="宋体" w:hAnsi="宋体" w:cs="宋体"/>
      <w:bCs w:val="0"/>
      <w:color w:val="000000"/>
      <w:kern w:val="0"/>
      <w:sz w:val="32"/>
    </w:rPr>
  </w:style>
  <w:style w:type="paragraph" w:styleId="56">
    <w:name w:val="List Paragraph"/>
    <w:basedOn w:val="1"/>
    <w:qFormat/>
    <w:uiPriority w:val="0"/>
    <w:pPr>
      <w:ind w:firstLine="420" w:firstLineChars="200"/>
    </w:pPr>
    <w:rPr>
      <w:szCs w:val="22"/>
    </w:rPr>
  </w:style>
  <w:style w:type="paragraph" w:customStyle="1" w:styleId="5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_Style 58"/>
    <w:unhideWhenUsed/>
    <w:qFormat/>
    <w:uiPriority w:val="99"/>
    <w:rPr>
      <w:rFonts w:ascii="Calibri" w:hAnsi="Calibri" w:eastAsia="宋体" w:cs="Times New Roman"/>
      <w:kern w:val="2"/>
      <w:sz w:val="21"/>
      <w:szCs w:val="24"/>
      <w:lang w:val="en-US" w:eastAsia="zh-CN" w:bidi="ar-SA"/>
    </w:rPr>
  </w:style>
  <w:style w:type="paragraph" w:customStyle="1" w:styleId="60">
    <w:name w:val="Blockquote"/>
    <w:basedOn w:val="1"/>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6440</Words>
  <Characters>36713</Characters>
  <Lines>305</Lines>
  <Paragraphs>86</Paragraphs>
  <TotalTime>39</TotalTime>
  <ScaleCrop>false</ScaleCrop>
  <LinksUpToDate>false</LinksUpToDate>
  <CharactersWithSpaces>43067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2023-08-17T03:59:00Z</dcterms:created>
  <dc:creator>1</dc:creator>
  <cp:lastModifiedBy>国科-钟工</cp:lastModifiedBy>
  <cp:lastPrinted>2023-08-17T09:14:00Z</cp:lastPrinted>
  <dcterms:modified xsi:type="dcterms:W3CDTF">2023-08-25T05:41:46Z</dcterms:modified>
  <dc:title>版本2004-9-30</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F53CB9BE36A547C3A3B4B2DD41366E70_13</vt:lpwstr>
  </property>
</Properties>
</file>