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80" w:lineRule="auto"/>
        <w:jc w:val="center"/>
        <w:outlineLvl w:val="0"/>
        <w:rPr>
          <w:b/>
          <w:kern w:val="0"/>
          <w:sz w:val="36"/>
          <w:szCs w:val="36"/>
          <w:u w:val="none"/>
        </w:rPr>
      </w:pPr>
      <w:bookmarkStart w:id="0" w:name="_Toc4310"/>
      <w:bookmarkStart w:id="1" w:name="_Toc6636"/>
    </w:p>
    <w:p>
      <w:pPr>
        <w:pStyle w:val="9"/>
        <w:spacing w:line="480" w:lineRule="auto"/>
        <w:jc w:val="center"/>
        <w:outlineLvl w:val="0"/>
        <w:rPr>
          <w:b/>
          <w:kern w:val="0"/>
          <w:sz w:val="44"/>
          <w:szCs w:val="44"/>
          <w:u w:val="none"/>
        </w:rPr>
      </w:pPr>
      <w:r>
        <w:rPr>
          <w:rFonts w:hint="eastAsia"/>
          <w:b/>
          <w:kern w:val="0"/>
          <w:sz w:val="44"/>
          <w:szCs w:val="44"/>
        </w:rPr>
        <w:t>知识城超级邻里中心监理</w:t>
      </w:r>
    </w:p>
    <w:p>
      <w:pPr>
        <w:jc w:val="center"/>
        <w:rPr>
          <w:rFonts w:ascii="黑体" w:eastAsia="黑体"/>
          <w:sz w:val="72"/>
          <w:szCs w:val="72"/>
        </w:rPr>
      </w:pPr>
    </w:p>
    <w:p>
      <w:pPr>
        <w:jc w:val="center"/>
        <w:rPr>
          <w:rFonts w:ascii="黑体" w:eastAsia="黑体"/>
          <w:sz w:val="72"/>
          <w:szCs w:val="72"/>
        </w:rPr>
      </w:pPr>
    </w:p>
    <w:p>
      <w:pPr>
        <w:ind w:right="-210" w:rightChars="-100"/>
        <w:jc w:val="center"/>
        <w:rPr>
          <w:rFonts w:ascii="黑体" w:eastAsia="黑体"/>
          <w:sz w:val="72"/>
          <w:szCs w:val="72"/>
        </w:rPr>
      </w:pPr>
    </w:p>
    <w:p>
      <w:pPr>
        <w:spacing w:line="360" w:lineRule="auto"/>
        <w:jc w:val="center"/>
        <w:rPr>
          <w:rFonts w:ascii="黑体" w:hAnsi="黑体" w:eastAsia="黑体"/>
          <w:b/>
          <w:sz w:val="96"/>
          <w:szCs w:val="96"/>
        </w:rPr>
      </w:pPr>
      <w:r>
        <w:rPr>
          <w:rFonts w:hint="eastAsia" w:ascii="黑体" w:hAnsi="黑体" w:eastAsia="黑体"/>
          <w:b/>
          <w:sz w:val="96"/>
          <w:szCs w:val="96"/>
        </w:rPr>
        <w:t>招标公告</w:t>
      </w:r>
    </w:p>
    <w:p>
      <w:pPr>
        <w:jc w:val="center"/>
        <w:rPr>
          <w:rFonts w:ascii="楷体_GB2312" w:eastAsia="楷体_GB2312"/>
          <w:sz w:val="32"/>
          <w:szCs w:val="32"/>
        </w:rPr>
      </w:pPr>
    </w:p>
    <w:p>
      <w:pPr>
        <w:spacing w:line="400" w:lineRule="exact"/>
        <w:jc w:val="center"/>
      </w:pPr>
    </w:p>
    <w:p>
      <w:pPr>
        <w:spacing w:line="400" w:lineRule="exact"/>
        <w:jc w:val="center"/>
      </w:pPr>
    </w:p>
    <w:p>
      <w:pPr>
        <w:spacing w:line="400" w:lineRule="exact"/>
        <w:jc w:val="center"/>
      </w:pPr>
    </w:p>
    <w:p>
      <w:pPr>
        <w:spacing w:line="400" w:lineRule="exact"/>
        <w:jc w:val="center"/>
      </w:pPr>
    </w:p>
    <w:p>
      <w:pPr>
        <w:spacing w:line="400" w:lineRule="exact"/>
        <w:jc w:val="center"/>
      </w:pPr>
    </w:p>
    <w:p>
      <w:pPr>
        <w:spacing w:line="400" w:lineRule="exact"/>
      </w:pPr>
    </w:p>
    <w:p>
      <w:pPr>
        <w:spacing w:line="400" w:lineRule="exact"/>
      </w:pPr>
    </w:p>
    <w:p>
      <w:pPr>
        <w:spacing w:line="400" w:lineRule="exact"/>
      </w:pPr>
    </w:p>
    <w:p>
      <w:pPr>
        <w:spacing w:line="400" w:lineRule="exact"/>
      </w:pPr>
    </w:p>
    <w:p>
      <w:pPr>
        <w:pStyle w:val="5"/>
      </w:pPr>
    </w:p>
    <w:p>
      <w:pPr>
        <w:spacing w:line="360" w:lineRule="auto"/>
        <w:ind w:firstLine="1606" w:firstLineChars="500"/>
        <w:rPr>
          <w:rFonts w:ascii="宋体" w:hAnsi="宋体" w:cs="宋体"/>
          <w:b/>
          <w:bCs/>
          <w:kern w:val="0"/>
          <w:sz w:val="32"/>
          <w:szCs w:val="32"/>
        </w:rPr>
      </w:pPr>
      <w:r>
        <w:rPr>
          <w:rFonts w:hint="eastAsia" w:ascii="宋体" w:hAnsi="宋体" w:cs="宋体"/>
          <w:b/>
          <w:bCs/>
          <w:sz w:val="32"/>
          <w:szCs w:val="32"/>
        </w:rPr>
        <w:t>招 标 人：</w:t>
      </w:r>
      <w:r>
        <w:rPr>
          <w:rFonts w:hint="eastAsia" w:ascii="宋体" w:hAnsi="宋体" w:cs="宋体"/>
          <w:b/>
          <w:bCs/>
          <w:sz w:val="30"/>
          <w:szCs w:val="30"/>
        </w:rPr>
        <w:t>广州智体投资运营有限公司</w:t>
      </w:r>
    </w:p>
    <w:p>
      <w:pPr>
        <w:spacing w:line="360" w:lineRule="auto"/>
        <w:ind w:firstLine="1558" w:firstLineChars="485"/>
        <w:jc w:val="left"/>
        <w:rPr>
          <w:rFonts w:ascii="宋体" w:hAnsi="宋体" w:cs="宋体"/>
          <w:b/>
          <w:bCs/>
          <w:kern w:val="0"/>
          <w:sz w:val="32"/>
          <w:szCs w:val="32"/>
        </w:rPr>
      </w:pPr>
      <w:r>
        <w:rPr>
          <w:rFonts w:hint="eastAsia" w:ascii="宋体" w:hAnsi="宋体" w:cs="宋体"/>
          <w:b/>
          <w:bCs/>
          <w:sz w:val="32"/>
          <w:szCs w:val="32"/>
        </w:rPr>
        <w:t>招标代理机构：</w:t>
      </w:r>
      <w:r>
        <w:rPr>
          <w:rFonts w:hint="eastAsia" w:ascii="宋体" w:hAnsi="宋体" w:cs="宋体"/>
          <w:b/>
          <w:bCs/>
          <w:sz w:val="30"/>
          <w:szCs w:val="30"/>
        </w:rPr>
        <w:t>广东工程建设监理有限公司</w:t>
      </w:r>
    </w:p>
    <w:p>
      <w:pPr>
        <w:spacing w:line="360" w:lineRule="auto"/>
        <w:ind w:firstLine="1506" w:firstLineChars="500"/>
        <w:rPr>
          <w:rFonts w:ascii="宋体" w:hAnsi="宋体" w:cs="宋体"/>
          <w:b/>
          <w:sz w:val="30"/>
          <w:szCs w:val="30"/>
        </w:rPr>
      </w:pPr>
      <w:r>
        <w:rPr>
          <w:rFonts w:hint="eastAsia" w:ascii="宋体" w:hAnsi="宋体" w:cs="宋体"/>
          <w:b/>
          <w:sz w:val="30"/>
          <w:szCs w:val="30"/>
        </w:rPr>
        <w:t xml:space="preserve">日 </w:t>
      </w:r>
      <w:r>
        <w:rPr>
          <w:rFonts w:ascii="宋体" w:hAnsi="宋体" w:cs="宋体"/>
          <w:b/>
          <w:sz w:val="30"/>
          <w:szCs w:val="30"/>
        </w:rPr>
        <w:t xml:space="preserve"> </w:t>
      </w:r>
      <w:r>
        <w:rPr>
          <w:rFonts w:hint="eastAsia" w:ascii="宋体" w:hAnsi="宋体" w:cs="宋体"/>
          <w:b/>
          <w:sz w:val="30"/>
          <w:szCs w:val="30"/>
        </w:rPr>
        <w:t>期：</w:t>
      </w:r>
      <w:r>
        <w:rPr>
          <w:rFonts w:ascii="宋体" w:hAnsi="宋体" w:cs="宋体"/>
          <w:b/>
          <w:sz w:val="30"/>
          <w:szCs w:val="30"/>
          <w:u w:val="single"/>
        </w:rPr>
        <w:t>202</w:t>
      </w:r>
      <w:r>
        <w:rPr>
          <w:rFonts w:hint="eastAsia" w:ascii="宋体" w:hAnsi="宋体" w:cs="宋体"/>
          <w:b/>
          <w:sz w:val="30"/>
          <w:szCs w:val="30"/>
          <w:u w:val="single"/>
        </w:rPr>
        <w:t>3</w:t>
      </w:r>
      <w:r>
        <w:rPr>
          <w:rFonts w:hint="eastAsia" w:ascii="宋体" w:hAnsi="宋体" w:cs="宋体"/>
          <w:b/>
          <w:sz w:val="30"/>
          <w:szCs w:val="30"/>
        </w:rPr>
        <w:t>年</w:t>
      </w:r>
      <w:r>
        <w:rPr>
          <w:rFonts w:hint="eastAsia" w:ascii="宋体" w:hAnsi="宋体" w:cs="宋体"/>
          <w:b/>
          <w:sz w:val="30"/>
          <w:szCs w:val="30"/>
          <w:u w:val="single"/>
        </w:rPr>
        <w:t>8</w:t>
      </w:r>
      <w:r>
        <w:rPr>
          <w:rFonts w:hint="eastAsia" w:ascii="宋体" w:hAnsi="宋体" w:cs="宋体"/>
          <w:b/>
          <w:sz w:val="30"/>
          <w:szCs w:val="30"/>
        </w:rPr>
        <w:t>月</w:t>
      </w:r>
    </w:p>
    <w:p>
      <w:pPr>
        <w:pStyle w:val="5"/>
      </w:pPr>
    </w:p>
    <w:p>
      <w:pPr>
        <w:spacing w:line="276" w:lineRule="auto"/>
        <w:jc w:val="center"/>
        <w:rPr>
          <w:rFonts w:hAnsi="宋体"/>
          <w:b/>
          <w:bCs/>
          <w:sz w:val="36"/>
          <w:szCs w:val="36"/>
        </w:rPr>
      </w:pPr>
      <w:r>
        <w:rPr>
          <w:rFonts w:hint="eastAsia" w:hAnsi="宋体"/>
          <w:b/>
          <w:bCs/>
          <w:sz w:val="36"/>
          <w:szCs w:val="36"/>
        </w:rPr>
        <w:t>知识城超级邻里中心监理招标公告</w:t>
      </w:r>
    </w:p>
    <w:p>
      <w:pPr>
        <w:spacing w:line="276" w:lineRule="auto"/>
        <w:jc w:val="center"/>
        <w:rPr>
          <w:rFonts w:hAnsi="宋体"/>
          <w:b/>
          <w:sz w:val="36"/>
          <w:szCs w:val="36"/>
        </w:rPr>
      </w:pPr>
    </w:p>
    <w:p>
      <w:pPr>
        <w:pStyle w:val="2"/>
        <w:keepNext w:val="0"/>
        <w:keepLines w:val="0"/>
        <w:spacing w:before="0" w:after="0" w:line="360" w:lineRule="auto"/>
        <w:rPr>
          <w:rFonts w:ascii="Times New Roman" w:hAnsi="Times New Roman"/>
        </w:rPr>
      </w:pPr>
      <w:bookmarkStart w:id="2" w:name="_Toc515033010"/>
      <w:bookmarkStart w:id="3" w:name="_Toc511557025"/>
      <w:r>
        <w:rPr>
          <w:rFonts w:ascii="Times New Roman" w:hAnsi="Times New Roman"/>
        </w:rPr>
        <w:t>1. 招标条件</w:t>
      </w:r>
      <w:bookmarkEnd w:id="2"/>
      <w:bookmarkEnd w:id="3"/>
    </w:p>
    <w:p>
      <w:pPr>
        <w:spacing w:line="360" w:lineRule="auto"/>
        <w:ind w:firstLine="424" w:firstLineChars="177"/>
        <w:rPr>
          <w:rFonts w:ascii="宋体" w:hAnsi="宋体" w:cs="宋体"/>
          <w:sz w:val="24"/>
        </w:rPr>
      </w:pPr>
      <w:r>
        <w:rPr>
          <w:rFonts w:hint="eastAsia" w:ascii="宋体" w:hAnsi="宋体" w:cs="宋体"/>
          <w:sz w:val="24"/>
        </w:rPr>
        <w:t>本招标项目</w:t>
      </w:r>
      <w:r>
        <w:rPr>
          <w:rFonts w:hint="eastAsia" w:ascii="宋体" w:hAnsi="宋体" w:cs="宋体"/>
          <w:bCs/>
          <w:sz w:val="24"/>
          <w:u w:val="single"/>
        </w:rPr>
        <w:t>知识城超级邻里中心</w:t>
      </w:r>
      <w:r>
        <w:rPr>
          <w:rFonts w:hint="eastAsia" w:ascii="宋体" w:hAnsi="宋体" w:cs="宋体"/>
          <w:sz w:val="24"/>
        </w:rPr>
        <w:t>（项目名称）已由</w:t>
      </w:r>
      <w:r>
        <w:rPr>
          <w:rFonts w:hint="eastAsia" w:ascii="宋体" w:hAnsi="宋体" w:cs="宋体"/>
          <w:sz w:val="24"/>
          <w:u w:val="single"/>
        </w:rPr>
        <w:t xml:space="preserve"> 广州市黄埔区发展和改革局</w:t>
      </w:r>
      <w:r>
        <w:rPr>
          <w:rFonts w:hint="eastAsia" w:ascii="宋体" w:hAnsi="宋体" w:cs="宋体"/>
          <w:sz w:val="24"/>
        </w:rPr>
        <w:t>（项目审批、核准或备案机关名称）以</w:t>
      </w:r>
      <w:r>
        <w:rPr>
          <w:rFonts w:hint="eastAsia" w:ascii="宋体" w:hAnsi="宋体" w:cs="宋体"/>
          <w:sz w:val="24"/>
          <w:u w:val="single"/>
        </w:rPr>
        <w:t>广东省企业投资项目备案证（项目代码：2304-440112-04-01-693258）</w:t>
      </w:r>
      <w:r>
        <w:rPr>
          <w:rFonts w:hint="eastAsia" w:ascii="宋体" w:hAnsi="宋体" w:cs="宋体"/>
          <w:sz w:val="24"/>
        </w:rPr>
        <w:t>批准建设，项目业主为</w:t>
      </w:r>
      <w:r>
        <w:rPr>
          <w:rFonts w:hint="eastAsia" w:ascii="宋体" w:hAnsi="宋体" w:cs="宋体"/>
          <w:sz w:val="24"/>
          <w:u w:val="single"/>
        </w:rPr>
        <w:t>广州智体投资运营有限公司，</w:t>
      </w:r>
      <w:r>
        <w:rPr>
          <w:rFonts w:hint="eastAsia" w:ascii="宋体" w:hAnsi="宋体" w:cs="宋体"/>
          <w:sz w:val="24"/>
        </w:rPr>
        <w:t>建设资金来自</w:t>
      </w:r>
      <w:r>
        <w:rPr>
          <w:rFonts w:hint="eastAsia" w:ascii="宋体" w:hAnsi="宋体" w:cs="宋体"/>
          <w:sz w:val="24"/>
          <w:u w:val="single"/>
        </w:rPr>
        <w:t xml:space="preserve">自筹资金 </w:t>
      </w:r>
      <w:r>
        <w:rPr>
          <w:rFonts w:hint="eastAsia" w:ascii="宋体" w:hAnsi="宋体" w:cs="宋体"/>
          <w:sz w:val="24"/>
        </w:rPr>
        <w:t>（资金来源），出资比例为</w:t>
      </w:r>
      <w:r>
        <w:rPr>
          <w:rFonts w:hint="eastAsia" w:ascii="宋体" w:hAnsi="宋体" w:cs="宋体"/>
          <w:sz w:val="24"/>
          <w:u w:val="single"/>
        </w:rPr>
        <w:t xml:space="preserve"> 100% </w:t>
      </w:r>
      <w:r>
        <w:rPr>
          <w:rFonts w:hint="eastAsia" w:ascii="宋体" w:hAnsi="宋体" w:cs="宋体"/>
          <w:sz w:val="24"/>
        </w:rPr>
        <w:t>，招标人为</w:t>
      </w:r>
      <w:r>
        <w:rPr>
          <w:rFonts w:hint="eastAsia" w:ascii="宋体" w:hAnsi="宋体" w:cs="宋体"/>
          <w:sz w:val="24"/>
          <w:u w:val="single"/>
        </w:rPr>
        <w:t>广州智体投资运营有限公司</w:t>
      </w:r>
      <w:r>
        <w:rPr>
          <w:rFonts w:hint="eastAsia" w:ascii="宋体" w:hAnsi="宋体" w:cs="宋体"/>
          <w:sz w:val="24"/>
        </w:rPr>
        <w:t>。项目已具备招标条件，现对该项目的监理进行公开招标。</w:t>
      </w:r>
    </w:p>
    <w:p>
      <w:pPr>
        <w:pStyle w:val="5"/>
      </w:pPr>
    </w:p>
    <w:p>
      <w:pPr>
        <w:pStyle w:val="2"/>
        <w:keepNext w:val="0"/>
        <w:keepLines w:val="0"/>
        <w:spacing w:before="0" w:after="0" w:line="360" w:lineRule="auto"/>
        <w:rPr>
          <w:rFonts w:ascii="Times New Roman" w:hAnsi="Times New Roman"/>
        </w:rPr>
      </w:pPr>
      <w:bookmarkStart w:id="4" w:name="_Toc511557026"/>
      <w:bookmarkStart w:id="5" w:name="_Toc515033011"/>
      <w:r>
        <w:rPr>
          <w:rFonts w:ascii="Times New Roman" w:hAnsi="Times New Roman"/>
        </w:rPr>
        <w:t>2. 项目概况与招标范围</w:t>
      </w:r>
      <w:bookmarkEnd w:id="4"/>
      <w:bookmarkEnd w:id="5"/>
    </w:p>
    <w:p>
      <w:pPr>
        <w:tabs>
          <w:tab w:val="left" w:pos="7513"/>
        </w:tabs>
        <w:spacing w:line="360" w:lineRule="auto"/>
        <w:ind w:firstLine="426" w:firstLineChars="177"/>
        <w:rPr>
          <w:rFonts w:ascii="宋体" w:hAnsi="宋体" w:eastAsia="楷体_GB2312" w:cs="宋体"/>
          <w:b/>
          <w:bCs/>
          <w:sz w:val="24"/>
        </w:rPr>
      </w:pPr>
      <w:r>
        <w:rPr>
          <w:rFonts w:hint="eastAsia" w:ascii="宋体" w:hAnsi="宋体" w:cs="宋体"/>
          <w:b/>
          <w:bCs/>
          <w:sz w:val="24"/>
        </w:rPr>
        <w:t>2.1招标项目概况</w:t>
      </w:r>
    </w:p>
    <w:p>
      <w:pPr>
        <w:tabs>
          <w:tab w:val="left" w:pos="7513"/>
        </w:tabs>
        <w:spacing w:line="360" w:lineRule="auto"/>
        <w:ind w:firstLine="426" w:firstLineChars="177"/>
        <w:rPr>
          <w:rFonts w:ascii="宋体" w:hAnsi="宋体" w:cs="宋体"/>
          <w:sz w:val="24"/>
          <w:u w:val="single"/>
        </w:rPr>
      </w:pPr>
      <w:r>
        <w:rPr>
          <w:rFonts w:hint="eastAsia" w:ascii="宋体" w:hAnsi="宋体" w:cs="宋体"/>
          <w:b/>
          <w:bCs/>
          <w:sz w:val="24"/>
        </w:rPr>
        <w:t xml:space="preserve">2.1.1 </w:t>
      </w:r>
      <w:r>
        <w:rPr>
          <w:rFonts w:hint="eastAsia" w:ascii="宋体" w:hAnsi="宋体" w:cs="宋体"/>
          <w:sz w:val="24"/>
        </w:rPr>
        <w:t>招标项目名称：</w:t>
      </w:r>
      <w:r>
        <w:rPr>
          <w:rFonts w:hint="eastAsia" w:ascii="宋体" w:hAnsi="宋体" w:cs="宋体"/>
          <w:sz w:val="24"/>
          <w:u w:val="single"/>
        </w:rPr>
        <w:t>知识城超级邻里中心监理</w:t>
      </w:r>
    </w:p>
    <w:p>
      <w:pPr>
        <w:tabs>
          <w:tab w:val="left" w:pos="7513"/>
        </w:tabs>
        <w:spacing w:line="360" w:lineRule="auto"/>
        <w:ind w:firstLine="426" w:firstLineChars="177"/>
        <w:rPr>
          <w:rFonts w:ascii="宋体" w:hAnsi="宋体" w:cs="宋体"/>
          <w:sz w:val="24"/>
        </w:rPr>
      </w:pPr>
      <w:r>
        <w:rPr>
          <w:rFonts w:hint="eastAsia" w:ascii="宋体" w:hAnsi="宋体" w:cs="宋体"/>
          <w:b/>
          <w:bCs/>
          <w:sz w:val="24"/>
        </w:rPr>
        <w:t>2.1.</w:t>
      </w:r>
      <w:r>
        <w:rPr>
          <w:rFonts w:ascii="宋体" w:hAnsi="宋体" w:cs="宋体"/>
          <w:b/>
          <w:bCs/>
          <w:sz w:val="24"/>
        </w:rPr>
        <w:t>2</w:t>
      </w:r>
      <w:r>
        <w:rPr>
          <w:rFonts w:hint="eastAsia" w:ascii="宋体" w:hAnsi="宋体" w:cs="宋体"/>
          <w:sz w:val="24"/>
        </w:rPr>
        <w:t xml:space="preserve"> 工程建设地点：</w:t>
      </w:r>
      <w:r>
        <w:rPr>
          <w:rFonts w:hint="eastAsia" w:ascii="宋体" w:hAnsi="宋体" w:cs="宋体"/>
          <w:sz w:val="24"/>
          <w:u w:val="single"/>
        </w:rPr>
        <w:t>广州市黄埔区龙湖街道广州市黄埔区九龙镇创新大道以西、知识大道以南ZSCN-D2-5地块（广州经济技术开发区）</w:t>
      </w:r>
    </w:p>
    <w:p>
      <w:pPr>
        <w:tabs>
          <w:tab w:val="left" w:pos="7513"/>
        </w:tabs>
        <w:spacing w:line="360" w:lineRule="auto"/>
        <w:ind w:firstLine="426" w:firstLineChars="177"/>
        <w:rPr>
          <w:rFonts w:ascii="宋体" w:hAnsi="宋体" w:cs="宋体"/>
          <w:sz w:val="24"/>
        </w:rPr>
      </w:pPr>
      <w:r>
        <w:rPr>
          <w:rFonts w:hint="eastAsia" w:ascii="宋体" w:hAnsi="宋体" w:cs="宋体"/>
          <w:b/>
          <w:bCs/>
          <w:sz w:val="24"/>
        </w:rPr>
        <w:t>2.1.</w:t>
      </w:r>
      <w:r>
        <w:rPr>
          <w:rFonts w:ascii="宋体" w:hAnsi="宋体" w:cs="宋体"/>
          <w:b/>
          <w:bCs/>
          <w:sz w:val="24"/>
        </w:rPr>
        <w:t>3</w:t>
      </w:r>
      <w:r>
        <w:rPr>
          <w:rFonts w:hint="eastAsia" w:ascii="宋体" w:hAnsi="宋体" w:cs="宋体"/>
          <w:sz w:val="24"/>
        </w:rPr>
        <w:t xml:space="preserve"> 工程建设规模：</w:t>
      </w:r>
      <w:r>
        <w:rPr>
          <w:rFonts w:hint="eastAsia" w:ascii="宋体" w:hAnsi="宋体" w:cs="宋体"/>
          <w:sz w:val="24"/>
          <w:u w:val="single"/>
        </w:rPr>
        <w:t>超级邻里中心项目拟建设游泳馆、足球馆、羽毛球馆、多功能馆、拳击馆、攀岩馆、健身房、网球场、足球场、办公塔楼4座、体育商业主力商店、零售商场、肉菜市场、社区卫生服务中心、残疾人康复服务中心、嵌入式社区养老机构、物流配送站、邮政所、公共厕所、机动车停车场等设施。拟建项目总用地面积约70233 平方米，总建筑面积约301486平方米，最大单体建筑面积约50000平方米。具体以招标人最终实施的方案为准。</w:t>
      </w:r>
    </w:p>
    <w:p>
      <w:pPr>
        <w:shd w:val="clear" w:color="auto" w:fill="FFFFFF"/>
        <w:adjustRightInd w:val="0"/>
        <w:spacing w:line="360" w:lineRule="auto"/>
        <w:ind w:firstLine="426" w:firstLineChars="177"/>
        <w:jc w:val="left"/>
        <w:rPr>
          <w:rFonts w:ascii="宋体" w:hAnsi="宋体" w:cs="宋体"/>
          <w:sz w:val="24"/>
          <w:u w:val="single"/>
        </w:rPr>
      </w:pPr>
      <w:r>
        <w:rPr>
          <w:rFonts w:hint="eastAsia" w:ascii="宋体" w:hAnsi="宋体" w:cs="宋体"/>
          <w:b/>
          <w:bCs/>
          <w:sz w:val="24"/>
        </w:rPr>
        <w:t>2.1.4</w:t>
      </w:r>
      <w:r>
        <w:rPr>
          <w:rFonts w:hint="eastAsia" w:ascii="宋体" w:hAnsi="宋体" w:cs="宋体"/>
          <w:sz w:val="24"/>
        </w:rPr>
        <w:t xml:space="preserve"> 工程投资额：</w:t>
      </w:r>
      <w:r>
        <w:rPr>
          <w:rFonts w:hint="eastAsia" w:ascii="宋体" w:hAnsi="宋体" w:cs="宋体"/>
          <w:sz w:val="24"/>
          <w:u w:val="single"/>
        </w:rPr>
        <w:t>项目总投资约369657.57万元，建筑安装工程费暂定为</w:t>
      </w:r>
      <w:r>
        <w:rPr>
          <w:rFonts w:ascii="宋体" w:hAnsi="宋体" w:cs="宋体"/>
          <w:sz w:val="24"/>
          <w:u w:val="single"/>
        </w:rPr>
        <w:t>184025.753631万元</w:t>
      </w:r>
      <w:r>
        <w:rPr>
          <w:rFonts w:hint="eastAsia" w:ascii="宋体" w:hAnsi="宋体" w:cs="宋体"/>
          <w:sz w:val="24"/>
          <w:u w:val="single"/>
        </w:rPr>
        <w:t>。</w:t>
      </w:r>
    </w:p>
    <w:p>
      <w:pPr>
        <w:widowControl/>
        <w:shd w:val="clear" w:color="auto" w:fill="FFFFFF"/>
        <w:tabs>
          <w:tab w:val="left" w:pos="1800"/>
        </w:tabs>
        <w:snapToGrid w:val="0"/>
        <w:spacing w:line="360" w:lineRule="auto"/>
        <w:ind w:firstLine="424" w:firstLineChars="176"/>
        <w:jc w:val="left"/>
        <w:rPr>
          <w:sz w:val="24"/>
        </w:rPr>
      </w:pPr>
      <w:r>
        <w:rPr>
          <w:rFonts w:hint="eastAsia" w:ascii="宋体" w:hAnsi="宋体" w:cs="宋体"/>
          <w:b/>
          <w:bCs/>
          <w:sz w:val="24"/>
        </w:rPr>
        <w:t>2.1.</w:t>
      </w:r>
      <w:r>
        <w:rPr>
          <w:rFonts w:ascii="宋体" w:hAnsi="宋体" w:cs="宋体"/>
          <w:b/>
          <w:bCs/>
          <w:sz w:val="24"/>
        </w:rPr>
        <w:t>5</w:t>
      </w:r>
      <w:r>
        <w:rPr>
          <w:rFonts w:hint="eastAsia"/>
          <w:sz w:val="24"/>
        </w:rPr>
        <w:t>若本</w:t>
      </w:r>
      <w:r>
        <w:rPr>
          <w:rFonts w:hint="eastAsia" w:ascii="宋体" w:hAnsi="宋体"/>
          <w:sz w:val="24"/>
        </w:rPr>
        <w:t>项目因国土、规划、建筑主管部门等原因，调整建设规模或终止实施，中标人只能就已经完成且通过业主确认的工作量申请补偿，其他内容均不得索赔，中标人不得有异议。</w:t>
      </w:r>
    </w:p>
    <w:p>
      <w:pPr>
        <w:shd w:val="clear" w:color="auto" w:fill="FFFFFF"/>
        <w:adjustRightInd w:val="0"/>
        <w:spacing w:line="360" w:lineRule="auto"/>
        <w:ind w:firstLine="426" w:firstLineChars="177"/>
        <w:jc w:val="left"/>
        <w:rPr>
          <w:rFonts w:ascii="宋体" w:hAnsi="宋体" w:eastAsia="楷体_GB2312" w:cs="宋体"/>
          <w:b/>
          <w:bCs/>
          <w:sz w:val="24"/>
        </w:rPr>
      </w:pPr>
      <w:r>
        <w:rPr>
          <w:rFonts w:hint="eastAsia" w:ascii="宋体" w:hAnsi="宋体" w:cs="宋体"/>
          <w:b/>
          <w:bCs/>
          <w:sz w:val="24"/>
        </w:rPr>
        <w:t>2.2招标范围</w:t>
      </w:r>
    </w:p>
    <w:p>
      <w:pPr>
        <w:shd w:val="clear" w:color="auto" w:fill="FFFFFF"/>
        <w:adjustRightInd w:val="0"/>
        <w:spacing w:line="360" w:lineRule="auto"/>
        <w:ind w:firstLine="426" w:firstLineChars="177"/>
        <w:jc w:val="left"/>
        <w:rPr>
          <w:rFonts w:ascii="宋体" w:hAnsi="宋体" w:cs="宋体"/>
          <w:sz w:val="24"/>
        </w:rPr>
      </w:pPr>
      <w:r>
        <w:rPr>
          <w:rFonts w:hint="eastAsia" w:ascii="宋体" w:hAnsi="宋体" w:cs="宋体"/>
          <w:b/>
          <w:bCs/>
          <w:sz w:val="24"/>
        </w:rPr>
        <w:t>2.2.1</w:t>
      </w:r>
      <w:r>
        <w:rPr>
          <w:rFonts w:hint="eastAsia" w:ascii="宋体" w:hAnsi="宋体" w:cs="宋体"/>
          <w:sz w:val="24"/>
        </w:rPr>
        <w:t xml:space="preserve"> 监理标段划分：本项目分为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个标段。</w:t>
      </w:r>
    </w:p>
    <w:p>
      <w:pPr>
        <w:shd w:val="clear" w:color="auto" w:fill="FFFFFF"/>
        <w:adjustRightInd w:val="0"/>
        <w:spacing w:line="360" w:lineRule="auto"/>
        <w:ind w:firstLine="426" w:firstLineChars="177"/>
        <w:jc w:val="left"/>
        <w:rPr>
          <w:rFonts w:ascii="宋体" w:hAnsi="宋体" w:cs="宋体"/>
          <w:sz w:val="24"/>
          <w:u w:val="single"/>
        </w:rPr>
      </w:pPr>
      <w:r>
        <w:rPr>
          <w:rFonts w:hint="eastAsia" w:ascii="宋体" w:hAnsi="宋体" w:cs="宋体"/>
          <w:b/>
          <w:bCs/>
          <w:sz w:val="24"/>
        </w:rPr>
        <w:t>2.2.2</w:t>
      </w:r>
      <w:r>
        <w:rPr>
          <w:rFonts w:hint="eastAsia" w:ascii="宋体" w:hAnsi="宋体" w:cs="宋体"/>
          <w:sz w:val="24"/>
        </w:rPr>
        <w:t xml:space="preserve"> 监理范围：</w:t>
      </w:r>
      <w:r>
        <w:rPr>
          <w:rFonts w:hint="eastAsia" w:ascii="宋体" w:hAnsi="宋体" w:cs="宋体"/>
          <w:sz w:val="24"/>
          <w:u w:val="single"/>
        </w:rPr>
        <w:t>知识城超级邻里中心所有工程。监理内容包括但不限于以下内容：本项目全部工程的勘察设计阶段、施工准备阶段、施工阶段、验收阶段、竣工结算阶段、移交阶段、保修阶段的质量、投资、进度、安全控制；监督、管理建设工程合同的履行，以及协调和工程建设有关各方的工作关系，预结算审核（含进度款审核、变更签证造价审核、预算审核、工程竣工结算审核）、竣工图审核等全过程监理及造价咨询相关工作。具体按合同条款约定。</w:t>
      </w:r>
    </w:p>
    <w:p>
      <w:pPr>
        <w:tabs>
          <w:tab w:val="left" w:pos="7513"/>
        </w:tabs>
        <w:spacing w:line="360" w:lineRule="auto"/>
        <w:ind w:firstLine="424" w:firstLineChars="177"/>
        <w:rPr>
          <w:rFonts w:ascii="宋体" w:hAnsi="宋体" w:cs="宋体"/>
          <w:sz w:val="24"/>
          <w:u w:val="single"/>
        </w:rPr>
      </w:pPr>
      <w:r>
        <w:rPr>
          <w:rFonts w:hint="eastAsia" w:ascii="宋体" w:hAnsi="宋体" w:cs="宋体"/>
          <w:sz w:val="24"/>
        </w:rPr>
        <w:t>2.2.3 监理服务期限</w:t>
      </w:r>
    </w:p>
    <w:p>
      <w:pPr>
        <w:tabs>
          <w:tab w:val="left" w:pos="7513"/>
        </w:tabs>
        <w:spacing w:line="360" w:lineRule="auto"/>
        <w:ind w:firstLine="424" w:firstLineChars="177"/>
        <w:rPr>
          <w:rFonts w:ascii="宋体" w:hAnsi="宋体" w:cs="宋体"/>
          <w:sz w:val="24"/>
        </w:rPr>
      </w:pPr>
      <w:r>
        <w:rPr>
          <w:rFonts w:hint="eastAsia" w:ascii="宋体" w:hAnsi="宋体" w:cs="宋体"/>
          <w:sz w:val="24"/>
        </w:rPr>
        <w:t>施工准备阶段：从中标通知书发出之日起至工程开工为止；</w:t>
      </w:r>
    </w:p>
    <w:p>
      <w:pPr>
        <w:tabs>
          <w:tab w:val="left" w:pos="7513"/>
        </w:tabs>
        <w:spacing w:line="360" w:lineRule="auto"/>
        <w:ind w:firstLine="424" w:firstLineChars="177"/>
        <w:rPr>
          <w:rFonts w:ascii="宋体" w:hAnsi="宋体" w:cs="宋体"/>
          <w:sz w:val="24"/>
        </w:rPr>
      </w:pPr>
      <w:r>
        <w:rPr>
          <w:rFonts w:hint="eastAsia" w:ascii="宋体" w:hAnsi="宋体" w:cs="宋体"/>
          <w:sz w:val="24"/>
        </w:rPr>
        <w:t>施工阶段监理服务期：从业主下达开工令或开工报告审批之日起至施工项目全部完工并办理竣工验收、竣工结算、备案管理为止；</w:t>
      </w:r>
    </w:p>
    <w:p>
      <w:pPr>
        <w:tabs>
          <w:tab w:val="left" w:pos="7513"/>
        </w:tabs>
        <w:spacing w:line="360" w:lineRule="auto"/>
        <w:ind w:firstLine="424" w:firstLineChars="177"/>
        <w:rPr>
          <w:rFonts w:ascii="宋体" w:hAnsi="宋体" w:cs="宋体"/>
          <w:sz w:val="24"/>
        </w:rPr>
      </w:pPr>
      <w:r>
        <w:rPr>
          <w:rFonts w:hint="eastAsia" w:ascii="宋体" w:hAnsi="宋体" w:cs="宋体"/>
          <w:sz w:val="24"/>
        </w:rPr>
        <w:t>缺陷责任期阶段监理服务期：施工的缺陷责任期自通过竣工验收合格之日起计算，为期2年。</w:t>
      </w:r>
    </w:p>
    <w:p>
      <w:pPr>
        <w:tabs>
          <w:tab w:val="left" w:pos="7513"/>
        </w:tabs>
        <w:spacing w:line="360" w:lineRule="auto"/>
        <w:ind w:firstLine="424" w:firstLineChars="177"/>
        <w:rPr>
          <w:rFonts w:ascii="宋体" w:hAnsi="宋体" w:cs="宋体"/>
          <w:sz w:val="24"/>
        </w:rPr>
      </w:pPr>
      <w:r>
        <w:rPr>
          <w:rFonts w:hint="eastAsia" w:ascii="宋体" w:hAnsi="宋体" w:cs="宋体"/>
          <w:sz w:val="24"/>
        </w:rPr>
        <w:t>竣工结算期：从结算送审到终审。</w:t>
      </w:r>
    </w:p>
    <w:p>
      <w:pPr>
        <w:tabs>
          <w:tab w:val="left" w:pos="7513"/>
        </w:tabs>
        <w:spacing w:line="360" w:lineRule="auto"/>
        <w:ind w:firstLine="424" w:firstLineChars="177"/>
        <w:rPr>
          <w:rFonts w:ascii="宋体" w:hAnsi="宋体" w:cs="宋体"/>
          <w:sz w:val="24"/>
        </w:rPr>
      </w:pPr>
      <w:r>
        <w:rPr>
          <w:rFonts w:hint="eastAsia" w:ascii="宋体" w:hAnsi="宋体" w:cs="宋体"/>
          <w:sz w:val="24"/>
        </w:rPr>
        <w:t xml:space="preserve">2.2.4 监理服务最高投标限价： </w:t>
      </w:r>
      <w:r>
        <w:rPr>
          <w:rFonts w:hint="eastAsia" w:ascii="宋体" w:hAnsi="宋体" w:cs="宋体"/>
          <w:sz w:val="24"/>
          <w:u w:val="single"/>
        </w:rPr>
        <w:t xml:space="preserve"> </w:t>
      </w:r>
      <w:r>
        <w:rPr>
          <w:rFonts w:ascii="宋体" w:hAnsi="宋体" w:cs="宋体"/>
          <w:sz w:val="24"/>
          <w:u w:val="single"/>
        </w:rPr>
        <w:t>14169842.00</w:t>
      </w:r>
      <w:r>
        <w:rPr>
          <w:rFonts w:hint="eastAsia" w:ascii="宋体" w:hAnsi="宋体" w:cs="宋体"/>
          <w:sz w:val="24"/>
          <w:u w:val="single"/>
        </w:rPr>
        <w:t>元</w:t>
      </w:r>
      <w:r>
        <w:rPr>
          <w:rFonts w:hint="eastAsia" w:ascii="宋体" w:hAnsi="宋体" w:cs="宋体"/>
          <w:sz w:val="24"/>
        </w:rPr>
        <w:t>。</w:t>
      </w:r>
    </w:p>
    <w:p>
      <w:pPr>
        <w:pStyle w:val="5"/>
      </w:pPr>
    </w:p>
    <w:p>
      <w:pPr>
        <w:pStyle w:val="2"/>
        <w:keepNext w:val="0"/>
        <w:keepLines w:val="0"/>
        <w:spacing w:before="0" w:after="0" w:line="360" w:lineRule="auto"/>
        <w:rPr>
          <w:rFonts w:ascii="黑体" w:hAnsi="黑体" w:cs="楷体"/>
        </w:rPr>
      </w:pPr>
      <w:bookmarkStart w:id="6" w:name="_Toc511557027"/>
      <w:bookmarkStart w:id="7" w:name="_Toc515033012"/>
      <w:r>
        <w:rPr>
          <w:rFonts w:ascii="黑体" w:hAnsi="黑体" w:cs="楷体"/>
        </w:rPr>
        <w:t>3. 投标人资格要求</w:t>
      </w:r>
      <w:bookmarkEnd w:id="6"/>
      <w:bookmarkEnd w:id="7"/>
    </w:p>
    <w:p>
      <w:pPr>
        <w:spacing w:line="360" w:lineRule="auto"/>
        <w:ind w:firstLine="424" w:firstLineChars="177"/>
        <w:rPr>
          <w:rFonts w:ascii="宋体" w:hAnsi="宋体" w:cs="宋体"/>
          <w:sz w:val="24"/>
        </w:rPr>
      </w:pPr>
      <w:r>
        <w:rPr>
          <w:rFonts w:hint="eastAsia" w:ascii="宋体" w:hAnsi="宋体" w:cs="宋体"/>
          <w:sz w:val="24"/>
        </w:rPr>
        <w:t xml:space="preserve">3.1  本次招标要求投标人须具备相应资质，具备相应业绩。 </w:t>
      </w:r>
    </w:p>
    <w:p>
      <w:pPr>
        <w:spacing w:line="360" w:lineRule="auto"/>
        <w:ind w:firstLine="424" w:firstLineChars="177"/>
        <w:rPr>
          <w:rFonts w:ascii="宋体" w:hAnsi="宋体" w:cs="宋体"/>
          <w:sz w:val="24"/>
        </w:rPr>
      </w:pPr>
      <w:r>
        <w:rPr>
          <w:rFonts w:hint="eastAsia" w:ascii="宋体" w:hAnsi="宋体" w:cs="宋体"/>
          <w:sz w:val="24"/>
        </w:rPr>
        <w:t>3.1.1投标人须具备</w:t>
      </w:r>
      <w:r>
        <w:rPr>
          <w:rFonts w:hint="eastAsia" w:ascii="宋体" w:hAnsi="宋体" w:cs="宋体"/>
          <w:sz w:val="24"/>
          <w:u w:val="single"/>
        </w:rPr>
        <w:t>工程监理综合资质或房屋建筑工程监理甲级</w:t>
      </w:r>
      <w:r>
        <w:rPr>
          <w:rFonts w:hint="eastAsia" w:ascii="宋体" w:hAnsi="宋体" w:cs="宋体"/>
          <w:sz w:val="24"/>
        </w:rPr>
        <w:t>资质。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p>
      <w:pPr>
        <w:spacing w:line="360" w:lineRule="auto"/>
        <w:ind w:firstLine="424" w:firstLineChars="177"/>
        <w:rPr>
          <w:rFonts w:ascii="宋体" w:hAnsi="宋体" w:cs="宋体"/>
          <w:sz w:val="24"/>
        </w:rPr>
      </w:pPr>
      <w:r>
        <w:rPr>
          <w:rFonts w:hint="eastAsia" w:ascii="宋体" w:hAnsi="宋体" w:cs="宋体"/>
          <w:sz w:val="24"/>
        </w:rPr>
        <w:t>工程监理资质证书有效期按《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执行。</w:t>
      </w:r>
    </w:p>
    <w:p>
      <w:pPr>
        <w:spacing w:line="360" w:lineRule="auto"/>
        <w:ind w:firstLine="424" w:firstLineChars="177"/>
        <w:rPr>
          <w:rFonts w:ascii="宋体" w:hAnsi="宋体" w:cs="宋体"/>
          <w:sz w:val="24"/>
        </w:rPr>
      </w:pPr>
      <w:r>
        <w:rPr>
          <w:rFonts w:hint="eastAsia" w:ascii="宋体" w:hAnsi="宋体" w:cs="宋体"/>
          <w:sz w:val="24"/>
        </w:rPr>
        <w:t>3.1.2</w:t>
      </w:r>
      <w:r>
        <w:rPr>
          <w:rFonts w:hint="eastAsia" w:ascii="宋体" w:hAnsi="宋体" w:cs="宋体"/>
          <w:color w:val="000000"/>
          <w:sz w:val="24"/>
        </w:rPr>
        <w:t>投标人自</w:t>
      </w:r>
      <w:r>
        <w:rPr>
          <w:rFonts w:ascii="宋体" w:hAnsi="宋体" w:cs="宋体"/>
          <w:color w:val="000000"/>
          <w:sz w:val="24"/>
          <w:u w:val="single"/>
        </w:rPr>
        <w:t>201</w:t>
      </w:r>
      <w:r>
        <w:rPr>
          <w:rFonts w:hint="eastAsia" w:ascii="宋体" w:hAnsi="宋体" w:cs="宋体"/>
          <w:color w:val="000000"/>
          <w:sz w:val="24"/>
          <w:u w:val="single"/>
        </w:rPr>
        <w:t>8</w:t>
      </w:r>
      <w:r>
        <w:rPr>
          <w:rFonts w:hint="eastAsia" w:ascii="宋体" w:hAnsi="宋体" w:cs="宋体"/>
          <w:color w:val="000000"/>
          <w:sz w:val="24"/>
        </w:rPr>
        <w:t>年</w:t>
      </w:r>
      <w:r>
        <w:rPr>
          <w:rFonts w:hint="eastAsia" w:ascii="宋体" w:hAnsi="宋体" w:cs="宋体"/>
          <w:color w:val="000000"/>
          <w:sz w:val="24"/>
          <w:u w:val="single"/>
        </w:rPr>
        <w:t>1</w:t>
      </w:r>
      <w:r>
        <w:rPr>
          <w:rFonts w:hint="eastAsia" w:ascii="宋体" w:hAnsi="宋体" w:cs="宋体"/>
          <w:color w:val="000000"/>
          <w:sz w:val="24"/>
        </w:rPr>
        <w:t>月</w:t>
      </w:r>
      <w:r>
        <w:rPr>
          <w:rFonts w:hint="eastAsia" w:ascii="宋体" w:hAnsi="宋体" w:cs="宋体"/>
          <w:color w:val="000000"/>
          <w:sz w:val="24"/>
          <w:u w:val="single"/>
        </w:rPr>
        <w:t xml:space="preserve"> 1 </w:t>
      </w:r>
      <w:r>
        <w:rPr>
          <w:rFonts w:hint="eastAsia" w:ascii="宋体" w:hAnsi="宋体" w:cs="宋体"/>
          <w:color w:val="000000"/>
          <w:sz w:val="24"/>
        </w:rPr>
        <w:t>日至今完成过质量合格的类似工程监理业绩（类似工程是指第3.1.1点所述资质方能承接的</w:t>
      </w:r>
      <w:r>
        <w:rPr>
          <w:rFonts w:hint="eastAsia" w:ascii="宋体" w:hAnsi="宋体" w:cs="宋体"/>
          <w:sz w:val="24"/>
          <w:u w:val="single"/>
        </w:rPr>
        <w:t>房屋建筑</w:t>
      </w:r>
      <w:r>
        <w:rPr>
          <w:rFonts w:hint="eastAsia" w:ascii="宋体" w:hAnsi="宋体" w:cs="宋体"/>
          <w:color w:val="000000"/>
          <w:sz w:val="24"/>
        </w:rPr>
        <w:t>工程）。需同时提供中标通知书或免招标的相关证明、施工监理合同、竣工验收报告或竣工验收证明。时间以竣工验收时间为准。</w:t>
      </w:r>
    </w:p>
    <w:p>
      <w:pPr>
        <w:spacing w:line="360" w:lineRule="auto"/>
        <w:ind w:firstLine="424" w:firstLineChars="177"/>
        <w:rPr>
          <w:rFonts w:ascii="宋体" w:hAnsi="宋体" w:cs="宋体"/>
          <w:sz w:val="24"/>
        </w:rPr>
      </w:pPr>
      <w:r>
        <w:rPr>
          <w:rFonts w:hint="eastAsia" w:ascii="宋体" w:hAnsi="宋体" w:cs="宋体"/>
          <w:sz w:val="24"/>
        </w:rPr>
        <w:t>3.2总监理工程师：拟任本项目总监理工程师应具有建设部2006年4月1日后颁发的中华人民共和国注册监理工程师注册执业证书，且其注册专业为</w:t>
      </w:r>
      <w:r>
        <w:rPr>
          <w:rFonts w:hint="eastAsia" w:ascii="宋体" w:hAnsi="宋体" w:cs="宋体"/>
          <w:sz w:val="24"/>
          <w:u w:val="single"/>
        </w:rPr>
        <w:t>房屋建筑工程专业</w:t>
      </w:r>
      <w:r>
        <w:rPr>
          <w:rFonts w:hint="eastAsia" w:ascii="宋体" w:hAnsi="宋体" w:cs="宋体"/>
          <w:sz w:val="24"/>
        </w:rPr>
        <w:t>，注册执业单位为本公司，并具有本科或以上的学历；或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24" w:firstLineChars="177"/>
        <w:rPr>
          <w:rFonts w:ascii="宋体" w:hAnsi="宋体" w:cs="宋体"/>
          <w:sz w:val="24"/>
        </w:rPr>
      </w:pPr>
      <w:r>
        <w:rPr>
          <w:rFonts w:hint="eastAsia" w:ascii="宋体" w:hAnsi="宋体" w:cs="宋体"/>
          <w:sz w:val="24"/>
        </w:rPr>
        <w:t>3.3 本次招标</w:t>
      </w:r>
      <w:r>
        <w:rPr>
          <w:rFonts w:hint="eastAsia" w:ascii="宋体" w:hAnsi="宋体" w:cs="宋体"/>
          <w:sz w:val="24"/>
          <w:u w:val="single"/>
        </w:rPr>
        <w:t>不接受</w:t>
      </w:r>
      <w:r>
        <w:rPr>
          <w:rFonts w:hint="eastAsia" w:ascii="宋体" w:hAnsi="宋体" w:cs="宋体"/>
          <w:sz w:val="24"/>
        </w:rPr>
        <w:t>联合体投标。</w:t>
      </w:r>
    </w:p>
    <w:p>
      <w:pPr>
        <w:spacing w:line="360" w:lineRule="auto"/>
        <w:ind w:firstLine="424" w:firstLineChars="177"/>
        <w:rPr>
          <w:rFonts w:ascii="宋体" w:hAnsi="宋体" w:cs="宋体"/>
          <w:sz w:val="24"/>
        </w:rPr>
      </w:pPr>
      <w:r>
        <w:rPr>
          <w:rFonts w:hint="eastAsia" w:ascii="宋体" w:hAnsi="宋体" w:cs="宋体"/>
          <w:sz w:val="24"/>
        </w:rPr>
        <w:t>3.4 投标人应具有独立法人资格，持有工商行政管理部门核发的法人营业执照，按国家法律经营。</w:t>
      </w:r>
    </w:p>
    <w:p>
      <w:pPr>
        <w:spacing w:line="360" w:lineRule="auto"/>
        <w:ind w:firstLine="424" w:firstLineChars="177"/>
        <w:rPr>
          <w:rFonts w:ascii="宋体" w:hAnsi="宋体" w:cs="宋体"/>
          <w:sz w:val="24"/>
        </w:rPr>
      </w:pPr>
      <w:r>
        <w:rPr>
          <w:rFonts w:hint="eastAsia" w:ascii="宋体" w:hAnsi="宋体" w:cs="宋体"/>
          <w:sz w:val="24"/>
        </w:rPr>
        <w:t>3.5</w:t>
      </w:r>
      <w:r>
        <w:rPr>
          <w:rFonts w:hint="eastAsia" w:ascii="宋体" w:hAnsi="宋体" w:cs="宋体"/>
          <w:sz w:val="24"/>
          <w:u w:val="single"/>
          <w:lang w:eastAsia="zh-Hans"/>
        </w:rPr>
        <w:t>投标登记</w:t>
      </w:r>
      <w:r>
        <w:rPr>
          <w:rFonts w:hint="eastAsia" w:ascii="宋体" w:hAnsi="宋体" w:cs="宋体"/>
          <w:sz w:val="24"/>
          <w:u w:val="single"/>
        </w:rPr>
        <w:t>前</w:t>
      </w:r>
      <w:r>
        <w:rPr>
          <w:rFonts w:hint="eastAsia" w:ascii="宋体" w:hAnsi="宋体" w:cs="宋体"/>
          <w:sz w:val="24"/>
        </w:rPr>
        <w:t>，投标人须在</w:t>
      </w:r>
      <w:bookmarkStart w:id="8" w:name="_Hlk110415271"/>
      <w:r>
        <w:rPr>
          <w:rFonts w:hint="eastAsia" w:ascii="宋体"/>
          <w:sz w:val="24"/>
        </w:rPr>
        <w:t>广州市住房和城乡建设局</w:t>
      </w:r>
      <w:bookmarkEnd w:id="8"/>
      <w:r>
        <w:rPr>
          <w:rFonts w:hint="eastAsia" w:ascii="宋体" w:hAnsi="宋体" w:cs="宋体"/>
          <w:sz w:val="24"/>
        </w:rPr>
        <w:t>建立了企业信用档案及拟担任本工程总监理工程师须是本企业信用档案中的在册人员（以广州市住建行业信用管理平台查询信息为准）。</w:t>
      </w:r>
    </w:p>
    <w:p>
      <w:pPr>
        <w:spacing w:line="360" w:lineRule="auto"/>
        <w:ind w:firstLine="424" w:firstLineChars="177"/>
        <w:rPr>
          <w:rFonts w:ascii="宋体" w:hAnsi="宋体" w:cs="宋体"/>
          <w:sz w:val="24"/>
          <w:szCs w:val="22"/>
        </w:rPr>
      </w:pPr>
      <w:r>
        <w:rPr>
          <w:rFonts w:hint="eastAsia" w:ascii="宋体" w:hAnsi="宋体" w:cs="宋体"/>
          <w:sz w:val="24"/>
        </w:rPr>
        <w:t>3.6投标人出具按照招标文件要求的格式签署盖章的《投标申请人声明》（格式见招标文件第六章）</w:t>
      </w:r>
      <w:r>
        <w:rPr>
          <w:rFonts w:hint="eastAsia" w:ascii="宋体" w:hAnsi="宋体" w:cs="宋体"/>
          <w:sz w:val="24"/>
          <w:szCs w:val="22"/>
        </w:rPr>
        <w:t>。</w:t>
      </w:r>
    </w:p>
    <w:p>
      <w:pPr>
        <w:wordWrap w:val="0"/>
        <w:topLinePunct/>
        <w:adjustRightInd w:val="0"/>
        <w:snapToGrid w:val="0"/>
        <w:spacing w:line="360" w:lineRule="auto"/>
        <w:ind w:firstLine="424" w:firstLineChars="177"/>
        <w:rPr>
          <w:rFonts w:ascii="宋体" w:hAnsi="宋体" w:cs="宋体"/>
          <w:sz w:val="24"/>
        </w:rPr>
      </w:pPr>
      <w:r>
        <w:rPr>
          <w:rFonts w:hint="eastAsia" w:ascii="宋体" w:hAnsi="宋体" w:cs="宋体"/>
          <w:sz w:val="24"/>
        </w:rPr>
        <w:t>注：1、未在招标公告第三条单列的投标人资格要求条件，不作为资审不合格的依据。</w:t>
      </w:r>
    </w:p>
    <w:p>
      <w:pPr>
        <w:wordWrap w:val="0"/>
        <w:topLinePunct/>
        <w:adjustRightInd w:val="0"/>
        <w:snapToGrid w:val="0"/>
        <w:spacing w:line="360" w:lineRule="auto"/>
        <w:ind w:firstLine="424" w:firstLineChars="177"/>
        <w:rPr>
          <w:rFonts w:ascii="宋体" w:hAnsi="宋体" w:cs="宋体"/>
          <w:sz w:val="24"/>
        </w:rPr>
      </w:pPr>
      <w:r>
        <w:rPr>
          <w:rFonts w:hint="eastAsia" w:ascii="宋体" w:hAnsi="宋体" w:cs="宋体"/>
          <w:sz w:val="24"/>
        </w:rPr>
        <w:t>2、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pPr>
        <w:pStyle w:val="5"/>
      </w:pPr>
    </w:p>
    <w:p>
      <w:pPr>
        <w:pStyle w:val="2"/>
        <w:keepNext w:val="0"/>
        <w:keepLines w:val="0"/>
        <w:numPr>
          <w:ilvl w:val="0"/>
          <w:numId w:val="1"/>
        </w:numPr>
        <w:spacing w:before="0" w:after="0" w:line="360" w:lineRule="auto"/>
        <w:rPr>
          <w:rFonts w:ascii="Times New Roman" w:hAnsi="Times New Roman"/>
        </w:rPr>
      </w:pPr>
      <w:bookmarkStart w:id="9" w:name="_Toc511557029"/>
      <w:bookmarkStart w:id="10" w:name="_Toc515033014"/>
      <w:r>
        <w:rPr>
          <w:rFonts w:ascii="Times New Roman" w:hAnsi="Times New Roman"/>
        </w:rPr>
        <w:t>招标文件的获取</w:t>
      </w:r>
    </w:p>
    <w:p>
      <w:pPr>
        <w:spacing w:line="360" w:lineRule="auto"/>
        <w:ind w:firstLine="480" w:firstLineChars="200"/>
        <w:rPr>
          <w:rFonts w:ascii="宋体" w:hAnsi="宋体" w:cs="宋体"/>
          <w:sz w:val="24"/>
        </w:rPr>
      </w:pPr>
      <w:r>
        <w:rPr>
          <w:rFonts w:hint="eastAsia" w:ascii="宋体" w:hAnsi="宋体" w:cs="宋体"/>
          <w:sz w:val="24"/>
        </w:rPr>
        <w:t>4.1 凡有意参加投标者，请于</w:t>
      </w:r>
      <w:r>
        <w:rPr>
          <w:rFonts w:ascii="宋体" w:hAnsi="宋体" w:cs="宋体"/>
          <w:sz w:val="24"/>
          <w:u w:val="single"/>
        </w:rPr>
        <w:t xml:space="preserve"> </w:t>
      </w:r>
      <w:r>
        <w:rPr>
          <w:rFonts w:hint="eastAsia" w:ascii="宋体" w:hAnsi="宋体" w:cs="宋体"/>
          <w:sz w:val="24"/>
          <w:u w:val="single"/>
        </w:rPr>
        <w:t>2023</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8</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26</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00</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分至</w:t>
      </w:r>
      <w:r>
        <w:rPr>
          <w:rFonts w:ascii="宋体" w:hAnsi="宋体" w:cs="宋体"/>
          <w:sz w:val="24"/>
          <w:u w:val="single"/>
        </w:rPr>
        <w:t xml:space="preserve"> </w:t>
      </w:r>
      <w:r>
        <w:rPr>
          <w:rFonts w:hint="eastAsia" w:ascii="宋体" w:hAnsi="宋体" w:cs="宋体"/>
          <w:sz w:val="24"/>
          <w:u w:val="single"/>
        </w:rPr>
        <w:t>2023</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lang w:val="en-US" w:eastAsia="zh-CN"/>
        </w:rPr>
        <w:t>10</w:t>
      </w:r>
      <w:r>
        <w:rPr>
          <w:rFonts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分(北京时间，下同)，登录 广州公共资源交易中心网（网址：http://www.gzggzy.cn） 下载电子招标文件。</w:t>
      </w:r>
    </w:p>
    <w:p>
      <w:pPr>
        <w:spacing w:line="360" w:lineRule="auto"/>
        <w:ind w:firstLine="480" w:firstLineChars="200"/>
        <w:rPr>
          <w:rFonts w:ascii="宋体" w:hAnsi="宋体" w:cs="宋体"/>
          <w:sz w:val="24"/>
        </w:rPr>
      </w:pPr>
      <w:r>
        <w:rPr>
          <w:rFonts w:hint="eastAsia" w:ascii="宋体" w:hAnsi="宋体" w:cs="宋体"/>
          <w:sz w:val="24"/>
        </w:rPr>
        <w:t>4.2本项目采用资格后审方式。</w:t>
      </w:r>
    </w:p>
    <w:p>
      <w:pPr>
        <w:spacing w:line="360" w:lineRule="auto"/>
        <w:ind w:firstLine="480" w:firstLineChars="200"/>
        <w:rPr>
          <w:rFonts w:ascii="宋体" w:hAnsi="宋体" w:cs="宋体"/>
          <w:sz w:val="24"/>
        </w:rPr>
      </w:pPr>
      <w:r>
        <w:rPr>
          <w:rFonts w:hint="eastAsia" w:ascii="宋体" w:hAnsi="宋体" w:cs="宋体"/>
          <w:sz w:val="24"/>
        </w:rPr>
        <w:t>注：（1）电子招投标操作流程详见广州公共资源交易中心网站发布的最新版操作指引。</w:t>
      </w:r>
    </w:p>
    <w:p>
      <w:pPr>
        <w:numPr>
          <w:ilvl w:val="0"/>
          <w:numId w:val="2"/>
        </w:numPr>
        <w:spacing w:line="360" w:lineRule="auto"/>
        <w:ind w:firstLine="480" w:firstLineChars="200"/>
        <w:rPr>
          <w:rFonts w:ascii="宋体" w:hAnsi="宋体" w:cs="宋体"/>
          <w:sz w:val="24"/>
        </w:rPr>
      </w:pPr>
      <w:r>
        <w:rPr>
          <w:rFonts w:hint="eastAsia" w:ascii="宋体" w:hAnsi="宋体" w:cs="宋体"/>
          <w:sz w:val="24"/>
        </w:rPr>
        <w:t>从招标公告发布之日起开始计算备标时间。</w:t>
      </w:r>
    </w:p>
    <w:p>
      <w:pPr>
        <w:pStyle w:val="5"/>
        <w:numPr>
          <w:ilvl w:val="255"/>
          <w:numId w:val="0"/>
        </w:numPr>
      </w:pPr>
    </w:p>
    <w:p>
      <w:pPr>
        <w:pStyle w:val="2"/>
        <w:keepNext w:val="0"/>
        <w:keepLines w:val="0"/>
        <w:spacing w:before="0" w:after="0" w:line="360" w:lineRule="auto"/>
        <w:rPr>
          <w:rFonts w:ascii="Times New Roman" w:hAnsi="Times New Roman"/>
        </w:rPr>
      </w:pPr>
      <w:r>
        <w:rPr>
          <w:rFonts w:hint="eastAsia" w:ascii="Times New Roman" w:hAnsi="Times New Roman"/>
        </w:rPr>
        <w:t>5</w:t>
      </w:r>
      <w:r>
        <w:rPr>
          <w:rFonts w:ascii="Times New Roman" w:hAnsi="Times New Roman"/>
        </w:rPr>
        <w:t xml:space="preserve">. </w:t>
      </w:r>
      <w:r>
        <w:rPr>
          <w:rFonts w:hint="eastAsia" w:ascii="Times New Roman" w:hAnsi="Times New Roman"/>
        </w:rPr>
        <w:t>发布招标公告、递交投标文件时间、开标时间</w:t>
      </w:r>
    </w:p>
    <w:p>
      <w:pPr>
        <w:spacing w:line="360" w:lineRule="auto"/>
        <w:ind w:firstLine="480" w:firstLineChars="200"/>
        <w:rPr>
          <w:rFonts w:ascii="宋体" w:hAnsi="宋体" w:cs="宋体"/>
          <w:sz w:val="24"/>
        </w:rPr>
      </w:pPr>
      <w:r>
        <w:rPr>
          <w:rFonts w:hint="eastAsia" w:ascii="宋体" w:hAnsi="宋体" w:cs="宋体"/>
          <w:sz w:val="24"/>
        </w:rPr>
        <w:t>5.1 发布招标公告时间（含本日）：</w:t>
      </w:r>
      <w:r>
        <w:rPr>
          <w:rFonts w:ascii="宋体" w:hAnsi="宋体" w:cs="宋体"/>
          <w:sz w:val="24"/>
          <w:u w:val="single"/>
        </w:rPr>
        <w:t xml:space="preserve"> </w:t>
      </w:r>
      <w:r>
        <w:rPr>
          <w:rFonts w:hint="eastAsia" w:ascii="宋体" w:hAnsi="宋体" w:cs="宋体"/>
          <w:sz w:val="24"/>
          <w:u w:val="single"/>
        </w:rPr>
        <w:t>2023</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8</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26</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分至</w:t>
      </w:r>
      <w:r>
        <w:rPr>
          <w:rFonts w:ascii="宋体" w:hAnsi="宋体" w:cs="宋体"/>
          <w:sz w:val="24"/>
          <w:u w:val="single"/>
        </w:rPr>
        <w:t xml:space="preserve"> </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9</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w:t>
      </w:r>
    </w:p>
    <w:p>
      <w:pPr>
        <w:spacing w:line="360" w:lineRule="auto"/>
        <w:ind w:firstLine="480" w:firstLineChars="200"/>
        <w:jc w:val="left"/>
        <w:rPr>
          <w:rFonts w:ascii="宋体" w:hAnsi="宋体" w:cs="宋体"/>
          <w:sz w:val="24"/>
        </w:rPr>
      </w:pPr>
      <w:r>
        <w:rPr>
          <w:rFonts w:hint="eastAsia" w:ascii="宋体" w:hAnsi="宋体" w:cs="宋体"/>
          <w:sz w:val="24"/>
        </w:rPr>
        <w:t>注：发布招标公告的时间为招标公告发出之日起至递交投标文件截止时间止。</w:t>
      </w:r>
    </w:p>
    <w:p>
      <w:pPr>
        <w:spacing w:line="360" w:lineRule="auto"/>
        <w:ind w:firstLine="424" w:firstLineChars="177"/>
        <w:jc w:val="left"/>
        <w:rPr>
          <w:rFonts w:ascii="宋体" w:hAnsi="宋体" w:cs="宋体"/>
          <w:sz w:val="24"/>
          <w:u w:val="single"/>
        </w:rPr>
      </w:pPr>
      <w:r>
        <w:rPr>
          <w:rFonts w:hint="eastAsia" w:ascii="宋体" w:hAnsi="宋体" w:cs="宋体"/>
          <w:sz w:val="24"/>
        </w:rPr>
        <w:t>5.2 递交投标文件时间：</w:t>
      </w:r>
      <w:r>
        <w:rPr>
          <w:rFonts w:ascii="宋体" w:hAnsi="宋体" w:cs="宋体"/>
          <w:sz w:val="24"/>
          <w:u w:val="single"/>
        </w:rPr>
        <w:t xml:space="preserve"> </w:t>
      </w:r>
      <w:r>
        <w:rPr>
          <w:rFonts w:hint="eastAsia" w:ascii="宋体" w:hAnsi="宋体" w:cs="宋体"/>
          <w:sz w:val="24"/>
          <w:u w:val="single"/>
        </w:rPr>
        <w:t>2023</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8</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lang w:val="en-US" w:eastAsia="zh-CN"/>
        </w:rPr>
        <w:t>26</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分至</w:t>
      </w:r>
      <w:r>
        <w:rPr>
          <w:rFonts w:ascii="宋体" w:hAnsi="宋体" w:cs="宋体"/>
          <w:sz w:val="24"/>
          <w:u w:val="single"/>
        </w:rPr>
        <w:t xml:space="preserve"> </w:t>
      </w:r>
      <w:r>
        <w:rPr>
          <w:rFonts w:hint="eastAsia" w:ascii="宋体" w:hAnsi="宋体" w:cs="宋体"/>
          <w:sz w:val="24"/>
          <w:u w:val="single"/>
        </w:rPr>
        <w:t>2023</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分。投标人通过</w:t>
      </w:r>
      <w:r>
        <w:rPr>
          <w:rFonts w:hint="eastAsia" w:ascii="宋体" w:hAnsi="宋体" w:cs="宋体"/>
          <w:sz w:val="24"/>
          <w:u w:val="single"/>
        </w:rPr>
        <w:t>广州公共资源交易中心网站（网址：http://www.gzggzy.cn/）</w:t>
      </w:r>
      <w:r>
        <w:rPr>
          <w:rFonts w:hint="eastAsia" w:ascii="宋体" w:hAnsi="宋体" w:cs="宋体"/>
          <w:sz w:val="24"/>
        </w:rPr>
        <w:t>交易平台递交电子投标文件。投标人应在递交投标文件截止时间前，登录</w:t>
      </w:r>
      <w:r>
        <w:rPr>
          <w:rFonts w:hint="eastAsia" w:ascii="宋体" w:hAnsi="宋体" w:cs="宋体"/>
          <w:sz w:val="24"/>
          <w:u w:val="single"/>
        </w:rPr>
        <w:t>广州公共资源交易中心网站</w:t>
      </w:r>
      <w:r>
        <w:rPr>
          <w:rFonts w:hint="eastAsia" w:ascii="宋体" w:hAnsi="宋体" w:cs="宋体"/>
          <w:sz w:val="24"/>
        </w:rPr>
        <w:t>交易平台网站办理网上投标登记手续。按照交易平台关于全流程电子化项目的相关指南进行操作。详见：</w:t>
      </w:r>
      <w:r>
        <w:rPr>
          <w:rFonts w:hint="eastAsia" w:ascii="宋体" w:hAnsi="宋体" w:cs="宋体"/>
          <w:sz w:val="24"/>
          <w:u w:val="single"/>
        </w:rPr>
        <w:t>广州公共资源交易中心网站首页-服务指南。</w:t>
      </w:r>
    </w:p>
    <w:p>
      <w:pPr>
        <w:tabs>
          <w:tab w:val="left" w:pos="360"/>
        </w:tabs>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3投标文件递交的截止时间（投标截止时间，下同）为</w:t>
      </w:r>
      <w:r>
        <w:rPr>
          <w:rFonts w:ascii="宋体" w:hAnsi="宋体" w:cs="宋体"/>
          <w:sz w:val="24"/>
          <w:u w:val="single"/>
        </w:rPr>
        <w:t xml:space="preserve"> </w:t>
      </w:r>
      <w:r>
        <w:rPr>
          <w:rFonts w:hint="eastAsia" w:ascii="宋体" w:hAnsi="宋体" w:cs="宋体"/>
          <w:sz w:val="24"/>
          <w:u w:val="single"/>
        </w:rPr>
        <w:t>2023</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分，投标人应在截止时间前通过</w:t>
      </w:r>
      <w:r>
        <w:rPr>
          <w:rFonts w:hint="eastAsia" w:ascii="宋体" w:hAnsi="宋体" w:cs="宋体"/>
          <w:sz w:val="24"/>
          <w:u w:val="single"/>
        </w:rPr>
        <w:t>广州公共资源交易中心数字交易平台（网址：http://www.gzggzy.cn）</w:t>
      </w:r>
      <w:r>
        <w:rPr>
          <w:rFonts w:hint="eastAsia" w:ascii="宋体" w:hAnsi="宋体" w:cs="宋体"/>
          <w:sz w:val="24"/>
        </w:rPr>
        <w:t>递交电子投标文件。</w:t>
      </w:r>
    </w:p>
    <w:p>
      <w:pPr>
        <w:tabs>
          <w:tab w:val="left" w:pos="360"/>
        </w:tabs>
        <w:spacing w:line="360" w:lineRule="auto"/>
        <w:ind w:firstLine="480" w:firstLineChars="200"/>
        <w:rPr>
          <w:rFonts w:ascii="宋体" w:hAnsi="宋体" w:cs="宋体"/>
          <w:sz w:val="24"/>
        </w:rPr>
      </w:pPr>
      <w:r>
        <w:rPr>
          <w:rFonts w:ascii="宋体" w:hAnsi="宋体" w:cs="宋体"/>
          <w:sz w:val="24"/>
        </w:rPr>
        <w:t>5.4</w:t>
      </w:r>
      <w:r>
        <w:rPr>
          <w:rFonts w:hint="eastAsia" w:ascii="宋体" w:hAnsi="宋体" w:cs="宋体"/>
          <w:sz w:val="24"/>
        </w:rPr>
        <w:t>递交备用投标文件电子光盘时间为：</w:t>
      </w:r>
      <w:r>
        <w:rPr>
          <w:rFonts w:ascii="宋体" w:hAnsi="宋体" w:cs="宋体"/>
          <w:sz w:val="24"/>
          <w:u w:val="single"/>
        </w:rPr>
        <w:t xml:space="preserve"> </w:t>
      </w:r>
      <w:r>
        <w:rPr>
          <w:rFonts w:hint="eastAsia" w:ascii="宋体" w:hAnsi="宋体" w:cs="宋体"/>
          <w:sz w:val="24"/>
          <w:u w:val="single"/>
        </w:rPr>
        <w:t>2023</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lang w:val="en-US" w:eastAsia="zh-CN"/>
        </w:rPr>
        <w:t>15</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45</w:t>
      </w:r>
      <w:r>
        <w:rPr>
          <w:rFonts w:hint="eastAsia" w:ascii="宋体" w:hAnsi="宋体" w:cs="宋体"/>
          <w:sz w:val="24"/>
          <w:u w:val="single"/>
        </w:rPr>
        <w:t xml:space="preserve"> </w:t>
      </w:r>
      <w:r>
        <w:rPr>
          <w:rFonts w:hint="eastAsia" w:ascii="宋体" w:hAnsi="宋体" w:cs="宋体"/>
          <w:sz w:val="24"/>
        </w:rPr>
        <w:t>分至</w:t>
      </w:r>
      <w:r>
        <w:rPr>
          <w:rFonts w:ascii="宋体" w:hAnsi="宋体" w:cs="宋体"/>
          <w:sz w:val="24"/>
          <w:u w:val="single"/>
        </w:rPr>
        <w:t xml:space="preserve"> </w:t>
      </w:r>
      <w:r>
        <w:rPr>
          <w:rFonts w:hint="eastAsia" w:ascii="宋体" w:hAnsi="宋体" w:cs="宋体"/>
          <w:sz w:val="24"/>
          <w:u w:val="single"/>
        </w:rPr>
        <w:t>2023</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lang w:val="en-US" w:eastAsia="zh-CN"/>
        </w:rPr>
        <w:t>15</w:t>
      </w:r>
      <w:r>
        <w:rPr>
          <w:rFonts w:hint="eastAsia" w:ascii="宋体" w:hAnsi="宋体" w:cs="宋体"/>
          <w:sz w:val="24"/>
        </w:rPr>
        <w:t>日</w:t>
      </w:r>
      <w:r>
        <w:rPr>
          <w:rFonts w:hint="eastAsia" w:ascii="宋体" w:hAnsi="宋体" w:cs="宋体"/>
          <w:sz w:val="24"/>
          <w:u w:val="single"/>
          <w:lang w:val="en-US" w:eastAsia="zh-CN"/>
        </w:rPr>
        <w:t>10</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分；地点：</w:t>
      </w:r>
      <w:r>
        <w:rPr>
          <w:rFonts w:hint="eastAsia" w:ascii="宋体" w:hAnsi="宋体"/>
          <w:sz w:val="24"/>
          <w:u w:val="single"/>
        </w:rPr>
        <w:t>广州公共资源交易中心黄埔交易部[广州黄埔区水西路32号四楼（汇丽国际D栋写字楼四楼）]指定开标室，可在广州公共资源交易中心网站进行查询</w:t>
      </w:r>
      <w:r>
        <w:rPr>
          <w:rFonts w:hint="eastAsia" w:ascii="宋体" w:hAnsi="宋体" w:cs="宋体"/>
          <w:sz w:val="24"/>
        </w:rPr>
        <w:t>。（电子光盘需按规定封装。投标人在将数据刻录到光盘之后，投标前自行检查文件是否可以读取）。</w:t>
      </w:r>
    </w:p>
    <w:p>
      <w:pPr>
        <w:spacing w:line="360" w:lineRule="auto"/>
        <w:ind w:firstLine="424" w:firstLineChars="177"/>
        <w:jc w:val="left"/>
        <w:rPr>
          <w:rFonts w:ascii="宋体" w:hAnsi="宋体" w:cs="宋体"/>
          <w:sz w:val="24"/>
        </w:rPr>
      </w:pPr>
      <w:r>
        <w:rPr>
          <w:rFonts w:hint="eastAsia" w:ascii="宋体" w:hAnsi="宋体" w:cs="宋体"/>
          <w:sz w:val="24"/>
        </w:rPr>
        <w:t>5.</w:t>
      </w:r>
      <w:r>
        <w:rPr>
          <w:rFonts w:ascii="宋体" w:hAnsi="宋体" w:cs="宋体"/>
          <w:sz w:val="24"/>
        </w:rPr>
        <w:t>5</w:t>
      </w:r>
      <w:r>
        <w:rPr>
          <w:rFonts w:hint="eastAsia" w:ascii="宋体" w:hAnsi="宋体" w:cs="宋体"/>
          <w:sz w:val="24"/>
        </w:rPr>
        <w:t xml:space="preserve"> 逾期送达的投标文件，电子招标投标交易平台将予以拒收。逾期未上传成功的电子投标文件，招标人拒绝接收。逾期或未在指定地点递交投标文件光盘的,招标人拒绝接收其投标文件光盘。</w:t>
      </w:r>
    </w:p>
    <w:p>
      <w:pPr>
        <w:spacing w:line="360" w:lineRule="auto"/>
        <w:ind w:firstLine="424" w:firstLineChars="177"/>
        <w:jc w:val="left"/>
        <w:rPr>
          <w:rFonts w:ascii="宋体" w:hAnsi="宋体" w:cs="宋体"/>
          <w:sz w:val="24"/>
        </w:rPr>
      </w:pPr>
      <w:r>
        <w:rPr>
          <w:rFonts w:hint="eastAsia" w:ascii="宋体" w:hAnsi="宋体" w:cs="宋体"/>
          <w:sz w:val="24"/>
        </w:rPr>
        <w:t>5.</w:t>
      </w:r>
      <w:r>
        <w:rPr>
          <w:rFonts w:ascii="宋体" w:hAnsi="宋体" w:cs="宋体"/>
          <w:sz w:val="24"/>
        </w:rPr>
        <w:t>6</w:t>
      </w:r>
      <w:r>
        <w:rPr>
          <w:rFonts w:hint="eastAsia" w:ascii="宋体" w:hAnsi="宋体" w:cs="宋体"/>
          <w:sz w:val="24"/>
        </w:rPr>
        <w:t xml:space="preserve"> 开标时间：</w:t>
      </w:r>
      <w:r>
        <w:rPr>
          <w:rFonts w:ascii="宋体" w:hAnsi="宋体" w:cs="宋体"/>
          <w:sz w:val="24"/>
          <w:u w:val="single"/>
        </w:rPr>
        <w:t xml:space="preserve"> </w:t>
      </w:r>
      <w:r>
        <w:rPr>
          <w:rFonts w:hint="eastAsia" w:ascii="宋体" w:hAnsi="宋体" w:cs="宋体"/>
          <w:sz w:val="24"/>
          <w:u w:val="single"/>
        </w:rPr>
        <w:t>2023</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9</w:t>
      </w:r>
      <w:r>
        <w:rPr>
          <w:rFonts w:hint="eastAsia" w:ascii="宋体" w:hAnsi="宋体" w:cs="宋体"/>
          <w:sz w:val="24"/>
        </w:rPr>
        <w:t>月</w:t>
      </w:r>
      <w:r>
        <w:rPr>
          <w:rFonts w:hint="eastAsia" w:ascii="宋体" w:hAnsi="宋体" w:cs="宋体"/>
          <w:sz w:val="24"/>
          <w:u w:val="single"/>
          <w:lang w:val="en-US" w:eastAsia="zh-CN"/>
        </w:rPr>
        <w:t>15</w:t>
      </w:r>
      <w:r>
        <w:rPr>
          <w:rFonts w:hint="eastAsia" w:ascii="宋体" w:hAnsi="宋体" w:cs="宋体"/>
          <w:sz w:val="24"/>
        </w:rPr>
        <w:t>日</w:t>
      </w:r>
      <w:r>
        <w:rPr>
          <w:rFonts w:hint="eastAsia" w:ascii="宋体" w:hAnsi="宋体" w:cs="宋体"/>
          <w:sz w:val="24"/>
          <w:u w:val="single"/>
          <w:lang w:val="en-US" w:eastAsia="zh-CN"/>
        </w:rPr>
        <w:t>10</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分。地点：</w:t>
      </w:r>
      <w:r>
        <w:rPr>
          <w:rFonts w:hint="eastAsia" w:ascii="宋体" w:hAnsi="宋体"/>
          <w:sz w:val="24"/>
          <w:u w:val="single"/>
        </w:rPr>
        <w:t>广州公共资源交易中心黄埔交易部[广州黄埔区水西路32号四楼（汇丽</w:t>
      </w:r>
      <w:r>
        <w:rPr>
          <w:rFonts w:hint="eastAsia" w:ascii="宋体" w:hAnsi="宋体"/>
          <w:color w:val="000000"/>
          <w:sz w:val="24"/>
          <w:u w:val="single"/>
        </w:rPr>
        <w:t>国际D栋写字楼四楼）]指定开标室，可在广州公共资源交易中心网站进行查询</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5.</w:t>
      </w:r>
      <w:r>
        <w:rPr>
          <w:rFonts w:ascii="宋体" w:hAnsi="宋体" w:cs="宋体"/>
          <w:sz w:val="24"/>
        </w:rPr>
        <w:t>7</w:t>
      </w:r>
      <w:r>
        <w:rPr>
          <w:rFonts w:hint="eastAsia" w:ascii="宋体" w:hAnsi="宋体" w:cs="宋体"/>
          <w:sz w:val="24"/>
        </w:rPr>
        <w:t>本项目各项投标活动具体可通过广州公共资源交易中心网站查询具体的时间和场地安排。</w:t>
      </w:r>
    </w:p>
    <w:p>
      <w:pPr>
        <w:pStyle w:val="2"/>
        <w:keepNext w:val="0"/>
        <w:keepLines w:val="0"/>
        <w:spacing w:before="0" w:after="0" w:line="360" w:lineRule="auto"/>
        <w:rPr>
          <w:rFonts w:ascii="黑体" w:hAnsi="黑体" w:cs="楷体"/>
        </w:rPr>
      </w:pPr>
      <w:r>
        <w:rPr>
          <w:rFonts w:hint="eastAsia" w:ascii="黑体" w:hAnsi="黑体" w:cs="楷体"/>
        </w:rPr>
        <w:t>6. 发布公告的媒介</w:t>
      </w:r>
    </w:p>
    <w:p>
      <w:pPr>
        <w:spacing w:line="360" w:lineRule="auto"/>
        <w:ind w:firstLine="424" w:firstLineChars="177"/>
        <w:rPr>
          <w:rFonts w:ascii="宋体" w:hAnsi="宋体" w:cs="楷体"/>
          <w:sz w:val="24"/>
        </w:rPr>
      </w:pPr>
      <w:r>
        <w:rPr>
          <w:rFonts w:hint="eastAsia" w:ascii="宋体" w:hAnsi="宋体" w:cs="楷体"/>
          <w:sz w:val="24"/>
        </w:rPr>
        <w:t>本次招标公告同时在</w:t>
      </w:r>
      <w:r>
        <w:rPr>
          <w:rFonts w:hint="eastAsia" w:ascii="宋体" w:hAnsi="宋体" w:cs="楷体"/>
          <w:sz w:val="24"/>
          <w:u w:val="single"/>
        </w:rPr>
        <w:t>广州公共资源交易中心网（网址：http://www.gzggzy.cn）、广东省招标投标监管网（网址：http://zbtb.gd.gov.cn/）和中国招标投标公共服务平台（网址：</w:t>
      </w:r>
      <w:r>
        <w:fldChar w:fldCharType="begin"/>
      </w:r>
      <w:r>
        <w:instrText xml:space="preserve"> HYPERLINK "http://www.cebpubservice.com/）发布，本公告的修改、补充，在广州公共资源交易中心网站上发布。本公告在各媒体发布的文本如有不同之处，以在广州公共资源交易网发布的文本为准。" </w:instrText>
      </w:r>
      <w:r>
        <w:fldChar w:fldCharType="separate"/>
      </w:r>
      <w:r>
        <w:rPr>
          <w:rFonts w:hint="eastAsia" w:ascii="宋体" w:hAnsi="宋体" w:cs="楷体"/>
          <w:sz w:val="24"/>
          <w:u w:val="single"/>
        </w:rPr>
        <w:t>http://www.cebpubservice.com/）发布，本公告的修改、补充，在广州公共资源交易中心网站上发布。本公告在各媒体发布的文本如有不同之处，以在广州公共资源交易网发布的文本为准。</w:t>
      </w:r>
      <w:r>
        <w:rPr>
          <w:rFonts w:hint="eastAsia" w:ascii="宋体" w:hAnsi="宋体" w:cs="楷体"/>
          <w:sz w:val="24"/>
          <w:u w:val="single"/>
        </w:rPr>
        <w:fldChar w:fldCharType="end"/>
      </w:r>
    </w:p>
    <w:bookmarkEnd w:id="9"/>
    <w:bookmarkEnd w:id="10"/>
    <w:p>
      <w:pPr>
        <w:pStyle w:val="2"/>
        <w:keepNext w:val="0"/>
        <w:keepLines w:val="0"/>
        <w:numPr>
          <w:ilvl w:val="0"/>
          <w:numId w:val="3"/>
        </w:numPr>
        <w:spacing w:before="0" w:after="0" w:line="360" w:lineRule="auto"/>
        <w:rPr>
          <w:rFonts w:ascii="黑体" w:hAnsi="黑体" w:cs="楷体"/>
        </w:rPr>
      </w:pPr>
      <w:bookmarkStart w:id="11" w:name="_Toc515033016"/>
      <w:bookmarkStart w:id="12" w:name="_Toc511557031"/>
      <w:r>
        <w:rPr>
          <w:rFonts w:hint="eastAsia" w:ascii="黑体" w:hAnsi="黑体" w:cs="楷体"/>
        </w:rPr>
        <w:t>其他事项</w:t>
      </w:r>
    </w:p>
    <w:p>
      <w:pPr>
        <w:spacing w:line="360" w:lineRule="auto"/>
        <w:ind w:firstLine="424" w:firstLineChars="177"/>
        <w:rPr>
          <w:rFonts w:ascii="宋体" w:hAnsi="宋体" w:cs="楷体"/>
          <w:sz w:val="24"/>
        </w:rPr>
      </w:pPr>
      <w:r>
        <w:rPr>
          <w:rFonts w:hint="eastAsia" w:ascii="宋体" w:hAnsi="宋体" w:cs="楷体"/>
          <w:sz w:val="24"/>
        </w:rPr>
        <w:t>潜在投标人或利害关系人对本招标公告及招标文件有异议的，应当在投标截止时间</w:t>
      </w:r>
      <w:r>
        <w:rPr>
          <w:rFonts w:ascii="宋体" w:hAnsi="宋体" w:cs="楷体"/>
          <w:sz w:val="24"/>
        </w:rPr>
        <w:t>10日前</w:t>
      </w:r>
      <w:r>
        <w:rPr>
          <w:rFonts w:hint="eastAsia" w:ascii="宋体" w:hAnsi="宋体" w:cs="楷体"/>
          <w:sz w:val="24"/>
        </w:rPr>
        <w:t>向招标人书面提出。</w:t>
      </w:r>
    </w:p>
    <w:p>
      <w:pPr>
        <w:spacing w:line="360" w:lineRule="auto"/>
        <w:ind w:firstLine="424" w:firstLineChars="177"/>
        <w:jc w:val="left"/>
        <w:rPr>
          <w:rFonts w:ascii="宋体" w:hAnsi="宋体"/>
          <w:sz w:val="24"/>
          <w:u w:val="single"/>
        </w:rPr>
      </w:pPr>
      <w:r>
        <w:rPr>
          <w:rFonts w:hint="eastAsia" w:ascii="宋体" w:hAnsi="宋体" w:cs="宋体"/>
          <w:color w:val="000000"/>
          <w:sz w:val="24"/>
        </w:rPr>
        <w:t>异议受理部门：</w:t>
      </w:r>
      <w:r>
        <w:rPr>
          <w:rFonts w:hint="eastAsia" w:ascii="宋体" w:hAnsi="宋体"/>
          <w:sz w:val="24"/>
          <w:u w:val="single"/>
        </w:rPr>
        <w:t>广州智体投资运营有限公司</w:t>
      </w:r>
    </w:p>
    <w:p>
      <w:pPr>
        <w:spacing w:line="360" w:lineRule="auto"/>
        <w:ind w:firstLine="424" w:firstLineChars="177"/>
        <w:jc w:val="left"/>
        <w:rPr>
          <w:rFonts w:ascii="宋体" w:hAnsi="宋体" w:cs="宋体"/>
          <w:sz w:val="24"/>
          <w:u w:val="single"/>
        </w:rPr>
      </w:pPr>
      <w:r>
        <w:rPr>
          <w:rFonts w:hint="eastAsia" w:ascii="宋体" w:hAnsi="宋体" w:cs="宋体"/>
          <w:color w:val="000000"/>
          <w:sz w:val="24"/>
        </w:rPr>
        <w:t>地    址：</w:t>
      </w:r>
      <w:r>
        <w:rPr>
          <w:rFonts w:hint="eastAsia" w:ascii="宋体" w:hAnsi="宋体" w:cs="宋体"/>
          <w:sz w:val="24"/>
          <w:u w:val="single"/>
        </w:rPr>
        <w:t>广州市黄埔区知识城知识大厦A栋东塔14楼</w:t>
      </w:r>
    </w:p>
    <w:p>
      <w:pPr>
        <w:spacing w:line="360" w:lineRule="auto"/>
        <w:ind w:firstLine="424" w:firstLineChars="177"/>
        <w:jc w:val="left"/>
        <w:rPr>
          <w:rFonts w:ascii="宋体" w:hAnsi="宋体" w:cs="宋体"/>
          <w:sz w:val="24"/>
          <w:u w:val="single"/>
        </w:rPr>
      </w:pPr>
      <w:r>
        <w:rPr>
          <w:rFonts w:hint="eastAsia" w:ascii="宋体" w:hAnsi="宋体" w:cs="宋体"/>
          <w:color w:val="000000"/>
          <w:sz w:val="24"/>
        </w:rPr>
        <w:t xml:space="preserve">联 系 人： </w:t>
      </w:r>
      <w:r>
        <w:rPr>
          <w:rFonts w:hint="eastAsia" w:ascii="宋体" w:hAnsi="宋体" w:cs="宋体"/>
          <w:color w:val="000000"/>
          <w:sz w:val="24"/>
          <w:u w:val="single"/>
        </w:rPr>
        <w:t>陈工</w:t>
      </w:r>
      <w:r>
        <w:rPr>
          <w:rFonts w:hint="eastAsia" w:ascii="宋体" w:hAnsi="宋体" w:cs="宋体"/>
          <w:color w:val="000000"/>
          <w:sz w:val="24"/>
        </w:rPr>
        <w:t xml:space="preserve">            电    话：</w:t>
      </w:r>
      <w:r>
        <w:rPr>
          <w:rFonts w:ascii="宋体" w:hAnsi="宋体" w:cs="宋体"/>
          <w:sz w:val="24"/>
          <w:u w:val="single"/>
        </w:rPr>
        <w:t>020-82119657</w:t>
      </w:r>
    </w:p>
    <w:p>
      <w:pPr>
        <w:topLinePunct/>
        <w:spacing w:line="440" w:lineRule="exact"/>
        <w:ind w:firstLine="480" w:firstLineChars="200"/>
        <w:rPr>
          <w:rFonts w:ascii="宋体" w:hAnsi="宋体" w:cs="宋体"/>
          <w:kern w:val="0"/>
          <w:sz w:val="24"/>
        </w:rPr>
      </w:pPr>
      <w:r>
        <w:rPr>
          <w:rFonts w:hint="eastAsia" w:ascii="宋体" w:hAnsi="宋体" w:cs="宋体"/>
          <w:kern w:val="0"/>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pPr>
    </w:p>
    <w:p>
      <w:pPr>
        <w:pStyle w:val="2"/>
        <w:keepNext w:val="0"/>
        <w:keepLines w:val="0"/>
        <w:spacing w:before="0" w:after="0" w:line="360" w:lineRule="auto"/>
        <w:rPr>
          <w:rFonts w:ascii="黑体" w:hAnsi="黑体" w:cs="楷体"/>
        </w:rPr>
      </w:pPr>
      <w:r>
        <w:rPr>
          <w:rFonts w:hint="eastAsia" w:ascii="黑体" w:hAnsi="黑体" w:cs="楷体"/>
        </w:rPr>
        <w:t>8.</w:t>
      </w:r>
      <w:r>
        <w:rPr>
          <w:rFonts w:ascii="黑体" w:hAnsi="黑体" w:cs="楷体"/>
        </w:rPr>
        <w:t xml:space="preserve"> 联系方式</w:t>
      </w:r>
      <w:bookmarkEnd w:id="11"/>
      <w:bookmarkEnd w:id="12"/>
    </w:p>
    <w:p>
      <w:pPr>
        <w:spacing w:line="360" w:lineRule="auto"/>
        <w:ind w:left="1260" w:right="480" w:hanging="1260" w:hangingChars="525"/>
        <w:jc w:val="left"/>
        <w:rPr>
          <w:rFonts w:ascii="宋体" w:hAnsi="宋体" w:cs="宋体"/>
          <w:color w:val="000000"/>
          <w:sz w:val="24"/>
        </w:rPr>
      </w:pPr>
      <w:bookmarkStart w:id="13" w:name="_Toc352691456"/>
      <w:bookmarkEnd w:id="13"/>
      <w:bookmarkStart w:id="14" w:name="_Toc361508560"/>
      <w:bookmarkEnd w:id="14"/>
      <w:bookmarkStart w:id="15" w:name="_Toc247513934"/>
      <w:bookmarkEnd w:id="15"/>
      <w:bookmarkStart w:id="16" w:name="_Toc144974481"/>
      <w:bookmarkEnd w:id="16"/>
      <w:bookmarkStart w:id="17" w:name="_Toc361508562"/>
      <w:bookmarkEnd w:id="17"/>
      <w:bookmarkStart w:id="18" w:name="_Toc152042288"/>
      <w:bookmarkEnd w:id="18"/>
      <w:bookmarkStart w:id="19" w:name="_Toc247513935"/>
      <w:bookmarkEnd w:id="19"/>
      <w:bookmarkStart w:id="20" w:name="_Toc10785"/>
      <w:bookmarkEnd w:id="20"/>
      <w:bookmarkStart w:id="21" w:name="_Toc369531495"/>
      <w:bookmarkEnd w:id="21"/>
      <w:bookmarkStart w:id="22" w:name="_Toc352691453"/>
      <w:bookmarkEnd w:id="22"/>
      <w:bookmarkStart w:id="23" w:name="_Toc300834930"/>
      <w:bookmarkEnd w:id="23"/>
      <w:bookmarkStart w:id="24" w:name="_Toc300834929"/>
      <w:bookmarkEnd w:id="24"/>
      <w:bookmarkStart w:id="25" w:name="_Toc144974480"/>
      <w:bookmarkEnd w:id="25"/>
      <w:bookmarkStart w:id="26" w:name="_Toc384308187"/>
      <w:bookmarkEnd w:id="26"/>
      <w:bookmarkStart w:id="27" w:name="_Toc361508563"/>
      <w:bookmarkEnd w:id="27"/>
      <w:bookmarkStart w:id="28" w:name="_Toc369531498"/>
      <w:bookmarkEnd w:id="28"/>
      <w:bookmarkStart w:id="29" w:name="_Toc384308185"/>
      <w:bookmarkEnd w:id="29"/>
      <w:bookmarkStart w:id="30" w:name="_Toc152042289"/>
      <w:bookmarkEnd w:id="30"/>
      <w:bookmarkStart w:id="31" w:name="_Toc300834927"/>
      <w:bookmarkEnd w:id="31"/>
      <w:bookmarkStart w:id="32" w:name="_Toc369531497"/>
      <w:bookmarkEnd w:id="32"/>
      <w:bookmarkStart w:id="33" w:name="_Toc352691455"/>
      <w:bookmarkEnd w:id="33"/>
      <w:bookmarkStart w:id="34" w:name="_Toc384308188"/>
      <w:bookmarkEnd w:id="34"/>
      <w:bookmarkStart w:id="35" w:name="_Toc17972"/>
      <w:bookmarkEnd w:id="35"/>
      <w:bookmarkStart w:id="36" w:name="_Toc152045513"/>
      <w:bookmarkEnd w:id="36"/>
      <w:bookmarkStart w:id="37" w:name="_Toc152045512"/>
      <w:bookmarkEnd w:id="37"/>
      <w:bookmarkStart w:id="38" w:name="_Toc30817"/>
      <w:bookmarkEnd w:id="38"/>
      <w:bookmarkStart w:id="39" w:name="_Toc247527536"/>
      <w:bookmarkEnd w:id="39"/>
      <w:bookmarkStart w:id="40" w:name="_Toc247527535"/>
      <w:bookmarkEnd w:id="40"/>
      <w:r>
        <w:rPr>
          <w:rFonts w:hint="eastAsia" w:ascii="宋体" w:hAnsi="宋体" w:cs="宋体"/>
          <w:color w:val="000000"/>
          <w:sz w:val="24"/>
        </w:rPr>
        <w:t>招 标 人：</w:t>
      </w:r>
      <w:r>
        <w:rPr>
          <w:rFonts w:hint="eastAsia" w:ascii="宋体" w:hAnsi="宋体" w:cs="宋体"/>
          <w:sz w:val="24"/>
          <w:u w:val="single"/>
        </w:rPr>
        <w:t>广州智体投资运营有限公司</w:t>
      </w:r>
    </w:p>
    <w:p>
      <w:pPr>
        <w:spacing w:line="360" w:lineRule="auto"/>
        <w:ind w:left="1260" w:right="480" w:hanging="1260" w:hangingChars="525"/>
        <w:jc w:val="left"/>
        <w:rPr>
          <w:rFonts w:ascii="宋体" w:hAnsi="宋体" w:cs="宋体"/>
          <w:color w:val="000000"/>
          <w:sz w:val="24"/>
        </w:rPr>
      </w:pPr>
      <w:r>
        <w:rPr>
          <w:rFonts w:hint="eastAsia" w:ascii="宋体" w:hAnsi="宋体" w:cs="宋体"/>
          <w:color w:val="000000"/>
          <w:sz w:val="24"/>
        </w:rPr>
        <w:t>地    址：</w:t>
      </w:r>
      <w:r>
        <w:rPr>
          <w:rFonts w:hint="eastAsia" w:ascii="宋体" w:hAnsi="宋体" w:cs="宋体"/>
          <w:sz w:val="24"/>
          <w:u w:val="single"/>
        </w:rPr>
        <w:t>广州市黄埔区知识城知识大厦A栋东塔</w:t>
      </w:r>
      <w:r>
        <w:rPr>
          <w:rFonts w:ascii="宋体" w:hAnsi="宋体" w:cs="宋体"/>
          <w:sz w:val="24"/>
          <w:u w:val="single"/>
        </w:rPr>
        <w:t>14</w:t>
      </w:r>
      <w:r>
        <w:rPr>
          <w:rFonts w:hint="eastAsia" w:ascii="宋体" w:hAnsi="宋体" w:cs="宋体"/>
          <w:sz w:val="24"/>
          <w:u w:val="single"/>
        </w:rPr>
        <w:t>楼</w:t>
      </w:r>
    </w:p>
    <w:p>
      <w:pPr>
        <w:spacing w:line="456" w:lineRule="exact"/>
        <w:rPr>
          <w:rFonts w:ascii="宋体" w:hAnsi="宋体" w:cs="宋体"/>
          <w:sz w:val="24"/>
          <w:u w:val="single"/>
        </w:rPr>
      </w:pPr>
      <w:r>
        <w:rPr>
          <w:rFonts w:hint="eastAsia" w:ascii="宋体" w:hAnsi="宋体" w:cs="宋体"/>
          <w:color w:val="000000"/>
          <w:sz w:val="24"/>
        </w:rPr>
        <w:t>联 系 人：</w:t>
      </w:r>
      <w:r>
        <w:rPr>
          <w:rFonts w:hint="eastAsia" w:ascii="宋体" w:hAnsi="宋体" w:cs="宋体"/>
          <w:color w:val="000000"/>
          <w:sz w:val="24"/>
          <w:u w:val="single"/>
        </w:rPr>
        <w:t>陈工</w:t>
      </w:r>
      <w:r>
        <w:rPr>
          <w:rFonts w:hint="eastAsia" w:ascii="宋体" w:hAnsi="宋体" w:cs="宋体"/>
          <w:color w:val="000000"/>
          <w:sz w:val="24"/>
        </w:rPr>
        <w:t xml:space="preserve">            电    话：</w:t>
      </w:r>
      <w:r>
        <w:rPr>
          <w:rFonts w:ascii="宋体" w:hAnsi="宋体" w:cs="宋体"/>
          <w:sz w:val="24"/>
          <w:u w:val="single"/>
        </w:rPr>
        <w:t>020-82119657</w:t>
      </w:r>
    </w:p>
    <w:p>
      <w:pPr>
        <w:spacing w:line="360" w:lineRule="auto"/>
        <w:ind w:left="1260" w:right="480" w:hanging="1260" w:hangingChars="525"/>
        <w:jc w:val="left"/>
        <w:rPr>
          <w:rFonts w:ascii="宋体" w:hAnsi="宋体" w:cs="宋体"/>
          <w:color w:val="000000"/>
          <w:sz w:val="24"/>
        </w:rPr>
      </w:pPr>
    </w:p>
    <w:p>
      <w:pPr>
        <w:spacing w:line="360" w:lineRule="auto"/>
        <w:ind w:left="1260" w:right="480" w:hanging="1260" w:hangingChars="525"/>
        <w:jc w:val="left"/>
        <w:rPr>
          <w:rFonts w:ascii="宋体" w:hAnsi="宋体" w:cs="宋体"/>
          <w:color w:val="000000"/>
          <w:sz w:val="24"/>
        </w:rPr>
      </w:pPr>
      <w:r>
        <w:rPr>
          <w:rFonts w:hint="eastAsia" w:ascii="宋体" w:hAnsi="宋体" w:cs="宋体"/>
          <w:color w:val="000000"/>
          <w:sz w:val="24"/>
        </w:rPr>
        <w:t>招标代理机构：</w:t>
      </w:r>
      <w:r>
        <w:rPr>
          <w:rFonts w:hint="eastAsia" w:ascii="宋体" w:hAnsi="宋体" w:cs="宋体"/>
          <w:sz w:val="24"/>
          <w:u w:val="single"/>
        </w:rPr>
        <w:t>广东工程建设监理有限公司</w:t>
      </w:r>
    </w:p>
    <w:p>
      <w:pPr>
        <w:spacing w:line="360" w:lineRule="auto"/>
        <w:ind w:left="1260" w:right="480" w:hanging="1260" w:hangingChars="525"/>
        <w:jc w:val="left"/>
        <w:rPr>
          <w:rFonts w:ascii="宋体" w:hAnsi="宋体" w:cs="宋体"/>
          <w:color w:val="000000"/>
          <w:sz w:val="24"/>
        </w:rPr>
      </w:pPr>
      <w:r>
        <w:rPr>
          <w:rFonts w:hint="eastAsia" w:ascii="宋体" w:hAnsi="宋体" w:cs="宋体"/>
          <w:color w:val="000000"/>
          <w:sz w:val="24"/>
        </w:rPr>
        <w:t xml:space="preserve">地    址： </w:t>
      </w:r>
      <w:r>
        <w:rPr>
          <w:rFonts w:hint="eastAsia" w:ascii="宋体" w:hAnsi="宋体" w:cs="宋体"/>
          <w:sz w:val="24"/>
          <w:u w:val="single"/>
        </w:rPr>
        <w:t>广州市越秀区白云路</w:t>
      </w:r>
      <w:r>
        <w:rPr>
          <w:rFonts w:ascii="宋体" w:hAnsi="宋体" w:cs="宋体"/>
          <w:sz w:val="24"/>
          <w:u w:val="single"/>
        </w:rPr>
        <w:t>111-113号白云大厦16楼</w:t>
      </w:r>
    </w:p>
    <w:p>
      <w:pPr>
        <w:spacing w:line="360" w:lineRule="auto"/>
        <w:ind w:left="1260" w:right="480" w:hanging="1260" w:hangingChars="525"/>
        <w:jc w:val="left"/>
        <w:rPr>
          <w:rFonts w:ascii="宋体" w:hAnsi="宋体" w:cs="宋体"/>
          <w:sz w:val="24"/>
          <w:u w:val="single"/>
        </w:rPr>
      </w:pPr>
      <w:r>
        <w:rPr>
          <w:rFonts w:hint="eastAsia" w:ascii="宋体" w:hAnsi="宋体" w:cs="宋体"/>
          <w:color w:val="000000"/>
          <w:sz w:val="24"/>
        </w:rPr>
        <w:t>联 系 人：</w:t>
      </w:r>
      <w:r>
        <w:rPr>
          <w:rFonts w:hint="eastAsia" w:ascii="宋体" w:hAnsi="宋体" w:cs="宋体"/>
          <w:sz w:val="24"/>
          <w:u w:val="single"/>
        </w:rPr>
        <w:t>方工</w:t>
      </w:r>
      <w:r>
        <w:rPr>
          <w:rFonts w:hint="eastAsia" w:ascii="宋体" w:hAnsi="宋体" w:cs="宋体"/>
          <w:color w:val="000000"/>
          <w:sz w:val="24"/>
        </w:rPr>
        <w:t xml:space="preserve">            电    话：</w:t>
      </w:r>
      <w:r>
        <w:rPr>
          <w:rFonts w:hint="eastAsia" w:ascii="宋体" w:hAnsi="宋体" w:cs="宋体"/>
          <w:sz w:val="24"/>
          <w:u w:val="single"/>
        </w:rPr>
        <w:t>13719233735</w:t>
      </w:r>
    </w:p>
    <w:p>
      <w:pPr>
        <w:spacing w:line="360" w:lineRule="auto"/>
        <w:ind w:left="1260" w:right="480" w:hanging="1260" w:hangingChars="525"/>
        <w:jc w:val="left"/>
        <w:rPr>
          <w:rFonts w:ascii="宋体" w:hAnsi="宋体" w:cs="宋体"/>
          <w:color w:val="000000"/>
          <w:sz w:val="24"/>
        </w:rPr>
      </w:pPr>
    </w:p>
    <w:p>
      <w:pPr>
        <w:spacing w:line="360" w:lineRule="auto"/>
        <w:ind w:left="1260" w:right="480" w:hanging="1260" w:hangingChars="525"/>
        <w:jc w:val="left"/>
        <w:rPr>
          <w:rFonts w:ascii="宋体" w:hAnsi="宋体" w:cs="宋体"/>
          <w:color w:val="000000"/>
          <w:sz w:val="24"/>
        </w:rPr>
      </w:pPr>
      <w:r>
        <w:rPr>
          <w:rFonts w:hint="eastAsia" w:ascii="宋体" w:hAnsi="宋体" w:cs="宋体"/>
          <w:color w:val="000000"/>
          <w:sz w:val="24"/>
        </w:rPr>
        <w:t>招标监督机构：</w:t>
      </w:r>
      <w:r>
        <w:rPr>
          <w:rFonts w:hint="eastAsia" w:ascii="宋体" w:hAnsi="宋体" w:cs="宋体"/>
          <w:color w:val="000000"/>
          <w:sz w:val="24"/>
          <w:u w:val="single"/>
        </w:rPr>
        <w:t>广州开发区建设工程招投标管理办公室（广州市黄埔区建设工程招投标管理办公室）</w:t>
      </w:r>
    </w:p>
    <w:p>
      <w:pPr>
        <w:spacing w:line="360" w:lineRule="auto"/>
        <w:ind w:left="1260" w:right="480" w:hanging="1260" w:hangingChars="525"/>
        <w:jc w:val="left"/>
        <w:rPr>
          <w:rFonts w:ascii="宋体" w:hAnsi="宋体" w:cs="宋体"/>
          <w:color w:val="000000"/>
          <w:sz w:val="24"/>
          <w:u w:val="single"/>
        </w:rPr>
      </w:pPr>
      <w:r>
        <w:rPr>
          <w:rFonts w:hint="eastAsia" w:ascii="宋体" w:hAnsi="宋体" w:cs="宋体"/>
          <w:color w:val="000000"/>
          <w:sz w:val="24"/>
        </w:rPr>
        <w:t xml:space="preserve">地   址： </w:t>
      </w:r>
      <w:r>
        <w:rPr>
          <w:rFonts w:hint="eastAsia" w:ascii="宋体" w:hAnsi="宋体" w:cs="宋体"/>
          <w:color w:val="000000"/>
          <w:sz w:val="24"/>
          <w:u w:val="single"/>
        </w:rPr>
        <w:t>广州市黄埔区水西路30号四楼</w:t>
      </w:r>
    </w:p>
    <w:p>
      <w:pPr>
        <w:spacing w:line="360" w:lineRule="auto"/>
        <w:ind w:left="1260" w:right="480" w:hanging="1260" w:hangingChars="525"/>
        <w:jc w:val="left"/>
        <w:rPr>
          <w:rFonts w:ascii="宋体" w:hAnsi="宋体" w:cs="宋体"/>
          <w:color w:val="000000"/>
          <w:sz w:val="24"/>
          <w:u w:val="single"/>
        </w:rPr>
      </w:pPr>
      <w:r>
        <w:rPr>
          <w:rFonts w:hint="eastAsia" w:ascii="宋体" w:hAnsi="宋体" w:cs="宋体"/>
          <w:color w:val="000000"/>
          <w:sz w:val="24"/>
        </w:rPr>
        <w:t>监管电话：</w:t>
      </w:r>
      <w:r>
        <w:rPr>
          <w:rFonts w:hint="eastAsia" w:ascii="宋体" w:hAnsi="宋体" w:cs="宋体"/>
          <w:color w:val="000000"/>
          <w:sz w:val="24"/>
          <w:u w:val="single"/>
        </w:rPr>
        <w:t xml:space="preserve"> 020-82112206、82116676</w:t>
      </w:r>
    </w:p>
    <w:p>
      <w:pPr>
        <w:pStyle w:val="5"/>
      </w:pPr>
    </w:p>
    <w:p/>
    <w:p>
      <w:pPr>
        <w:pStyle w:val="2"/>
      </w:pPr>
    </w:p>
    <w:p>
      <w:pPr>
        <w:topLinePunct/>
        <w:spacing w:line="360" w:lineRule="auto"/>
        <w:ind w:left="239" w:leftChars="114" w:right="240" w:firstLine="3720" w:firstLineChars="1550"/>
        <w:jc w:val="left"/>
        <w:rPr>
          <w:sz w:val="24"/>
        </w:rPr>
      </w:pPr>
      <w:r>
        <w:rPr>
          <w:rFonts w:hint="eastAsia"/>
          <w:sz w:val="24"/>
        </w:rPr>
        <w:t>招 标 人：</w:t>
      </w:r>
      <w:r>
        <w:rPr>
          <w:rFonts w:hint="eastAsia" w:ascii="宋体" w:hAnsi="宋体" w:cs="宋体"/>
          <w:color w:val="000000"/>
          <w:sz w:val="24"/>
        </w:rPr>
        <w:t xml:space="preserve"> </w:t>
      </w:r>
      <w:r>
        <w:rPr>
          <w:rFonts w:hint="eastAsia" w:ascii="宋体" w:hAnsi="宋体" w:cs="宋体"/>
          <w:sz w:val="24"/>
        </w:rPr>
        <w:t>广州智体投资运营有限公司</w:t>
      </w:r>
    </w:p>
    <w:p>
      <w:pPr>
        <w:topLinePunct/>
        <w:spacing w:line="360" w:lineRule="auto"/>
        <w:ind w:left="239" w:leftChars="114" w:right="240" w:firstLine="1560" w:firstLineChars="650"/>
        <w:jc w:val="left"/>
        <w:rPr>
          <w:sz w:val="24"/>
        </w:rPr>
      </w:pPr>
      <w:r>
        <w:rPr>
          <w:rFonts w:hint="eastAsia"/>
          <w:sz w:val="24"/>
        </w:rPr>
        <w:t xml:space="preserve">  </w:t>
      </w:r>
      <w:r>
        <w:rPr>
          <w:sz w:val="24"/>
        </w:rPr>
        <w:t xml:space="preserve">        </w:t>
      </w:r>
      <w:r>
        <w:rPr>
          <w:rFonts w:hint="eastAsia"/>
          <w:sz w:val="24"/>
        </w:rPr>
        <w:t xml:space="preserve">        招标代理机构：</w:t>
      </w:r>
      <w:r>
        <w:rPr>
          <w:rFonts w:hint="eastAsia" w:ascii="宋体" w:hAnsi="宋体" w:cs="宋体"/>
          <w:sz w:val="24"/>
        </w:rPr>
        <w:t>广东工程建设监理有限公司</w:t>
      </w:r>
      <w:r>
        <w:rPr>
          <w:rFonts w:hint="eastAsia"/>
          <w:sz w:val="24"/>
        </w:rPr>
        <w:t xml:space="preserve">        </w:t>
      </w:r>
    </w:p>
    <w:p>
      <w:pPr>
        <w:ind w:firstLine="4080" w:firstLineChars="1700"/>
      </w:pPr>
      <w:r>
        <w:rPr>
          <w:rFonts w:hint="eastAsia"/>
          <w:sz w:val="24"/>
        </w:rPr>
        <w:t>日    期：</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2023</w:t>
      </w:r>
      <w:r>
        <w:rPr>
          <w:rFonts w:asciiTheme="minorEastAsia" w:hAnsiTheme="minorEastAsia" w:eastAsiaTheme="minorEastAsia"/>
          <w:sz w:val="24"/>
          <w:u w:val="single"/>
        </w:rPr>
        <w:t xml:space="preserve"> </w:t>
      </w:r>
      <w:r>
        <w:rPr>
          <w:rFonts w:hint="eastAsia"/>
          <w:sz w:val="24"/>
        </w:rPr>
        <w:t>年</w:t>
      </w:r>
      <w:r>
        <w:rPr>
          <w:rFonts w:hint="eastAsia"/>
          <w:sz w:val="24"/>
          <w:u w:val="single"/>
        </w:rPr>
        <w:t xml:space="preserve"> </w:t>
      </w:r>
      <w:r>
        <w:rPr>
          <w:rFonts w:hint="eastAsia"/>
          <w:sz w:val="24"/>
          <w:u w:val="single"/>
          <w:lang w:val="en-US" w:eastAsia="zh-CN"/>
        </w:rPr>
        <w:t>8</w:t>
      </w:r>
      <w:r>
        <w:rPr>
          <w:rFonts w:hint="eastAsia"/>
          <w:sz w:val="24"/>
          <w:u w:val="single"/>
        </w:rPr>
        <w:t xml:space="preserve"> </w:t>
      </w:r>
      <w:r>
        <w:rPr>
          <w:rFonts w:hint="eastAsia"/>
          <w:sz w:val="24"/>
        </w:rPr>
        <w:t>月</w:t>
      </w:r>
      <w:r>
        <w:rPr>
          <w:rFonts w:hint="eastAsia"/>
          <w:sz w:val="24"/>
          <w:u w:val="single"/>
        </w:rPr>
        <w:t xml:space="preserve"> </w:t>
      </w:r>
      <w:r>
        <w:rPr>
          <w:rFonts w:hint="eastAsia"/>
          <w:sz w:val="24"/>
          <w:u w:val="single"/>
          <w:lang w:val="en-US" w:eastAsia="zh-CN"/>
        </w:rPr>
        <w:t>26</w:t>
      </w:r>
      <w:bookmarkStart w:id="41" w:name="_GoBack"/>
      <w:bookmarkEnd w:id="41"/>
      <w:r>
        <w:rPr>
          <w:rFonts w:hint="eastAsia"/>
          <w:sz w:val="24"/>
          <w:u w:val="single"/>
        </w:rPr>
        <w:t xml:space="preserve"> </w:t>
      </w:r>
      <w:r>
        <w:rPr>
          <w:rFonts w:hint="eastAsia"/>
          <w:sz w:val="24"/>
        </w:rPr>
        <w:t>日</w:t>
      </w:r>
      <w:bookmarkEnd w:id="0"/>
      <w:bookmarkEnd w:id="1"/>
    </w:p>
    <w:sectPr>
      <w:headerReference r:id="rId3" w:type="default"/>
      <w:footerReference r:id="rId5" w:type="default"/>
      <w:headerReference r:id="rId4" w:type="even"/>
      <w:pgSz w:w="12240" w:h="15840"/>
      <w:pgMar w:top="1191" w:right="1680" w:bottom="1191" w:left="1700" w:header="0" w:footer="721"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563088"/>
    </w:sdtPr>
    <w:sdtContent>
      <w:p>
        <w:pPr>
          <w:pStyle w:val="7"/>
          <w:jc w:val="center"/>
        </w:pPr>
      </w:p>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4"/>
      <w:numFmt w:val="decimal"/>
      <w:suff w:val="space"/>
      <w:lvlText w:val="%1."/>
      <w:lvlJc w:val="left"/>
    </w:lvl>
  </w:abstractNum>
  <w:abstractNum w:abstractNumId="1">
    <w:nsid w:val="169C31B6"/>
    <w:multiLevelType w:val="singleLevel"/>
    <w:tmpl w:val="169C31B6"/>
    <w:lvl w:ilvl="0" w:tentative="0">
      <w:start w:val="2"/>
      <w:numFmt w:val="decimal"/>
      <w:suff w:val="nothing"/>
      <w:lvlText w:val="（%1）"/>
      <w:lvlJc w:val="left"/>
    </w:lvl>
  </w:abstractNum>
  <w:abstractNum w:abstractNumId="2">
    <w:nsid w:val="30F8AD2B"/>
    <w:multiLevelType w:val="singleLevel"/>
    <w:tmpl w:val="30F8AD2B"/>
    <w:lvl w:ilvl="0" w:tentative="0">
      <w:start w:val="7"/>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NWI1ZDZhNTE4M2MxODI2YTY2MWQ5Zjg3YjE3YWMifQ=="/>
  </w:docVars>
  <w:rsids>
    <w:rsidRoot w:val="00B67904"/>
    <w:rsid w:val="00001B1E"/>
    <w:rsid w:val="00012F14"/>
    <w:rsid w:val="0001391E"/>
    <w:rsid w:val="00042300"/>
    <w:rsid w:val="00044C55"/>
    <w:rsid w:val="000510B2"/>
    <w:rsid w:val="00061E26"/>
    <w:rsid w:val="000843CE"/>
    <w:rsid w:val="000B049B"/>
    <w:rsid w:val="000D14F8"/>
    <w:rsid w:val="000D1D20"/>
    <w:rsid w:val="001075ED"/>
    <w:rsid w:val="001102E1"/>
    <w:rsid w:val="00131D86"/>
    <w:rsid w:val="00152E8D"/>
    <w:rsid w:val="001564EE"/>
    <w:rsid w:val="00156D35"/>
    <w:rsid w:val="001600A7"/>
    <w:rsid w:val="00161F62"/>
    <w:rsid w:val="00173A11"/>
    <w:rsid w:val="00191D47"/>
    <w:rsid w:val="001A153A"/>
    <w:rsid w:val="001D75A7"/>
    <w:rsid w:val="00201B5D"/>
    <w:rsid w:val="00207F35"/>
    <w:rsid w:val="00221FB5"/>
    <w:rsid w:val="00232EBB"/>
    <w:rsid w:val="00233657"/>
    <w:rsid w:val="00236857"/>
    <w:rsid w:val="00250874"/>
    <w:rsid w:val="0026529F"/>
    <w:rsid w:val="00276285"/>
    <w:rsid w:val="00276AE1"/>
    <w:rsid w:val="002824A9"/>
    <w:rsid w:val="002878B8"/>
    <w:rsid w:val="00297039"/>
    <w:rsid w:val="002A6084"/>
    <w:rsid w:val="002A7089"/>
    <w:rsid w:val="002B14E8"/>
    <w:rsid w:val="002B4F2E"/>
    <w:rsid w:val="002D2C9A"/>
    <w:rsid w:val="002D3DEA"/>
    <w:rsid w:val="002D4255"/>
    <w:rsid w:val="002F64CE"/>
    <w:rsid w:val="00302A0B"/>
    <w:rsid w:val="00310E73"/>
    <w:rsid w:val="003170F4"/>
    <w:rsid w:val="003273CF"/>
    <w:rsid w:val="00347BA0"/>
    <w:rsid w:val="0035325E"/>
    <w:rsid w:val="00364637"/>
    <w:rsid w:val="00380C9B"/>
    <w:rsid w:val="00381C1C"/>
    <w:rsid w:val="00394382"/>
    <w:rsid w:val="00403720"/>
    <w:rsid w:val="004209AD"/>
    <w:rsid w:val="00426F22"/>
    <w:rsid w:val="0043715C"/>
    <w:rsid w:val="00441FFE"/>
    <w:rsid w:val="00453DD1"/>
    <w:rsid w:val="00477179"/>
    <w:rsid w:val="00484356"/>
    <w:rsid w:val="00486D6D"/>
    <w:rsid w:val="004A0F43"/>
    <w:rsid w:val="004B0CFD"/>
    <w:rsid w:val="004B5C6C"/>
    <w:rsid w:val="004D2157"/>
    <w:rsid w:val="004D54CA"/>
    <w:rsid w:val="00500AD8"/>
    <w:rsid w:val="005139D7"/>
    <w:rsid w:val="00523D52"/>
    <w:rsid w:val="00525F82"/>
    <w:rsid w:val="005554F7"/>
    <w:rsid w:val="00562707"/>
    <w:rsid w:val="00565684"/>
    <w:rsid w:val="005815EB"/>
    <w:rsid w:val="0059141B"/>
    <w:rsid w:val="005970C6"/>
    <w:rsid w:val="005A29C0"/>
    <w:rsid w:val="005A2BCD"/>
    <w:rsid w:val="005A4049"/>
    <w:rsid w:val="005A4152"/>
    <w:rsid w:val="005A48C1"/>
    <w:rsid w:val="005B6F63"/>
    <w:rsid w:val="005D2F0E"/>
    <w:rsid w:val="005F11A7"/>
    <w:rsid w:val="006037A1"/>
    <w:rsid w:val="006214D5"/>
    <w:rsid w:val="00621CD8"/>
    <w:rsid w:val="00652409"/>
    <w:rsid w:val="006531EC"/>
    <w:rsid w:val="00671797"/>
    <w:rsid w:val="00676925"/>
    <w:rsid w:val="006A06BF"/>
    <w:rsid w:val="006B3050"/>
    <w:rsid w:val="006B6BAA"/>
    <w:rsid w:val="006C0391"/>
    <w:rsid w:val="006C4FDA"/>
    <w:rsid w:val="006D6B52"/>
    <w:rsid w:val="006F05E9"/>
    <w:rsid w:val="0070042E"/>
    <w:rsid w:val="00705363"/>
    <w:rsid w:val="007060C0"/>
    <w:rsid w:val="007104A3"/>
    <w:rsid w:val="00726D9F"/>
    <w:rsid w:val="00730FBB"/>
    <w:rsid w:val="0073162C"/>
    <w:rsid w:val="00741D3A"/>
    <w:rsid w:val="00760EBA"/>
    <w:rsid w:val="00771F09"/>
    <w:rsid w:val="00780895"/>
    <w:rsid w:val="00782EB3"/>
    <w:rsid w:val="007B100D"/>
    <w:rsid w:val="007B31AD"/>
    <w:rsid w:val="007B6284"/>
    <w:rsid w:val="007C1108"/>
    <w:rsid w:val="007C375F"/>
    <w:rsid w:val="007C7700"/>
    <w:rsid w:val="007D7003"/>
    <w:rsid w:val="007E411B"/>
    <w:rsid w:val="007F42D5"/>
    <w:rsid w:val="008059B2"/>
    <w:rsid w:val="008146DB"/>
    <w:rsid w:val="00825320"/>
    <w:rsid w:val="008259CF"/>
    <w:rsid w:val="0083059D"/>
    <w:rsid w:val="0083791A"/>
    <w:rsid w:val="0084717C"/>
    <w:rsid w:val="008539CD"/>
    <w:rsid w:val="008625B1"/>
    <w:rsid w:val="00863188"/>
    <w:rsid w:val="008730FA"/>
    <w:rsid w:val="00877A53"/>
    <w:rsid w:val="008A227D"/>
    <w:rsid w:val="008A41F6"/>
    <w:rsid w:val="008A6F7B"/>
    <w:rsid w:val="008B6F38"/>
    <w:rsid w:val="008C558D"/>
    <w:rsid w:val="008F3FC7"/>
    <w:rsid w:val="008F7A86"/>
    <w:rsid w:val="00901F36"/>
    <w:rsid w:val="0091409D"/>
    <w:rsid w:val="009248A8"/>
    <w:rsid w:val="00924A00"/>
    <w:rsid w:val="0092761A"/>
    <w:rsid w:val="00931C17"/>
    <w:rsid w:val="00942D4F"/>
    <w:rsid w:val="00942D7E"/>
    <w:rsid w:val="00943522"/>
    <w:rsid w:val="00946DCA"/>
    <w:rsid w:val="00950C49"/>
    <w:rsid w:val="009676BA"/>
    <w:rsid w:val="0097197E"/>
    <w:rsid w:val="0098370D"/>
    <w:rsid w:val="00984549"/>
    <w:rsid w:val="00995E3F"/>
    <w:rsid w:val="009A325A"/>
    <w:rsid w:val="009E04CA"/>
    <w:rsid w:val="009E0FA3"/>
    <w:rsid w:val="00A24CB3"/>
    <w:rsid w:val="00A27E25"/>
    <w:rsid w:val="00A30F17"/>
    <w:rsid w:val="00A421D0"/>
    <w:rsid w:val="00A478F8"/>
    <w:rsid w:val="00A55471"/>
    <w:rsid w:val="00A60A71"/>
    <w:rsid w:val="00A62DFE"/>
    <w:rsid w:val="00A85B1F"/>
    <w:rsid w:val="00AA17DC"/>
    <w:rsid w:val="00AC0FDF"/>
    <w:rsid w:val="00AD0173"/>
    <w:rsid w:val="00AE30F3"/>
    <w:rsid w:val="00AE542F"/>
    <w:rsid w:val="00AE73F1"/>
    <w:rsid w:val="00AE77FA"/>
    <w:rsid w:val="00B054D7"/>
    <w:rsid w:val="00B17044"/>
    <w:rsid w:val="00B260B9"/>
    <w:rsid w:val="00B31DF6"/>
    <w:rsid w:val="00B41F82"/>
    <w:rsid w:val="00B5428F"/>
    <w:rsid w:val="00B67904"/>
    <w:rsid w:val="00B83AB4"/>
    <w:rsid w:val="00B8584E"/>
    <w:rsid w:val="00B87182"/>
    <w:rsid w:val="00B93C79"/>
    <w:rsid w:val="00BC1E1A"/>
    <w:rsid w:val="00BC3F11"/>
    <w:rsid w:val="00BC79A6"/>
    <w:rsid w:val="00BD47E6"/>
    <w:rsid w:val="00BE2901"/>
    <w:rsid w:val="00BE2A39"/>
    <w:rsid w:val="00C21EC6"/>
    <w:rsid w:val="00C26306"/>
    <w:rsid w:val="00C267A1"/>
    <w:rsid w:val="00C5185F"/>
    <w:rsid w:val="00C65D3C"/>
    <w:rsid w:val="00C83758"/>
    <w:rsid w:val="00C97BBE"/>
    <w:rsid w:val="00CB4A79"/>
    <w:rsid w:val="00CD47A7"/>
    <w:rsid w:val="00CD730F"/>
    <w:rsid w:val="00CE39D4"/>
    <w:rsid w:val="00CF0D2E"/>
    <w:rsid w:val="00CF3161"/>
    <w:rsid w:val="00CF506C"/>
    <w:rsid w:val="00CF6E83"/>
    <w:rsid w:val="00D17762"/>
    <w:rsid w:val="00D217CF"/>
    <w:rsid w:val="00D334F4"/>
    <w:rsid w:val="00D44B8D"/>
    <w:rsid w:val="00D45D5B"/>
    <w:rsid w:val="00D629AE"/>
    <w:rsid w:val="00D65586"/>
    <w:rsid w:val="00D94AA7"/>
    <w:rsid w:val="00D95EB0"/>
    <w:rsid w:val="00DA3C9D"/>
    <w:rsid w:val="00DC31A4"/>
    <w:rsid w:val="00DF1CCB"/>
    <w:rsid w:val="00DF33D8"/>
    <w:rsid w:val="00DF58E1"/>
    <w:rsid w:val="00DF6653"/>
    <w:rsid w:val="00E14A85"/>
    <w:rsid w:val="00E306BA"/>
    <w:rsid w:val="00E412BD"/>
    <w:rsid w:val="00E671EC"/>
    <w:rsid w:val="00E85155"/>
    <w:rsid w:val="00E953CD"/>
    <w:rsid w:val="00EA7A90"/>
    <w:rsid w:val="00EB4C15"/>
    <w:rsid w:val="00EC4D23"/>
    <w:rsid w:val="00EC5387"/>
    <w:rsid w:val="00ED7184"/>
    <w:rsid w:val="00EE3DCC"/>
    <w:rsid w:val="00F073A9"/>
    <w:rsid w:val="00F15E85"/>
    <w:rsid w:val="00F36B23"/>
    <w:rsid w:val="00F40A11"/>
    <w:rsid w:val="00F70D4B"/>
    <w:rsid w:val="00F727C8"/>
    <w:rsid w:val="00F76F08"/>
    <w:rsid w:val="00FB1200"/>
    <w:rsid w:val="00FC6630"/>
    <w:rsid w:val="00FC6F24"/>
    <w:rsid w:val="00FD4B1F"/>
    <w:rsid w:val="00FF2C75"/>
    <w:rsid w:val="00FF6DE9"/>
    <w:rsid w:val="010B460B"/>
    <w:rsid w:val="09424DE5"/>
    <w:rsid w:val="0B2654D5"/>
    <w:rsid w:val="0B495CE1"/>
    <w:rsid w:val="0EAE6CE4"/>
    <w:rsid w:val="103D3C77"/>
    <w:rsid w:val="11372928"/>
    <w:rsid w:val="14A56597"/>
    <w:rsid w:val="17317012"/>
    <w:rsid w:val="19307660"/>
    <w:rsid w:val="22CC288F"/>
    <w:rsid w:val="250735ED"/>
    <w:rsid w:val="26661BB3"/>
    <w:rsid w:val="26AE0AEE"/>
    <w:rsid w:val="2AE16E6D"/>
    <w:rsid w:val="2BB27426"/>
    <w:rsid w:val="313D0C37"/>
    <w:rsid w:val="35302C7A"/>
    <w:rsid w:val="368A137A"/>
    <w:rsid w:val="39B2662F"/>
    <w:rsid w:val="3B612A4E"/>
    <w:rsid w:val="3E281D66"/>
    <w:rsid w:val="3F6B5933"/>
    <w:rsid w:val="4066070E"/>
    <w:rsid w:val="41F12A46"/>
    <w:rsid w:val="474577C5"/>
    <w:rsid w:val="48DB100A"/>
    <w:rsid w:val="4A1F13A2"/>
    <w:rsid w:val="4C83051A"/>
    <w:rsid w:val="4EA238E4"/>
    <w:rsid w:val="50D77891"/>
    <w:rsid w:val="50DC0454"/>
    <w:rsid w:val="51142FBF"/>
    <w:rsid w:val="59F6095E"/>
    <w:rsid w:val="5C692D1F"/>
    <w:rsid w:val="5D90628A"/>
    <w:rsid w:val="5E4F7657"/>
    <w:rsid w:val="5E674F46"/>
    <w:rsid w:val="669B13B7"/>
    <w:rsid w:val="66F126C8"/>
    <w:rsid w:val="68FA5E80"/>
    <w:rsid w:val="6B4945A8"/>
    <w:rsid w:val="6C0060AD"/>
    <w:rsid w:val="6F3570A5"/>
    <w:rsid w:val="7007770E"/>
    <w:rsid w:val="716E069A"/>
    <w:rsid w:val="71CE5A04"/>
    <w:rsid w:val="737B327A"/>
    <w:rsid w:val="758135D0"/>
    <w:rsid w:val="77653756"/>
    <w:rsid w:val="7BEC1470"/>
    <w:rsid w:val="7C1136B9"/>
    <w:rsid w:val="7CCF0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qFormat/>
    <w:uiPriority w:val="0"/>
    <w:pPr>
      <w:keepNext/>
      <w:keepLines/>
      <w:spacing w:before="260" w:after="260" w:line="410"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link w:val="19"/>
    <w:unhideWhenUsed/>
    <w:qFormat/>
    <w:uiPriority w:val="99"/>
    <w:pPr>
      <w:jc w:val="left"/>
    </w:pPr>
  </w:style>
  <w:style w:type="paragraph" w:styleId="5">
    <w:name w:val="Plain Text"/>
    <w:basedOn w:val="1"/>
    <w:next w:val="1"/>
    <w:qFormat/>
    <w:uiPriority w:val="0"/>
    <w:rPr>
      <w:rFonts w:ascii="宋体" w:hAnsi="Courier New"/>
    </w:r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2"/>
    <w:unhideWhenUsed/>
    <w:qFormat/>
    <w:uiPriority w:val="99"/>
    <w:rPr>
      <w:rFonts w:ascii="宋体" w:hAnsi="宋体"/>
      <w:u w:val="single"/>
    </w:rPr>
  </w:style>
  <w:style w:type="paragraph" w:styleId="10">
    <w:name w:val="annotation subject"/>
    <w:basedOn w:val="4"/>
    <w:next w:val="4"/>
    <w:link w:val="20"/>
    <w:semiHidden/>
    <w:unhideWhenUsed/>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标题 2 字符"/>
    <w:basedOn w:val="12"/>
    <w:link w:val="2"/>
    <w:qFormat/>
    <w:uiPriority w:val="0"/>
    <w:rPr>
      <w:rFonts w:ascii="Arial" w:hAnsi="Arial" w:eastAsia="黑体" w:cs="Times New Roman"/>
      <w:b/>
      <w:sz w:val="32"/>
      <w:szCs w:val="24"/>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页眉 字符"/>
    <w:basedOn w:val="12"/>
    <w:link w:val="8"/>
    <w:qFormat/>
    <w:uiPriority w:val="99"/>
    <w:rPr>
      <w:rFonts w:ascii="Times New Roman" w:hAnsi="Times New Roman" w:eastAsia="宋体" w:cs="Times New Roman"/>
      <w:sz w:val="18"/>
      <w:szCs w:val="18"/>
    </w:rPr>
  </w:style>
  <w:style w:type="character" w:customStyle="1" w:styleId="18">
    <w:name w:val="页脚 字符"/>
    <w:basedOn w:val="12"/>
    <w:link w:val="7"/>
    <w:qFormat/>
    <w:uiPriority w:val="99"/>
    <w:rPr>
      <w:rFonts w:ascii="Times New Roman" w:hAnsi="Times New Roman" w:eastAsia="宋体" w:cs="Times New Roman"/>
      <w:sz w:val="18"/>
      <w:szCs w:val="18"/>
    </w:rPr>
  </w:style>
  <w:style w:type="character" w:customStyle="1" w:styleId="19">
    <w:name w:val="批注文字 字符"/>
    <w:basedOn w:val="12"/>
    <w:link w:val="4"/>
    <w:qFormat/>
    <w:uiPriority w:val="99"/>
    <w:rPr>
      <w:rFonts w:ascii="Times New Roman" w:hAnsi="Times New Roman" w:eastAsia="宋体" w:cs="Times New Roman"/>
      <w:szCs w:val="24"/>
    </w:rPr>
  </w:style>
  <w:style w:type="character" w:customStyle="1" w:styleId="20">
    <w:name w:val="批注主题 字符"/>
    <w:basedOn w:val="19"/>
    <w:link w:val="10"/>
    <w:semiHidden/>
    <w:qFormat/>
    <w:uiPriority w:val="99"/>
    <w:rPr>
      <w:rFonts w:ascii="Times New Roman" w:hAnsi="Times New Roman" w:eastAsia="宋体" w:cs="Times New Roman"/>
      <w:b/>
      <w:bCs/>
      <w:szCs w:val="24"/>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正文文本 2 字符"/>
    <w:basedOn w:val="12"/>
    <w:link w:val="9"/>
    <w:qFormat/>
    <w:uiPriority w:val="99"/>
    <w:rPr>
      <w:rFonts w:ascii="宋体" w:hAnsi="宋体"/>
      <w:kern w:val="2"/>
      <w:sz w:val="21"/>
      <w:szCs w:val="24"/>
      <w:u w:val="single"/>
    </w:rPr>
  </w:style>
  <w:style w:type="paragraph" w:styleId="23">
    <w:name w:val="List Paragraph"/>
    <w:basedOn w:val="1"/>
    <w:qFormat/>
    <w:uiPriority w:val="99"/>
    <w:pPr>
      <w:ind w:firstLine="420" w:firstLineChars="200"/>
    </w:pPr>
  </w:style>
  <w:style w:type="paragraph" w:customStyle="1" w:styleId="2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7">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93523-B0A3-48BB-A9CF-0E0C4FF8FA2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654</Words>
  <Characters>3731</Characters>
  <Lines>31</Lines>
  <Paragraphs>8</Paragraphs>
  <TotalTime>46</TotalTime>
  <ScaleCrop>false</ScaleCrop>
  <LinksUpToDate>false</LinksUpToDate>
  <CharactersWithSpaces>4377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2020-12-17T07:25:00Z</dcterms:created>
  <dc:creator>Administrator</dc:creator>
  <cp:lastModifiedBy>Admin</cp:lastModifiedBy>
  <dcterms:modified xsi:type="dcterms:W3CDTF">2023-08-25T06:25:41Z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8115FCB7D8F5403DB0372E420C397007</vt:lpwstr>
  </property>
</Properties>
</file>