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宋体" w:hAnsi="宋体" w:eastAsia="宋体"/>
          <w:bCs/>
          <w:color w:val="auto"/>
          <w:szCs w:val="21"/>
          <w:highlight w:val="none"/>
          <w:lang w:eastAsia="zh-CN"/>
        </w:rPr>
      </w:pPr>
    </w:p>
    <w:p>
      <w:pPr>
        <w:shd w:val="clear"/>
        <w:tabs>
          <w:tab w:val="left" w:pos="4410"/>
        </w:tabs>
        <w:spacing w:line="360" w:lineRule="auto"/>
        <w:jc w:val="center"/>
        <w:rPr>
          <w:rFonts w:hint="eastAsia" w:ascii="宋体" w:hAnsi="宋体" w:eastAsia="宋体"/>
          <w:b/>
          <w:bCs/>
          <w:color w:val="auto"/>
          <w:spacing w:val="40"/>
          <w:sz w:val="38"/>
          <w:szCs w:val="38"/>
          <w:highlight w:val="none"/>
          <w:u w:val="none"/>
        </w:rPr>
      </w:pPr>
      <w:r>
        <w:rPr>
          <w:rFonts w:hint="eastAsia" w:ascii="宋体" w:hAnsi="宋体" w:eastAsia="宋体"/>
          <w:b/>
          <w:color w:val="auto"/>
          <w:sz w:val="38"/>
          <w:szCs w:val="38"/>
          <w:highlight w:val="none"/>
          <w:u w:val="none"/>
          <w:lang w:eastAsia="zh-CN"/>
        </w:rPr>
        <w:t>广清产业园华清产业大道北侧收储地块新建纵路工程施工总承包</w:t>
      </w:r>
    </w:p>
    <w:p>
      <w:pPr>
        <w:shd w:val="clear"/>
        <w:spacing w:line="360" w:lineRule="auto"/>
        <w:ind w:left="359" w:leftChars="171"/>
        <w:jc w:val="center"/>
        <w:rPr>
          <w:rFonts w:hint="eastAsia" w:ascii="宋体" w:hAnsi="宋体" w:eastAsia="宋体"/>
          <w:b/>
          <w:bCs/>
          <w:color w:val="auto"/>
          <w:spacing w:val="40"/>
          <w:sz w:val="44"/>
          <w:szCs w:val="44"/>
          <w:highlight w:val="none"/>
        </w:rPr>
      </w:pPr>
    </w:p>
    <w:p>
      <w:pPr>
        <w:shd w:val="clear"/>
        <w:spacing w:line="360" w:lineRule="auto"/>
        <w:jc w:val="center"/>
        <w:rPr>
          <w:rFonts w:hint="eastAsia" w:ascii="宋体" w:hAnsi="宋体" w:eastAsia="宋体"/>
          <w:b/>
          <w:bCs/>
          <w:color w:val="auto"/>
          <w:spacing w:val="40"/>
          <w:sz w:val="44"/>
          <w:szCs w:val="44"/>
          <w:highlight w:val="none"/>
          <w:u w:val="none"/>
        </w:rPr>
      </w:pPr>
      <w:r>
        <w:rPr>
          <w:rFonts w:hint="eastAsia" w:ascii="宋体" w:hAnsi="宋体" w:eastAsia="宋体"/>
          <w:b/>
          <w:color w:val="auto"/>
          <w:sz w:val="36"/>
          <w:highlight w:val="none"/>
          <w:u w:val="none"/>
        </w:rPr>
        <w:t xml:space="preserve"> </w:t>
      </w:r>
    </w:p>
    <w:p>
      <w:pPr>
        <w:shd w:val="clear"/>
        <w:spacing w:line="360" w:lineRule="auto"/>
        <w:ind w:left="359" w:leftChars="171"/>
        <w:jc w:val="center"/>
        <w:rPr>
          <w:rFonts w:hint="eastAsia" w:ascii="宋体" w:hAnsi="宋体" w:eastAsia="宋体"/>
          <w:b/>
          <w:bCs/>
          <w:color w:val="auto"/>
          <w:spacing w:val="40"/>
          <w:sz w:val="44"/>
          <w:szCs w:val="44"/>
          <w:highlight w:val="none"/>
        </w:rPr>
      </w:pPr>
    </w:p>
    <w:p>
      <w:pPr>
        <w:shd w:val="clear"/>
        <w:spacing w:line="360" w:lineRule="auto"/>
        <w:jc w:val="center"/>
        <w:rPr>
          <w:rFonts w:hint="eastAsia" w:ascii="宋体" w:hAnsi="宋体" w:eastAsia="宋体"/>
          <w:color w:val="auto"/>
          <w:sz w:val="36"/>
          <w:highlight w:val="none"/>
          <w:u w:val="single"/>
        </w:rPr>
      </w:pPr>
    </w:p>
    <w:p>
      <w:pPr>
        <w:shd w:val="clear"/>
        <w:spacing w:line="360" w:lineRule="auto"/>
        <w:jc w:val="cente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黑体" w:hAnsi="黑体" w:eastAsia="黑体" w:cs="黑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pPr>
        <w:shd w:val="clear"/>
        <w:spacing w:line="360" w:lineRule="auto"/>
        <w:jc w:val="center"/>
        <w:rPr>
          <w:rFonts w:hint="eastAsia" w:ascii="宋体" w:hAnsi="宋体" w:eastAsia="宋体"/>
          <w:color w:val="auto"/>
          <w:sz w:val="32"/>
          <w:highlight w:val="none"/>
        </w:rPr>
      </w:pPr>
    </w:p>
    <w:p>
      <w:pPr>
        <w:shd w:val="clear"/>
        <w:spacing w:line="360" w:lineRule="auto"/>
        <w:jc w:val="center"/>
        <w:rPr>
          <w:rFonts w:hint="eastAsia" w:ascii="宋体" w:hAnsi="宋体" w:eastAsia="宋体"/>
          <w:color w:val="auto"/>
          <w:sz w:val="32"/>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480" w:lineRule="auto"/>
        <w:jc w:val="center"/>
        <w:rPr>
          <w:rFonts w:hint="eastAsia" w:ascii="宋体" w:hAnsi="宋体" w:eastAsia="宋体"/>
          <w:color w:val="auto"/>
          <w:sz w:val="30"/>
          <w:szCs w:val="30"/>
          <w:highlight w:val="none"/>
        </w:rPr>
      </w:pPr>
    </w:p>
    <w:p>
      <w:pPr>
        <w:shd w:val="clear"/>
        <w:spacing w:line="480" w:lineRule="auto"/>
        <w:ind w:left="2045" w:leftChars="400" w:hanging="1205" w:hangingChars="400"/>
        <w:jc w:val="both"/>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招标人：</w:t>
      </w:r>
      <w:r>
        <w:rPr>
          <w:rFonts w:hint="eastAsia" w:ascii="宋体" w:hAnsi="宋体" w:eastAsia="宋体"/>
          <w:b/>
          <w:color w:val="auto"/>
          <w:sz w:val="30"/>
          <w:szCs w:val="30"/>
          <w:highlight w:val="none"/>
          <w:u w:val="single"/>
        </w:rPr>
        <w:t>广州（清远）产业转移工业园财政投资项目管理中心</w:t>
      </w:r>
    </w:p>
    <w:p>
      <w:pPr>
        <w:shd w:val="clear"/>
        <w:spacing w:line="480" w:lineRule="auto"/>
        <w:ind w:leftChars="400"/>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招标代理机构：</w:t>
      </w:r>
      <w:r>
        <w:rPr>
          <w:rFonts w:hint="eastAsia" w:ascii="宋体" w:hAnsi="宋体" w:eastAsia="宋体"/>
          <w:b/>
          <w:color w:val="auto"/>
          <w:sz w:val="30"/>
          <w:szCs w:val="30"/>
          <w:highlight w:val="none"/>
          <w:u w:val="single"/>
        </w:rPr>
        <w:t xml:space="preserve"> 安徽瑞邦工程造价有限公司   </w:t>
      </w:r>
    </w:p>
    <w:p>
      <w:pPr>
        <w:shd w:val="clear"/>
        <w:spacing w:line="480" w:lineRule="auto"/>
        <w:ind w:leftChars="400"/>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编制日期：</w:t>
      </w:r>
      <w:r>
        <w:rPr>
          <w:rFonts w:hint="eastAsia" w:ascii="宋体" w:hAnsi="宋体" w:eastAsia="宋体"/>
          <w:b/>
          <w:color w:val="auto"/>
          <w:sz w:val="30"/>
          <w:szCs w:val="30"/>
          <w:highlight w:val="none"/>
          <w:u w:val="single"/>
        </w:rPr>
        <w:t xml:space="preserve">  </w:t>
      </w:r>
      <w:r>
        <w:rPr>
          <w:rFonts w:hint="eastAsia" w:ascii="宋体" w:hAnsi="宋体" w:eastAsia="宋体"/>
          <w:b/>
          <w:color w:val="auto"/>
          <w:sz w:val="30"/>
          <w:szCs w:val="30"/>
          <w:highlight w:val="none"/>
          <w:u w:val="single"/>
          <w:lang w:val="en-US" w:eastAsia="zh-CN"/>
        </w:rPr>
        <w:t>2023年8月</w:t>
      </w:r>
      <w:r>
        <w:rPr>
          <w:rFonts w:hint="eastAsia" w:ascii="宋体" w:hAnsi="宋体" w:eastAsia="宋体"/>
          <w:b/>
          <w:color w:val="auto"/>
          <w:sz w:val="30"/>
          <w:szCs w:val="30"/>
          <w:highlight w:val="none"/>
          <w:u w:val="single"/>
        </w:rPr>
        <w:t xml:space="preserve">    </w:t>
      </w:r>
    </w:p>
    <w:p>
      <w:pPr>
        <w:pStyle w:val="9"/>
        <w:shd w:val="clear"/>
        <w:spacing w:line="360" w:lineRule="auto"/>
        <w:ind w:firstLine="480" w:firstLineChars="200"/>
        <w:rPr>
          <w:rFonts w:hint="eastAsia" w:hAnsi="宋体" w:eastAsia="宋体"/>
          <w:color w:val="auto"/>
          <w:sz w:val="24"/>
          <w:highlight w:val="none"/>
        </w:rPr>
        <w:sectPr>
          <w:headerReference r:id="rId3" w:type="default"/>
          <w:footerReference r:id="rId4" w:type="even"/>
          <w:endnotePr>
            <w:numFmt w:val="decimal"/>
          </w:endnotePr>
          <w:pgSz w:w="11850" w:h="16783"/>
          <w:pgMar w:top="1134" w:right="1134" w:bottom="1134" w:left="1134" w:header="851" w:footer="992" w:gutter="567"/>
          <w:pgNumType w:start="1"/>
          <w:cols w:space="720" w:num="1"/>
        </w:sectPr>
      </w:pPr>
    </w:p>
    <w:p>
      <w:pPr>
        <w:pStyle w:val="9"/>
        <w:shd w:val="clear"/>
        <w:spacing w:line="360" w:lineRule="auto"/>
        <w:ind w:firstLine="480" w:firstLineChars="200"/>
        <w:rPr>
          <w:rFonts w:hint="eastAsia" w:hAnsi="宋体" w:eastAsia="宋体"/>
          <w:color w:val="auto"/>
          <w:sz w:val="24"/>
          <w:highlight w:val="none"/>
        </w:rPr>
      </w:pPr>
      <w:r>
        <w:rPr>
          <w:rFonts w:hint="eastAsia" w:hAnsi="宋体" w:eastAsia="宋体"/>
          <w:color w:val="auto"/>
          <w:sz w:val="24"/>
          <w:highlight w:val="none"/>
        </w:rPr>
        <w:t xml:space="preserve">                     </w:t>
      </w:r>
    </w:p>
    <w:p>
      <w:pPr>
        <w:pStyle w:val="9"/>
        <w:shd w:val="clear"/>
        <w:spacing w:line="360" w:lineRule="auto"/>
        <w:ind w:firstLine="480" w:firstLineChars="200"/>
        <w:rPr>
          <w:rFonts w:hint="eastAsia" w:hAnsi="宋体" w:eastAsia="宋体"/>
          <w:color w:val="auto"/>
          <w:sz w:val="24"/>
          <w:highlight w:val="none"/>
        </w:rPr>
      </w:pPr>
    </w:p>
    <w:p>
      <w:pPr>
        <w:pStyle w:val="9"/>
        <w:shd w:val="clear"/>
        <w:spacing w:line="360" w:lineRule="auto"/>
        <w:ind w:firstLine="480" w:firstLineChars="200"/>
        <w:rPr>
          <w:rFonts w:hint="eastAsia" w:hAnsi="宋体" w:eastAsia="宋体"/>
          <w:color w:val="auto"/>
          <w:sz w:val="24"/>
          <w:highlight w:val="none"/>
        </w:rPr>
      </w:pPr>
    </w:p>
    <w:p>
      <w:pPr>
        <w:pStyle w:val="9"/>
        <w:shd w:val="clear"/>
        <w:spacing w:line="360" w:lineRule="auto"/>
        <w:ind w:firstLine="480" w:firstLineChars="200"/>
        <w:rPr>
          <w:rFonts w:hint="eastAsia" w:hAnsi="宋体" w:eastAsia="宋体"/>
          <w:color w:val="auto"/>
          <w:sz w:val="24"/>
          <w:highlight w:val="none"/>
        </w:rPr>
      </w:pPr>
    </w:p>
    <w:p>
      <w:pPr>
        <w:pStyle w:val="9"/>
        <w:shd w:val="clear"/>
        <w:spacing w:line="360" w:lineRule="auto"/>
        <w:ind w:firstLine="480" w:firstLineChars="200"/>
        <w:rPr>
          <w:rFonts w:hint="eastAsia" w:hAnsi="宋体" w:eastAsia="宋体"/>
          <w:color w:val="auto"/>
          <w:sz w:val="24"/>
          <w:highlight w:val="none"/>
        </w:rPr>
      </w:pPr>
    </w:p>
    <w:p>
      <w:pPr>
        <w:pStyle w:val="9"/>
        <w:shd w:val="clear"/>
        <w:spacing w:line="360" w:lineRule="auto"/>
        <w:ind w:firstLine="480" w:firstLineChars="200"/>
        <w:rPr>
          <w:rFonts w:hint="eastAsia" w:hAnsi="宋体" w:eastAsia="宋体"/>
          <w:color w:val="auto"/>
          <w:sz w:val="24"/>
          <w:highlight w:val="none"/>
        </w:rPr>
      </w:pPr>
    </w:p>
    <w:p>
      <w:pPr>
        <w:pStyle w:val="9"/>
        <w:shd w:val="clear"/>
        <w:spacing w:line="360" w:lineRule="auto"/>
        <w:jc w:val="center"/>
        <w:rPr>
          <w:rFonts w:hint="eastAsia" w:hAnsi="宋体" w:eastAsia="宋体"/>
          <w:color w:val="auto"/>
          <w:sz w:val="24"/>
          <w:highlight w:val="none"/>
        </w:rPr>
      </w:pPr>
      <w:r>
        <w:rPr>
          <w:rFonts w:hint="eastAsia" w:hAnsi="宋体" w:eastAsia="宋体" w:cs="黑体"/>
          <w:b/>
          <w:color w:val="auto"/>
          <w:sz w:val="44"/>
          <w:szCs w:val="44"/>
          <w:highlight w:val="none"/>
        </w:rPr>
        <w:t>第一部分</w:t>
      </w:r>
    </w:p>
    <w:p>
      <w:pPr>
        <w:shd w:val="clear"/>
        <w:rPr>
          <w:rFonts w:hint="eastAsia" w:ascii="宋体" w:hAnsi="宋体" w:eastAsia="宋体"/>
          <w:b/>
          <w:color w:val="auto"/>
          <w:sz w:val="48"/>
          <w:szCs w:val="48"/>
          <w:highlight w:val="none"/>
        </w:rPr>
      </w:pPr>
    </w:p>
    <w:p>
      <w:pPr>
        <w:shd w:val="clear"/>
        <w:rPr>
          <w:rFonts w:hint="eastAsia" w:ascii="宋体" w:hAnsi="宋体" w:eastAsia="宋体"/>
          <w:b/>
          <w:color w:val="auto"/>
          <w:sz w:val="48"/>
          <w:szCs w:val="48"/>
          <w:highlight w:val="none"/>
        </w:rPr>
      </w:pPr>
    </w:p>
    <w:p>
      <w:pPr>
        <w:shd w:val="clear"/>
        <w:spacing w:line="360" w:lineRule="auto"/>
        <w:jc w:val="cente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cs="黑体"/>
          <w:b/>
          <w:bCs/>
          <w:color w:val="auto"/>
          <w:spacing w:val="26"/>
          <w:sz w:val="72"/>
          <w:szCs w:val="72"/>
          <w:highlight w:val="none"/>
          <w14:shadow w14:blurRad="50800" w14:dist="38100" w14:dir="2700000" w14:sx="100000" w14:sy="100000" w14:kx="0" w14:ky="0" w14:algn="tl">
            <w14:srgbClr w14:val="000000">
              <w14:alpha w14:val="60000"/>
            </w14:srgbClr>
          </w14:shadow>
        </w:rPr>
        <w:t>招标公告</w:t>
      </w:r>
    </w:p>
    <w:p>
      <w:pPr>
        <w:shd w:val="clear"/>
        <w:spacing w:line="360" w:lineRule="auto"/>
        <w:jc w:val="center"/>
        <w:rPr>
          <w:rFonts w:hint="eastAsia" w:ascii="宋体" w:hAnsi="宋体" w:eastAsia="宋体"/>
          <w:color w:val="auto"/>
          <w:sz w:val="32"/>
          <w:highlight w:val="none"/>
        </w:rPr>
      </w:pPr>
    </w:p>
    <w:p>
      <w:pPr>
        <w:shd w:val="clear"/>
        <w:spacing w:line="360" w:lineRule="auto"/>
        <w:ind w:firstLine="2560" w:firstLineChars="800"/>
        <w:rPr>
          <w:rFonts w:hint="eastAsia" w:ascii="宋体" w:hAnsi="宋体" w:eastAsia="宋体"/>
          <w:color w:val="auto"/>
          <w:sz w:val="32"/>
          <w:highlight w:val="none"/>
        </w:rPr>
      </w:pPr>
    </w:p>
    <w:p>
      <w:pPr>
        <w:shd w:val="clear"/>
        <w:spacing w:line="360" w:lineRule="auto"/>
        <w:rPr>
          <w:rFonts w:hint="eastAsia" w:ascii="宋体" w:hAnsi="宋体" w:eastAsia="宋体"/>
          <w:color w:val="auto"/>
          <w:sz w:val="52"/>
          <w:highlight w:val="none"/>
        </w:rPr>
      </w:pPr>
    </w:p>
    <w:p>
      <w:pPr>
        <w:widowControl/>
        <w:shd w:val="clear"/>
        <w:spacing w:line="360" w:lineRule="auto"/>
        <w:jc w:val="left"/>
        <w:rPr>
          <w:rFonts w:hint="eastAsia" w:ascii="宋体" w:hAnsi="宋体" w:eastAsia="宋体"/>
          <w:color w:val="auto"/>
          <w:sz w:val="32"/>
          <w:highlight w:val="none"/>
        </w:rPr>
        <w:sectPr>
          <w:footerReference r:id="rId5" w:type="default"/>
          <w:endnotePr>
            <w:numFmt w:val="decimal"/>
          </w:endnotePr>
          <w:pgSz w:w="11850" w:h="16783"/>
          <w:pgMar w:top="1134" w:right="1134" w:bottom="1134" w:left="1134" w:header="851" w:footer="992" w:gutter="567"/>
          <w:pgNumType w:start="1"/>
          <w:cols w:space="720" w:num="1"/>
        </w:sectPr>
      </w:pPr>
    </w:p>
    <w:p>
      <w:pPr>
        <w:shd w:val="clear"/>
        <w:spacing w:line="360" w:lineRule="auto"/>
        <w:rPr>
          <w:rFonts w:hint="eastAsia" w:ascii="宋体" w:hAnsi="宋体" w:eastAsia="宋体"/>
          <w:color w:val="auto"/>
          <w:sz w:val="24"/>
          <w:szCs w:val="24"/>
          <w:highlight w:val="none"/>
        </w:rPr>
      </w:pPr>
    </w:p>
    <w:p>
      <w:pPr>
        <w:pStyle w:val="17"/>
        <w:shd w:val="clear"/>
        <w:spacing w:line="480" w:lineRule="auto"/>
        <w:jc w:val="center"/>
        <w:rPr>
          <w:rFonts w:hint="eastAsia" w:eastAsia="宋体" w:cs="宋体"/>
          <w:b/>
          <w:color w:val="auto"/>
          <w:sz w:val="28"/>
          <w:szCs w:val="28"/>
          <w:highlight w:val="none"/>
          <w:lang w:eastAsia="zh-CN"/>
        </w:rPr>
      </w:pPr>
      <w:r>
        <w:rPr>
          <w:rFonts w:hint="eastAsia" w:eastAsia="宋体" w:cs="宋体"/>
          <w:b/>
          <w:color w:val="auto"/>
          <w:sz w:val="28"/>
          <w:szCs w:val="28"/>
          <w:highlight w:val="none"/>
          <w:lang w:eastAsia="zh-CN"/>
        </w:rPr>
        <w:t>广清产业园华清产业大道北侧收储地块新建纵路工程施工总承包</w:t>
      </w:r>
    </w:p>
    <w:p>
      <w:pPr>
        <w:pStyle w:val="17"/>
        <w:shd w:val="clear"/>
        <w:spacing w:line="480" w:lineRule="auto"/>
        <w:jc w:val="center"/>
        <w:outlineLvl w:val="0"/>
        <w:rPr>
          <w:rFonts w:hint="eastAsia" w:eastAsia="宋体"/>
          <w:b/>
          <w:color w:val="auto"/>
          <w:sz w:val="28"/>
          <w:szCs w:val="28"/>
          <w:highlight w:val="none"/>
        </w:rPr>
      </w:pPr>
      <w:bookmarkStart w:id="0" w:name="_Toc7011"/>
      <w:r>
        <w:rPr>
          <w:rFonts w:hint="eastAsia" w:eastAsia="宋体" w:cs="宋体"/>
          <w:b/>
          <w:color w:val="auto"/>
          <w:sz w:val="28"/>
          <w:szCs w:val="28"/>
          <w:highlight w:val="none"/>
        </w:rPr>
        <w:t>招标公告</w:t>
      </w:r>
      <w:bookmarkEnd w:id="0"/>
    </w:p>
    <w:p>
      <w:pPr>
        <w:shd w:val="clear"/>
        <w:spacing w:line="480" w:lineRule="auto"/>
        <w:ind w:firstLine="537" w:firstLineChars="224"/>
        <w:jc w:val="center"/>
        <w:rPr>
          <w:rFonts w:hint="eastAsia" w:ascii="宋体" w:hAnsi="宋体" w:eastAsia="宋体"/>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ind w:left="120" w:leftChars="57" w:firstLine="417" w:firstLineChars="174"/>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根据</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广清发改批[2022]6号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批准，建设资金来自</w:t>
      </w:r>
      <w:r>
        <w:rPr>
          <w:rFonts w:hint="eastAsia" w:ascii="宋体" w:hAnsi="宋体" w:eastAsia="宋体"/>
          <w:color w:val="auto"/>
          <w:sz w:val="24"/>
          <w:szCs w:val="24"/>
          <w:highlight w:val="none"/>
          <w:u w:val="single"/>
        </w:rPr>
        <w:t xml:space="preserve"> 财政出资 </w:t>
      </w:r>
      <w:r>
        <w:rPr>
          <w:rFonts w:hint="eastAsia" w:ascii="宋体" w:hAnsi="宋体" w:eastAsia="宋体"/>
          <w:color w:val="auto"/>
          <w:sz w:val="24"/>
          <w:szCs w:val="24"/>
          <w:highlight w:val="none"/>
        </w:rPr>
        <w:t>，招标人为</w:t>
      </w:r>
      <w:r>
        <w:rPr>
          <w:rFonts w:hint="eastAsia" w:ascii="宋体" w:hAnsi="宋体" w:eastAsia="宋体"/>
          <w:color w:val="auto"/>
          <w:sz w:val="24"/>
          <w:szCs w:val="24"/>
          <w:highlight w:val="none"/>
          <w:u w:val="single"/>
        </w:rPr>
        <w:t xml:space="preserve">  广州（清远）产业转移工业园财政投资项目管理中心  </w:t>
      </w:r>
      <w:r>
        <w:rPr>
          <w:rFonts w:hint="eastAsia" w:ascii="宋体" w:hAnsi="宋体" w:eastAsia="宋体"/>
          <w:color w:val="auto"/>
          <w:sz w:val="24"/>
          <w:szCs w:val="24"/>
          <w:highlight w:val="none"/>
        </w:rPr>
        <w:t>。项目已具备招标条件，现对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广清产业园华清产业大道北侧收储地块新建纵路工程</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工程进行施工[总承包]公开招标，选定承包人。</w:t>
      </w:r>
    </w:p>
    <w:p>
      <w:pPr>
        <w:keepNext w:val="0"/>
        <w:keepLines w:val="0"/>
        <w:pageBreakBefore w:val="0"/>
        <w:shd w:val="clear"/>
        <w:tabs>
          <w:tab w:val="center" w:pos="4415"/>
        </w:tabs>
        <w:kinsoku/>
        <w:wordWrap/>
        <w:overflowPunct/>
        <w:topLinePunct w:val="0"/>
        <w:autoSpaceDE/>
        <w:autoSpaceDN/>
        <w:bidi w:val="0"/>
        <w:adjustRightInd/>
        <w:snapToGrid/>
        <w:spacing w:line="360" w:lineRule="auto"/>
        <w:ind w:left="538"/>
        <w:textAlignment w:val="auto"/>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一、工程名称</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广清产业园华清产业大道北侧收储地块新建纵路工程施工总承包  </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color w:val="auto"/>
          <w:sz w:val="24"/>
          <w:szCs w:val="24"/>
          <w:highlight w:val="none"/>
          <w:u w:val="single"/>
        </w:rPr>
      </w:pPr>
      <w:r>
        <w:rPr>
          <w:rFonts w:hint="eastAsia" w:ascii="宋体" w:hAnsi="宋体" w:eastAsia="宋体"/>
          <w:b/>
          <w:bCs/>
          <w:color w:val="auto"/>
          <w:sz w:val="24"/>
          <w:szCs w:val="24"/>
          <w:highlight w:val="none"/>
        </w:rPr>
        <w:t>二、招标单位</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广州（清远）产业转移工业园财政投资项目管理中心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韦先生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 xml:space="preserve"> 0763-6979803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地址：</w:t>
      </w:r>
      <w:r>
        <w:rPr>
          <w:rFonts w:hint="eastAsia" w:ascii="宋体" w:hAnsi="宋体" w:eastAsia="宋体"/>
          <w:color w:val="auto"/>
          <w:sz w:val="24"/>
          <w:szCs w:val="24"/>
          <w:highlight w:val="none"/>
          <w:u w:val="single"/>
        </w:rPr>
        <w:t xml:space="preserve"> 广东省清远市清城区石角镇广清产业园广州路 1 号企业服务中心七楼  </w:t>
      </w:r>
    </w:p>
    <w:p>
      <w:pPr>
        <w:keepNext w:val="0"/>
        <w:keepLines w:val="0"/>
        <w:pageBreakBefore w:val="0"/>
        <w:shd w:val="clear"/>
        <w:kinsoku/>
        <w:wordWrap/>
        <w:overflowPunct/>
        <w:topLinePunct w:val="0"/>
        <w:autoSpaceDE/>
        <w:autoSpaceDN/>
        <w:bidi w:val="0"/>
        <w:adjustRightInd/>
        <w:snapToGrid/>
        <w:spacing w:line="360" w:lineRule="auto"/>
        <w:ind w:left="420" w:leftChars="200" w:firstLine="540" w:firstLineChars="224"/>
        <w:textAlignment w:val="auto"/>
        <w:rPr>
          <w:rFonts w:hint="eastAsia" w:ascii="宋体" w:hAnsi="宋体" w:eastAsia="宋体"/>
          <w:color w:val="auto"/>
          <w:sz w:val="24"/>
          <w:szCs w:val="24"/>
          <w:highlight w:val="none"/>
          <w:u w:val="single"/>
        </w:rPr>
      </w:pPr>
      <w:r>
        <w:rPr>
          <w:rFonts w:hint="eastAsia" w:ascii="宋体" w:hAnsi="宋体" w:eastAsia="宋体"/>
          <w:b/>
          <w:bCs/>
          <w:color w:val="auto"/>
          <w:sz w:val="24"/>
          <w:szCs w:val="24"/>
          <w:highlight w:val="none"/>
        </w:rPr>
        <w:t>招标代理机构：</w:t>
      </w:r>
      <w:r>
        <w:rPr>
          <w:rFonts w:hint="eastAsia" w:ascii="宋体" w:hAnsi="宋体" w:eastAsia="宋体"/>
          <w:color w:val="auto"/>
          <w:sz w:val="24"/>
          <w:szCs w:val="24"/>
          <w:highlight w:val="none"/>
          <w:u w:val="single"/>
        </w:rPr>
        <w:t xml:space="preserve">  安徽瑞邦工程造价有限公司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王工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 xml:space="preserve"> 0763-3565506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地址：</w:t>
      </w:r>
      <w:r>
        <w:rPr>
          <w:rFonts w:hint="eastAsia" w:ascii="宋体" w:hAnsi="宋体" w:eastAsia="宋体"/>
          <w:color w:val="auto"/>
          <w:sz w:val="24"/>
          <w:szCs w:val="24"/>
          <w:highlight w:val="none"/>
          <w:u w:val="single"/>
        </w:rPr>
        <w:t xml:space="preserve"> 清远市清城区广清大道12号东岸美景轩一号楼24层03号（清远分公司）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b/>
          <w:bCs/>
          <w:color w:val="auto"/>
          <w:sz w:val="24"/>
          <w:szCs w:val="24"/>
          <w:highlight w:val="none"/>
        </w:rPr>
        <w:t xml:space="preserve">   招标监督机构</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广州（清远）产业转移工业园建设和环境保护局 </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 xml:space="preserve">    投诉电话：</w:t>
      </w:r>
      <w:r>
        <w:rPr>
          <w:rFonts w:hint="eastAsia" w:ascii="宋体" w:hAnsi="宋体" w:eastAsia="宋体"/>
          <w:color w:val="auto"/>
          <w:sz w:val="24"/>
          <w:szCs w:val="24"/>
          <w:highlight w:val="none"/>
          <w:u w:val="single"/>
        </w:rPr>
        <w:t>0763-6979891</w:t>
      </w:r>
      <w:r>
        <w:rPr>
          <w:rFonts w:hint="eastAsia" w:ascii="宋体" w:hAnsi="宋体" w:eastAsia="宋体"/>
          <w:color w:val="auto"/>
          <w:sz w:val="24"/>
          <w:szCs w:val="24"/>
          <w:highlight w:val="none"/>
          <w:u w:val="single"/>
          <w:lang w:val="en-US" w:eastAsia="zh-CN"/>
        </w:rPr>
        <w:t xml:space="preserve"> </w:t>
      </w:r>
    </w:p>
    <w:p>
      <w:pPr>
        <w:keepNext w:val="0"/>
        <w:keepLines w:val="0"/>
        <w:pageBreakBefore w:val="0"/>
        <w:shd w:val="clear"/>
        <w:kinsoku/>
        <w:wordWrap/>
        <w:overflowPunct/>
        <w:topLinePunct w:val="0"/>
        <w:autoSpaceDE/>
        <w:autoSpaceDN/>
        <w:bidi w:val="0"/>
        <w:adjustRightInd/>
        <w:snapToGrid/>
        <w:spacing w:line="360" w:lineRule="auto"/>
        <w:ind w:firstLine="540" w:firstLineChars="224"/>
        <w:textAlignment w:val="auto"/>
        <w:rPr>
          <w:rFonts w:hint="eastAsia" w:ascii="宋体" w:hAnsi="宋体" w:eastAsia="宋体"/>
          <w:color w:val="auto"/>
          <w:sz w:val="24"/>
          <w:szCs w:val="24"/>
          <w:highlight w:val="none"/>
          <w:u w:val="single"/>
        </w:rPr>
      </w:pPr>
      <w:r>
        <w:rPr>
          <w:rFonts w:hint="eastAsia" w:ascii="宋体" w:hAnsi="宋体" w:eastAsia="宋体"/>
          <w:b/>
          <w:bCs/>
          <w:color w:val="auto"/>
          <w:sz w:val="24"/>
          <w:szCs w:val="24"/>
          <w:highlight w:val="none"/>
        </w:rPr>
        <w:t>三、建设地点</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广清产业园内 </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color w:val="auto"/>
          <w:sz w:val="24"/>
          <w:szCs w:val="24"/>
          <w:highlight w:val="none"/>
          <w:u w:val="single"/>
        </w:rPr>
      </w:pPr>
      <w:r>
        <w:rPr>
          <w:rFonts w:hint="eastAsia" w:ascii="宋体" w:hAnsi="宋体" w:eastAsia="宋体"/>
          <w:b/>
          <w:bCs/>
          <w:color w:val="auto"/>
          <w:sz w:val="24"/>
          <w:szCs w:val="24"/>
          <w:highlight w:val="none"/>
        </w:rPr>
        <w:t>四、项目概况</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道路全长1.635km，建设标准按照城市Ⅲ级次干道执行，红线宽度按30m宽控制。道路为双向4车道，计算行车速度40km/h；全线设置圆曲线储地2处。道路配套建设给水、雨水、污水、电力和通信等管线及绿化、交通安全等设施。总投资约20533.81万元。</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五、标段划分及各标段招标内容、规模和招标控制价：</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个标段。</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2、各标段招标内容、规模和招标控制价：</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道路全长1.635km，建设标准按照城市Ⅲ级次干道执行，红线宽度按30m宽控制。道路为双向4车道，计算行车速度40km/h；全线设置圆曲线储地2处。道路配套建设给水、雨水、污水、电力和通信等管线及绿化、交通安全等设施。</w:t>
      </w:r>
    </w:p>
    <w:p>
      <w:pPr>
        <w:keepNext w:val="0"/>
        <w:keepLines w:val="0"/>
        <w:pageBreakBefore w:val="0"/>
        <w:shd w:val="clear"/>
        <w:kinsoku/>
        <w:wordWrap/>
        <w:overflowPunct/>
        <w:topLinePunct w:val="0"/>
        <w:autoSpaceDE/>
        <w:autoSpaceDN/>
        <w:bidi w:val="0"/>
        <w:adjustRightInd/>
        <w:snapToGrid/>
        <w:spacing w:line="360" w:lineRule="auto"/>
        <w:ind w:firstLine="537" w:firstLineChars="224"/>
        <w:textAlignment w:val="auto"/>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lang w:val="en-US" w:eastAsia="zh-CN"/>
        </w:rPr>
        <w:t>招标控制价12411.33 万元。(注：12411.33万元为概算编制价中的建安费，投标总报价超过招标控制价，作废标处理。招标控制价仅作为投标限价，不作为最终合同价款结算的依据，本工程最终结算以广州（清远）产业转移工业园财政投资评审中心或其授权委托单位审核为准。)</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六、发布招标公告、报名、投标人提问时间、</w:t>
      </w:r>
      <w:r>
        <w:rPr>
          <w:rFonts w:hint="eastAsia" w:eastAsia="宋体"/>
          <w:b/>
          <w:bCs/>
          <w:color w:val="auto"/>
          <w:sz w:val="24"/>
          <w:szCs w:val="24"/>
          <w:highlight w:val="none"/>
        </w:rPr>
        <w:t>投标截止时间、</w:t>
      </w:r>
      <w:r>
        <w:rPr>
          <w:rFonts w:hint="eastAsia" w:ascii="宋体" w:hAnsi="宋体" w:eastAsia="宋体"/>
          <w:b/>
          <w:bCs/>
          <w:color w:val="auto"/>
          <w:sz w:val="24"/>
          <w:szCs w:val="24"/>
          <w:highlight w:val="none"/>
        </w:rPr>
        <w:t>开标时间等：</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single"/>
        </w:rPr>
        <w:t>具体以广州公共资源交易中心—交易活动日程安排时间、地点为准。</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七、电子投标文件的编制与递交</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lang w:val="en-US" w:eastAsia="zh-CN"/>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http://www.gzggzy.cn）-服务指南-办事指南-建设工程-【房屋建筑和市政基础设施工程全流程电子化项目专章（适用于投标人）】。</w:t>
      </w:r>
    </w:p>
    <w:p>
      <w:pPr>
        <w:keepNext w:val="0"/>
        <w:keepLines w:val="0"/>
        <w:pageBreakBefore w:val="0"/>
        <w:shd w:val="clear"/>
        <w:kinsoku/>
        <w:wordWrap/>
        <w:overflowPunct/>
        <w:topLinePunct w:val="0"/>
        <w:autoSpaceDE/>
        <w:autoSpaceDN/>
        <w:bidi w:val="0"/>
        <w:adjustRightInd/>
        <w:snapToGrid/>
        <w:spacing w:line="360" w:lineRule="auto"/>
        <w:ind w:left="538"/>
        <w:textAlignment w:val="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八、投标人合格条件：</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strike/>
          <w:color w:val="auto"/>
          <w:sz w:val="24"/>
          <w:szCs w:val="24"/>
          <w:highlight w:val="none"/>
        </w:rPr>
      </w:pPr>
      <w:r>
        <w:rPr>
          <w:rFonts w:hint="eastAsia" w:ascii="宋体" w:hAnsi="宋体" w:eastAsia="宋体"/>
          <w:color w:val="auto"/>
          <w:sz w:val="24"/>
          <w:szCs w:val="24"/>
          <w:highlight w:val="none"/>
        </w:rPr>
        <w:t>1、投标人持有有效的企业资质证书及安全生产许可证</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均具有独立法人资格，按国家法律经营，持有工商行政管理机关颁发的有效的营业执照</w:t>
      </w:r>
      <w:r>
        <w:rPr>
          <w:rFonts w:hint="eastAsia" w:ascii="宋体" w:hAnsi="宋体" w:eastAsia="宋体"/>
          <w:color w:val="auto"/>
          <w:sz w:val="24"/>
          <w:szCs w:val="24"/>
          <w:highlight w:val="none"/>
          <w:lang w:eastAsia="zh-CN"/>
        </w:rPr>
        <w:t>或三证合一证件</w:t>
      </w:r>
      <w:r>
        <w:rPr>
          <w:rFonts w:hint="eastAsia" w:ascii="宋体" w:hAnsi="宋体" w:eastAsia="宋体"/>
          <w:color w:val="auto"/>
          <w:sz w:val="24"/>
          <w:szCs w:val="24"/>
          <w:highlight w:val="none"/>
        </w:rPr>
        <w:t>。</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市政公用工程一级或以上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资质，并在人员、设备、资金等方面具有相应的施工能力。</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投标人拟派项目负责人须具备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级注册建造师执业]资格（若为广东省外注册、执业须具备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一级注册建造师】执业资格），具备有效的安全生产考核合格证书（B类）或能够提供广东省建筑施工企业管理人员安全生产考核信息系统安全生产管理人员证书信息的网页截图。拟派出项目负责人必须为独立投标人的本企业在岗人员，项目负责人在任职期间不得担任本项目专职安全员，项目专职安全员在任职期间也不得担任本项目项目负责人；同时，</w:t>
      </w:r>
      <w:r>
        <w:rPr>
          <w:rFonts w:hint="eastAsia" w:ascii="宋体" w:hAnsi="宋体" w:eastAsia="宋体" w:cs="宋体"/>
          <w:b/>
          <w:bCs/>
          <w:color w:val="auto"/>
          <w:sz w:val="24"/>
          <w:szCs w:val="24"/>
          <w:highlight w:val="none"/>
        </w:rPr>
        <w:t>项目负责人及专职安全员在任职期间不得在其他在建项目中任职。</w:t>
      </w:r>
      <w:r>
        <w:rPr>
          <w:rFonts w:hint="eastAsia" w:ascii="宋体" w:hAnsi="宋体" w:eastAsia="宋体" w:cs="宋体"/>
          <w:color w:val="auto"/>
          <w:sz w:val="24"/>
          <w:szCs w:val="24"/>
          <w:highlight w:val="none"/>
        </w:rPr>
        <w:t>项目负责人和安全员不为同一人。</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注：投标人拟派项目负责人无其他在建工程项目，须同时提供以下2种证明材料：</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1）项目负责人在 “广东省建筑市场监管公共服务平台”网上的“关键岗位人员锁定信息”查询为未被锁定状态的截图；</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在“全国建筑市场监管公共服务平台”网上的“从业人员”查询“个人工程业绩”无在建工程证明的截图。或查询“个人工程业绩”有在建工程，但全部工程业绩状态均满足以下条件之一：①有建设项目但查询“竣工验收”显示项目已竣工验收；②有建设项目但查询“施工许可”显示项目负责人（或项目经理）非拟派项目负责人本人。</w:t>
      </w:r>
    </w:p>
    <w:p>
      <w:pPr>
        <w:keepNext w:val="0"/>
        <w:keepLines w:val="0"/>
        <w:pageBreakBefore w:val="0"/>
        <w:shd w:val="clear"/>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时以“广东省建筑市场监管公共服务平台”或“全国建筑市场监管公共服务平台”网上查询结果为准。其中：广东省内建设的工程项目以“广东省建筑市场监管公共服务平台”为准，广东省外建设的工程项目以“全国建筑市场监管公共服务平台”为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olor w:val="auto"/>
          <w:kern w:val="0"/>
          <w:sz w:val="24"/>
          <w:szCs w:val="24"/>
          <w:highlight w:val="none"/>
        </w:rPr>
        <w:t>专职安全员须安全生产考核合格证（C类）或建筑施工企业专职安全生产管理人员安全生产考核合格证书（C3类），项目负责人和安全员不为同一人。拟派出专职安全员必须为独立投标人的本企业在岗人员。</w:t>
      </w:r>
    </w:p>
    <w:p>
      <w:pPr>
        <w:keepNext w:val="0"/>
        <w:keepLines w:val="0"/>
        <w:pageBreakBefore w:val="0"/>
        <w:widowControl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、本次招标[</w:t>
      </w:r>
      <w:r>
        <w:rPr>
          <w:rFonts w:hint="eastAsia" w:ascii="宋体" w:hAnsi="宋体" w:eastAsia="宋体"/>
          <w:color w:val="auto"/>
          <w:kern w:val="0"/>
          <w:sz w:val="24"/>
          <w:szCs w:val="24"/>
          <w:highlight w:val="none"/>
          <w:lang w:val="en-US" w:eastAsia="zh-CN"/>
        </w:rPr>
        <w:t>不接受</w:t>
      </w:r>
      <w:r>
        <w:rPr>
          <w:rFonts w:hint="eastAsia" w:ascii="宋体" w:hAnsi="宋体" w:eastAsia="宋体"/>
          <w:color w:val="auto"/>
          <w:kern w:val="0"/>
          <w:sz w:val="24"/>
          <w:szCs w:val="24"/>
          <w:highlight w:val="none"/>
        </w:rPr>
        <w:t>]</w:t>
      </w:r>
      <w:r>
        <w:rPr>
          <w:rFonts w:hint="eastAsia" w:ascii="宋体" w:hAnsi="宋体" w:eastAsia="宋体" w:cs="宋体"/>
          <w:color w:val="auto"/>
          <w:sz w:val="24"/>
          <w:szCs w:val="24"/>
          <w:highlight w:val="none"/>
        </w:rPr>
        <w:t>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strike/>
          <w:color w:val="auto"/>
          <w:kern w:val="0"/>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、各投标人均可就本招标项目上述标段中的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(具体数量)个标段投标，但最多允许中标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(具体数量)个标段。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lang w:val="en-US" w:eastAsia="zh-CN"/>
        </w:rPr>
        <w:t>7</w:t>
      </w:r>
      <w:r>
        <w:rPr>
          <w:rFonts w:hint="eastAsia" w:ascii="宋体" w:hAnsi="宋体" w:eastAsia="宋体"/>
          <w:color w:val="auto"/>
          <w:kern w:val="0"/>
          <w:sz w:val="24"/>
          <w:szCs w:val="24"/>
          <w:highlight w:val="none"/>
        </w:rPr>
        <w:t>、投标人按规定的格式及内容要求签署了《投标申请人声明》。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lang w:val="en-US" w:eastAsia="zh-CN"/>
        </w:rPr>
        <w:t>8、</w:t>
      </w:r>
      <w:r>
        <w:rPr>
          <w:rFonts w:hint="eastAsia" w:ascii="宋体" w:hAnsi="宋体" w:eastAsia="宋体"/>
          <w:color w:val="auto"/>
          <w:kern w:val="0"/>
          <w:sz w:val="24"/>
          <w:szCs w:val="24"/>
          <w:highlight w:val="none"/>
          <w:lang w:eastAsia="zh-CN"/>
        </w:rPr>
        <w:t>最近三年内投标人</w:t>
      </w:r>
      <w:r>
        <w:rPr>
          <w:rFonts w:hint="eastAsia" w:ascii="宋体" w:hAnsi="宋体" w:eastAsia="宋体"/>
          <w:color w:val="auto"/>
          <w:kern w:val="0"/>
          <w:sz w:val="24"/>
          <w:szCs w:val="24"/>
          <w:highlight w:val="none"/>
          <w:lang w:val="en-US" w:eastAsia="zh-CN"/>
        </w:rPr>
        <w:t>未</w:t>
      </w:r>
      <w:r>
        <w:rPr>
          <w:rFonts w:hint="eastAsia" w:ascii="宋体" w:hAnsi="宋体" w:eastAsia="宋体"/>
          <w:color w:val="auto"/>
          <w:kern w:val="0"/>
          <w:sz w:val="24"/>
          <w:szCs w:val="24"/>
          <w:highlight w:val="none"/>
          <w:lang w:eastAsia="zh-CN"/>
        </w:rPr>
        <w:t>在“信用中国”网站（https://www.creditchina.gov.cn）中被列入拖欠农民工工资失信联合惩戒对象名单；</w:t>
      </w:r>
      <w:r>
        <w:rPr>
          <w:rFonts w:hint="eastAsia" w:ascii="宋体" w:hAnsi="宋体" w:eastAsia="宋体"/>
          <w:color w:val="auto"/>
          <w:kern w:val="0"/>
          <w:sz w:val="24"/>
          <w:szCs w:val="24"/>
          <w:highlight w:val="none"/>
          <w:lang w:val="en-US" w:eastAsia="zh-CN"/>
        </w:rPr>
        <w:t>未</w:t>
      </w:r>
      <w:r>
        <w:rPr>
          <w:rFonts w:hint="eastAsia" w:ascii="宋体" w:hAnsi="宋体" w:eastAsia="宋体"/>
          <w:color w:val="auto"/>
          <w:kern w:val="0"/>
          <w:sz w:val="24"/>
          <w:szCs w:val="24"/>
          <w:highlight w:val="none"/>
          <w:lang w:eastAsia="zh-CN"/>
        </w:rPr>
        <w:t>在“信用清远”网站（https://xyqy.gdqy.gov.cn/）的“失信黑名单”中被列入”拖欠农民工工资'黑名单'（清远市）”。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hAnsi="宋体" w:eastAsia="宋体"/>
          <w:color w:val="auto"/>
          <w:kern w:val="0"/>
          <w:sz w:val="24"/>
          <w:szCs w:val="24"/>
          <w:highlight w:val="none"/>
          <w:lang w:val="en-US" w:eastAsia="zh-CN"/>
        </w:rPr>
        <w:t>9</w:t>
      </w:r>
      <w:bookmarkStart w:id="365" w:name="_GoBack"/>
      <w:bookmarkEnd w:id="365"/>
      <w:r>
        <w:rPr>
          <w:rFonts w:hint="eastAsia" w:ascii="宋体" w:hAnsi="宋体" w:eastAsia="宋体"/>
          <w:color w:val="auto"/>
          <w:kern w:val="0"/>
          <w:sz w:val="24"/>
          <w:szCs w:val="24"/>
          <w:highlight w:val="none"/>
          <w:lang w:val="en-US" w:eastAsia="zh-CN"/>
        </w:rPr>
        <w:t>、未被招标人列入拒绝参加本次投标单位名单。</w:t>
      </w:r>
    </w:p>
    <w:p>
      <w:pPr>
        <w:keepNext w:val="0"/>
        <w:keepLines w:val="0"/>
        <w:pageBreakBefore w:val="0"/>
        <w:widowControl/>
        <w:shd w:val="clear"/>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bCs/>
          <w:strike/>
          <w:color w:val="auto"/>
          <w:sz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九、潜在投标人可在</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下载招标文件、施工图纸、招标控制价。</w:t>
      </w:r>
    </w:p>
    <w:p>
      <w:pPr>
        <w:keepNext w:val="0"/>
        <w:keepLines w:val="0"/>
        <w:pageBreakBefore w:val="0"/>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olor w:val="auto"/>
          <w:sz w:val="24"/>
          <w:szCs w:val="24"/>
          <w:highlight w:val="none"/>
        </w:rPr>
      </w:pPr>
      <w:r>
        <w:rPr>
          <w:rFonts w:hint="eastAsia" w:ascii="宋体" w:hAnsi="宋体" w:eastAsia="宋体"/>
          <w:bCs/>
          <w:color w:val="auto"/>
          <w:sz w:val="24"/>
          <w:highlight w:val="none"/>
        </w:rPr>
        <w:t>十、本公告</w:t>
      </w:r>
      <w:r>
        <w:rPr>
          <w:rFonts w:hint="eastAsia" w:ascii="宋体" w:hAnsi="宋体" w:eastAsia="宋体"/>
          <w:bCs/>
          <w:color w:val="auto"/>
          <w:sz w:val="24"/>
          <w:highlight w:val="none"/>
          <w:u w:val="single"/>
        </w:rPr>
        <w:t xml:space="preserve"> </w:t>
      </w:r>
      <w:r>
        <w:rPr>
          <w:rFonts w:hint="eastAsia" w:ascii="宋体" w:hAnsi="宋体" w:eastAsia="宋体"/>
          <w:color w:val="auto"/>
          <w:sz w:val="24"/>
          <w:szCs w:val="24"/>
          <w:highlight w:val="none"/>
          <w:u w:val="single"/>
        </w:rPr>
        <w:t>广东省招标投标监管网</w:t>
      </w:r>
      <w:r>
        <w:rPr>
          <w:rFonts w:hint="eastAsia" w:ascii="宋体" w:hAnsi="宋体" w:eastAsia="宋体"/>
          <w:bCs/>
          <w:color w:val="auto"/>
          <w:sz w:val="24"/>
          <w:highlight w:val="none"/>
        </w:rPr>
        <w:t xml:space="preserve">和 </w:t>
      </w:r>
      <w:r>
        <w:rPr>
          <w:rFonts w:hint="eastAsia" w:ascii="宋体" w:hAnsi="宋体" w:eastAsia="宋体"/>
          <w:bCs/>
          <w:color w:val="auto"/>
          <w:sz w:val="24"/>
          <w:highlight w:val="none"/>
          <w:u w:val="single"/>
          <w:lang w:eastAsia="zh-CN"/>
        </w:rPr>
        <w:t>广州公共资源交易中心网</w:t>
      </w:r>
      <w:r>
        <w:rPr>
          <w:rFonts w:hint="eastAsia" w:ascii="宋体" w:hAnsi="宋体" w:eastAsia="宋体"/>
          <w:bCs/>
          <w:color w:val="auto"/>
          <w:sz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等法定媒体发布。本公告在不同法定媒体发布的文本如有不同之处，以在</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发布的文本为准。</w:t>
      </w:r>
    </w:p>
    <w:p>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十一、潜在投标人或利害关系人对本招标公告及招标文件有异议的，向招标人书面提出。</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异议受理部门：</w:t>
      </w:r>
      <w:r>
        <w:rPr>
          <w:rFonts w:hint="eastAsia" w:ascii="宋体" w:hAnsi="宋体" w:eastAsia="宋体"/>
          <w:color w:val="auto"/>
          <w:sz w:val="24"/>
          <w:szCs w:val="24"/>
          <w:highlight w:val="none"/>
          <w:u w:val="single"/>
        </w:rPr>
        <w:t xml:space="preserve">  广州（清远）产业转移工业园财政投资项目管理中心  </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异议受理电话：</w:t>
      </w:r>
      <w:r>
        <w:rPr>
          <w:rFonts w:hint="eastAsia" w:ascii="宋体" w:hAnsi="宋体" w:eastAsia="宋体"/>
          <w:color w:val="auto"/>
          <w:sz w:val="24"/>
          <w:szCs w:val="24"/>
          <w:highlight w:val="none"/>
          <w:u w:val="single"/>
        </w:rPr>
        <w:t xml:space="preserve"> 0763-6979803  </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地址：</w:t>
      </w:r>
      <w:r>
        <w:rPr>
          <w:rFonts w:hint="eastAsia" w:ascii="宋体" w:hAnsi="宋体" w:eastAsia="宋体"/>
          <w:color w:val="auto"/>
          <w:sz w:val="24"/>
          <w:szCs w:val="24"/>
          <w:highlight w:val="none"/>
          <w:u w:val="single"/>
        </w:rPr>
        <w:t xml:space="preserve"> 广东省清远市清城区石角镇广清产业园广州路 1 号企业服务中心七楼  </w:t>
      </w:r>
    </w:p>
    <w:p>
      <w:pPr>
        <w:shd w:val="clear"/>
        <w:spacing w:line="480" w:lineRule="auto"/>
        <w:ind w:right="25" w:rightChars="12"/>
        <w:rPr>
          <w:rFonts w:hint="eastAsia" w:ascii="宋体" w:hAnsi="宋体" w:eastAsia="宋体"/>
          <w:color w:val="auto"/>
          <w:sz w:val="24"/>
          <w:szCs w:val="24"/>
          <w:highlight w:val="none"/>
        </w:rPr>
      </w:pPr>
    </w:p>
    <w:p>
      <w:pPr>
        <w:shd w:val="clear"/>
        <w:spacing w:line="480" w:lineRule="auto"/>
        <w:ind w:right="1348" w:rightChars="642"/>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招标人：</w:t>
      </w:r>
      <w:r>
        <w:rPr>
          <w:rFonts w:hint="eastAsia" w:ascii="宋体" w:hAnsi="宋体" w:eastAsia="宋体"/>
          <w:color w:val="auto"/>
          <w:sz w:val="24"/>
          <w:szCs w:val="24"/>
          <w:highlight w:val="none"/>
        </w:rPr>
        <w:t>广州（清远）产业转移工业园财政投资项目管理中心</w:t>
      </w:r>
    </w:p>
    <w:p>
      <w:pPr>
        <w:shd w:val="clear"/>
        <w:spacing w:line="480" w:lineRule="auto"/>
        <w:ind w:right="1348" w:rightChars="642"/>
        <w:jc w:val="righ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招标代理名称</w:t>
      </w:r>
      <w:r>
        <w:rPr>
          <w:rFonts w:hint="eastAsia" w:ascii="宋体" w:hAnsi="宋体" w:eastAsia="宋体"/>
          <w:color w:val="auto"/>
          <w:sz w:val="24"/>
          <w:szCs w:val="24"/>
          <w:highlight w:val="none"/>
          <w:lang w:eastAsia="zh-CN"/>
        </w:rPr>
        <w:t>：安徽瑞邦工程造价有限公司</w:t>
      </w:r>
    </w:p>
    <w:p>
      <w:pPr>
        <w:shd w:val="clear"/>
        <w:spacing w:line="480" w:lineRule="auto"/>
        <w:ind w:right="1348" w:rightChars="642"/>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发布日期：2023</w:t>
      </w:r>
      <w:r>
        <w:rPr>
          <w:rFonts w:hint="eastAsia" w:ascii="宋体" w:hAnsi="宋体" w:eastAsia="宋体"/>
          <w:color w:val="auto"/>
          <w:sz w:val="24"/>
          <w:szCs w:val="24"/>
          <w:highlight w:val="none"/>
        </w:rPr>
        <w:t>年   月   日</w:t>
      </w:r>
    </w:p>
    <w:p>
      <w:pPr>
        <w:shd w:val="clear"/>
        <w:ind w:firstLine="0" w:firstLineChars="0"/>
        <w:jc w:val="both"/>
        <w:rPr>
          <w:rFonts w:hint="eastAsia" w:ascii="宋体" w:hAnsi="宋体" w:eastAsia="宋体"/>
          <w:b/>
          <w:color w:val="auto"/>
          <w:sz w:val="36"/>
          <w:szCs w:val="36"/>
          <w:highlight w:val="none"/>
        </w:rPr>
        <w:sectPr>
          <w:endnotePr>
            <w:numFmt w:val="decimal"/>
          </w:endnotePr>
          <w:pgSz w:w="11907" w:h="16840"/>
          <w:pgMar w:top="1134" w:right="1134" w:bottom="1134" w:left="1134" w:header="851" w:footer="907" w:gutter="283"/>
          <w:cols w:space="720" w:num="1"/>
        </w:sectPr>
      </w:pPr>
    </w:p>
    <w:p>
      <w:pPr>
        <w:shd w:val="clear"/>
        <w:ind w:firstLine="0" w:firstLineChars="0"/>
        <w:jc w:val="both"/>
        <w:rPr>
          <w:rFonts w:ascii="宋体" w:hAnsi="宋体" w:eastAsia="宋体"/>
          <w:b/>
          <w:color w:val="auto"/>
          <w:sz w:val="36"/>
          <w:szCs w:val="36"/>
          <w:highlight w:val="none"/>
        </w:rPr>
      </w:pPr>
      <w:r>
        <w:rPr>
          <w:rFonts w:hint="eastAsia" w:ascii="宋体" w:hAnsi="宋体" w:eastAsia="宋体"/>
          <w:b/>
          <w:color w:val="auto"/>
          <w:sz w:val="36"/>
          <w:szCs w:val="36"/>
          <w:highlight w:val="none"/>
        </w:rPr>
        <w:t>附件</w:t>
      </w:r>
      <w:r>
        <w:rPr>
          <w:rFonts w:hint="eastAsia" w:ascii="宋体" w:hAnsi="宋体" w:eastAsia="宋体"/>
          <w:b/>
          <w:color w:val="auto"/>
          <w:sz w:val="36"/>
          <w:szCs w:val="36"/>
          <w:highlight w:val="none"/>
          <w:lang w:val="en-US" w:eastAsia="zh-CN"/>
        </w:rPr>
        <w:t>一</w:t>
      </w:r>
      <w:r>
        <w:rPr>
          <w:rFonts w:hint="eastAsia" w:ascii="宋体" w:hAnsi="宋体" w:eastAsia="宋体"/>
          <w:b/>
          <w:color w:val="auto"/>
          <w:sz w:val="36"/>
          <w:szCs w:val="36"/>
          <w:highlight w:val="none"/>
        </w:rPr>
        <w:t>：</w:t>
      </w:r>
    </w:p>
    <w:p>
      <w:pPr>
        <w:shd w:val="clea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招投标日程安排表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766"/>
        <w:gridCol w:w="1746"/>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广清产业园华清产业大道北侧收储地块新建纵路工程施工总承包</w:t>
            </w: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工程编号</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招标公告</w:t>
            </w:r>
          </w:p>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开始时间</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招标公告</w:t>
            </w:r>
          </w:p>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结束时间</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投标人提问</w:t>
            </w:r>
          </w:p>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开始时间</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投标人提问结束时间</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保证金到帐</w:t>
            </w:r>
          </w:p>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1903"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评标时间</w:t>
            </w:r>
          </w:p>
        </w:tc>
        <w:tc>
          <w:tcPr>
            <w:tcW w:w="2766" w:type="dxa"/>
            <w:noWrap w:val="0"/>
            <w:vAlign w:val="center"/>
          </w:tcPr>
          <w:p>
            <w:pPr>
              <w:widowControl/>
              <w:shd w:val="clear"/>
              <w:jc w:val="both"/>
              <w:rPr>
                <w:rFonts w:hint="eastAsia" w:ascii="宋体" w:hAnsi="宋体" w:eastAsia="宋体" w:cs="宋体"/>
                <w:color w:val="auto"/>
                <w:sz w:val="24"/>
                <w:szCs w:val="24"/>
                <w:highlight w:val="none"/>
              </w:rPr>
            </w:pPr>
          </w:p>
        </w:tc>
        <w:tc>
          <w:tcPr>
            <w:tcW w:w="1746" w:type="dxa"/>
            <w:noWrap w:val="0"/>
            <w:vAlign w:val="center"/>
          </w:tcPr>
          <w:p>
            <w:pPr>
              <w:widowControl/>
              <w:shd w:val="clear"/>
              <w:spacing w:line="28"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评标地点</w:t>
            </w:r>
          </w:p>
        </w:tc>
        <w:tc>
          <w:tcPr>
            <w:tcW w:w="2422" w:type="dxa"/>
            <w:noWrap w:val="0"/>
            <w:vAlign w:val="center"/>
          </w:tcPr>
          <w:p>
            <w:pPr>
              <w:widowControl/>
              <w:shd w:val="clear"/>
              <w:jc w:val="both"/>
              <w:rPr>
                <w:rFonts w:hint="eastAsia" w:ascii="宋体" w:hAnsi="宋体" w:eastAsia="宋体" w:cs="宋体"/>
                <w:color w:val="auto"/>
                <w:sz w:val="24"/>
                <w:szCs w:val="24"/>
                <w:highlight w:val="none"/>
              </w:rPr>
            </w:pPr>
          </w:p>
        </w:tc>
      </w:tr>
    </w:tbl>
    <w:p>
      <w:pPr>
        <w:shd w:val="clear"/>
        <w:ind w:firstLine="0" w:firstLineChars="0"/>
        <w:jc w:val="both"/>
        <w:rPr>
          <w:rFonts w:ascii="宋体" w:hAnsi="宋体" w:eastAsia="宋体"/>
          <w:b/>
          <w:color w:val="auto"/>
          <w:sz w:val="36"/>
          <w:szCs w:val="36"/>
          <w:highlight w:val="none"/>
        </w:rPr>
      </w:pPr>
      <w:r>
        <w:rPr>
          <w:rFonts w:hint="eastAsia" w:cs="宋体"/>
          <w:b/>
          <w:color w:val="auto"/>
          <w:sz w:val="36"/>
          <w:szCs w:val="36"/>
          <w:highlight w:val="none"/>
        </w:rPr>
        <w:br w:type="page"/>
      </w:r>
    </w:p>
    <w:p>
      <w:pPr>
        <w:shd w:val="clear"/>
        <w:ind w:firstLine="0" w:firstLineChars="0"/>
        <w:jc w:val="both"/>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附件</w:t>
      </w:r>
      <w:r>
        <w:rPr>
          <w:rFonts w:hint="eastAsia" w:ascii="宋体" w:hAnsi="宋体" w:eastAsia="宋体"/>
          <w:b/>
          <w:color w:val="auto"/>
          <w:sz w:val="36"/>
          <w:szCs w:val="36"/>
          <w:highlight w:val="none"/>
          <w:lang w:val="en-US" w:eastAsia="zh-CN"/>
        </w:rPr>
        <w:t>二</w:t>
      </w:r>
      <w:r>
        <w:rPr>
          <w:rFonts w:hint="eastAsia" w:ascii="宋体" w:hAnsi="宋体" w:eastAsia="宋体"/>
          <w:b/>
          <w:color w:val="auto"/>
          <w:sz w:val="36"/>
          <w:szCs w:val="36"/>
          <w:highlight w:val="none"/>
        </w:rPr>
        <w:t>：</w:t>
      </w:r>
    </w:p>
    <w:p>
      <w:pPr>
        <w:shd w:val="clear"/>
        <w:ind w:firstLine="3596" w:firstLineChars="995"/>
        <w:rPr>
          <w:rFonts w:hint="eastAsia" w:ascii="宋体" w:hAnsi="宋体" w:eastAsia="宋体"/>
          <w:b/>
          <w:color w:val="auto"/>
          <w:sz w:val="36"/>
          <w:szCs w:val="36"/>
          <w:highlight w:val="none"/>
        </w:rPr>
      </w:pPr>
    </w:p>
    <w:p>
      <w:pPr>
        <w:shd w:val="clear"/>
        <w:ind w:firstLine="0" w:firstLineChars="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val="en-US" w:eastAsia="zh-CN"/>
        </w:rPr>
        <w:t>拒绝参加本次投标单位名单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384"/>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pPr>
            <w:r>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t>序号</w:t>
            </w:r>
          </w:p>
        </w:tc>
        <w:tc>
          <w:tcPr>
            <w:tcW w:w="3384"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pPr>
            <w:r>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t>单位名称</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pPr>
            <w:r>
              <w:rPr>
                <w:rFonts w:hint="eastAsia" w:ascii="黑体" w:hAnsi="黑体" w:eastAsia="黑体" w:cs="黑体"/>
                <w:i w:val="0"/>
                <w:iCs w:val="0"/>
                <w:caps w:val="0"/>
                <w:smallCaps w:val="0"/>
                <w:snapToGrid w:val="0"/>
                <w:color w:val="auto"/>
                <w:spacing w:val="0"/>
                <w:kern w:val="0"/>
                <w:sz w:val="21"/>
                <w:szCs w:val="21"/>
                <w:highlight w:val="none"/>
                <w:vertAlign w:val="baseline"/>
                <w:lang w:val="en-US" w:eastAsia="zh-CN"/>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1</w:t>
            </w:r>
          </w:p>
        </w:tc>
        <w:tc>
          <w:tcPr>
            <w:tcW w:w="3384"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cs="Times New Roman"/>
                <w:i w:val="0"/>
                <w:iCs w:val="0"/>
                <w:caps w:val="0"/>
                <w:smallCaps w:val="0"/>
                <w:snapToGrid w:val="0"/>
                <w:color w:val="auto"/>
                <w:spacing w:val="0"/>
                <w:kern w:val="0"/>
                <w:sz w:val="21"/>
                <w:szCs w:val="21"/>
                <w:highlight w:val="none"/>
                <w:vertAlign w:val="baseline"/>
                <w:lang w:val="en-US" w:eastAsia="zh-CN"/>
              </w:rPr>
              <w:t>/</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为招标人不具有独立法人资格的附属机构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2</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广州市城建规划设计院有限公司</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为本招标项目的项目建议书或可</w:t>
            </w:r>
            <w:r>
              <w:rPr>
                <w:rFonts w:hint="eastAsia" w:cs="Times New Roman"/>
                <w:i w:val="0"/>
                <w:iCs w:val="0"/>
                <w:caps w:val="0"/>
                <w:smallCaps w:val="0"/>
                <w:snapToGrid w:val="0"/>
                <w:color w:val="auto"/>
                <w:spacing w:val="0"/>
                <w:kern w:val="0"/>
                <w:sz w:val="21"/>
                <w:szCs w:val="21"/>
                <w:highlight w:val="none"/>
                <w:vertAlign w:val="baseline"/>
                <w:lang w:val="en-US" w:eastAsia="zh-CN"/>
              </w:rPr>
              <w:t>研</w:t>
            </w: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3</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eastAsia="宋体" w:cs="Times New Roman"/>
                <w:i w:val="0"/>
                <w:iCs w:val="0"/>
                <w:caps w:val="0"/>
                <w:smallCaps w:val="0"/>
                <w:snapToGrid w:val="0"/>
                <w:color w:val="auto"/>
                <w:spacing w:val="0"/>
                <w:kern w:val="0"/>
                <w:sz w:val="21"/>
                <w:szCs w:val="21"/>
                <w:highlight w:val="none"/>
                <w:vertAlign w:val="baseline"/>
                <w:lang w:val="en-US" w:eastAsia="zh-CN"/>
              </w:rPr>
              <w:t>/</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4</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eastAsia="宋体" w:cs="Times New Roman"/>
                <w:i w:val="0"/>
                <w:iCs w:val="0"/>
                <w:caps w:val="0"/>
                <w:smallCaps w:val="0"/>
                <w:snapToGrid w:val="0"/>
                <w:color w:val="auto"/>
                <w:spacing w:val="0"/>
                <w:kern w:val="0"/>
                <w:sz w:val="21"/>
                <w:szCs w:val="21"/>
                <w:highlight w:val="none"/>
                <w:vertAlign w:val="baseline"/>
                <w:lang w:val="en-US" w:eastAsia="zh-CN"/>
              </w:rPr>
              <w:t>/</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为本招标项目的监理单位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5</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宋体" w:hAnsi="宋体" w:eastAsia="宋体"/>
                <w:i w:val="0"/>
                <w:iCs w:val="0"/>
                <w:color w:val="auto"/>
                <w:sz w:val="21"/>
                <w:szCs w:val="21"/>
                <w:highlight w:val="none"/>
                <w:lang w:eastAsia="zh-CN"/>
              </w:rPr>
              <w:t>安徽瑞邦工程造价有限公司</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default"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6</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eastAsia="宋体" w:cs="Times New Roman"/>
                <w:i w:val="0"/>
                <w:iCs w:val="0"/>
                <w:caps w:val="0"/>
                <w:smallCaps w:val="0"/>
                <w:snapToGrid w:val="0"/>
                <w:color w:val="auto"/>
                <w:spacing w:val="0"/>
                <w:kern w:val="0"/>
                <w:sz w:val="21"/>
                <w:szCs w:val="21"/>
                <w:highlight w:val="none"/>
                <w:vertAlign w:val="baseline"/>
                <w:lang w:val="en-US" w:eastAsia="zh-CN"/>
              </w:rPr>
              <w:t>/</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为本招标项目上一次招标的中标人，但无正当理由不签订合同，被招标人书面拒绝再次投标。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7</w:t>
            </w:r>
          </w:p>
        </w:tc>
        <w:tc>
          <w:tcPr>
            <w:tcW w:w="3384" w:type="dxa"/>
            <w:noWrap w:val="0"/>
            <w:vAlign w:val="center"/>
          </w:tcPr>
          <w:p>
            <w:pPr>
              <w:pStyle w:val="26"/>
              <w:shd w:val="clear"/>
              <w:jc w:val="center"/>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cs="Times New Roman"/>
                <w:i w:val="0"/>
                <w:iCs w:val="0"/>
                <w:caps w:val="0"/>
                <w:smallCaps w:val="0"/>
                <w:snapToGrid w:val="0"/>
                <w:color w:val="auto"/>
                <w:spacing w:val="0"/>
                <w:kern w:val="0"/>
                <w:sz w:val="21"/>
                <w:szCs w:val="21"/>
                <w:highlight w:val="none"/>
                <w:vertAlign w:val="baseline"/>
                <w:lang w:val="en-US" w:eastAsia="zh-CN"/>
              </w:rPr>
              <w:t>/</w:t>
            </w: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被本市各级住建部门依法暂停或者取消投标资格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9"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center"/>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r>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t>……</w:t>
            </w:r>
          </w:p>
        </w:tc>
        <w:tc>
          <w:tcPr>
            <w:tcW w:w="3384" w:type="dxa"/>
            <w:noWrap w:val="0"/>
            <w:vAlign w:val="center"/>
          </w:tcPr>
          <w:p>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p>
        </w:tc>
        <w:tc>
          <w:tcPr>
            <w:tcW w:w="4877" w:type="dxa"/>
            <w:noWrap w:val="0"/>
            <w:vAlign w:val="center"/>
          </w:tcPr>
          <w:p>
            <w:pPr>
              <w:pStyle w:val="26"/>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240" w:lineRule="auto"/>
              <w:ind w:right="0" w:rightChars="0"/>
              <w:jc w:val="both"/>
              <w:textAlignment w:val="auto"/>
              <w:outlineLvl w:val="9"/>
              <w:rPr>
                <w:rFonts w:hint="eastAsia" w:ascii="Times New Roman" w:hAnsi="Times New Roman" w:eastAsia="宋体" w:cs="Times New Roman"/>
                <w:i w:val="0"/>
                <w:iCs w:val="0"/>
                <w:caps w:val="0"/>
                <w:smallCaps w:val="0"/>
                <w:snapToGrid w:val="0"/>
                <w:color w:val="auto"/>
                <w:spacing w:val="0"/>
                <w:kern w:val="0"/>
                <w:sz w:val="21"/>
                <w:szCs w:val="21"/>
                <w:highlight w:val="none"/>
                <w:vertAlign w:val="baseline"/>
                <w:lang w:val="en-US" w:eastAsia="zh-CN"/>
              </w:rPr>
            </w:pPr>
          </w:p>
        </w:tc>
      </w:tr>
    </w:tbl>
    <w:p>
      <w:pPr>
        <w:shd w:val="clear"/>
        <w:ind w:firstLine="3596" w:firstLineChars="995"/>
        <w:rPr>
          <w:rFonts w:hint="eastAsia" w:ascii="宋体" w:hAnsi="宋体" w:eastAsia="宋体"/>
          <w:b/>
          <w:color w:val="auto"/>
          <w:sz w:val="36"/>
          <w:szCs w:val="36"/>
          <w:highlight w:val="none"/>
        </w:rPr>
      </w:pPr>
    </w:p>
    <w:p>
      <w:pPr>
        <w:pStyle w:val="12"/>
        <w:shd w:val="clear"/>
        <w:spacing w:line="480" w:lineRule="auto"/>
        <w:rPr>
          <w:rFonts w:hint="eastAsia"/>
          <w:color w:val="auto"/>
          <w:sz w:val="24"/>
          <w:highlight w:val="none"/>
        </w:rPr>
      </w:pPr>
      <w:r>
        <w:rPr>
          <w:rFonts w:hint="eastAsia"/>
          <w:b/>
          <w:color w:val="auto"/>
          <w:sz w:val="36"/>
          <w:szCs w:val="36"/>
          <w:highlight w:val="none"/>
        </w:rPr>
        <w:br w:type="page"/>
      </w:r>
    </w:p>
    <w:p>
      <w:pPr>
        <w:shd w:val="clear"/>
        <w:spacing w:line="360" w:lineRule="auto"/>
        <w:jc w:val="center"/>
        <w:rPr>
          <w:rFonts w:hint="eastAsia" w:ascii="宋体" w:hAnsi="宋体" w:eastAsia="宋体"/>
          <w:b/>
          <w:bCs/>
          <w:color w:val="auto"/>
          <w:spacing w:val="40"/>
          <w:sz w:val="44"/>
          <w:szCs w:val="44"/>
          <w:highlight w:val="none"/>
        </w:rPr>
      </w:pPr>
      <w:r>
        <w:rPr>
          <w:rFonts w:hint="eastAsia" w:ascii="宋体" w:hAnsi="宋体" w:eastAsia="宋体"/>
          <w:b/>
          <w:bCs/>
          <w:color w:val="auto"/>
          <w:spacing w:val="40"/>
          <w:sz w:val="44"/>
          <w:szCs w:val="44"/>
          <w:highlight w:val="none"/>
        </w:rPr>
        <w:t>第二部分</w:t>
      </w:r>
    </w:p>
    <w:p>
      <w:pPr>
        <w:shd w:val="clear"/>
        <w:spacing w:line="360" w:lineRule="auto"/>
        <w:ind w:left="359" w:leftChars="171"/>
        <w:jc w:val="center"/>
        <w:rPr>
          <w:rFonts w:hint="eastAsia" w:ascii="宋体" w:hAnsi="宋体" w:eastAsia="宋体"/>
          <w:b/>
          <w:bCs/>
          <w:color w:val="auto"/>
          <w:spacing w:val="40"/>
          <w:sz w:val="44"/>
          <w:szCs w:val="44"/>
          <w:highlight w:val="none"/>
        </w:rPr>
      </w:pPr>
    </w:p>
    <w:p>
      <w:pPr>
        <w:shd w:val="clear"/>
        <w:spacing w:line="360" w:lineRule="auto"/>
        <w:jc w:val="center"/>
        <w:rPr>
          <w:rFonts w:hint="eastAsia" w:ascii="宋体" w:hAnsi="宋体" w:eastAsia="宋体"/>
          <w:b/>
          <w:color w:val="auto"/>
          <w:sz w:val="36"/>
          <w:highlight w:val="none"/>
          <w:u w:val="single"/>
          <w:lang w:eastAsia="zh-CN"/>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eastAsia="zh-CN"/>
        </w:rPr>
        <w:t>广清产业园华清产业大道北侧收储地块新建纵路工程</w:t>
      </w:r>
    </w:p>
    <w:p>
      <w:pPr>
        <w:shd w:val="clear"/>
        <w:spacing w:line="360" w:lineRule="auto"/>
        <w:jc w:val="center"/>
        <w:rPr>
          <w:rFonts w:hint="eastAsia" w:ascii="宋体" w:hAnsi="宋体" w:eastAsia="宋体"/>
          <w:b/>
          <w:bCs/>
          <w:color w:val="auto"/>
          <w:spacing w:val="40"/>
          <w:sz w:val="44"/>
          <w:szCs w:val="44"/>
          <w:highlight w:val="none"/>
        </w:rPr>
      </w:pPr>
      <w:r>
        <w:rPr>
          <w:rFonts w:hint="eastAsia" w:ascii="宋体" w:hAnsi="宋体" w:eastAsia="宋体"/>
          <w:b/>
          <w:color w:val="auto"/>
          <w:sz w:val="36"/>
          <w:highlight w:val="none"/>
          <w:u w:val="single"/>
          <w:lang w:eastAsia="zh-CN"/>
        </w:rPr>
        <w:t>施工总承包</w:t>
      </w:r>
    </w:p>
    <w:p>
      <w:pPr>
        <w:shd w:val="clear"/>
        <w:spacing w:line="360" w:lineRule="auto"/>
        <w:ind w:left="359" w:leftChars="171"/>
        <w:jc w:val="center"/>
        <w:rPr>
          <w:rFonts w:hint="eastAsia" w:ascii="宋体" w:hAnsi="宋体" w:eastAsia="宋体"/>
          <w:b/>
          <w:bCs/>
          <w:color w:val="auto"/>
          <w:spacing w:val="40"/>
          <w:sz w:val="44"/>
          <w:szCs w:val="44"/>
          <w:highlight w:val="none"/>
        </w:rPr>
      </w:pPr>
    </w:p>
    <w:p>
      <w:pPr>
        <w:shd w:val="clear"/>
        <w:spacing w:line="360" w:lineRule="auto"/>
        <w:jc w:val="center"/>
        <w:rPr>
          <w:rFonts w:hint="eastAsia" w:ascii="宋体" w:hAnsi="宋体" w:eastAsia="宋体"/>
          <w:color w:val="auto"/>
          <w:sz w:val="36"/>
          <w:highlight w:val="none"/>
          <w:u w:val="single"/>
        </w:rPr>
      </w:pPr>
    </w:p>
    <w:p>
      <w:pPr>
        <w:shd w:val="clear"/>
        <w:spacing w:line="360" w:lineRule="auto"/>
        <w:jc w:val="cente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黑体" w:hAnsi="黑体" w:eastAsia="黑体" w:cs="黑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pPr>
        <w:shd w:val="clear"/>
        <w:spacing w:line="360" w:lineRule="auto"/>
        <w:jc w:val="center"/>
        <w:rPr>
          <w:rFonts w:hint="eastAsia" w:ascii="宋体" w:hAnsi="宋体" w:eastAsia="宋体"/>
          <w:color w:val="auto"/>
          <w:sz w:val="32"/>
          <w:highlight w:val="none"/>
        </w:rPr>
      </w:pPr>
    </w:p>
    <w:p>
      <w:pPr>
        <w:shd w:val="clear"/>
        <w:spacing w:line="360" w:lineRule="auto"/>
        <w:jc w:val="center"/>
        <w:rPr>
          <w:rFonts w:hint="eastAsia" w:ascii="宋体" w:hAnsi="宋体" w:eastAsia="宋体"/>
          <w:color w:val="auto"/>
          <w:sz w:val="32"/>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360" w:lineRule="auto"/>
        <w:jc w:val="center"/>
        <w:rPr>
          <w:rFonts w:hint="eastAsia" w:ascii="宋体" w:hAnsi="宋体" w:eastAsia="宋体"/>
          <w:color w:val="auto"/>
          <w:sz w:val="30"/>
          <w:szCs w:val="30"/>
          <w:highlight w:val="none"/>
        </w:rPr>
      </w:pPr>
    </w:p>
    <w:p>
      <w:pPr>
        <w:shd w:val="clear"/>
        <w:spacing w:line="480" w:lineRule="auto"/>
        <w:jc w:val="center"/>
        <w:rPr>
          <w:rFonts w:hint="eastAsia" w:ascii="宋体" w:hAnsi="宋体" w:eastAsia="宋体"/>
          <w:color w:val="auto"/>
          <w:sz w:val="30"/>
          <w:szCs w:val="30"/>
          <w:highlight w:val="none"/>
        </w:rPr>
      </w:pPr>
    </w:p>
    <w:p>
      <w:pPr>
        <w:shd w:val="clear"/>
        <w:spacing w:line="480" w:lineRule="auto"/>
        <w:ind w:firstLine="744" w:firstLineChars="247"/>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招标人：</w:t>
      </w:r>
      <w:r>
        <w:rPr>
          <w:rFonts w:hint="eastAsia" w:ascii="宋体" w:hAnsi="宋体" w:eastAsia="宋体"/>
          <w:b/>
          <w:color w:val="auto"/>
          <w:sz w:val="30"/>
          <w:szCs w:val="30"/>
          <w:highlight w:val="none"/>
          <w:u w:val="single"/>
        </w:rPr>
        <w:t xml:space="preserve">广州（清远）产业转移工业园财政投资项目管理中心  </w:t>
      </w:r>
    </w:p>
    <w:p>
      <w:pPr>
        <w:shd w:val="clear"/>
        <w:spacing w:line="480" w:lineRule="auto"/>
        <w:ind w:firstLine="744" w:firstLineChars="247"/>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招标代理机构：</w:t>
      </w:r>
      <w:r>
        <w:rPr>
          <w:rFonts w:hint="eastAsia" w:ascii="宋体" w:hAnsi="宋体" w:eastAsia="宋体"/>
          <w:b/>
          <w:color w:val="auto"/>
          <w:sz w:val="30"/>
          <w:szCs w:val="30"/>
          <w:highlight w:val="none"/>
          <w:u w:val="single"/>
        </w:rPr>
        <w:t xml:space="preserve"> 安徽瑞邦工程造价有限公司   </w:t>
      </w:r>
    </w:p>
    <w:p>
      <w:pPr>
        <w:shd w:val="clear"/>
        <w:spacing w:line="480" w:lineRule="auto"/>
        <w:ind w:firstLine="744" w:firstLineChars="247"/>
        <w:rPr>
          <w:rFonts w:hint="eastAsia" w:ascii="宋体" w:hAnsi="宋体" w:eastAsia="宋体"/>
          <w:b/>
          <w:color w:val="auto"/>
          <w:sz w:val="30"/>
          <w:szCs w:val="30"/>
          <w:highlight w:val="none"/>
          <w:u w:val="single"/>
        </w:rPr>
      </w:pPr>
      <w:r>
        <w:rPr>
          <w:rFonts w:hint="eastAsia" w:ascii="宋体" w:hAnsi="宋体" w:eastAsia="宋体"/>
          <w:b/>
          <w:color w:val="auto"/>
          <w:sz w:val="30"/>
          <w:szCs w:val="30"/>
          <w:highlight w:val="none"/>
        </w:rPr>
        <w:t>编制日期：</w:t>
      </w:r>
      <w:r>
        <w:rPr>
          <w:rFonts w:hint="eastAsia" w:ascii="宋体" w:hAnsi="宋体" w:eastAsia="宋体"/>
          <w:b/>
          <w:color w:val="auto"/>
          <w:sz w:val="30"/>
          <w:szCs w:val="30"/>
          <w:highlight w:val="none"/>
          <w:u w:val="single"/>
        </w:rPr>
        <w:t xml:space="preserve">  </w:t>
      </w:r>
      <w:r>
        <w:rPr>
          <w:rFonts w:hint="eastAsia" w:ascii="宋体" w:hAnsi="宋体" w:eastAsia="宋体"/>
          <w:b/>
          <w:color w:val="auto"/>
          <w:sz w:val="30"/>
          <w:szCs w:val="30"/>
          <w:highlight w:val="none"/>
          <w:u w:val="single"/>
          <w:lang w:val="en-US" w:eastAsia="zh-CN"/>
        </w:rPr>
        <w:t>2023年   月</w:t>
      </w:r>
      <w:r>
        <w:rPr>
          <w:rFonts w:hint="eastAsia" w:ascii="宋体" w:hAnsi="宋体" w:eastAsia="宋体"/>
          <w:b/>
          <w:color w:val="auto"/>
          <w:sz w:val="30"/>
          <w:szCs w:val="30"/>
          <w:highlight w:val="none"/>
          <w:u w:val="single"/>
        </w:rPr>
        <w:t xml:space="preserve">    </w:t>
      </w:r>
    </w:p>
    <w:p>
      <w:pPr>
        <w:shd w:val="clear"/>
        <w:spacing w:line="360" w:lineRule="auto"/>
        <w:rPr>
          <w:rFonts w:hint="eastAsia" w:ascii="宋体" w:hAnsi="宋体" w:eastAsia="宋体"/>
          <w:color w:val="auto"/>
          <w:sz w:val="32"/>
          <w:highlight w:val="none"/>
        </w:rPr>
      </w:pPr>
    </w:p>
    <w:p>
      <w:pPr>
        <w:shd w:val="clear"/>
        <w:spacing w:line="360" w:lineRule="auto"/>
        <w:rPr>
          <w:rFonts w:hint="eastAsia" w:ascii="宋体" w:hAnsi="宋体" w:eastAsia="宋体"/>
          <w:color w:val="auto"/>
          <w:sz w:val="32"/>
          <w:highlight w:val="none"/>
        </w:rPr>
      </w:pPr>
    </w:p>
    <w:p>
      <w:pPr>
        <w:shd w:val="clear"/>
        <w:spacing w:line="360" w:lineRule="auto"/>
        <w:rPr>
          <w:rFonts w:hint="eastAsia" w:ascii="宋体" w:hAnsi="宋体" w:eastAsia="宋体"/>
          <w:color w:val="auto"/>
          <w:sz w:val="32"/>
          <w:highlight w:val="none"/>
        </w:rPr>
      </w:pPr>
    </w:p>
    <w:p>
      <w:pPr>
        <w:pStyle w:val="3"/>
        <w:shd w:val="clear"/>
        <w:jc w:val="center"/>
        <w:rPr>
          <w:rStyle w:val="24"/>
          <w:rFonts w:hint="eastAsia" w:ascii="黑体" w:hAnsi="黑体" w:eastAsia="黑体" w:cs="黑体"/>
          <w:bCs w:val="0"/>
          <w:color w:val="auto"/>
          <w:sz w:val="30"/>
          <w:szCs w:val="30"/>
          <w:highlight w:val="none"/>
          <w:u w:val="none"/>
        </w:rPr>
      </w:pPr>
      <w:bookmarkStart w:id="1" w:name="_Toc13854"/>
      <w:bookmarkStart w:id="2" w:name="_Toc14450"/>
      <w:bookmarkStart w:id="3" w:name="_Toc4650"/>
      <w:bookmarkStart w:id="4" w:name="_Toc15759"/>
      <w:r>
        <w:rPr>
          <w:rStyle w:val="24"/>
          <w:rFonts w:hint="eastAsia" w:ascii="黑体" w:hAnsi="黑体" w:eastAsia="黑体" w:cs="黑体"/>
          <w:bCs w:val="0"/>
          <w:color w:val="auto"/>
          <w:sz w:val="30"/>
          <w:szCs w:val="30"/>
          <w:highlight w:val="none"/>
          <w:u w:val="none"/>
        </w:rPr>
        <w:t>目      录</w:t>
      </w:r>
      <w:bookmarkEnd w:id="1"/>
      <w:bookmarkEnd w:id="2"/>
      <w:bookmarkEnd w:id="3"/>
      <w:bookmarkEnd w:id="4"/>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TOC \o "1-3" \h \z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sz w:val="21"/>
          <w:szCs w:val="21"/>
          <w:highlight w:val="none"/>
        </w:rPr>
        <w:instrText xml:space="preserve"> HYPERLINK \l _Toc7011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招标公告</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_Toc7011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2</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_Toc5531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第一章  投标人须知</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_Toc5531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_Toc2886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一 投标人须知前附表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_Toc2886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_Toc17487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二  投标人须知通用条款</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_Toc17487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_Toc1997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（一） 总则</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_Toc1997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_Toc31604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（二） 招标文件</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_Toc31604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_Toc2119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（三） 投标文件的编制</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_Toc2119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20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_Toc998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（四） 投标文件的递交</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_Toc998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26</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_Toc24175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（五）开标、评标、定标及合同签定</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_Toc24175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27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_Toc2968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第二章  开标、评标及定标办法</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_Toc2968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30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_Toc7940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一、 评标办法前附表（“技术+资信+报价”评估法）</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_Toc7940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30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_Toc4965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（一）总则</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_Toc4965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36</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_Toc10356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（二）开标评标办法程序和细则</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_Toc10356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39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_Toc19431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附件A   《技术标详细评分标准》</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_Toc19431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45</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_Toc9116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附件B  否决投标条件</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_Toc9116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47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_Toc16486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 xml:space="preserve">附件C  </w:t>
      </w:r>
      <w:r>
        <w:rPr>
          <w:rFonts w:hint="eastAsia" w:ascii="宋体" w:hAnsi="宋体" w:eastAsia="宋体" w:cs="宋体"/>
          <w:b w:val="0"/>
          <w:bCs/>
          <w:sz w:val="21"/>
          <w:szCs w:val="21"/>
          <w:highlight w:val="none"/>
          <w:lang w:eastAsia="zh-CN"/>
        </w:rPr>
        <w:t>类似工程业绩</w:t>
      </w:r>
      <w:r>
        <w:rPr>
          <w:rFonts w:hint="eastAsia" w:ascii="宋体" w:hAnsi="宋体" w:eastAsia="宋体" w:cs="宋体"/>
          <w:b w:val="0"/>
          <w:bCs/>
          <w:sz w:val="21"/>
          <w:szCs w:val="21"/>
          <w:highlight w:val="none"/>
        </w:rPr>
        <w:t>认定标准</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_Toc16486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48</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_Toc14918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附表一</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开标记录表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_Toc14918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49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_Toc2235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附表二：问题</w:t>
      </w:r>
      <w:r>
        <w:rPr>
          <w:rFonts w:hint="eastAsia" w:ascii="宋体" w:hAnsi="宋体" w:eastAsia="宋体" w:cs="宋体"/>
          <w:b w:val="0"/>
          <w:bCs/>
          <w:sz w:val="21"/>
          <w:szCs w:val="21"/>
          <w:highlight w:val="none"/>
          <w:lang w:val="en-US" w:eastAsia="zh-CN"/>
        </w:rPr>
        <w:t>澄清</w:t>
      </w:r>
      <w:r>
        <w:rPr>
          <w:rFonts w:hint="eastAsia" w:ascii="宋体" w:hAnsi="宋体" w:eastAsia="宋体" w:cs="宋体"/>
          <w:b w:val="0"/>
          <w:bCs/>
          <w:sz w:val="21"/>
          <w:szCs w:val="21"/>
          <w:highlight w:val="none"/>
        </w:rPr>
        <w:t>通知</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_Toc2235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50</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_Toc10913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附表三：问题的澄清</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_Toc10913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51</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_Toc5524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附表四</w:t>
      </w:r>
      <w:r>
        <w:rPr>
          <w:rFonts w:hint="eastAsia" w:ascii="宋体" w:hAnsi="宋体" w:eastAsia="宋体" w:cs="宋体"/>
          <w:b w:val="0"/>
          <w:bCs/>
          <w:sz w:val="21"/>
          <w:szCs w:val="21"/>
          <w:highlight w:val="none"/>
          <w:lang w:eastAsia="zh-CN"/>
        </w:rPr>
        <w:t>：资格</w:t>
      </w:r>
      <w:r>
        <w:rPr>
          <w:rFonts w:hint="eastAsia" w:ascii="宋体" w:hAnsi="宋体" w:eastAsia="宋体" w:cs="宋体"/>
          <w:b w:val="0"/>
          <w:bCs/>
          <w:sz w:val="21"/>
          <w:szCs w:val="21"/>
          <w:highlight w:val="none"/>
          <w:lang w:val="en-US" w:eastAsia="zh-CN"/>
        </w:rPr>
        <w:t>审查</w:t>
      </w:r>
      <w:r>
        <w:rPr>
          <w:rFonts w:hint="eastAsia" w:ascii="宋体" w:hAnsi="宋体" w:eastAsia="宋体" w:cs="宋体"/>
          <w:b w:val="0"/>
          <w:bCs/>
          <w:sz w:val="21"/>
          <w:szCs w:val="21"/>
          <w:highlight w:val="none"/>
          <w:lang w:eastAsia="zh-CN"/>
        </w:rPr>
        <w:t>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_Toc5524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52</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_Toc14712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附表五</w:t>
      </w:r>
      <w:r>
        <w:rPr>
          <w:rFonts w:hint="eastAsia" w:ascii="宋体" w:hAnsi="宋体" w:eastAsia="宋体" w:cs="宋体"/>
          <w:b w:val="0"/>
          <w:bCs/>
          <w:sz w:val="21"/>
          <w:szCs w:val="21"/>
          <w:highlight w:val="none"/>
          <w:lang w:eastAsia="zh-CN"/>
        </w:rPr>
        <w:t>：投标文件否决性条款审查表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_Toc14712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53</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_Toc23424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附表六</w:t>
      </w:r>
      <w:r>
        <w:rPr>
          <w:rFonts w:hint="eastAsia" w:ascii="宋体" w:hAnsi="宋体" w:eastAsia="宋体" w:cs="宋体"/>
          <w:b w:val="0"/>
          <w:bCs/>
          <w:sz w:val="21"/>
          <w:szCs w:val="21"/>
          <w:highlight w:val="none"/>
          <w:lang w:eastAsia="zh-CN"/>
        </w:rPr>
        <w:t>：投标人串通投标评审表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_Toc23424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54</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_Toc22649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lang w:eastAsia="zh-CN"/>
        </w:rPr>
        <w:t>附表</w:t>
      </w:r>
      <w:r>
        <w:rPr>
          <w:rFonts w:hint="eastAsia" w:ascii="宋体" w:hAnsi="宋体" w:eastAsia="宋体" w:cs="宋体"/>
          <w:b w:val="0"/>
          <w:bCs/>
          <w:sz w:val="21"/>
          <w:szCs w:val="21"/>
          <w:highlight w:val="none"/>
          <w:lang w:val="en-US" w:eastAsia="zh-CN"/>
        </w:rPr>
        <w:t>七</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投标报价评审表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_Toc22649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55</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8"/>
        <w:shd w:val="clear"/>
        <w:tabs>
          <w:tab w:val="right" w:leader="dot" w:pos="9356"/>
        </w:tabs>
        <w:spacing w:line="360" w:lineRule="auto"/>
        <w:ind w:left="0" w:leftChars="0" w:firstLine="0" w:firstLineChars="0"/>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_Toc21455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lang w:eastAsia="zh-CN"/>
        </w:rPr>
        <w:t>附表</w:t>
      </w:r>
      <w:r>
        <w:rPr>
          <w:rFonts w:hint="eastAsia" w:ascii="宋体" w:hAnsi="宋体" w:eastAsia="宋体" w:cs="宋体"/>
          <w:b w:val="0"/>
          <w:bCs/>
          <w:sz w:val="21"/>
          <w:szCs w:val="21"/>
          <w:highlight w:val="none"/>
          <w:lang w:val="en-US" w:eastAsia="zh-CN"/>
        </w:rPr>
        <w:t>八</w:t>
      </w:r>
      <w:r>
        <w:rPr>
          <w:rFonts w:hint="eastAsia" w:ascii="宋体" w:hAnsi="宋体" w:eastAsia="宋体" w:cs="宋体"/>
          <w:b w:val="0"/>
          <w:bCs/>
          <w:sz w:val="21"/>
          <w:szCs w:val="21"/>
          <w:highlight w:val="none"/>
          <w:lang w:eastAsia="zh-CN"/>
        </w:rPr>
        <w:t>：评分汇总、</w:t>
      </w:r>
      <w:r>
        <w:rPr>
          <w:rFonts w:hint="eastAsia" w:ascii="宋体" w:hAnsi="宋体" w:eastAsia="宋体" w:cs="宋体"/>
          <w:b w:val="0"/>
          <w:bCs/>
          <w:sz w:val="21"/>
          <w:szCs w:val="21"/>
          <w:highlight w:val="none"/>
          <w:lang w:val="en-US" w:eastAsia="zh-CN"/>
        </w:rPr>
        <w:t>推荐</w:t>
      </w:r>
      <w:r>
        <w:rPr>
          <w:rFonts w:hint="eastAsia" w:ascii="宋体" w:hAnsi="宋体" w:eastAsia="宋体" w:cs="宋体"/>
          <w:b w:val="0"/>
          <w:bCs/>
          <w:sz w:val="21"/>
          <w:szCs w:val="21"/>
          <w:highlight w:val="none"/>
          <w:lang w:eastAsia="zh-CN"/>
        </w:rPr>
        <w:t>中标候选人排名次序表</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_Toc21455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56</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_Toc30908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第三章  合同条款</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_Toc30908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_Toc15379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pacing w:val="110"/>
          <w:sz w:val="21"/>
          <w:szCs w:val="21"/>
          <w:highlight w:val="none"/>
        </w:rPr>
        <w:t>一、协议书</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_Toc15379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57</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_Toc14057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第一部分</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合同书</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_Toc14057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59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_Toc27271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第二部分</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通用条款</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_Toc27271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63</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_Toc28807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第三部分专用条款</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_Toc28807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89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_Toc31935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kern w:val="0"/>
          <w:sz w:val="21"/>
          <w:szCs w:val="21"/>
          <w:highlight w:val="none"/>
        </w:rPr>
        <w:t>第四部分</w:t>
      </w:r>
      <w:r>
        <w:rPr>
          <w:rFonts w:hint="eastAsia" w:ascii="宋体" w:hAnsi="宋体" w:eastAsia="宋体" w:cs="宋体"/>
          <w:b w:val="0"/>
          <w:bCs/>
          <w:kern w:val="0"/>
          <w:sz w:val="21"/>
          <w:szCs w:val="21"/>
          <w:highlight w:val="none"/>
          <w:lang w:val="en-US" w:eastAsia="zh-CN"/>
        </w:rPr>
        <w:t xml:space="preserve"> </w:t>
      </w:r>
      <w:r>
        <w:rPr>
          <w:rFonts w:hint="eastAsia" w:ascii="宋体" w:hAnsi="宋体" w:eastAsia="宋体" w:cs="宋体"/>
          <w:b w:val="0"/>
          <w:bCs/>
          <w:kern w:val="0"/>
          <w:sz w:val="21"/>
          <w:szCs w:val="21"/>
          <w:highlight w:val="none"/>
        </w:rPr>
        <w:t>工程质量保修责任书</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_Toc31935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125</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_Toc17789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kern w:val="0"/>
          <w:sz w:val="21"/>
          <w:szCs w:val="21"/>
          <w:highlight w:val="none"/>
        </w:rPr>
        <w:t>附件一：工程建设项目廉政责任书</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_Toc17789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129</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5"/>
        <w:shd w:val="clear"/>
        <w:tabs>
          <w:tab w:val="right" w:leader="dot" w:pos="9356"/>
          <w:tab w:val="clear" w:pos="8493"/>
        </w:tabs>
        <w:spacing w:line="360" w:lineRule="auto"/>
        <w:rPr>
          <w:rFonts w:hint="eastAsia" w:ascii="宋体" w:hAnsi="宋体" w:eastAsia="宋体" w:cs="宋体"/>
          <w:b w:val="0"/>
          <w:bCs/>
          <w:sz w:val="21"/>
          <w:szCs w:val="21"/>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_Toc20162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第四章  投标文件格式</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_Toc20162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132</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spacing w:line="360" w:lineRule="auto"/>
        <w:rPr>
          <w:highlight w:val="none"/>
        </w:rPr>
      </w:pPr>
      <w:r>
        <w:rPr>
          <w:rFonts w:hint="eastAsia" w:ascii="宋体" w:hAnsi="宋体" w:eastAsia="宋体" w:cs="宋体"/>
          <w:b w:val="0"/>
          <w:bCs/>
          <w:color w:val="auto"/>
          <w:kern w:val="0"/>
          <w:sz w:val="21"/>
          <w:szCs w:val="21"/>
          <w:highlight w:val="none"/>
        </w:rPr>
        <w:fldChar w:fldCharType="begin"/>
      </w:r>
      <w:r>
        <w:rPr>
          <w:rFonts w:hint="eastAsia" w:ascii="宋体" w:hAnsi="宋体" w:eastAsia="宋体" w:cs="宋体"/>
          <w:b w:val="0"/>
          <w:bCs/>
          <w:kern w:val="0"/>
          <w:sz w:val="21"/>
          <w:szCs w:val="21"/>
          <w:highlight w:val="none"/>
        </w:rPr>
        <w:instrText xml:space="preserve"> HYPERLINK \l _Toc9509 </w:instrText>
      </w:r>
      <w:r>
        <w:rPr>
          <w:rFonts w:hint="eastAsia" w:ascii="宋体" w:hAnsi="宋体" w:eastAsia="宋体" w:cs="宋体"/>
          <w:b w:val="0"/>
          <w:bCs/>
          <w:kern w:val="0"/>
          <w:sz w:val="21"/>
          <w:szCs w:val="21"/>
          <w:highlight w:val="none"/>
        </w:rPr>
        <w:fldChar w:fldCharType="separate"/>
      </w:r>
      <w:r>
        <w:rPr>
          <w:rFonts w:hint="eastAsia" w:ascii="宋体" w:hAnsi="宋体" w:eastAsia="宋体" w:cs="宋体"/>
          <w:b w:val="0"/>
          <w:bCs/>
          <w:sz w:val="21"/>
          <w:szCs w:val="21"/>
          <w:highlight w:val="none"/>
        </w:rPr>
        <w:t>投  标  函</w:t>
      </w:r>
      <w:r>
        <w:rPr>
          <w:rFonts w:hint="eastAsia" w:ascii="宋体" w:hAnsi="宋体" w:eastAsia="宋体" w:cs="宋体"/>
          <w:b w:val="0"/>
          <w:bCs/>
          <w:sz w:val="21"/>
          <w:szCs w:val="21"/>
          <w:highlight w:val="none"/>
        </w:rPr>
        <w:tab/>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PAGEREF _Toc9509 \h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134</w:t>
      </w:r>
      <w:r>
        <w:rPr>
          <w:rFonts w:hint="eastAsia" w:ascii="宋体" w:hAnsi="宋体" w:eastAsia="宋体" w:cs="宋体"/>
          <w:b w:val="0"/>
          <w:bCs/>
          <w:sz w:val="21"/>
          <w:szCs w:val="21"/>
          <w:highlight w:val="none"/>
        </w:rPr>
        <w:fldChar w:fldCharType="end"/>
      </w:r>
      <w:r>
        <w:rPr>
          <w:rFonts w:hint="eastAsia" w:ascii="宋体" w:hAnsi="宋体" w:eastAsia="宋体" w:cs="宋体"/>
          <w:b w:val="0"/>
          <w:bCs/>
          <w:color w:val="auto"/>
          <w:kern w:val="0"/>
          <w:sz w:val="21"/>
          <w:szCs w:val="21"/>
          <w:highlight w:val="none"/>
        </w:rPr>
        <w:fldChar w:fldCharType="end"/>
      </w:r>
    </w:p>
    <w:p>
      <w:pPr>
        <w:pStyle w:val="16"/>
        <w:shd w:val="clear"/>
        <w:tabs>
          <w:tab w:val="right" w:leader="dot" w:pos="9356"/>
          <w:tab w:val="clear" w:pos="9060"/>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_Toc13656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6"/>
          <w:highlight w:val="none"/>
          <w:lang w:val="en-US" w:eastAsia="zh-CN" w:bidi="ar-SA"/>
        </w:rPr>
        <w:t>法定代表人身份证明</w:t>
      </w:r>
      <w:r>
        <w:rPr>
          <w:highlight w:val="none"/>
        </w:rPr>
        <w:tab/>
      </w:r>
      <w:r>
        <w:rPr>
          <w:highlight w:val="none"/>
        </w:rPr>
        <w:fldChar w:fldCharType="begin"/>
      </w:r>
      <w:r>
        <w:rPr>
          <w:highlight w:val="none"/>
        </w:rPr>
        <w:instrText xml:space="preserve"> PAGEREF _Toc13656 \h </w:instrText>
      </w:r>
      <w:r>
        <w:rPr>
          <w:highlight w:val="none"/>
        </w:rPr>
        <w:fldChar w:fldCharType="separate"/>
      </w:r>
      <w:r>
        <w:rPr>
          <w:highlight w:val="none"/>
        </w:rPr>
        <w:t>135</w:t>
      </w:r>
      <w:r>
        <w:rPr>
          <w:highlight w:val="none"/>
        </w:rPr>
        <w:fldChar w:fldCharType="end"/>
      </w:r>
      <w:r>
        <w:rPr>
          <w:rFonts w:hint="eastAsia" w:ascii="宋体" w:hAnsi="宋体" w:eastAsia="宋体" w:cs="宋体"/>
          <w:bCs w:val="0"/>
          <w:color w:val="auto"/>
          <w:kern w:val="0"/>
          <w:szCs w:val="21"/>
          <w:highlight w:val="none"/>
        </w:rPr>
        <w:fldChar w:fldCharType="end"/>
      </w:r>
    </w:p>
    <w:p>
      <w:pPr>
        <w:pStyle w:val="16"/>
        <w:shd w:val="clear"/>
        <w:tabs>
          <w:tab w:val="right" w:leader="dot" w:pos="9356"/>
          <w:tab w:val="clear" w:pos="9060"/>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_Toc19679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36"/>
          <w:highlight w:val="none"/>
        </w:rPr>
        <w:t>授权委托书</w:t>
      </w:r>
      <w:r>
        <w:rPr>
          <w:highlight w:val="none"/>
        </w:rPr>
        <w:tab/>
      </w:r>
      <w:r>
        <w:rPr>
          <w:highlight w:val="none"/>
        </w:rPr>
        <w:fldChar w:fldCharType="begin"/>
      </w:r>
      <w:r>
        <w:rPr>
          <w:highlight w:val="none"/>
        </w:rPr>
        <w:instrText xml:space="preserve"> PAGEREF _Toc19679 \h </w:instrText>
      </w:r>
      <w:r>
        <w:rPr>
          <w:highlight w:val="none"/>
        </w:rPr>
        <w:fldChar w:fldCharType="separate"/>
      </w:r>
      <w:r>
        <w:rPr>
          <w:highlight w:val="none"/>
        </w:rPr>
        <w:t>136</w:t>
      </w:r>
      <w:r>
        <w:rPr>
          <w:highlight w:val="none"/>
        </w:rPr>
        <w:fldChar w:fldCharType="end"/>
      </w:r>
      <w:r>
        <w:rPr>
          <w:rFonts w:hint="eastAsia" w:ascii="宋体" w:hAnsi="宋体" w:eastAsia="宋体" w:cs="宋体"/>
          <w:bCs w:val="0"/>
          <w:color w:val="auto"/>
          <w:kern w:val="0"/>
          <w:szCs w:val="21"/>
          <w:highlight w:val="none"/>
        </w:rPr>
        <w:fldChar w:fldCharType="end"/>
      </w:r>
    </w:p>
    <w:p>
      <w:pPr>
        <w:pStyle w:val="16"/>
        <w:shd w:val="clear"/>
        <w:tabs>
          <w:tab w:val="right" w:leader="dot" w:pos="9356"/>
          <w:tab w:val="clear" w:pos="9060"/>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_Toc26459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36"/>
          <w:highlight w:val="none"/>
          <w:lang w:val="zh-CN"/>
        </w:rPr>
        <w:t>清远市建设工程施工招标投标书</w:t>
      </w:r>
      <w:r>
        <w:rPr>
          <w:highlight w:val="none"/>
        </w:rPr>
        <w:tab/>
      </w:r>
      <w:r>
        <w:rPr>
          <w:highlight w:val="none"/>
        </w:rPr>
        <w:fldChar w:fldCharType="begin"/>
      </w:r>
      <w:r>
        <w:rPr>
          <w:highlight w:val="none"/>
        </w:rPr>
        <w:instrText xml:space="preserve"> PAGEREF _Toc26459 \h </w:instrText>
      </w:r>
      <w:r>
        <w:rPr>
          <w:highlight w:val="none"/>
        </w:rPr>
        <w:fldChar w:fldCharType="separate"/>
      </w:r>
      <w:r>
        <w:rPr>
          <w:highlight w:val="none"/>
        </w:rPr>
        <w:t>137</w:t>
      </w:r>
      <w:r>
        <w:rPr>
          <w:highlight w:val="none"/>
        </w:rPr>
        <w:fldChar w:fldCharType="end"/>
      </w:r>
      <w:r>
        <w:rPr>
          <w:rFonts w:hint="eastAsia" w:ascii="宋体" w:hAnsi="宋体" w:eastAsia="宋体" w:cs="宋体"/>
          <w:bCs w:val="0"/>
          <w:color w:val="auto"/>
          <w:kern w:val="0"/>
          <w:szCs w:val="21"/>
          <w:highlight w:val="none"/>
        </w:rPr>
        <w:fldChar w:fldCharType="end"/>
      </w:r>
    </w:p>
    <w:p>
      <w:pPr>
        <w:pStyle w:val="16"/>
        <w:shd w:val="clear"/>
        <w:tabs>
          <w:tab w:val="right" w:leader="dot" w:pos="9356"/>
          <w:tab w:val="clear" w:pos="9060"/>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_Toc2146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36"/>
          <w:highlight w:val="none"/>
        </w:rPr>
        <w:t>投标申请人声明</w:t>
      </w:r>
      <w:r>
        <w:rPr>
          <w:highlight w:val="none"/>
        </w:rPr>
        <w:tab/>
      </w:r>
      <w:r>
        <w:rPr>
          <w:highlight w:val="none"/>
        </w:rPr>
        <w:fldChar w:fldCharType="begin"/>
      </w:r>
      <w:r>
        <w:rPr>
          <w:highlight w:val="none"/>
        </w:rPr>
        <w:instrText xml:space="preserve"> PAGEREF _Toc2146 \h </w:instrText>
      </w:r>
      <w:r>
        <w:rPr>
          <w:highlight w:val="none"/>
        </w:rPr>
        <w:fldChar w:fldCharType="separate"/>
      </w:r>
      <w:r>
        <w:rPr>
          <w:highlight w:val="none"/>
        </w:rPr>
        <w:t>138</w:t>
      </w:r>
      <w:r>
        <w:rPr>
          <w:highlight w:val="none"/>
        </w:rPr>
        <w:fldChar w:fldCharType="end"/>
      </w:r>
      <w:r>
        <w:rPr>
          <w:rFonts w:hint="eastAsia" w:ascii="宋体" w:hAnsi="宋体" w:eastAsia="宋体" w:cs="宋体"/>
          <w:bCs w:val="0"/>
          <w:color w:val="auto"/>
          <w:kern w:val="0"/>
          <w:szCs w:val="21"/>
          <w:highlight w:val="none"/>
        </w:rPr>
        <w:fldChar w:fldCharType="end"/>
      </w:r>
    </w:p>
    <w:p>
      <w:pPr>
        <w:pStyle w:val="15"/>
        <w:shd w:val="clear"/>
        <w:tabs>
          <w:tab w:val="right" w:leader="dot" w:pos="9356"/>
          <w:tab w:val="clear" w:pos="8493"/>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_Toc22728 </w:instrText>
      </w:r>
      <w:r>
        <w:rPr>
          <w:rFonts w:hint="eastAsia" w:ascii="宋体" w:hAnsi="宋体" w:eastAsia="宋体" w:cs="宋体"/>
          <w:bCs w:val="0"/>
          <w:kern w:val="0"/>
          <w:szCs w:val="21"/>
          <w:highlight w:val="none"/>
        </w:rPr>
        <w:fldChar w:fldCharType="separate"/>
      </w:r>
      <w:r>
        <w:rPr>
          <w:rFonts w:hint="eastAsia" w:ascii="宋体" w:eastAsia="宋体"/>
          <w:highlight w:val="none"/>
        </w:rPr>
        <w:t>第五章  技术条件（工程建设标准）</w:t>
      </w:r>
      <w:r>
        <w:rPr>
          <w:highlight w:val="none"/>
        </w:rPr>
        <w:tab/>
      </w:r>
      <w:r>
        <w:rPr>
          <w:highlight w:val="none"/>
        </w:rPr>
        <w:fldChar w:fldCharType="begin"/>
      </w:r>
      <w:r>
        <w:rPr>
          <w:highlight w:val="none"/>
        </w:rPr>
        <w:instrText xml:space="preserve"> PAGEREF _Toc22728 \h </w:instrText>
      </w:r>
      <w:r>
        <w:rPr>
          <w:highlight w:val="none"/>
        </w:rPr>
        <w:fldChar w:fldCharType="separate"/>
      </w:r>
      <w:r>
        <w:rPr>
          <w:highlight w:val="none"/>
        </w:rPr>
        <w:t>140</w:t>
      </w:r>
      <w:r>
        <w:rPr>
          <w:highlight w:val="none"/>
        </w:rPr>
        <w:fldChar w:fldCharType="end"/>
      </w:r>
      <w:r>
        <w:rPr>
          <w:rFonts w:hint="eastAsia" w:ascii="宋体" w:hAnsi="宋体" w:eastAsia="宋体" w:cs="宋体"/>
          <w:bCs w:val="0"/>
          <w:color w:val="auto"/>
          <w:kern w:val="0"/>
          <w:szCs w:val="21"/>
          <w:highlight w:val="none"/>
        </w:rPr>
        <w:fldChar w:fldCharType="end"/>
      </w:r>
    </w:p>
    <w:p>
      <w:pPr>
        <w:pStyle w:val="15"/>
        <w:shd w:val="clear"/>
        <w:tabs>
          <w:tab w:val="right" w:leader="dot" w:pos="9356"/>
          <w:tab w:val="clear" w:pos="8493"/>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_Toc32341 </w:instrText>
      </w:r>
      <w:r>
        <w:rPr>
          <w:rFonts w:hint="eastAsia" w:ascii="宋体" w:hAnsi="宋体" w:eastAsia="宋体" w:cs="宋体"/>
          <w:bCs w:val="0"/>
          <w:kern w:val="0"/>
          <w:szCs w:val="21"/>
          <w:highlight w:val="none"/>
        </w:rPr>
        <w:fldChar w:fldCharType="separate"/>
      </w:r>
      <w:r>
        <w:rPr>
          <w:rFonts w:hint="eastAsia" w:ascii="宋体" w:eastAsia="宋体"/>
          <w:highlight w:val="none"/>
        </w:rPr>
        <w:t>第六章  图纸及勘察资料</w:t>
      </w:r>
      <w:r>
        <w:rPr>
          <w:highlight w:val="none"/>
        </w:rPr>
        <w:tab/>
      </w:r>
      <w:r>
        <w:rPr>
          <w:highlight w:val="none"/>
        </w:rPr>
        <w:fldChar w:fldCharType="begin"/>
      </w:r>
      <w:r>
        <w:rPr>
          <w:highlight w:val="none"/>
        </w:rPr>
        <w:instrText xml:space="preserve"> PAGEREF _Toc32341 \h </w:instrText>
      </w:r>
      <w:r>
        <w:rPr>
          <w:highlight w:val="none"/>
        </w:rPr>
        <w:fldChar w:fldCharType="separate"/>
      </w:r>
      <w:r>
        <w:rPr>
          <w:highlight w:val="none"/>
        </w:rPr>
        <w:t>141</w:t>
      </w:r>
      <w:r>
        <w:rPr>
          <w:highlight w:val="none"/>
        </w:rPr>
        <w:fldChar w:fldCharType="end"/>
      </w:r>
      <w:r>
        <w:rPr>
          <w:rFonts w:hint="eastAsia" w:ascii="宋体" w:hAnsi="宋体" w:eastAsia="宋体" w:cs="宋体"/>
          <w:bCs w:val="0"/>
          <w:color w:val="auto"/>
          <w:kern w:val="0"/>
          <w:szCs w:val="21"/>
          <w:highlight w:val="none"/>
        </w:rPr>
        <w:fldChar w:fldCharType="end"/>
      </w:r>
    </w:p>
    <w:p>
      <w:pPr>
        <w:pStyle w:val="15"/>
        <w:shd w:val="clear"/>
        <w:tabs>
          <w:tab w:val="right" w:leader="dot" w:pos="9356"/>
          <w:tab w:val="clear" w:pos="8493"/>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_Toc30174 </w:instrText>
      </w:r>
      <w:r>
        <w:rPr>
          <w:rFonts w:hint="eastAsia" w:ascii="宋体" w:hAnsi="宋体" w:eastAsia="宋体" w:cs="宋体"/>
          <w:bCs w:val="0"/>
          <w:kern w:val="0"/>
          <w:szCs w:val="21"/>
          <w:highlight w:val="none"/>
        </w:rPr>
        <w:fldChar w:fldCharType="separate"/>
      </w:r>
      <w:r>
        <w:rPr>
          <w:rFonts w:hint="eastAsia" w:ascii="宋体" w:eastAsia="宋体"/>
          <w:highlight w:val="none"/>
        </w:rPr>
        <w:t>第七章  工程量清单</w:t>
      </w:r>
      <w:r>
        <w:rPr>
          <w:highlight w:val="none"/>
        </w:rPr>
        <w:tab/>
      </w:r>
      <w:r>
        <w:rPr>
          <w:highlight w:val="none"/>
        </w:rPr>
        <w:fldChar w:fldCharType="begin"/>
      </w:r>
      <w:r>
        <w:rPr>
          <w:highlight w:val="none"/>
        </w:rPr>
        <w:instrText xml:space="preserve"> PAGEREF _Toc30174 \h </w:instrText>
      </w:r>
      <w:r>
        <w:rPr>
          <w:highlight w:val="none"/>
        </w:rPr>
        <w:fldChar w:fldCharType="separate"/>
      </w:r>
      <w:r>
        <w:rPr>
          <w:highlight w:val="none"/>
        </w:rPr>
        <w:t>142</w:t>
      </w:r>
      <w:r>
        <w:rPr>
          <w:highlight w:val="none"/>
        </w:rPr>
        <w:fldChar w:fldCharType="end"/>
      </w:r>
      <w:r>
        <w:rPr>
          <w:rFonts w:hint="eastAsia" w:ascii="宋体" w:hAnsi="宋体" w:eastAsia="宋体" w:cs="宋体"/>
          <w:bCs w:val="0"/>
          <w:color w:val="auto"/>
          <w:kern w:val="0"/>
          <w:szCs w:val="21"/>
          <w:highlight w:val="none"/>
        </w:rPr>
        <w:fldChar w:fldCharType="end"/>
      </w:r>
    </w:p>
    <w:p>
      <w:pPr>
        <w:pStyle w:val="15"/>
        <w:shd w:val="clear"/>
        <w:tabs>
          <w:tab w:val="right" w:leader="dot" w:pos="9356"/>
          <w:tab w:val="clear" w:pos="8493"/>
        </w:tabs>
        <w:rPr>
          <w:highlight w:val="none"/>
        </w:rPr>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_Toc4453 </w:instrText>
      </w:r>
      <w:r>
        <w:rPr>
          <w:rFonts w:hint="eastAsia" w:ascii="宋体" w:hAnsi="宋体" w:eastAsia="宋体" w:cs="宋体"/>
          <w:bCs w:val="0"/>
          <w:kern w:val="0"/>
          <w:szCs w:val="21"/>
          <w:highlight w:val="none"/>
        </w:rPr>
        <w:fldChar w:fldCharType="separate"/>
      </w:r>
      <w:r>
        <w:rPr>
          <w:rFonts w:hint="eastAsia" w:ascii="宋体" w:eastAsia="宋体"/>
          <w:highlight w:val="none"/>
        </w:rPr>
        <w:t>第</w:t>
      </w:r>
      <w:r>
        <w:rPr>
          <w:rFonts w:hint="eastAsia" w:ascii="宋体" w:eastAsia="宋体"/>
          <w:highlight w:val="none"/>
          <w:lang w:val="en-US" w:eastAsia="zh-CN"/>
        </w:rPr>
        <w:t>八</w:t>
      </w:r>
      <w:r>
        <w:rPr>
          <w:rFonts w:hint="eastAsia" w:ascii="宋体" w:eastAsia="宋体"/>
          <w:highlight w:val="none"/>
        </w:rPr>
        <w:t>章  招标控制价</w:t>
      </w:r>
      <w:r>
        <w:rPr>
          <w:highlight w:val="none"/>
        </w:rPr>
        <w:tab/>
      </w:r>
      <w:r>
        <w:rPr>
          <w:highlight w:val="none"/>
        </w:rPr>
        <w:fldChar w:fldCharType="begin"/>
      </w:r>
      <w:r>
        <w:rPr>
          <w:highlight w:val="none"/>
        </w:rPr>
        <w:instrText xml:space="preserve"> PAGEREF _Toc4453 \h </w:instrText>
      </w:r>
      <w:r>
        <w:rPr>
          <w:highlight w:val="none"/>
        </w:rPr>
        <w:fldChar w:fldCharType="separate"/>
      </w:r>
      <w:r>
        <w:rPr>
          <w:highlight w:val="none"/>
        </w:rPr>
        <w:t>143</w:t>
      </w:r>
      <w:r>
        <w:rPr>
          <w:highlight w:val="none"/>
        </w:rPr>
        <w:fldChar w:fldCharType="end"/>
      </w:r>
      <w:r>
        <w:rPr>
          <w:rFonts w:hint="eastAsia" w:ascii="宋体" w:hAnsi="宋体" w:eastAsia="宋体" w:cs="宋体"/>
          <w:bCs w:val="0"/>
          <w:color w:val="auto"/>
          <w:kern w:val="0"/>
          <w:szCs w:val="21"/>
          <w:highlight w:val="none"/>
        </w:rPr>
        <w:fldChar w:fldCharType="end"/>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bCs w:val="0"/>
          <w:color w:val="auto"/>
          <w:kern w:val="0"/>
          <w:szCs w:val="21"/>
          <w:highlight w:val="none"/>
        </w:rPr>
        <w:fldChar w:fldCharType="end"/>
      </w:r>
      <w:bookmarkStart w:id="5" w:name="_Toc101777609"/>
      <w:r>
        <w:rPr>
          <w:rFonts w:hint="eastAsia" w:ascii="宋体" w:hAnsi="宋体" w:eastAsia="宋体" w:cs="宋体"/>
          <w:color w:val="auto"/>
          <w:kern w:val="0"/>
          <w:sz w:val="24"/>
          <w:szCs w:val="24"/>
          <w:highlight w:val="none"/>
        </w:rPr>
        <w:t xml:space="preserve"> </w:t>
      </w:r>
    </w:p>
    <w:p>
      <w:pPr>
        <w:shd w:val="clear"/>
        <w:bidi w:val="0"/>
        <w:rPr>
          <w:highlight w:val="none"/>
        </w:rPr>
      </w:pPr>
    </w:p>
    <w:p>
      <w:pPr>
        <w:pStyle w:val="2"/>
        <w:shd w:val="clear"/>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ind w:firstLine="0"/>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rPr>
          <w:rFonts w:hint="eastAsia" w:ascii="宋体" w:hAnsi="宋体" w:eastAsia="宋体"/>
          <w:color w:val="auto"/>
          <w:highlight w:val="none"/>
        </w:rPr>
      </w:pPr>
    </w:p>
    <w:p>
      <w:pPr>
        <w:pStyle w:val="2"/>
        <w:shd w:val="clear"/>
        <w:rPr>
          <w:rFonts w:ascii="宋体" w:hAnsi="宋体" w:eastAsia="宋体"/>
          <w:color w:val="auto"/>
          <w:highlight w:val="none"/>
        </w:rPr>
      </w:pPr>
    </w:p>
    <w:bookmarkEnd w:id="5"/>
    <w:p>
      <w:pPr>
        <w:pStyle w:val="4"/>
        <w:shd w:val="clear"/>
        <w:outlineLvl w:val="0"/>
        <w:rPr>
          <w:rFonts w:hint="eastAsia" w:ascii="宋体" w:eastAsia="宋体"/>
          <w:color w:val="auto"/>
          <w:highlight w:val="none"/>
        </w:rPr>
      </w:pPr>
      <w:r>
        <w:rPr>
          <w:rFonts w:hint="eastAsia" w:ascii="宋体" w:eastAsia="宋体"/>
          <w:color w:val="auto"/>
          <w:sz w:val="36"/>
          <w:highlight w:val="none"/>
        </w:rPr>
        <w:br w:type="page"/>
      </w:r>
      <w:bookmarkStart w:id="6" w:name="_Toc5531"/>
      <w:r>
        <w:rPr>
          <w:rFonts w:hint="eastAsia" w:ascii="宋体" w:eastAsia="宋体"/>
          <w:color w:val="auto"/>
          <w:sz w:val="36"/>
          <w:highlight w:val="none"/>
        </w:rPr>
        <w:t>第一章  投标人须知</w:t>
      </w:r>
      <w:bookmarkEnd w:id="6"/>
    </w:p>
    <w:p>
      <w:pPr>
        <w:shd w:val="clear"/>
        <w:outlineLvl w:val="1"/>
        <w:rPr>
          <w:rFonts w:hint="eastAsia" w:ascii="宋体" w:hAnsi="宋体" w:eastAsia="宋体"/>
          <w:b/>
          <w:bCs/>
          <w:color w:val="auto"/>
          <w:sz w:val="24"/>
          <w:highlight w:val="none"/>
        </w:rPr>
      </w:pPr>
      <w:bookmarkStart w:id="7" w:name="_Toc390"/>
      <w:bookmarkStart w:id="8" w:name="_Toc101777610"/>
      <w:bookmarkStart w:id="9" w:name="_Toc2886"/>
      <w:r>
        <w:rPr>
          <w:rFonts w:hint="eastAsia" w:ascii="黑体" w:hAnsi="黑体" w:eastAsia="黑体"/>
          <w:b/>
          <w:bCs/>
          <w:color w:val="auto"/>
          <w:sz w:val="32"/>
          <w:highlight w:val="none"/>
        </w:rPr>
        <w:t>一 投标人须知前附表</w:t>
      </w:r>
      <w:bookmarkEnd w:id="7"/>
      <w:bookmarkEnd w:id="8"/>
      <w:bookmarkEnd w:id="9"/>
    </w:p>
    <w:p>
      <w:pPr>
        <w:shd w:val="clear"/>
        <w:rPr>
          <w:rFonts w:hint="eastAsia" w:ascii="宋体" w:hAnsi="宋体" w:eastAsia="宋体"/>
          <w:b/>
          <w:bCs/>
          <w:color w:val="auto"/>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2113"/>
        <w:gridCol w:w="5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序号</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条款号</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内容</w:t>
            </w:r>
          </w:p>
        </w:tc>
        <w:tc>
          <w:tcPr>
            <w:tcW w:w="5450" w:type="dxa"/>
            <w:noWrap w:val="0"/>
            <w:vAlign w:val="center"/>
          </w:tcPr>
          <w:p>
            <w:pPr>
              <w:pStyle w:val="11"/>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定义</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r>
              <w:rPr>
                <w:rFonts w:hint="eastAsia" w:ascii="宋体" w:hAnsi="宋体" w:eastAsia="宋体"/>
                <w:color w:val="auto"/>
                <w:highlight w:val="none"/>
              </w:rPr>
              <w:t>招标人（即发包人）：</w:t>
            </w:r>
            <w:r>
              <w:rPr>
                <w:rFonts w:hint="eastAsia" w:ascii="宋体" w:hAnsi="宋体" w:eastAsia="宋体"/>
                <w:color w:val="auto"/>
                <w:highlight w:val="none"/>
                <w:u w:val="single"/>
              </w:rPr>
              <w:t>广州（清远）产业转移工业园财政投资项目管理中心</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u w:val="single"/>
              </w:rPr>
            </w:pPr>
            <w:r>
              <w:rPr>
                <w:rFonts w:hint="eastAsia" w:ascii="宋体" w:hAnsi="宋体" w:eastAsia="宋体"/>
                <w:color w:val="auto"/>
                <w:highlight w:val="none"/>
              </w:rPr>
              <w:t>招标代理：</w:t>
            </w:r>
            <w:r>
              <w:rPr>
                <w:rFonts w:hint="eastAsia" w:ascii="宋体" w:hAnsi="宋体" w:eastAsia="宋体"/>
                <w:color w:val="auto"/>
                <w:highlight w:val="none"/>
                <w:u w:val="single"/>
              </w:rPr>
              <w:t xml:space="preserve"> 安徽瑞邦工程造价有限公司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u w:val="single"/>
              </w:rPr>
            </w:pPr>
            <w:r>
              <w:rPr>
                <w:rFonts w:hint="eastAsia" w:ascii="宋体" w:hAnsi="宋体" w:eastAsia="宋体"/>
                <w:color w:val="auto"/>
                <w:highlight w:val="none"/>
              </w:rPr>
              <w:t>勘察</w:t>
            </w:r>
            <w:r>
              <w:rPr>
                <w:rFonts w:hint="eastAsia" w:ascii="宋体" w:hAnsi="宋体" w:eastAsia="宋体"/>
                <w:color w:val="auto"/>
                <w:highlight w:val="none"/>
                <w:lang w:val="en-US" w:eastAsia="zh-CN"/>
              </w:rPr>
              <w:t>单位</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设计单位：</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olor w:val="auto"/>
                <w:highlight w:val="none"/>
              </w:rPr>
              <w:t>监理单位：</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工程名称</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olor w:val="auto"/>
                <w:highlight w:val="none"/>
                <w:u w:val="none"/>
              </w:rPr>
              <w:t xml:space="preserve">广清产业园华清产业大道北侧收储地块新建纵路工程施工总承包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3</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建设地点</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eastAsia="宋体"/>
                <w:strike/>
                <w:color w:val="auto"/>
                <w:highlight w:val="none"/>
                <w:lang w:val="en-US" w:eastAsia="zh-CN"/>
              </w:rPr>
            </w:pPr>
            <w:r>
              <w:rPr>
                <w:rFonts w:hint="eastAsia" w:ascii="宋体" w:hAnsi="宋体" w:eastAsia="宋体"/>
                <w:color w:val="auto"/>
                <w:highlight w:val="none"/>
                <w:u w:val="none"/>
              </w:rPr>
              <w:t>广清产业园内</w:t>
            </w:r>
            <w:r>
              <w:rPr>
                <w:rFonts w:hint="eastAsia" w:ascii="宋体" w:hAnsi="宋体" w:eastAsia="宋体"/>
                <w:color w:val="auto"/>
                <w:highlight w:val="none"/>
                <w:u w:val="none"/>
                <w:lang w:val="en-US" w:eastAsia="zh-CN"/>
              </w:rPr>
              <w:t>华清产业大道北侧地块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4</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建设规模</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olor w:val="auto"/>
                <w:highlight w:val="none"/>
                <w:u w:val="none"/>
              </w:rPr>
              <w:t>道路全长1.635km，建设标准按照城市Ⅲ级次干道执行，红线宽度按30m宽控制。道路为双向4车道，计算行车速度40km/h；全线设置圆曲线储地2处。道路配套建设给水、雨水、污水、电力和通信等管线及绿化、交通安全等设施。具体以工程量清单及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5</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s="Times New Roman"/>
                <w:color w:val="auto"/>
                <w:highlight w:val="none"/>
              </w:rPr>
              <w:t>承包方式</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strike w:val="0"/>
                <w:color w:val="auto"/>
                <w:sz w:val="21"/>
                <w:highlight w:val="none"/>
              </w:rPr>
              <w:t>承包方式为工程施工总承包，包括但不限于包工、包料、包工期、包质量、包安全生产、包文明施工、包验收通过、包移交、包结算、包保修等，结算原则为工程量按实结算，综合单价包干，措施项目费包干（按广州（清远）产业转移工业园财政投资评审中心或其授权的审核单位审定的施工图预算综合单价及措施项目费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6</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质量标准</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宋体"/>
                <w:color w:val="auto"/>
                <w:sz w:val="21"/>
                <w:szCs w:val="21"/>
                <w:highlight w:val="none"/>
                <w:u w:val="none"/>
              </w:rPr>
              <w:t>符合国家（或地方）相关工程质量标准及工程施工验收规范，达到合格要求。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7</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招标范围</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u w:val="none"/>
              </w:rPr>
            </w:pPr>
            <w:r>
              <w:rPr>
                <w:rFonts w:hint="eastAsia" w:ascii="宋体" w:hAnsi="宋体" w:eastAsia="宋体" w:cs="宋体"/>
                <w:color w:val="auto"/>
                <w:sz w:val="21"/>
                <w:szCs w:val="21"/>
                <w:highlight w:val="none"/>
                <w:u w:val="none"/>
              </w:rPr>
              <w:t>工程量清单和施工图纸所包含的全部内容及工程保修期内的缺陷修复和质量保修工作。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8</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工期要求</w:t>
            </w:r>
          </w:p>
        </w:tc>
        <w:tc>
          <w:tcPr>
            <w:tcW w:w="5450" w:type="dxa"/>
            <w:noWrap w:val="0"/>
            <w:vAlign w:val="center"/>
          </w:tcPr>
          <w:p>
            <w:pPr>
              <w:pStyle w:val="2"/>
              <w:keepNext w:val="0"/>
              <w:keepLines w:val="0"/>
              <w:pageBreakBefore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日计划开工，施工总工期：</w:t>
            </w:r>
            <w:r>
              <w:rPr>
                <w:rFonts w:hint="eastAsia" w:ascii="宋体" w:hAnsi="宋体" w:eastAsia="宋体" w:cs="宋体"/>
                <w:color w:val="auto"/>
                <w:sz w:val="21"/>
                <w:szCs w:val="21"/>
                <w:highlight w:val="none"/>
                <w:u w:val="single"/>
                <w:lang w:val="en-US" w:eastAsia="zh-CN"/>
              </w:rPr>
              <w:t>420</w:t>
            </w:r>
            <w:r>
              <w:rPr>
                <w:rFonts w:hint="eastAsia" w:ascii="宋体" w:hAnsi="宋体" w:eastAsia="宋体" w:cs="宋体"/>
                <w:color w:val="auto"/>
                <w:sz w:val="21"/>
                <w:szCs w:val="21"/>
                <w:highlight w:val="none"/>
              </w:rPr>
              <w:t xml:space="preserve">日历天。 </w:t>
            </w:r>
          </w:p>
          <w:p>
            <w:pPr>
              <w:pStyle w:val="2"/>
              <w:keepNext w:val="0"/>
              <w:keepLines w:val="0"/>
              <w:pageBreakBefore w:val="0"/>
              <w:shd w:val="clear"/>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r>
              <w:rPr>
                <w:rFonts w:hint="eastAsia" w:ascii="宋体" w:hAnsi="宋体" w:eastAsia="宋体" w:cs="宋体"/>
                <w:color w:val="auto"/>
                <w:sz w:val="21"/>
                <w:szCs w:val="21"/>
                <w:highlight w:val="none"/>
              </w:rPr>
              <w:t>本工程正式签署合同时，施工工期按中标投标文件承诺工期</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9</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3</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资金来源</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财政出资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10</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4</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合格投标人的条件</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olor w:val="auto"/>
                <w:highlight w:val="none"/>
              </w:rPr>
              <w:t>详见本工程招标公告及投标人须知第4条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11</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资格审查方式</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电子化资格后审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12</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5.1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踏勘现场</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时间：自</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年</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月</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日起具备现场踏勘条件；</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方式：招标人不集中组织，由投标人自行踏勘；</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现场详细地点：广清产业园华清产业大道北侧地块</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Times New Roman"/>
                <w:color w:val="auto"/>
                <w:highlight w:val="none"/>
                <w:lang w:val="en-US" w:eastAsia="zh-CN"/>
              </w:rPr>
              <w:t>风险提示：投标人应根据自身情况自行组织现场踏勘，通过对现场及周围环境调查，充分了解项目位置、情况、本项目实际情况等与服务可能发生的一切费用等有关的全部情况，任何因忽视或误解项目情况而产生的风险自负。因踏勘现场产生的费用和风险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13</w:t>
            </w:r>
          </w:p>
        </w:tc>
        <w:tc>
          <w:tcPr>
            <w:tcW w:w="916" w:type="dxa"/>
            <w:vMerge w:val="restart"/>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7.5</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领取招标文件</w:t>
            </w:r>
          </w:p>
        </w:tc>
        <w:tc>
          <w:tcPr>
            <w:tcW w:w="5450" w:type="dxa"/>
            <w:noWrap w:val="0"/>
            <w:vAlign w:val="center"/>
          </w:tcPr>
          <w:p>
            <w:pPr>
              <w:pStyle w:val="11"/>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由投标人自行在</w:t>
            </w:r>
            <w:r>
              <w:rPr>
                <w:rFonts w:hint="eastAsia" w:ascii="宋体" w:hAnsi="宋体" w:eastAsia="宋体"/>
                <w:color w:val="auto"/>
                <w:highlight w:val="none"/>
                <w:lang w:eastAsia="zh-CN"/>
              </w:rPr>
              <w:t>广州公共资源交易中心网</w:t>
            </w:r>
            <w:r>
              <w:rPr>
                <w:rFonts w:hint="eastAsia" w:ascii="宋体" w:hAnsi="宋体" w:eastAsia="宋体"/>
                <w:color w:val="auto"/>
                <w:highlight w:val="none"/>
              </w:rPr>
              <w:t>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14</w:t>
            </w:r>
          </w:p>
        </w:tc>
        <w:tc>
          <w:tcPr>
            <w:tcW w:w="916" w:type="dxa"/>
            <w:vMerge w:val="continue"/>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招标控制价</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1、本项目招标控制价为人民币</w:t>
            </w:r>
            <w:r>
              <w:rPr>
                <w:rFonts w:hint="eastAsia" w:ascii="宋体" w:hAnsi="宋体" w:eastAsia="宋体" w:cs="宋体"/>
                <w:color w:val="auto"/>
                <w:sz w:val="21"/>
                <w:szCs w:val="21"/>
                <w:highlight w:val="none"/>
                <w:lang w:eastAsia="zh-CN"/>
              </w:rPr>
              <w:t>12411.33</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元。投标招标控制价仅作为投标限价，不作为最终合同价款结算的依据，本工程最终结算以广州（清远）产业转移工业园财政投资评审中心或其授权委托单位审核为准。</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none"/>
              </w:rPr>
              <w:t>本次投标报价采用</w:t>
            </w:r>
            <w:r>
              <w:rPr>
                <w:rFonts w:hint="eastAsia" w:ascii="宋体" w:hAnsi="宋体" w:eastAsia="宋体" w:cs="宋体"/>
                <w:color w:val="auto"/>
                <w:sz w:val="21"/>
                <w:szCs w:val="21"/>
                <w:highlight w:val="none"/>
                <w:u w:val="single"/>
              </w:rPr>
              <w:t>下浮率方式+投标总报价金额方式</w:t>
            </w:r>
            <w:r>
              <w:rPr>
                <w:rFonts w:hint="eastAsia" w:ascii="宋体" w:hAnsi="宋体" w:eastAsia="宋体" w:cs="宋体"/>
                <w:color w:val="auto"/>
                <w:sz w:val="21"/>
                <w:szCs w:val="21"/>
                <w:highlight w:val="none"/>
                <w:u w:val="none"/>
              </w:rPr>
              <w:t>报价，最终</w:t>
            </w:r>
            <w:r>
              <w:rPr>
                <w:rFonts w:hint="eastAsia" w:ascii="宋体" w:hAnsi="宋体" w:eastAsia="宋体" w:cs="宋体"/>
                <w:color w:val="auto"/>
                <w:sz w:val="21"/>
                <w:szCs w:val="21"/>
                <w:highlight w:val="none"/>
                <w:u w:val="none"/>
                <w:lang w:val="en-US" w:eastAsia="zh-CN"/>
              </w:rPr>
              <w:t>结算价以财政部门最终评审结果为准</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rPr>
              <w:t>下浮率</w:t>
            </w:r>
            <w:r>
              <w:rPr>
                <w:rFonts w:hint="eastAsia" w:ascii="宋体" w:hAnsi="宋体" w:eastAsia="宋体" w:cs="宋体"/>
                <w:color w:val="auto"/>
                <w:sz w:val="21"/>
                <w:szCs w:val="21"/>
                <w:highlight w:val="none"/>
                <w:u w:val="none"/>
                <w:lang w:eastAsia="zh-CN"/>
              </w:rPr>
              <w:t>不得低于</w:t>
            </w:r>
            <w:r>
              <w:rPr>
                <w:rFonts w:hint="eastAsia" w:ascii="宋体" w:hAnsi="宋体" w:eastAsia="宋体" w:cs="宋体"/>
                <w:color w:val="auto"/>
                <w:sz w:val="21"/>
                <w:szCs w:val="21"/>
                <w:highlight w:val="none"/>
                <w:u w:val="none"/>
                <w:lang w:val="en-US" w:eastAsia="zh-CN"/>
              </w:rPr>
              <w:t>3.00%</w:t>
            </w:r>
            <w:r>
              <w:rPr>
                <w:rFonts w:hint="eastAsia" w:ascii="宋体" w:hAnsi="宋体" w:eastAsia="宋体" w:cs="宋体"/>
                <w:color w:val="auto"/>
                <w:sz w:val="21"/>
                <w:szCs w:val="21"/>
                <w:highlight w:val="none"/>
                <w:u w:val="none"/>
              </w:rPr>
              <w:t>，精确到小数点后2位，任何一个投标人只能报一个投标报价下浮率，超出范围报价无效。</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Cs w:val="21"/>
                <w:highlight w:val="none"/>
              </w:rPr>
              <w:t>如报价下浮率</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10%</w:t>
            </w:r>
            <w:r>
              <w:rPr>
                <w:rFonts w:hint="eastAsia" w:ascii="宋体" w:hAnsi="宋体" w:eastAsia="宋体" w:cs="宋体"/>
                <w:color w:val="auto"/>
                <w:szCs w:val="21"/>
                <w:highlight w:val="none"/>
              </w:rPr>
              <w:t>，投标人必须提供详细的施工组织设计、单价、措施性费用、单价分析表、主要材料价格表、投标人成本分析供评标委员会评审，由评标委员会判定其是否低于企业自身成本。在评标过程中，评标委员会发现投标人的报价下浮率明显高于其他投标报价下浮率，使得其投标报价可能低于其个别成本的，应当要求该投标人作出书面说明并提供相关证明材料。投标人不能合理说明或者提供的相关证明材料不充分，不能被评标委员会认可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15</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8.1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招标答疑</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r>
              <w:rPr>
                <w:rFonts w:hint="eastAsia" w:ascii="宋体" w:hAnsi="宋体" w:eastAsia="宋体"/>
                <w:color w:val="auto"/>
                <w:highlight w:val="none"/>
              </w:rPr>
              <w:t>1.方式：网上答疑：</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 xml:space="preserve">2.投标人质疑期限：投标截止时间 </w:t>
            </w:r>
            <w:r>
              <w:rPr>
                <w:rFonts w:hint="eastAsia" w:ascii="宋体" w:hAnsi="宋体" w:eastAsia="宋体"/>
                <w:color w:val="auto"/>
                <w:highlight w:val="none"/>
                <w:u w:val="single"/>
              </w:rPr>
              <w:t xml:space="preserve"> 10 </w:t>
            </w:r>
            <w:r>
              <w:rPr>
                <w:rFonts w:hint="eastAsia" w:ascii="宋体" w:hAnsi="宋体" w:eastAsia="宋体"/>
                <w:color w:val="auto"/>
                <w:highlight w:val="none"/>
              </w:rPr>
              <w:t xml:space="preserve"> 日前</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 xml:space="preserve">3.招标人答疑期限：投标截止时间 </w:t>
            </w:r>
            <w:r>
              <w:rPr>
                <w:rFonts w:hint="eastAsia" w:ascii="宋体" w:hAnsi="宋体" w:eastAsia="宋体"/>
                <w:color w:val="auto"/>
                <w:highlight w:val="none"/>
                <w:u w:val="single"/>
              </w:rPr>
              <w:t xml:space="preserve">  7 </w:t>
            </w:r>
            <w:r>
              <w:rPr>
                <w:rFonts w:hint="eastAsia" w:ascii="宋体" w:hAnsi="宋体" w:eastAsia="宋体"/>
                <w:color w:val="auto"/>
                <w:highlight w:val="none"/>
              </w:rPr>
              <w:t xml:space="preserve"> 日前</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4.</w:t>
            </w:r>
            <w:r>
              <w:rPr>
                <w:rFonts w:hint="eastAsia" w:ascii="宋体" w:hAnsi="宋体" w:eastAsia="宋体" w:cs="宋体"/>
                <w:color w:val="auto"/>
                <w:sz w:val="21"/>
                <w:szCs w:val="21"/>
                <w:highlight w:val="none"/>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16</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11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构成投标文件的其他材料</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lang w:eastAsia="zh-CN"/>
              </w:rPr>
            </w:pPr>
            <w:r>
              <w:rPr>
                <w:rFonts w:hint="eastAsia" w:ascii="宋体" w:hAnsi="宋体" w:eastAsia="宋体"/>
                <w:color w:val="auto"/>
                <w:highlight w:val="none"/>
              </w:rPr>
              <w:t xml:space="preserve">  </w:t>
            </w:r>
            <w:r>
              <w:rPr>
                <w:rFonts w:hint="eastAsia" w:ascii="宋体" w:hAnsi="宋体" w:eastAsia="宋体"/>
                <w:color w:val="auto"/>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17</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13.1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报价以及单价和总价计算方式</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val="0"/>
                <w:color w:val="auto"/>
                <w:sz w:val="21"/>
                <w:highlight w:val="none"/>
              </w:rPr>
            </w:pPr>
            <w:r>
              <w:rPr>
                <w:rFonts w:hint="eastAsia" w:ascii="宋体" w:hAnsi="宋体" w:eastAsia="宋体"/>
                <w:strike w:val="0"/>
                <w:color w:val="auto"/>
                <w:sz w:val="21"/>
                <w:highlight w:val="none"/>
              </w:rPr>
              <w:t>1.本次投标报价采用</w:t>
            </w:r>
            <w:r>
              <w:rPr>
                <w:rFonts w:hint="eastAsia" w:ascii="宋体" w:hAnsi="宋体" w:eastAsia="宋体"/>
                <w:strike w:val="0"/>
                <w:color w:val="auto"/>
                <w:sz w:val="21"/>
                <w:highlight w:val="none"/>
                <w:u w:val="single"/>
              </w:rPr>
              <w:t>下浮率+投标总报价金额方式</w:t>
            </w:r>
            <w:r>
              <w:rPr>
                <w:rFonts w:hint="eastAsia" w:ascii="宋体" w:hAnsi="宋体" w:eastAsia="宋体"/>
                <w:strike w:val="0"/>
                <w:color w:val="auto"/>
                <w:sz w:val="21"/>
                <w:highlight w:val="none"/>
              </w:rPr>
              <w:t>报价；</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val="0"/>
                <w:color w:val="auto"/>
                <w:sz w:val="21"/>
                <w:highlight w:val="none"/>
              </w:rPr>
            </w:pPr>
            <w:r>
              <w:rPr>
                <w:rFonts w:hint="eastAsia" w:ascii="宋体" w:hAnsi="宋体" w:eastAsia="宋体"/>
                <w:strike w:val="0"/>
                <w:color w:val="auto"/>
                <w:sz w:val="21"/>
                <w:highlight w:val="none"/>
              </w:rPr>
              <w:t>注：投标总报价=招标控制价×（1-下浮率）</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val="0"/>
                <w:color w:val="auto"/>
                <w:sz w:val="21"/>
                <w:highlight w:val="none"/>
              </w:rPr>
            </w:pPr>
            <w:r>
              <w:rPr>
                <w:rFonts w:hint="eastAsia" w:ascii="宋体" w:hAnsi="宋体" w:eastAsia="宋体"/>
                <w:strike w:val="0"/>
                <w:color w:val="auto"/>
                <w:sz w:val="21"/>
                <w:highlight w:val="none"/>
              </w:rPr>
              <w:t>投标报价保留两位小数。</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val="0"/>
                <w:color w:val="auto"/>
                <w:sz w:val="21"/>
                <w:highlight w:val="none"/>
              </w:rPr>
            </w:pPr>
            <w:r>
              <w:rPr>
                <w:rFonts w:hint="eastAsia" w:ascii="宋体" w:hAnsi="宋体" w:eastAsia="宋体"/>
                <w:strike w:val="0"/>
                <w:color w:val="auto"/>
                <w:sz w:val="21"/>
                <w:highlight w:val="none"/>
              </w:rPr>
              <w:t>投标总报价金额仅用于计算</w:t>
            </w:r>
            <w:r>
              <w:rPr>
                <w:rFonts w:hint="eastAsia" w:ascii="宋体" w:hAnsi="宋体" w:eastAsia="宋体"/>
                <w:strike w:val="0"/>
                <w:color w:val="auto"/>
                <w:sz w:val="21"/>
                <w:highlight w:val="none"/>
                <w:lang w:val="en-US" w:eastAsia="zh-CN"/>
              </w:rPr>
              <w:t>报价</w:t>
            </w:r>
            <w:r>
              <w:rPr>
                <w:rFonts w:hint="eastAsia" w:ascii="宋体" w:hAnsi="宋体" w:eastAsia="宋体"/>
                <w:strike w:val="0"/>
                <w:color w:val="auto"/>
                <w:sz w:val="21"/>
                <w:highlight w:val="none"/>
              </w:rPr>
              <w:t>得分。</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strike w:val="0"/>
                <w:color w:val="auto"/>
                <w:sz w:val="21"/>
                <w:highlight w:val="none"/>
              </w:rPr>
              <w:t>2.最终结算单价以广州（清远）产业转移工业园财政投资评审中心或其授权的审核单位审定的施工图预算综合单价包干计算，最终结算总价以广州（清远）产业转移工业园财政投资评审中心或其授权的审核单位审定的价格乘以（1-中标下浮率）计算。如遇审计部门审计，本工程最终结算价款以审计部门的审计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18</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13.4、</w:t>
            </w:r>
            <w:r>
              <w:rPr>
                <w:rFonts w:hint="eastAsia" w:ascii="宋体" w:hAnsi="宋体" w:eastAsia="宋体"/>
                <w:color w:val="auto"/>
                <w:highlight w:val="none"/>
                <w:lang w:val="en-US" w:eastAsia="zh-CN"/>
              </w:rPr>
              <w:t>13.5、</w:t>
            </w:r>
            <w:r>
              <w:rPr>
                <w:rFonts w:hint="eastAsia" w:ascii="宋体" w:hAnsi="宋体" w:eastAsia="宋体"/>
                <w:color w:val="auto"/>
                <w:highlight w:val="none"/>
              </w:rPr>
              <w:t>13.5.2</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合同价款的调整办法</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 xml:space="preserve"> </w:t>
            </w:r>
            <w:r>
              <w:rPr>
                <w:rFonts w:hint="eastAsia" w:ascii="宋体" w:hAnsi="宋体" w:eastAsia="宋体"/>
                <w:color w:val="auto"/>
                <w:highlight w:val="none"/>
                <w:u w:val="single"/>
                <w:lang w:val="en-US" w:eastAsia="zh-CN"/>
              </w:rPr>
              <w:t>以合同签署的为准。</w:t>
            </w:r>
            <w:r>
              <w:rPr>
                <w:rFonts w:hint="eastAsia" w:ascii="宋体" w:hAnsi="宋体" w:eastAsia="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19</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15.1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投标有效期</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strike/>
                <w:color w:val="auto"/>
                <w:highlight w:val="none"/>
              </w:rPr>
            </w:pP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90 </w:t>
            </w:r>
            <w:r>
              <w:rPr>
                <w:rFonts w:hint="eastAsia" w:ascii="宋体" w:hAnsi="宋体" w:eastAsia="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20</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16</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投标保证金</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不要求提交</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rPr>
              <w:t>要求提交</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金额</w:t>
            </w:r>
            <w:r>
              <w:rPr>
                <w:rFonts w:hint="eastAsia" w:ascii="宋体" w:hAnsi="宋体" w:eastAsia="宋体" w:cs="宋体"/>
                <w:highlight w:val="none"/>
                <w:u w:val="single"/>
                <w:lang w:val="en-US" w:eastAsia="zh-CN"/>
              </w:rPr>
              <w:t xml:space="preserve"> 100000 </w:t>
            </w:r>
            <w:r>
              <w:rPr>
                <w:rFonts w:hint="eastAsia" w:ascii="宋体" w:hAnsi="宋体" w:eastAsia="宋体" w:cs="宋体"/>
                <w:highlight w:val="none"/>
                <w:lang w:val="en-US" w:eastAsia="zh-CN"/>
              </w:rPr>
              <w:t>元</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eastAsia="zh-CN"/>
              </w:rPr>
              <w:t>投标保证金不得超过招标项目估算价的2%，但最高不得超过五十万元人民币，</w:t>
            </w:r>
            <w:r>
              <w:rPr>
                <w:rFonts w:hint="eastAsia" w:ascii="宋体" w:hAnsi="宋体" w:eastAsia="宋体" w:cs="宋体"/>
                <w:highlight w:val="none"/>
              </w:rPr>
              <w:t>投标保证金有效期应当与投标有效期一致）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投标保证金可采用现金或者支票、银行保函（含电子保函）、保证保险、专业担保公司担保等的形式，须在递交投标文件截止时间前完成缴纳。</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投标人需在交易系统中将汇入投标保证金与投标项目进行绑定，绑定成功后才能被认定为完成缴交投标保证金义务。</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收款单位：广州交易集团有限公司</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开户银行：中国建设银行广州天润路支行</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银行账号：44001583404059333333；</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2、如采用非电子形式的投标保函或投标保证保险或专业担保公司担保提交投标保证金的，在开标前不强制要求投标人提交纸质原件，由中标候选人在中标候选人公示前提交并在网上公示，但投标人应在投标文件中提交投标保函或投标保证保险扫描件并加盖投标人印章。银行保函或专业担保公司担保需开具给招标人，银行保函或专业担保公司担保有效期不少于投标有效期。保证保险需开具给招标人（受益人也必须是招标人），保证保险有效期不少于投标有效期。</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3、采用电子形式的保函、担保或保证保险提交投标保证金的，按广州公共资源交易中心发布的《广州公共资源交易中心关于开通电子保函服务功能的通知》操作。详见：http://ggzy.gz.gov.cn/zxgg/822128.jhtml。到账情况以开标时广州公共资源交易中心数据库查询信息为准。</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4、投标保证金的相关事宜详见投标人须知通用条款第16条。</w:t>
            </w:r>
          </w:p>
          <w:p>
            <w:pPr>
              <w:pStyle w:val="2"/>
              <w:shd w:val="clea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5.其他：</w:t>
            </w:r>
          </w:p>
          <w:p>
            <w:pPr>
              <w:pStyle w:val="2"/>
              <w:shd w:val="clea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符合下列情形之一的投标人，予以□免缴☑减半缴纳投标保证金。</w:t>
            </w:r>
          </w:p>
          <w:p>
            <w:pPr>
              <w:pStyle w:val="2"/>
              <w:shd w:val="clea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w:t>
            </w:r>
            <w:r>
              <w:rPr>
                <w:rFonts w:hint="eastAsia" w:ascii="宋体" w:hAnsi="宋体" w:eastAsia="宋体" w:cs="宋体"/>
                <w:color w:val="auto"/>
                <w:highlight w:val="none"/>
              </w:rPr>
              <w:t>在法定媒介发布招标公告之日仍属于</w:t>
            </w:r>
            <w:r>
              <w:rPr>
                <w:rFonts w:hint="eastAsia" w:ascii="宋体" w:hAnsi="宋体" w:eastAsia="宋体" w:cs="宋体"/>
                <w:color w:val="auto"/>
                <w:highlight w:val="none"/>
                <w:lang w:val="en-US" w:eastAsia="zh-CN"/>
              </w:rPr>
              <w:t>清远市住房和城乡建设局</w:t>
            </w:r>
            <w:r>
              <w:rPr>
                <w:rFonts w:hint="eastAsia" w:ascii="宋体" w:hAnsi="宋体" w:eastAsia="宋体" w:cs="宋体"/>
                <w:color w:val="auto"/>
                <w:highlight w:val="none"/>
              </w:rPr>
              <w:t>公布的清远市建筑业龙头企业名录内</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企业，</w:t>
            </w:r>
            <w:r>
              <w:rPr>
                <w:rFonts w:hint="eastAsia" w:ascii="宋体" w:hAnsi="宋体" w:eastAsia="宋体" w:cs="宋体"/>
                <w:color w:val="auto"/>
                <w:highlight w:val="none"/>
                <w:lang w:val="en-US" w:eastAsia="zh-CN"/>
              </w:rPr>
              <w:t>或联合体成员中包括</w:t>
            </w:r>
            <w:r>
              <w:rPr>
                <w:rFonts w:hint="eastAsia" w:ascii="宋体" w:hAnsi="宋体" w:eastAsia="宋体" w:cs="宋体"/>
                <w:color w:val="auto"/>
                <w:highlight w:val="none"/>
              </w:rPr>
              <w:t>清远市建筑业龙头企业名录内</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企业</w:t>
            </w:r>
            <w:r>
              <w:rPr>
                <w:rFonts w:hint="eastAsia" w:ascii="宋体" w:hAnsi="宋体" w:eastAsia="宋体" w:cs="宋体"/>
                <w:color w:val="auto"/>
                <w:highlight w:val="none"/>
                <w:lang w:val="en-US" w:eastAsia="zh-CN"/>
              </w:rPr>
              <w:t>的；</w:t>
            </w:r>
          </w:p>
          <w:p>
            <w:pPr>
              <w:pStyle w:val="2"/>
              <w:shd w:val="clear"/>
              <w:ind w:left="0" w:leftChars="0" w:firstLine="0" w:firstLineChars="0"/>
              <w:rPr>
                <w:rFonts w:hint="default"/>
                <w:highlight w:val="none"/>
                <w:lang w:val="en-US" w:eastAsia="zh-CN"/>
              </w:rPr>
            </w:pPr>
            <w:r>
              <w:rPr>
                <w:rFonts w:hint="eastAsia" w:ascii="宋体" w:hAnsi="宋体" w:eastAsia="宋体" w:cs="宋体"/>
                <w:color w:val="auto"/>
                <w:highlight w:val="none"/>
                <w:lang w:val="en-US" w:eastAsia="zh-CN"/>
              </w:rPr>
              <w:t>b.其他情形：</w:t>
            </w:r>
            <w:r>
              <w:rPr>
                <w:rFonts w:hint="eastAsia" w:ascii="宋体" w:hAnsi="宋体" w:eastAsia="宋体" w:cs="宋体"/>
                <w:color w:val="auto"/>
                <w:highlight w:val="none"/>
                <w:u w:val="single"/>
                <w:lang w:val="en-US" w:eastAsia="zh-CN"/>
              </w:rPr>
              <w:t xml:space="preserve">            /              </w:t>
            </w:r>
            <w:r>
              <w:rPr>
                <w:rFonts w:hint="eastAsia" w:ascii="宋体" w:hAnsi="宋体" w:eastAsia="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21</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17.1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投标文件份数</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仿宋_GB2312"/>
                <w:color w:val="auto"/>
                <w:highlight w:val="none"/>
              </w:rPr>
              <w:t>电子投标文件1套。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22</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19.1</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20.1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递交投标文件</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的时间和地点</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r>
              <w:rPr>
                <w:rFonts w:ascii="宋体" w:hAnsi="宋体" w:eastAsia="宋体" w:cs="仿宋_GB2312"/>
                <w:color w:val="auto"/>
                <w:highlight w:val="none"/>
              </w:rPr>
              <w:t>1.</w:t>
            </w:r>
            <w:r>
              <w:rPr>
                <w:rFonts w:hint="eastAsia" w:ascii="宋体" w:hAnsi="宋体" w:eastAsia="宋体" w:cs="仿宋_GB2312"/>
                <w:color w:val="auto"/>
                <w:highlight w:val="none"/>
              </w:rPr>
              <w:t>递交方式：网上递交投标文件</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r>
              <w:rPr>
                <w:rFonts w:ascii="宋体" w:hAnsi="宋体" w:eastAsia="宋体" w:cs="仿宋_GB2312"/>
                <w:color w:val="auto"/>
                <w:highlight w:val="none"/>
              </w:rPr>
              <w:t>2.</w:t>
            </w:r>
            <w:r>
              <w:rPr>
                <w:rFonts w:hint="eastAsia" w:ascii="宋体" w:hAnsi="宋体" w:eastAsia="宋体" w:cs="仿宋_GB2312"/>
                <w:color w:val="auto"/>
                <w:highlight w:val="none"/>
              </w:rPr>
              <w:t>递交投标文件的截止时间：</w:t>
            </w:r>
            <w:r>
              <w:rPr>
                <w:rFonts w:hint="eastAsia" w:ascii="宋体" w:hAnsi="宋体" w:eastAsia="宋体" w:cs="仿宋_GB2312"/>
                <w:color w:val="auto"/>
                <w:highlight w:val="none"/>
                <w:u w:val="single"/>
                <w:lang w:val="en-US" w:eastAsia="zh-CN"/>
              </w:rPr>
              <w:t>2023</w:t>
            </w:r>
            <w:r>
              <w:rPr>
                <w:rFonts w:hint="eastAsia" w:ascii="宋体" w:hAnsi="宋体" w:eastAsia="宋体" w:cs="仿宋_GB2312"/>
                <w:color w:val="auto"/>
                <w:highlight w:val="none"/>
              </w:rPr>
              <w:t>年</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u w:val="single"/>
                <w:lang w:val="en-US" w:eastAsia="zh-CN"/>
              </w:rPr>
              <w:t xml:space="preserve"> </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月</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u w:val="single"/>
              </w:rPr>
              <w:t xml:space="preserve"> </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日</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rPr>
              <w:t>时</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u w:val="single"/>
              </w:rPr>
              <w:t xml:space="preserve"> </w:t>
            </w:r>
            <w:r>
              <w:rPr>
                <w:rFonts w:ascii="宋体" w:hAnsi="宋体" w:eastAsia="宋体" w:cs="仿宋_GB2312"/>
                <w:color w:val="auto"/>
                <w:highlight w:val="none"/>
                <w:u w:val="single"/>
              </w:rPr>
              <w:t xml:space="preserve">  </w:t>
            </w:r>
            <w:r>
              <w:rPr>
                <w:rFonts w:hint="eastAsia" w:ascii="宋体" w:hAnsi="宋体" w:eastAsia="宋体" w:cs="仿宋_GB2312"/>
                <w:color w:val="auto"/>
                <w:highlight w:val="none"/>
              </w:rPr>
              <w:t>分。</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r>
              <w:rPr>
                <w:rFonts w:hint="eastAsia" w:ascii="宋体" w:hAnsi="宋体" w:eastAsia="宋体" w:cs="仿宋_GB2312"/>
                <w:color w:val="auto"/>
                <w:highlight w:val="none"/>
              </w:rPr>
              <w:t>3</w:t>
            </w:r>
            <w:r>
              <w:rPr>
                <w:rFonts w:ascii="宋体" w:hAnsi="宋体" w:eastAsia="宋体" w:cs="仿宋_GB2312"/>
                <w:color w:val="auto"/>
                <w:highlight w:val="none"/>
              </w:rPr>
              <w:t>.</w:t>
            </w:r>
            <w:r>
              <w:rPr>
                <w:rFonts w:hint="eastAsia" w:ascii="宋体" w:hAnsi="宋体" w:eastAsia="宋体" w:cs="仿宋_GB2312"/>
                <w:color w:val="auto"/>
                <w:highlight w:val="none"/>
              </w:rPr>
              <w:t>地点：</w:t>
            </w:r>
            <w:r>
              <w:rPr>
                <w:rFonts w:hint="eastAsia" w:ascii="宋体" w:hAnsi="宋体" w:eastAsia="宋体" w:cs="仿宋_GB2312"/>
                <w:color w:val="auto"/>
                <w:highlight w:val="none"/>
                <w:lang w:eastAsia="zh-CN"/>
              </w:rPr>
              <w:t>广州公共资源交易中心网</w:t>
            </w:r>
            <w:r>
              <w:rPr>
                <w:rFonts w:hint="eastAsia" w:ascii="宋体" w:hAnsi="宋体" w:eastAsia="宋体" w:cs="仿宋_GB2312"/>
                <w:color w:val="auto"/>
                <w:highlight w:val="none"/>
              </w:rPr>
              <w:t>。</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仿宋_GB2312"/>
                <w:color w:val="auto"/>
                <w:highlight w:val="none"/>
              </w:rPr>
              <w:t>4</w:t>
            </w:r>
            <w:r>
              <w:rPr>
                <w:rFonts w:ascii="宋体" w:hAnsi="宋体" w:eastAsia="宋体" w:cs="仿宋_GB2312"/>
                <w:color w:val="auto"/>
                <w:highlight w:val="none"/>
              </w:rPr>
              <w:t>.</w:t>
            </w:r>
            <w:r>
              <w:rPr>
                <w:rFonts w:hint="eastAsia" w:ascii="宋体" w:hAnsi="宋体" w:eastAsia="宋体" w:cs="仿宋_GB2312"/>
                <w:color w:val="auto"/>
                <w:highlight w:val="none"/>
              </w:rPr>
              <w:t>上述时间及地点是否有改变，请密切留意</w:t>
            </w:r>
            <w:r>
              <w:rPr>
                <w:rFonts w:hint="eastAsia" w:ascii="宋体" w:hAnsi="宋体" w:eastAsia="宋体" w:cs="仿宋_GB2312"/>
                <w:color w:val="auto"/>
                <w:highlight w:val="none"/>
                <w:u w:val="single"/>
              </w:rPr>
              <w:t>广州公共资源交易中心</w:t>
            </w:r>
            <w:r>
              <w:rPr>
                <w:rFonts w:hint="eastAsia" w:ascii="宋体" w:hAnsi="宋体" w:eastAsia="宋体" w:cs="仿宋_GB2312"/>
                <w:color w:val="auto"/>
                <w:highlight w:val="none"/>
                <w:u w:val="single"/>
                <w:lang w:val="en-US" w:eastAsia="zh-CN"/>
              </w:rPr>
              <w:t>网</w:t>
            </w:r>
            <w:r>
              <w:rPr>
                <w:rFonts w:hint="eastAsia" w:ascii="宋体" w:hAnsi="宋体" w:eastAsia="宋体" w:cs="仿宋_GB2312"/>
                <w:color w:val="auto"/>
                <w:highlight w:val="none"/>
                <w:u w:val="single"/>
              </w:rPr>
              <w:t>—交易活动日程安排时间、地点。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23</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25.1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开标开始时间和地点</w:t>
            </w:r>
          </w:p>
        </w:tc>
        <w:tc>
          <w:tcPr>
            <w:tcW w:w="5450" w:type="dxa"/>
            <w:noWrap w:val="0"/>
            <w:vAlign w:val="center"/>
          </w:tcPr>
          <w:p>
            <w:pPr>
              <w:shd w:val="clea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1、开标开始时间：</w:t>
            </w:r>
            <w:r>
              <w:rPr>
                <w:rFonts w:hint="eastAsia" w:ascii="宋体" w:hAnsi="宋体" w:eastAsia="宋体" w:cs="宋体"/>
                <w:color w:val="auto"/>
                <w:sz w:val="21"/>
                <w:szCs w:val="21"/>
                <w:highlight w:val="none"/>
                <w:u w:val="single"/>
              </w:rPr>
              <w:t>具体以广州公共资源交易中心—交易活动日程安排时间为准</w:t>
            </w:r>
            <w:r>
              <w:rPr>
                <w:rFonts w:hint="eastAsia" w:ascii="宋体" w:hAnsi="宋体" w:eastAsia="宋体" w:cs="宋体"/>
                <w:color w:val="auto"/>
                <w:sz w:val="21"/>
                <w:szCs w:val="21"/>
                <w:highlight w:val="none"/>
              </w:rPr>
              <w:t>。（与投标截止时间为同一时间），地点：</w:t>
            </w:r>
            <w:r>
              <w:rPr>
                <w:rFonts w:hint="eastAsia" w:ascii="宋体" w:hAnsi="宋体" w:eastAsia="宋体" w:cs="宋体"/>
                <w:color w:val="auto"/>
                <w:sz w:val="21"/>
                <w:szCs w:val="21"/>
                <w:highlight w:val="none"/>
                <w:u w:val="single"/>
              </w:rPr>
              <w:t>具体以广州公共资源交易中心—交易活动日程安排时间、地点为准</w:t>
            </w:r>
            <w:r>
              <w:rPr>
                <w:rFonts w:hint="eastAsia" w:ascii="宋体" w:hAnsi="宋体" w:eastAsia="宋体" w:cs="宋体"/>
                <w:color w:val="auto"/>
                <w:sz w:val="21"/>
                <w:szCs w:val="21"/>
                <w:highlight w:val="none"/>
              </w:rPr>
              <w:t>。</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注：投标文件解密问题。投标人只用执行一次解密，招标人执行解密次数根据招标文件开标次数确定。</w:t>
            </w:r>
          </w:p>
          <w:p>
            <w:pPr>
              <w:numPr>
                <w:ilvl w:val="0"/>
                <w:numId w:val="1"/>
              </w:num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本项目不设置项目负责人签到。</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宋体"/>
                <w:color w:val="auto"/>
                <w:sz w:val="21"/>
                <w:szCs w:val="21"/>
                <w:highlight w:val="none"/>
              </w:rPr>
              <w:t>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24</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评标委员会组成</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由招标人依法组建评标委员会。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25</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评标办法</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 xml:space="preserve">□“信用+报价”评估法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 xml:space="preserve">□“资信+报价”评估法   </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lang w:eastAsia="zh-CN"/>
              </w:rPr>
              <w:t>☑</w:t>
            </w:r>
            <w:r>
              <w:rPr>
                <w:rFonts w:hint="eastAsia" w:ascii="宋体" w:hAnsi="宋体" w:eastAsia="宋体"/>
                <w:color w:val="auto"/>
                <w:highlight w:val="none"/>
              </w:rPr>
              <w:t xml:space="preserve">“技术+资信+报价”评估法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26</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31.1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r>
              <w:rPr>
                <w:rFonts w:hint="eastAsia" w:ascii="宋体" w:hAnsi="宋体" w:eastAsia="宋体"/>
                <w:color w:val="auto"/>
                <w:highlight w:val="none"/>
              </w:rPr>
              <w:t>履约担保</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  履约保证金的形式：履约保证金的形式：现金或银行保函或第三方担保机构出具的履约保证金函或建设工程履约保证保险；</w:t>
            </w:r>
          </w:p>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履约保证金的金额：</w:t>
            </w:r>
            <w:r>
              <w:rPr>
                <w:rFonts w:hint="eastAsia" w:ascii="宋体" w:hAnsi="宋体" w:eastAsia="宋体" w:cs="宋体"/>
                <w:color w:val="auto"/>
                <w:sz w:val="21"/>
                <w:szCs w:val="21"/>
                <w:highlight w:val="none"/>
                <w:u w:val="single"/>
              </w:rPr>
              <w:t xml:space="preserve">  合同金额的10% </w:t>
            </w:r>
            <w:r>
              <w:rPr>
                <w:rFonts w:hint="eastAsia" w:ascii="宋体" w:hAnsi="宋体" w:eastAsia="宋体" w:cs="宋体"/>
                <w:color w:val="auto"/>
                <w:sz w:val="21"/>
                <w:szCs w:val="21"/>
                <w:highlight w:val="none"/>
              </w:rPr>
              <w:t>。（招标文件要求中标人提交履约保证金的，中标人应当按照招标文件的要求提交，履约保证金不得超过中标合同金额的10%）</w:t>
            </w:r>
          </w:p>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投标人在收到中标通知书后，须在</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日内向招标人足额提交履约保证金，否则招标人可以取消其中标资格。</w:t>
            </w:r>
          </w:p>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采用现金方式的应汇入以下账户：开户银行  </w:t>
            </w:r>
          </w:p>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其它：□免缴☑减半缴纳履约担保情形：符合下列情形之一的投标人，予以□免缴☑减半缴纳履约担保。</w:t>
            </w:r>
          </w:p>
          <w:p>
            <w:pPr>
              <w:keepNext w:val="0"/>
              <w:keepLines w:val="0"/>
              <w:pageBreakBefore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在法定媒介发布招标公告之日仍属于</w:t>
            </w:r>
            <w:r>
              <w:rPr>
                <w:rFonts w:hint="eastAsia" w:ascii="宋体" w:hAnsi="宋体" w:eastAsia="宋体" w:cs="宋体"/>
                <w:color w:val="auto"/>
                <w:szCs w:val="21"/>
                <w:highlight w:val="none"/>
                <w:lang w:val="en-US" w:eastAsia="zh-CN"/>
              </w:rPr>
              <w:t>清远市住房和城乡建设局</w:t>
            </w:r>
            <w:r>
              <w:rPr>
                <w:rFonts w:hint="eastAsia" w:ascii="宋体" w:hAnsi="宋体" w:eastAsia="宋体" w:cs="宋体"/>
                <w:color w:val="auto"/>
                <w:szCs w:val="21"/>
                <w:highlight w:val="none"/>
              </w:rPr>
              <w:t>公布的清远市建筑业龙头企业名录内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企业，</w:t>
            </w:r>
            <w:r>
              <w:rPr>
                <w:rFonts w:hint="eastAsia" w:ascii="宋体" w:hAnsi="宋体" w:eastAsia="宋体" w:cs="宋体"/>
                <w:color w:val="auto"/>
                <w:szCs w:val="21"/>
                <w:highlight w:val="none"/>
                <w:lang w:val="en-US" w:eastAsia="zh-CN"/>
              </w:rPr>
              <w:t>或联合体成员中包括</w:t>
            </w:r>
            <w:r>
              <w:rPr>
                <w:rFonts w:hint="eastAsia" w:ascii="宋体" w:hAnsi="宋体" w:eastAsia="宋体" w:cs="宋体"/>
                <w:color w:val="auto"/>
                <w:szCs w:val="21"/>
                <w:highlight w:val="none"/>
              </w:rPr>
              <w:t>清远市建筑业龙头企业名录内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企业</w:t>
            </w:r>
            <w:r>
              <w:rPr>
                <w:rFonts w:hint="eastAsia" w:ascii="宋体" w:hAnsi="宋体" w:eastAsia="宋体" w:cs="宋体"/>
                <w:color w:val="auto"/>
                <w:szCs w:val="21"/>
                <w:highlight w:val="none"/>
                <w:lang w:val="en-US" w:eastAsia="zh-CN"/>
              </w:rPr>
              <w:t>的；</w:t>
            </w:r>
          </w:p>
          <w:p>
            <w:pPr>
              <w:keepNext w:val="0"/>
              <w:keepLines w:val="0"/>
              <w:pageBreakBefore w:val="0"/>
              <w:shd w:val="clear"/>
              <w:kinsoku/>
              <w:wordWrap/>
              <w:overflowPunct/>
              <w:topLinePunct w:val="0"/>
              <w:autoSpaceDE/>
              <w:autoSpaceDN/>
              <w:bidi w:val="0"/>
              <w:adjustRightInd/>
              <w:snapToGrid/>
              <w:spacing w:line="360" w:lineRule="auto"/>
              <w:ind w:firstLine="0"/>
              <w:textAlignment w:val="auto"/>
              <w:rPr>
                <w:rFonts w:hint="eastAsia"/>
                <w:color w:val="auto"/>
                <w:highlight w:val="none"/>
                <w:lang w:val="en-US" w:eastAsia="zh-CN"/>
              </w:rPr>
            </w:pPr>
            <w:r>
              <w:rPr>
                <w:rFonts w:hint="eastAsia" w:ascii="宋体" w:hAnsi="宋体" w:eastAsia="宋体" w:cs="宋体"/>
                <w:color w:val="auto"/>
                <w:szCs w:val="21"/>
                <w:highlight w:val="none"/>
                <w:lang w:val="en-US" w:eastAsia="zh-CN"/>
              </w:rPr>
              <w:t xml:space="preserve">b.其他企业： </w:t>
            </w:r>
            <w:r>
              <w:rPr>
                <w:rFonts w:hint="eastAsia" w:ascii="宋体" w:hAnsi="宋体" w:eastAsia="宋体" w:cs="宋体"/>
                <w:color w:val="auto"/>
                <w:szCs w:val="21"/>
                <w:highlight w:val="none"/>
                <w:u w:val="single"/>
                <w:lang w:val="en-US" w:eastAsia="zh-CN"/>
              </w:rPr>
              <w:t xml:space="preserve"> </w:t>
            </w:r>
            <w:r>
              <w:rPr>
                <w:rFonts w:hint="eastAsia"/>
                <w:color w:val="auto"/>
                <w:highlight w:val="none"/>
                <w:u w:val="single"/>
                <w:lang w:val="en-US" w:eastAsia="zh-CN"/>
              </w:rPr>
              <w:t xml:space="preserve">        /               </w:t>
            </w:r>
            <w:r>
              <w:rPr>
                <w:rFonts w:hint="eastAsia"/>
                <w:color w:val="auto"/>
                <w:highlight w:val="none"/>
                <w:lang w:val="en-US" w:eastAsia="zh-CN"/>
              </w:rPr>
              <w:t xml:space="preserve"> 。</w:t>
            </w:r>
          </w:p>
          <w:p>
            <w:pPr>
              <w:pStyle w:val="2"/>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27</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strike/>
                <w:color w:val="auto"/>
                <w:highlight w:val="none"/>
              </w:rPr>
            </w:pPr>
          </w:p>
        </w:tc>
        <w:tc>
          <w:tcPr>
            <w:tcW w:w="2113" w:type="dxa"/>
            <w:noWrap w:val="0"/>
            <w:vAlign w:val="center"/>
          </w:tcPr>
          <w:p>
            <w:pPr>
              <w:pStyle w:val="19"/>
              <w:keepNext w:val="0"/>
              <w:keepLines w:val="0"/>
              <w:pageBreakBefore w:val="0"/>
              <w:shd w:val="clear"/>
              <w:kinsoku/>
              <w:wordWrap/>
              <w:overflowPunct/>
              <w:topLinePunct w:val="0"/>
              <w:autoSpaceDE/>
              <w:autoSpaceDN/>
              <w:bidi w:val="0"/>
              <w:adjustRightInd/>
              <w:snapToGrid/>
              <w:spacing w:after="0" w:afterLines="0" w:line="360" w:lineRule="auto"/>
              <w:ind w:firstLine="0"/>
              <w:jc w:val="center"/>
              <w:textAlignment w:val="auto"/>
              <w:rPr>
                <w:rFonts w:hint="eastAsia" w:ascii="宋体" w:hAnsi="宋体" w:eastAsia="宋体"/>
                <w:strike/>
                <w:color w:val="auto"/>
                <w:highlight w:val="none"/>
              </w:rPr>
            </w:pPr>
            <w:r>
              <w:rPr>
                <w:rFonts w:hint="eastAsia" w:ascii="宋体" w:hAnsi="宋体" w:eastAsia="宋体"/>
                <w:color w:val="auto"/>
                <w:highlight w:val="none"/>
              </w:rPr>
              <w:t>保修期</w:t>
            </w:r>
          </w:p>
        </w:tc>
        <w:tc>
          <w:tcPr>
            <w:tcW w:w="5450"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olor w:val="auto"/>
                <w:highlight w:val="none"/>
              </w:rPr>
              <w:t>按照《建设工程质量管理条例》规定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28</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34</w:t>
            </w:r>
          </w:p>
        </w:tc>
        <w:tc>
          <w:tcPr>
            <w:tcW w:w="7563" w:type="dxa"/>
            <w:gridSpan w:val="2"/>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29</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strike/>
                <w:color w:val="auto"/>
                <w:highlight w:val="none"/>
              </w:rPr>
            </w:pPr>
            <w:r>
              <w:rPr>
                <w:rFonts w:hint="eastAsia" w:ascii="宋体" w:hAnsi="宋体" w:eastAsia="宋体" w:cs="Times New Roman"/>
                <w:color w:val="auto"/>
                <w:highlight w:val="none"/>
              </w:rPr>
              <w:t>34.1</w:t>
            </w:r>
          </w:p>
        </w:tc>
        <w:tc>
          <w:tcPr>
            <w:tcW w:w="211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s="Times New Roman"/>
                <w:color w:val="auto"/>
                <w:kern w:val="2"/>
                <w:sz w:val="21"/>
                <w:highlight w:val="none"/>
                <w:lang w:val="en-US" w:eastAsia="zh-CN" w:bidi="ar-SA"/>
              </w:rPr>
              <w:t>投标人出席开标会的代表及其他特定人员等要求</w:t>
            </w:r>
          </w:p>
        </w:tc>
        <w:tc>
          <w:tcPr>
            <w:tcW w:w="5450" w:type="dxa"/>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360" w:lineRule="auto"/>
              <w:ind w:left="0" w:right="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1、本项目开标采用网上开标的形式，投标人无需到开标现场参加开标会议，开标结果视为默认。</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360" w:lineRule="auto"/>
              <w:ind w:left="0" w:right="0"/>
              <w:jc w:val="both"/>
              <w:textAlignment w:val="auto"/>
              <w:rPr>
                <w:rFonts w:hint="eastAsia" w:ascii="宋体" w:hAnsi="宋体" w:eastAsia="宋体"/>
                <w:color w:val="auto"/>
                <w:highlight w:val="none"/>
              </w:rPr>
            </w:pPr>
            <w:r>
              <w:rPr>
                <w:rFonts w:hint="eastAsia" w:ascii="宋体" w:hAnsi="宋体" w:eastAsia="宋体" w:cs="宋体"/>
                <w:color w:val="auto"/>
                <w:kern w:val="2"/>
                <w:sz w:val="21"/>
                <w:szCs w:val="24"/>
                <w:highlight w:val="none"/>
                <w:lang w:val="en-US" w:eastAsia="zh-CN" w:bidi="ar"/>
              </w:rPr>
              <w:t>2、开标过程中，投标人对开标过程或开标结果有疑义的，可登录交易系统在开标大厅提出及查看相关答复；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楷体_GB2312" w:cs="宋体"/>
                <w:color w:val="auto"/>
                <w:kern w:val="2"/>
                <w:sz w:val="21"/>
                <w:szCs w:val="21"/>
                <w:highlight w:val="none"/>
                <w:lang w:val="en-US" w:eastAsia="zh-CN" w:bidi="ar-SA"/>
              </w:rPr>
            </w:pPr>
            <w:r>
              <w:rPr>
                <w:rFonts w:hint="eastAsia" w:ascii="宋体" w:hAnsi="宋体" w:cs="宋体"/>
                <w:color w:val="auto"/>
                <w:sz w:val="21"/>
                <w:szCs w:val="21"/>
                <w:highlight w:val="none"/>
              </w:rPr>
              <w:t>30</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34.2</w:t>
            </w:r>
          </w:p>
        </w:tc>
        <w:tc>
          <w:tcPr>
            <w:tcW w:w="7563" w:type="dxa"/>
            <w:gridSpan w:val="2"/>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rPr>
            </w:pPr>
            <w:r>
              <w:rPr>
                <w:rFonts w:hint="eastAsia" w:ascii="宋体" w:hAnsi="宋体" w:eastAsia="宋体"/>
                <w:color w:val="auto"/>
                <w:highlight w:val="none"/>
              </w:rPr>
              <w:t>“暗标”评审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eastAsia="宋体"/>
                <w:color w:val="auto"/>
                <w:sz w:val="24"/>
                <w:highlight w:val="none"/>
                <w:lang w:val="en-US" w:eastAsia="zh-CN"/>
              </w:rPr>
            </w:pPr>
            <w:r>
              <w:rPr>
                <w:rFonts w:hint="eastAsia" w:ascii="宋体" w:hAnsi="宋体" w:eastAsia="楷体_GB2312" w:cs="宋体"/>
                <w:color w:val="auto"/>
                <w:sz w:val="21"/>
                <w:szCs w:val="21"/>
                <w:highlight w:val="none"/>
                <w:lang w:val="en-US" w:eastAsia="zh-CN"/>
              </w:rPr>
              <w:t>31</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color w:val="auto"/>
                <w:sz w:val="24"/>
                <w:highlight w:val="none"/>
              </w:rPr>
            </w:pPr>
            <w:r>
              <w:rPr>
                <w:rFonts w:hint="eastAsia"/>
                <w:color w:val="auto"/>
                <w:highlight w:val="none"/>
              </w:rPr>
              <w:t>技术标是否采用“暗标”评审方式</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eastAsia="zh-CN"/>
              </w:rPr>
              <w:t>☑</w:t>
            </w:r>
            <w:r>
              <w:rPr>
                <w:rFonts w:hint="eastAsia"/>
                <w:color w:val="auto"/>
                <w:highlight w:val="none"/>
              </w:rPr>
              <w:t>不采用</w:t>
            </w:r>
          </w:p>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□采用。</w:t>
            </w:r>
          </w:p>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color w:val="auto"/>
                <w:highlight w:val="none"/>
              </w:rPr>
              <w:t xml:space="preserve">    投标人应严格按照第四章“投标文件格式”中“技术暗标编制要求”编制技术暗标。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eastAsia="楷体_GB2312"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s="Times New Roman"/>
                <w:color w:val="auto"/>
                <w:sz w:val="21"/>
                <w:highlight w:val="none"/>
              </w:rPr>
              <w:t>34.</w:t>
            </w:r>
            <w:r>
              <w:rPr>
                <w:rFonts w:hint="eastAsia" w:ascii="宋体" w:hAnsi="宋体" w:eastAsia="宋体" w:cs="Times New Roman"/>
                <w:color w:val="auto"/>
                <w:sz w:val="21"/>
                <w:highlight w:val="none"/>
                <w:lang w:val="en-US" w:eastAsia="zh-CN"/>
              </w:rPr>
              <w:t>6</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color w:val="auto"/>
                <w:highlight w:val="none"/>
                <w:lang w:val="en-US" w:eastAsia="zh-CN"/>
              </w:rPr>
              <w:t>关于项目预付款的约定</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eastAsia="zh-CN"/>
              </w:rPr>
              <w:t>应符合《</w:t>
            </w:r>
            <w:r>
              <w:rPr>
                <w:rFonts w:hint="eastAsia"/>
                <w:color w:val="auto"/>
                <w:highlight w:val="none"/>
              </w:rPr>
              <w:t>关于规范招投标领域工程建设保证金收取有关工作的通知</w:t>
            </w:r>
            <w:r>
              <w:rPr>
                <w:rFonts w:hint="eastAsia"/>
                <w:color w:val="auto"/>
                <w:highlight w:val="none"/>
                <w:lang w:eastAsia="zh-CN"/>
              </w:rPr>
              <w:t>》（</w:t>
            </w:r>
            <w:r>
              <w:rPr>
                <w:rFonts w:hint="eastAsia"/>
                <w:color w:val="auto"/>
                <w:highlight w:val="none"/>
              </w:rPr>
              <w:t>粤发改法规函〔2022〕1178号</w:t>
            </w:r>
            <w:r>
              <w:rPr>
                <w:rFonts w:hint="eastAsia"/>
                <w:color w:val="auto"/>
                <w:highlight w:val="none"/>
                <w:lang w:eastAsia="zh-CN"/>
              </w:rPr>
              <w:t>）等文件要求，预付款比例应不低于</w:t>
            </w:r>
            <w:r>
              <w:rPr>
                <w:rFonts w:hint="eastAsia"/>
                <w:color w:val="auto"/>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eastAsia="楷体_GB2312"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s="Times New Roman"/>
                <w:color w:val="auto"/>
                <w:sz w:val="21"/>
                <w:highlight w:val="none"/>
              </w:rPr>
              <w:t>34.</w:t>
            </w:r>
            <w:r>
              <w:rPr>
                <w:rFonts w:hint="eastAsia" w:ascii="宋体" w:hAnsi="宋体" w:eastAsia="宋体" w:cs="Times New Roman"/>
                <w:color w:val="auto"/>
                <w:sz w:val="21"/>
                <w:highlight w:val="none"/>
                <w:lang w:val="en-US" w:eastAsia="zh-CN"/>
              </w:rPr>
              <w:t>7</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color w:val="auto"/>
                <w:highlight w:val="none"/>
                <w:lang w:val="en-US" w:eastAsia="zh-CN"/>
              </w:rPr>
              <w:t>关于工人工资支付专用账户（以下简称“工资专户”）、工程进度款中工人工资款的比例、工资款拨付的期限等事项的约定</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应符合《关于规范招投标领域工程建设保证金收取有关工作的通知》（粤发改法规函〔2022〕1178号）等文件要求，其中政府机关、事业单位、国有企业建设工程进度款支付比例低于已完成工程价款的80%。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34.</w:t>
            </w:r>
            <w:r>
              <w:rPr>
                <w:rFonts w:hint="eastAsia" w:ascii="宋体" w:hAnsi="宋体" w:eastAsia="宋体" w:cs="Times New Roman"/>
                <w:color w:val="auto"/>
                <w:sz w:val="21"/>
                <w:highlight w:val="none"/>
                <w:lang w:val="en-US" w:eastAsia="zh-CN"/>
              </w:rPr>
              <w:t>8</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lang w:val="en-US" w:eastAsia="zh-CN"/>
              </w:rPr>
              <w:t>关于施工过程结算合同约定的约定</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 xml:space="preserve"> 以合同签署的为准。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auto"/>
                <w:sz w:val="21"/>
                <w:highlight w:val="none"/>
                <w:lang w:val="en-US" w:eastAsia="zh-CN"/>
              </w:rPr>
            </w:pPr>
            <w:r>
              <w:rPr>
                <w:rFonts w:hint="eastAsia" w:ascii="宋体" w:hAnsi="宋体" w:eastAsia="宋体" w:cs="Times New Roman"/>
                <w:color w:val="auto"/>
                <w:sz w:val="21"/>
                <w:highlight w:val="none"/>
                <w:lang w:val="en-US" w:eastAsia="zh-CN"/>
              </w:rPr>
              <w:t>33</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color w:val="auto"/>
                <w:highlight w:val="none"/>
                <w:lang w:val="en-US" w:eastAsia="zh-CN"/>
              </w:rPr>
            </w:pPr>
            <w:r>
              <w:rPr>
                <w:rFonts w:hint="eastAsia"/>
                <w:color w:val="auto"/>
                <w:highlight w:val="none"/>
                <w:lang w:val="en-US" w:eastAsia="zh-CN"/>
              </w:rPr>
              <w:t>其它费用</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中标人在中标通知书发出前需-次性向广州公共资源交易中心缴纳本项目的工程交易服务费，交易服务费包含在投标报价中。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增加</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color w:val="auto"/>
                <w:highlight w:val="none"/>
                <w:lang w:val="en-US" w:eastAsia="zh-CN"/>
              </w:rPr>
            </w:pPr>
            <w:r>
              <w:rPr>
                <w:rFonts w:hint="eastAsia"/>
                <w:color w:val="auto"/>
                <w:highlight w:val="none"/>
                <w:lang w:val="en-US" w:eastAsia="zh-CN"/>
              </w:rPr>
              <w:t>招标代理服务费</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本次招标代理</w:t>
            </w:r>
            <w:r>
              <w:rPr>
                <w:rFonts w:hint="eastAsia"/>
                <w:color w:val="auto"/>
                <w:highlight w:val="none"/>
                <w:lang w:val="en-US" w:eastAsia="zh-CN"/>
              </w:rPr>
              <w:t>服务</w:t>
            </w:r>
            <w:r>
              <w:rPr>
                <w:rFonts w:hint="eastAsia"/>
                <w:color w:val="auto"/>
                <w:highlight w:val="none"/>
              </w:rPr>
              <w:t>费由中标人在发出中标通知书之前一次性支付给招标代理机构。招标代理服务费收费标准:参照原国家计委计价格[2002]1980号以及国家发展改革委发改价格[2011]</w:t>
            </w:r>
            <w:r>
              <w:rPr>
                <w:rFonts w:hint="eastAsia"/>
                <w:color w:val="auto"/>
                <w:highlight w:val="none"/>
                <w:lang w:val="en-US" w:eastAsia="zh-CN"/>
              </w:rPr>
              <w:t>5</w:t>
            </w:r>
            <w:r>
              <w:rPr>
                <w:rFonts w:hint="eastAsia"/>
                <w:color w:val="auto"/>
                <w:highlight w:val="none"/>
              </w:rPr>
              <w:t>34号文，并按代理</w:t>
            </w:r>
            <w:r>
              <w:rPr>
                <w:rFonts w:hint="eastAsia"/>
                <w:color w:val="auto"/>
                <w:highlight w:val="none"/>
                <w:lang w:val="en-US" w:eastAsia="zh-CN"/>
              </w:rPr>
              <w:t>机构</w:t>
            </w:r>
            <w:r>
              <w:rPr>
                <w:rFonts w:hint="eastAsia"/>
                <w:color w:val="auto"/>
                <w:highlight w:val="none"/>
              </w:rPr>
              <w:t>与招标人签订的协议下浮率执行。具体收费事项以招标代理机构发出的</w:t>
            </w:r>
            <w:r>
              <w:rPr>
                <w:rFonts w:hint="eastAsia"/>
                <w:color w:val="auto"/>
                <w:highlight w:val="none"/>
                <w:lang w:val="en-US" w:eastAsia="zh-CN"/>
              </w:rPr>
              <w:t>缴</w:t>
            </w:r>
            <w:r>
              <w:rPr>
                <w:rFonts w:hint="eastAsia"/>
                <w:color w:val="auto"/>
                <w:highlight w:val="none"/>
              </w:rPr>
              <w:t>费通知为准。招标代理费包含在投标报价中。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916"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增加</w:t>
            </w:r>
          </w:p>
        </w:tc>
        <w:tc>
          <w:tcPr>
            <w:tcW w:w="2113"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color w:val="auto"/>
                <w:highlight w:val="none"/>
              </w:rPr>
              <w:t>工人工资支付保证金</w:t>
            </w:r>
          </w:p>
        </w:tc>
        <w:tc>
          <w:tcPr>
            <w:tcW w:w="5450" w:type="dxa"/>
            <w:noWrap w:val="0"/>
            <w:vAlign w:val="center"/>
          </w:tcPr>
          <w:p>
            <w:pPr>
              <w:pStyle w:val="28"/>
              <w:keepNext w:val="0"/>
              <w:keepLines w:val="0"/>
              <w:pageBreakBefore w:val="0"/>
              <w:shd w:val="clea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工人工资支付保证金按《关于印发广州（清远）产业转移工业园建设领域工人工资支付保证金管理办法（试行）》的通知（广清管【2021】6号）规定执行。投标人如不按规定缴纳保证金，发包人有权不予支付工程款且不承担任何法律责任。</w:t>
            </w:r>
          </w:p>
        </w:tc>
      </w:tr>
    </w:tbl>
    <w:p>
      <w:pPr>
        <w:shd w:val="clear"/>
        <w:spacing w:line="360" w:lineRule="auto"/>
        <w:rPr>
          <w:rFonts w:hint="eastAsia" w:ascii="宋体" w:hAnsi="宋体" w:eastAsia="宋体"/>
          <w:strike/>
          <w:color w:val="auto"/>
          <w:highlight w:val="none"/>
        </w:rPr>
      </w:pPr>
    </w:p>
    <w:p>
      <w:pPr>
        <w:shd w:val="clear"/>
        <w:spacing w:line="360" w:lineRule="auto"/>
        <w:rPr>
          <w:rFonts w:hint="eastAsia" w:ascii="宋体" w:hAnsi="宋体" w:eastAsia="宋体"/>
          <w:strike/>
          <w:color w:val="auto"/>
          <w:highlight w:val="none"/>
        </w:rPr>
      </w:pPr>
    </w:p>
    <w:p>
      <w:pPr>
        <w:shd w:val="clear"/>
        <w:rPr>
          <w:rFonts w:hint="eastAsia" w:ascii="宋体" w:eastAsia="宋体"/>
          <w:color w:val="auto"/>
          <w:highlight w:val="none"/>
        </w:rPr>
      </w:pPr>
      <w:r>
        <w:rPr>
          <w:rFonts w:hint="eastAsia" w:ascii="宋体" w:eastAsia="宋体"/>
          <w:color w:val="auto"/>
          <w:highlight w:val="none"/>
        </w:rPr>
        <w:br w:type="page"/>
      </w:r>
    </w:p>
    <w:p>
      <w:pPr>
        <w:pStyle w:val="4"/>
        <w:shd w:val="clear"/>
        <w:rPr>
          <w:rFonts w:hint="eastAsia" w:ascii="宋体" w:eastAsia="宋体"/>
          <w:color w:val="auto"/>
          <w:highlight w:val="none"/>
        </w:rPr>
      </w:pPr>
      <w:bookmarkStart w:id="10" w:name="_Toc17487"/>
      <w:r>
        <w:rPr>
          <w:rFonts w:hint="eastAsia" w:ascii="宋体" w:eastAsia="宋体"/>
          <w:color w:val="auto"/>
          <w:highlight w:val="none"/>
        </w:rPr>
        <w:t>二  投标人须知通用条款</w:t>
      </w:r>
      <w:bookmarkEnd w:id="10"/>
      <w:bookmarkStart w:id="11" w:name="_Toc101777612"/>
      <w:bookmarkStart w:id="12" w:name="_Toc85505512"/>
      <w:bookmarkStart w:id="13" w:name="_Toc13618"/>
    </w:p>
    <w:p>
      <w:pPr>
        <w:pStyle w:val="4"/>
        <w:shd w:val="clear"/>
        <w:outlineLvl w:val="2"/>
        <w:rPr>
          <w:rFonts w:hint="eastAsia" w:ascii="宋体" w:eastAsia="宋体"/>
          <w:color w:val="auto"/>
          <w:highlight w:val="none"/>
        </w:rPr>
      </w:pPr>
      <w:bookmarkStart w:id="14" w:name="_Toc1997"/>
      <w:r>
        <w:rPr>
          <w:rFonts w:hint="eastAsia" w:ascii="宋体" w:eastAsia="宋体"/>
          <w:color w:val="auto"/>
          <w:highlight w:val="none"/>
        </w:rPr>
        <w:t>（一） 总则</w:t>
      </w:r>
      <w:bookmarkEnd w:id="11"/>
      <w:bookmarkEnd w:id="12"/>
      <w:bookmarkEnd w:id="13"/>
      <w:bookmarkEnd w:id="14"/>
    </w:p>
    <w:p>
      <w:pPr>
        <w:pStyle w:val="19"/>
        <w:shd w:val="clear"/>
        <w:spacing w:after="0" w:afterLines="0" w:line="360" w:lineRule="auto"/>
        <w:ind w:firstLine="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    1．定义</w:t>
      </w:r>
    </w:p>
    <w:p>
      <w:pPr>
        <w:pStyle w:val="19"/>
        <w:shd w:val="clear"/>
        <w:spacing w:after="0" w:afterLines="0" w:line="360" w:lineRule="auto"/>
        <w:ind w:firstLine="480" w:firstLineChars="200"/>
        <w:rPr>
          <w:rFonts w:hint="eastAsia"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19"/>
        <w:shd w:val="clear"/>
        <w:spacing w:after="0" w:afterLines="0" w:line="360" w:lineRule="auto"/>
        <w:ind w:firstLine="480" w:firstLineChars="200"/>
        <w:rPr>
          <w:rFonts w:hint="eastAsia" w:ascii="宋体" w:hAnsi="宋体" w:eastAsia="宋体"/>
          <w:b/>
          <w:bCs/>
          <w:color w:val="auto"/>
          <w:sz w:val="24"/>
          <w:highlight w:val="none"/>
          <w:u w:val="single"/>
        </w:rPr>
      </w:pPr>
      <w:r>
        <w:rPr>
          <w:rFonts w:hint="eastAsia" w:ascii="宋体" w:hAnsi="宋体" w:eastAsia="宋体"/>
          <w:color w:val="auto"/>
          <w:sz w:val="24"/>
          <w:highlight w:val="none"/>
        </w:rPr>
        <w:t>（1）“招标人”（即发包人）、“招标代理”、“设计单位”、“监理单位”均已在投标人须知前附表中列明。</w:t>
      </w:r>
    </w:p>
    <w:p>
      <w:pPr>
        <w:pStyle w:val="19"/>
        <w:shd w:val="clear"/>
        <w:spacing w:after="0" w:afterLines="0"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（2）“投标人”指向招标人递交投标文件的当事人。   </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（3）“承包人”指其投标被招标人接受并与其签订承包合同的当事人。</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cr/>
      </w:r>
      <w:r>
        <w:rPr>
          <w:rFonts w:hint="eastAsia" w:ascii="宋体" w:hAnsi="宋体" w:eastAsia="宋体"/>
          <w:vanish/>
          <w:color w:val="auto"/>
          <w:sz w:val="24"/>
          <w:highlight w:val="none"/>
        </w:rPr>
        <w:t>“书面文件”指打字或印刷的文件，包括电传、电报和传真。子签章。</w:t>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vanish/>
          <w:color w:val="auto"/>
          <w:sz w:val="24"/>
          <w:highlight w:val="none"/>
        </w:rPr>
        <w:pgNum/>
      </w:r>
      <w:r>
        <w:rPr>
          <w:rFonts w:hint="eastAsia" w:ascii="宋体" w:hAnsi="宋体" w:eastAsia="宋体"/>
          <w:color w:val="auto"/>
          <w:sz w:val="24"/>
          <w:highlight w:val="none"/>
        </w:rPr>
        <w:t>（4）“招标文件”指由招标代理发出的本文件（包括全部章节、附件）及招标答疑会会议纪要和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（5）“投标文件”指投标人根据本项目招标文件向招标人递交的全部文件。</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（6）“书面文件”指打字或印刷的文件，包括电传、电报和传真。</w:t>
      </w:r>
    </w:p>
    <w:p>
      <w:pPr>
        <w:pStyle w:val="19"/>
        <w:shd w:val="clear"/>
        <w:spacing w:after="0" w:afterLines="0" w:line="360" w:lineRule="auto"/>
        <w:ind w:firstLine="600" w:firstLineChars="250"/>
        <w:rPr>
          <w:rFonts w:hint="eastAsia" w:ascii="宋体" w:hAnsi="宋体" w:eastAsia="宋体"/>
          <w:b/>
          <w:color w:val="auto"/>
          <w:sz w:val="24"/>
          <w:szCs w:val="24"/>
          <w:highlight w:val="none"/>
        </w:rPr>
      </w:pPr>
      <w:r>
        <w:rPr>
          <w:rFonts w:hint="eastAsia" w:ascii="宋体" w:hAnsi="宋体" w:eastAsia="宋体"/>
          <w:color w:val="auto"/>
          <w:sz w:val="24"/>
          <w:highlight w:val="none"/>
        </w:rPr>
        <w:t>(7)“电子文件</w:t>
      </w: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 xml:space="preserve"> </w:t>
      </w:r>
      <w:r>
        <w:rPr>
          <w:rFonts w:hint="eastAsia" w:ascii="宋体" w:hAnsi="宋体" w:eastAsia="宋体"/>
          <w:color w:val="auto"/>
          <w:sz w:val="24"/>
          <w:szCs w:val="24"/>
          <w:highlight w:val="none"/>
        </w:rPr>
        <w:t>指数字、文字、图形等以数码形式存储于磁带、磁盘、光盘等载体，依赖计算机等数字设备阅读、处理，并可在通信网络上传送的文件。</w:t>
      </w:r>
    </w:p>
    <w:p>
      <w:pPr>
        <w:shd w:val="clear"/>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2．招标说明</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2.1本招标工程项目按照《中华人民共和国招标投标法》等有关法律、行政法规、规章和规范性文件，通过招标方式选定承包人。</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2.2工程名称、建设地点、建设规模、承包方式、质量标准、招标范围、工期要求等均在投标人须知前附表中列明。</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2.3设计说明：详见招标图纸。</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2.4工程施工特点：详见招标图纸。</w:t>
      </w:r>
    </w:p>
    <w:p>
      <w:pPr>
        <w:shd w:val="clear"/>
        <w:tabs>
          <w:tab w:val="left" w:pos="105"/>
        </w:tabs>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3．资金来源</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3.1本招标工程项目资金来源见投标人须知前附表第9项。</w:t>
      </w:r>
    </w:p>
    <w:p>
      <w:pPr>
        <w:shd w:val="clear"/>
        <w:tabs>
          <w:tab w:val="left" w:pos="105"/>
        </w:tabs>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4．合格投标人的条件</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4.1详见本项目招标公告</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4.2除符合上款规定外，接受联合体投标的，应遵守以下规定：</w:t>
      </w:r>
    </w:p>
    <w:p>
      <w:pPr>
        <w:pStyle w:val="29"/>
        <w:shd w:val="clear"/>
        <w:spacing w:line="36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（1）联合体各方应按招标文件提供的格式签订联合体协议书，明确联合体牵头人和各方权利义务；</w:t>
      </w:r>
    </w:p>
    <w:p>
      <w:pPr>
        <w:pStyle w:val="29"/>
        <w:shd w:val="clear"/>
        <w:spacing w:line="36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（2）由同一专业的单位组成的联合体，按照资质等级、诚信评价等级较低的单位确定资质、诚信评价等级；</w:t>
      </w:r>
    </w:p>
    <w:p>
      <w:pPr>
        <w:pStyle w:val="29"/>
        <w:shd w:val="clear"/>
        <w:spacing w:line="36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（3）联合体各方不得再以自己名义单独或参加其他联合体在同一标段中投标。</w:t>
      </w:r>
    </w:p>
    <w:p>
      <w:pPr>
        <w:pStyle w:val="30"/>
        <w:shd w:val="clear"/>
        <w:spacing w:line="360" w:lineRule="auto"/>
        <w:rPr>
          <w:rFonts w:hint="eastAsia" w:ascii="宋体" w:hAnsi="宋体"/>
          <w:color w:val="auto"/>
          <w:sz w:val="24"/>
          <w:szCs w:val="21"/>
          <w:highlight w:val="none"/>
        </w:rPr>
      </w:pPr>
      <w:r>
        <w:rPr>
          <w:rFonts w:hint="eastAsia"/>
          <w:color w:val="auto"/>
          <w:szCs w:val="21"/>
          <w:highlight w:val="none"/>
        </w:rPr>
        <w:t xml:space="preserve">     </w:t>
      </w:r>
      <w:r>
        <w:rPr>
          <w:rFonts w:hint="eastAsia" w:ascii="宋体" w:hAnsi="宋体"/>
          <w:color w:val="auto"/>
          <w:sz w:val="24"/>
          <w:szCs w:val="21"/>
          <w:highlight w:val="none"/>
        </w:rPr>
        <w:t>4.3投标人不得存在下列情形之一：</w:t>
      </w:r>
    </w:p>
    <w:p>
      <w:pPr>
        <w:pStyle w:val="30"/>
        <w:shd w:val="clear"/>
        <w:spacing w:line="360" w:lineRule="auto"/>
        <w:ind w:firstLine="480" w:firstLineChars="200"/>
        <w:rPr>
          <w:rFonts w:hint="eastAsia" w:ascii="宋体" w:hAnsi="宋体"/>
          <w:color w:val="auto"/>
          <w:sz w:val="24"/>
          <w:szCs w:val="21"/>
          <w:highlight w:val="none"/>
          <w:lang w:val="en-US" w:eastAsia="zh-CN"/>
        </w:rPr>
      </w:pPr>
      <w:r>
        <w:rPr>
          <w:rFonts w:hint="eastAsia" w:ascii="宋体" w:hAnsi="宋体"/>
          <w:color w:val="auto"/>
          <w:sz w:val="24"/>
          <w:szCs w:val="21"/>
          <w:highlight w:val="none"/>
          <w:lang w:val="en-US" w:eastAsia="zh-CN"/>
        </w:rPr>
        <w:t>（1）为招标人不具有独立法人资格的附属机构（单位）；</w:t>
      </w:r>
    </w:p>
    <w:p>
      <w:pPr>
        <w:pStyle w:val="30"/>
        <w:shd w:val="clear"/>
        <w:spacing w:line="360" w:lineRule="auto"/>
        <w:ind w:firstLine="480" w:firstLineChars="200"/>
        <w:rPr>
          <w:rFonts w:hint="eastAsia" w:ascii="宋体" w:hAnsi="宋体"/>
          <w:color w:val="auto"/>
          <w:sz w:val="24"/>
          <w:szCs w:val="21"/>
          <w:highlight w:val="none"/>
          <w:lang w:val="en-US" w:eastAsia="zh-CN"/>
        </w:rPr>
      </w:pPr>
      <w:r>
        <w:rPr>
          <w:rFonts w:hint="eastAsia" w:ascii="宋体" w:hAnsi="宋体"/>
          <w:color w:val="auto"/>
          <w:sz w:val="24"/>
          <w:szCs w:val="21"/>
          <w:highlight w:val="none"/>
          <w:lang w:val="en-US" w:eastAsia="zh-CN"/>
        </w:rPr>
        <w:t>（2）为本招标项目前期准备提供设计或咨询服务的；</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color w:val="auto"/>
          <w:sz w:val="24"/>
          <w:szCs w:val="21"/>
          <w:highlight w:val="none"/>
          <w:lang w:val="en-US" w:eastAsia="zh-CN"/>
        </w:rPr>
        <w:t>（3）与</w:t>
      </w:r>
      <w:r>
        <w:rPr>
          <w:rFonts w:hint="eastAsia" w:ascii="宋体" w:hAnsi="宋体" w:eastAsia="宋体" w:cs="Times New Roman"/>
          <w:color w:val="auto"/>
          <w:sz w:val="24"/>
          <w:szCs w:val="21"/>
          <w:highlight w:val="none"/>
          <w:lang w:val="en-US" w:eastAsia="zh-CN"/>
        </w:rPr>
        <w:t>本招标项目的其他投标人为同一个单位负责人；</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（4）与本招标项目的其他投标人存在控股、管理关系；</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（5）为本招标项目的监理人；</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（6）为本招标项目的代建人；</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（7）为本招标项目的招标代理机构；</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（8）与本招标项目的监理人或代建人或招标代理机构同为一个法定代表人；</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（9）与本招标项目的监理人或代建人或招标代理机构存在控股或参股关系；</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（10）与本招标项目的监理人或代建人或招标代理机构存在相互任职或工作关系；</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（11）被本市各级住建部门依法暂停或者取消投标资格；</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（12）被责令停产停业、暂扣或者吊销许可证、暂扣或者吊销执照；</w:t>
      </w:r>
    </w:p>
    <w:p>
      <w:pPr>
        <w:pStyle w:val="30"/>
        <w:shd w:val="clear"/>
        <w:spacing w:line="360" w:lineRule="auto"/>
        <w:ind w:firstLine="480" w:firstLineChars="200"/>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（13）进入清算程序，或被宣告破产，或其他丧失履约能力的情形；</w:t>
      </w:r>
    </w:p>
    <w:p>
      <w:pPr>
        <w:pStyle w:val="30"/>
        <w:shd w:val="clear"/>
        <w:spacing w:line="360" w:lineRule="auto"/>
        <w:ind w:firstLine="480" w:firstLineChars="200"/>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lang w:val="en-US" w:eastAsia="zh-CN"/>
        </w:rPr>
        <w:t>（14）</w:t>
      </w:r>
      <w:r>
        <w:rPr>
          <w:rFonts w:hint="eastAsia" w:ascii="宋体" w:hAnsi="宋体" w:eastAsia="宋体" w:cs="Times New Roman"/>
          <w:color w:val="auto"/>
          <w:sz w:val="24"/>
          <w:szCs w:val="21"/>
          <w:highlight w:val="none"/>
          <w:lang w:eastAsia="zh-CN"/>
        </w:rPr>
        <w:t>最近三年内投标人在“信用中国”网站（https://www.creditchina.gov.cn）中被列入拖欠农民工工资失信联合惩戒对象名单；在“信用清远”网站（</w:t>
      </w:r>
      <w:r>
        <w:rPr>
          <w:rFonts w:hint="eastAsia" w:ascii="宋体" w:hAnsi="宋体" w:cs="Times New Roman"/>
          <w:color w:val="auto"/>
          <w:sz w:val="24"/>
          <w:szCs w:val="21"/>
          <w:highlight w:val="none"/>
          <w:lang w:eastAsia="zh-CN"/>
        </w:rPr>
        <w:t>https://xyqy.gdqy.gov.cn/</w:t>
      </w:r>
      <w:r>
        <w:rPr>
          <w:rFonts w:hint="eastAsia" w:ascii="宋体" w:hAnsi="宋体" w:eastAsia="宋体" w:cs="Times New Roman"/>
          <w:color w:val="auto"/>
          <w:sz w:val="24"/>
          <w:szCs w:val="21"/>
          <w:highlight w:val="none"/>
          <w:lang w:eastAsia="zh-CN"/>
        </w:rPr>
        <w:t>）的“失信黑名单”中被列入”拖欠农民工工资'黑名单'（清远市）”。两个以上的自然人、法人或者其他组织组成一个联合体</w:t>
      </w:r>
      <w:r>
        <w:rPr>
          <w:rFonts w:hint="eastAsia" w:ascii="宋体" w:hAnsi="宋体" w:eastAsia="宋体" w:cs="Times New Roman"/>
          <w:color w:val="auto"/>
          <w:sz w:val="24"/>
          <w:szCs w:val="21"/>
          <w:highlight w:val="none"/>
          <w:lang w:val="en-US" w:eastAsia="zh-CN"/>
        </w:rPr>
        <w:t>参与投标</w:t>
      </w:r>
      <w:r>
        <w:rPr>
          <w:rFonts w:hint="eastAsia" w:ascii="宋体" w:hAnsi="宋体" w:eastAsia="宋体" w:cs="Times New Roman"/>
          <w:color w:val="auto"/>
          <w:sz w:val="24"/>
          <w:szCs w:val="21"/>
          <w:highlight w:val="none"/>
          <w:lang w:eastAsia="zh-CN"/>
        </w:rPr>
        <w:t>的，应当对所有联合体成员进行信用记录查询，联合体成员存在不良信用记录的，视同联合体存在不良信用记录；</w:t>
      </w:r>
    </w:p>
    <w:p>
      <w:pPr>
        <w:pStyle w:val="30"/>
        <w:shd w:val="clear"/>
        <w:spacing w:line="360" w:lineRule="auto"/>
        <w:ind w:firstLine="480" w:firstLineChars="200"/>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lang w:eastAsia="zh-CN"/>
        </w:rPr>
        <w:t>（1</w:t>
      </w:r>
      <w:r>
        <w:rPr>
          <w:rFonts w:hint="eastAsia" w:ascii="宋体" w:hAnsi="宋体" w:eastAsia="宋体" w:cs="Times New Roman"/>
          <w:color w:val="auto"/>
          <w:sz w:val="24"/>
          <w:szCs w:val="21"/>
          <w:highlight w:val="none"/>
          <w:lang w:val="en-US" w:eastAsia="zh-CN"/>
        </w:rPr>
        <w:t>5</w:t>
      </w:r>
      <w:r>
        <w:rPr>
          <w:rFonts w:hint="eastAsia" w:ascii="宋体" w:hAnsi="宋体" w:eastAsia="宋体" w:cs="Times New Roman"/>
          <w:color w:val="auto"/>
          <w:sz w:val="24"/>
          <w:szCs w:val="21"/>
          <w:highlight w:val="none"/>
          <w:lang w:eastAsia="zh-CN"/>
        </w:rPr>
        <w:t>）法律法规规定的其他情形。</w:t>
      </w:r>
    </w:p>
    <w:p>
      <w:pPr>
        <w:shd w:val="clear"/>
        <w:tabs>
          <w:tab w:val="left" w:pos="105"/>
        </w:tabs>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5．踏勘现场</w:t>
      </w:r>
    </w:p>
    <w:p>
      <w:pPr>
        <w:shd w:val="clear"/>
        <w:spacing w:line="360" w:lineRule="auto"/>
        <w:ind w:firstLine="480" w:firstLineChars="200"/>
        <w:rPr>
          <w:rFonts w:hint="eastAsia" w:ascii="宋体" w:hAnsi="宋体" w:eastAsia="宋体"/>
          <w:bCs/>
          <w:color w:val="auto"/>
          <w:sz w:val="24"/>
          <w:highlight w:val="none"/>
          <w:u w:val="single"/>
        </w:rPr>
      </w:pPr>
      <w:r>
        <w:rPr>
          <w:rFonts w:hint="eastAsia" w:ascii="宋体" w:hAnsi="宋体" w:eastAsia="宋体"/>
          <w:bCs/>
          <w:color w:val="auto"/>
          <w:sz w:val="24"/>
          <w:highlight w:val="none"/>
        </w:rPr>
        <w:t>5.1 投标人应按本投标人须知前附表第1</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项所述时间和要求对工程现场及周围环境进行踏勘，</w:t>
      </w:r>
      <w:r>
        <w:rPr>
          <w:rFonts w:hint="eastAsia" w:ascii="宋体" w:hAnsi="宋体" w:eastAsia="宋体"/>
          <w:color w:val="auto"/>
          <w:sz w:val="24"/>
          <w:highlight w:val="none"/>
        </w:rPr>
        <w:t>投标人应充分重视和仔细地进行这种考察，</w:t>
      </w:r>
      <w:r>
        <w:rPr>
          <w:rFonts w:hint="eastAsia" w:ascii="宋体" w:hAnsi="宋体" w:eastAsia="宋体"/>
          <w:bCs/>
          <w:color w:val="auto"/>
          <w:sz w:val="24"/>
          <w:highlight w:val="none"/>
        </w:rPr>
        <w:t>以便投标人获取</w:t>
      </w:r>
      <w:r>
        <w:rPr>
          <w:rFonts w:hint="eastAsia" w:ascii="宋体" w:hAnsi="宋体" w:eastAsia="宋体"/>
          <w:color w:val="auto"/>
          <w:sz w:val="24"/>
          <w:highlight w:val="none"/>
        </w:rPr>
        <w:t>那些须投标人自己负责的</w:t>
      </w:r>
      <w:r>
        <w:rPr>
          <w:rFonts w:hint="eastAsia" w:ascii="宋体" w:hAnsi="宋体" w:eastAsia="宋体"/>
          <w:bCs/>
          <w:color w:val="auto"/>
          <w:sz w:val="24"/>
          <w:highlight w:val="none"/>
        </w:rPr>
        <w:t>有关编制投标文件和签署合同所涉及现场所有的资料。</w:t>
      </w:r>
      <w:r>
        <w:rPr>
          <w:rFonts w:hint="eastAsia" w:ascii="宋体" w:hAnsi="宋体" w:eastAsia="宋体"/>
          <w:color w:val="auto"/>
          <w:sz w:val="24"/>
          <w:highlight w:val="none"/>
        </w:rPr>
        <w:t>一旦中标，这种考察即被认为其结果已在中标文件中得到充分反映。考察现场的费用和风险由投标人自己承担。</w:t>
      </w:r>
    </w:p>
    <w:p>
      <w:pPr>
        <w:shd w:val="clear"/>
        <w:tabs>
          <w:tab w:val="left" w:pos="105"/>
        </w:tabs>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5.2 招标人向投标人提供的有关现场的数据和资料，是招标人现有的能被投标人利用的资料，招标人对投标人做出的任何推论、理解和结论均不负责任。</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5.3 经招标人允许，投标人可为踏勘目的进入招标人的项目现场。</w:t>
      </w:r>
      <w:r>
        <w:rPr>
          <w:rFonts w:hint="eastAsia" w:ascii="宋体" w:hAnsi="宋体" w:eastAsia="宋体"/>
          <w:color w:val="auto"/>
          <w:sz w:val="24"/>
          <w:highlight w:val="none"/>
        </w:rPr>
        <w:t>在考察过程中，投标人及其代表必须承担那些进入现场后，由于他们的行为所造成的人身伤害（不管是否致命）、财产损失或损坏，以及其他任何原因造成的损失、损坏或</w:t>
      </w:r>
    </w:p>
    <w:p>
      <w:pPr>
        <w:shd w:val="clear"/>
        <w:spacing w:line="360" w:lineRule="auto"/>
        <w:rPr>
          <w:rFonts w:hint="eastAsia" w:ascii="宋体" w:hAnsi="宋体" w:eastAsia="宋体"/>
          <w:bCs/>
          <w:color w:val="auto"/>
          <w:sz w:val="24"/>
          <w:highlight w:val="none"/>
        </w:rPr>
      </w:pPr>
      <w:r>
        <w:rPr>
          <w:rFonts w:hint="eastAsia" w:ascii="宋体" w:hAnsi="宋体" w:eastAsia="宋体"/>
          <w:color w:val="auto"/>
          <w:sz w:val="24"/>
          <w:highlight w:val="none"/>
        </w:rPr>
        <w:t>费用，</w:t>
      </w:r>
      <w:r>
        <w:rPr>
          <w:rFonts w:hint="eastAsia" w:ascii="宋体" w:hAnsi="宋体" w:eastAsia="宋体"/>
          <w:bCs/>
          <w:color w:val="auto"/>
          <w:sz w:val="24"/>
          <w:highlight w:val="none"/>
        </w:rPr>
        <w:t>投标人不得因此使招标人承担有关的责任和蒙受损失。</w:t>
      </w:r>
    </w:p>
    <w:p>
      <w:pPr>
        <w:shd w:val="clear"/>
        <w:tabs>
          <w:tab w:val="left" w:pos="105"/>
        </w:tabs>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6．投标费用</w:t>
      </w:r>
    </w:p>
    <w:p>
      <w:pPr>
        <w:shd w:val="clear"/>
        <w:tabs>
          <w:tab w:val="left" w:pos="105"/>
        </w:tabs>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highlight w:val="none"/>
        </w:rPr>
        <w:t>不论投标结果如何，投标人应承担</w:t>
      </w:r>
      <w:r>
        <w:rPr>
          <w:rFonts w:hint="eastAsia" w:ascii="宋体" w:hAnsi="宋体" w:eastAsia="宋体"/>
          <w:bCs/>
          <w:color w:val="auto"/>
          <w:sz w:val="24"/>
          <w:highlight w:val="none"/>
        </w:rPr>
        <w:t>自身</w:t>
      </w:r>
      <w:r>
        <w:rPr>
          <w:rFonts w:hint="eastAsia" w:ascii="宋体" w:hAnsi="宋体" w:eastAsia="宋体"/>
          <w:color w:val="auto"/>
          <w:sz w:val="24"/>
          <w:highlight w:val="none"/>
        </w:rPr>
        <w:t>因投标文件编制、递交及其他</w:t>
      </w:r>
      <w:r>
        <w:rPr>
          <w:rFonts w:hint="eastAsia" w:ascii="宋体" w:hAnsi="宋体" w:eastAsia="宋体"/>
          <w:bCs/>
          <w:color w:val="auto"/>
          <w:sz w:val="24"/>
          <w:highlight w:val="none"/>
        </w:rPr>
        <w:t>参加本招标活动</w:t>
      </w:r>
      <w:r>
        <w:rPr>
          <w:rFonts w:hint="eastAsia" w:ascii="宋体" w:hAnsi="宋体" w:eastAsia="宋体"/>
          <w:color w:val="auto"/>
          <w:sz w:val="24"/>
          <w:highlight w:val="none"/>
        </w:rPr>
        <w:t>所涉及的一切费用，招标人对上述费用不负任何责任。</w:t>
      </w:r>
    </w:p>
    <w:p>
      <w:pPr>
        <w:pStyle w:val="4"/>
        <w:shd w:val="clear"/>
        <w:outlineLvl w:val="2"/>
        <w:rPr>
          <w:rFonts w:hint="eastAsia" w:ascii="宋体" w:eastAsia="宋体"/>
          <w:color w:val="auto"/>
          <w:highlight w:val="none"/>
        </w:rPr>
      </w:pPr>
      <w:bookmarkStart w:id="15" w:name="_Toc31604"/>
      <w:bookmarkStart w:id="16" w:name="_Toc101777613"/>
      <w:bookmarkStart w:id="17" w:name="_Toc617"/>
      <w:r>
        <w:rPr>
          <w:rFonts w:hint="eastAsia" w:ascii="宋体" w:eastAsia="宋体"/>
          <w:color w:val="auto"/>
          <w:highlight w:val="none"/>
        </w:rPr>
        <w:t>（二） 招标文件</w:t>
      </w:r>
      <w:bookmarkEnd w:id="15"/>
      <w:bookmarkEnd w:id="16"/>
      <w:bookmarkEnd w:id="17"/>
    </w:p>
    <w:p>
      <w:pPr>
        <w:shd w:val="clear"/>
        <w:tabs>
          <w:tab w:val="left" w:pos="105"/>
        </w:tabs>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7.招标文件的组成</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本招标文件包括下列文件，以及所有按本须知第8条发出的招标答疑会会议纪要和按本须知第9条发出的澄清或修改：</w:t>
      </w:r>
    </w:p>
    <w:p>
      <w:pPr>
        <w:pStyle w:val="19"/>
        <w:shd w:val="clear"/>
        <w:spacing w:after="0" w:afterLines="0" w:line="360" w:lineRule="auto"/>
        <w:ind w:left="-2"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第一章  </w:t>
      </w:r>
      <w:r>
        <w:rPr>
          <w:rFonts w:hint="eastAsia" w:ascii="宋体" w:hAnsi="宋体" w:eastAsia="宋体"/>
          <w:color w:val="auto"/>
          <w:sz w:val="24"/>
          <w:highlight w:val="none"/>
        </w:rPr>
        <w:t>投标人须知</w:t>
      </w:r>
    </w:p>
    <w:p>
      <w:pPr>
        <w:pStyle w:val="19"/>
        <w:shd w:val="clear"/>
        <w:spacing w:after="0" w:afterLines="0" w:line="360" w:lineRule="auto"/>
        <w:ind w:left="-2"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第二章  </w:t>
      </w:r>
      <w:r>
        <w:rPr>
          <w:rFonts w:hint="eastAsia" w:ascii="宋体" w:hAnsi="宋体" w:eastAsia="宋体"/>
          <w:color w:val="auto"/>
          <w:sz w:val="24"/>
          <w:highlight w:val="none"/>
        </w:rPr>
        <w:t>开标、评标及定标办法</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第三章  合同条款</w:t>
      </w:r>
    </w:p>
    <w:p>
      <w:pPr>
        <w:pStyle w:val="19"/>
        <w:shd w:val="clear"/>
        <w:spacing w:after="0" w:afterLines="0" w:line="360" w:lineRule="auto"/>
        <w:ind w:firstLine="480" w:firstLineChars="200"/>
        <w:rPr>
          <w:rFonts w:hint="eastAsia" w:ascii="宋体" w:hAnsi="宋体" w:eastAsia="宋体"/>
          <w:b/>
          <w:color w:val="auto"/>
          <w:sz w:val="24"/>
          <w:highlight w:val="none"/>
        </w:rPr>
      </w:pPr>
      <w:r>
        <w:rPr>
          <w:rFonts w:hint="eastAsia" w:ascii="宋体" w:hAnsi="宋体" w:eastAsia="宋体"/>
          <w:bCs/>
          <w:color w:val="auto"/>
          <w:sz w:val="24"/>
          <w:highlight w:val="none"/>
        </w:rPr>
        <w:t xml:space="preserve">第四章  </w:t>
      </w:r>
      <w:r>
        <w:rPr>
          <w:rFonts w:hint="eastAsia" w:ascii="宋体" w:hAnsi="宋体" w:eastAsia="宋体"/>
          <w:color w:val="auto"/>
          <w:sz w:val="24"/>
          <w:highlight w:val="none"/>
        </w:rPr>
        <w:t>投标文件格式</w:t>
      </w:r>
    </w:p>
    <w:p>
      <w:pPr>
        <w:pStyle w:val="19"/>
        <w:shd w:val="clear"/>
        <w:spacing w:after="0" w:afterLines="0" w:line="360" w:lineRule="auto"/>
        <w:ind w:left="-2"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第五章  </w:t>
      </w:r>
      <w:r>
        <w:rPr>
          <w:rFonts w:hint="eastAsia" w:ascii="宋体" w:hAnsi="宋体" w:eastAsia="宋体"/>
          <w:color w:val="auto"/>
          <w:sz w:val="24"/>
          <w:highlight w:val="none"/>
        </w:rPr>
        <w:t>技术条件（工程建设标准）（另册）</w:t>
      </w:r>
    </w:p>
    <w:p>
      <w:pPr>
        <w:pStyle w:val="19"/>
        <w:shd w:val="clear"/>
        <w:spacing w:after="0" w:afterLines="0" w:line="360" w:lineRule="auto"/>
        <w:ind w:left="-2"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第六章  </w:t>
      </w:r>
      <w:r>
        <w:rPr>
          <w:rFonts w:hint="eastAsia" w:ascii="宋体" w:hAnsi="宋体" w:eastAsia="宋体"/>
          <w:color w:val="auto"/>
          <w:sz w:val="24"/>
          <w:highlight w:val="none"/>
        </w:rPr>
        <w:t>图纸及勘察资料（另册）</w:t>
      </w:r>
    </w:p>
    <w:p>
      <w:pPr>
        <w:pStyle w:val="19"/>
        <w:shd w:val="clear"/>
        <w:spacing w:after="0" w:afterLines="0" w:line="360" w:lineRule="auto"/>
        <w:ind w:left="-2"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第七章  </w:t>
      </w:r>
      <w:r>
        <w:rPr>
          <w:rFonts w:hint="eastAsia" w:ascii="宋体" w:hAnsi="宋体" w:eastAsia="宋体"/>
          <w:color w:val="auto"/>
          <w:sz w:val="24"/>
          <w:highlight w:val="none"/>
        </w:rPr>
        <w:t>工程量清单（另册）</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7.3 投标人一旦中标，招标文件的内容对招标人和中标人双方均有约束力。</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7.4</w:t>
      </w:r>
      <w:r>
        <w:rPr>
          <w:rFonts w:hint="eastAsia" w:ascii="宋体" w:hAnsi="宋体" w:eastAsia="宋体" w:cs="仿宋_GB2312"/>
          <w:color w:val="auto"/>
          <w:sz w:val="24"/>
          <w:szCs w:val="24"/>
          <w:highlight w:val="none"/>
        </w:rPr>
        <w:t>招标人（或委托招标代理机构）使用广东省内依法设立的电子认证服务机构签发的电子签名认证证书对电子招标文件进行电子签名及电子签章，该电子签名及电子签章与招标人手写签名或者盖章具有同等的法律效力。</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7.5发布招标公告的同时，通过</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发布电子招标文件、施工图纸、招标控制价。</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7.6招标文件一经在</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发布，视作已</w:t>
      </w:r>
      <w:r>
        <w:rPr>
          <w:rFonts w:hint="eastAsia" w:ascii="宋体" w:hAnsi="宋体" w:eastAsia="宋体"/>
          <w:color w:val="auto"/>
          <w:sz w:val="24"/>
          <w:highlight w:val="none"/>
        </w:rPr>
        <w:t>发放给所有投标人。</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eastAsia="宋体" w:cs="仿宋_GB2312"/>
          <w:color w:val="auto"/>
          <w:sz w:val="24"/>
          <w:szCs w:val="24"/>
          <w:highlight w:val="none"/>
        </w:rPr>
        <w:t>及电子签章</w:t>
      </w:r>
      <w:r>
        <w:rPr>
          <w:rFonts w:hint="eastAsia" w:ascii="宋体" w:hAnsi="宋体" w:eastAsia="宋体"/>
          <w:color w:val="auto"/>
          <w:sz w:val="24"/>
          <w:szCs w:val="24"/>
          <w:highlight w:val="none"/>
        </w:rPr>
        <w:t>。</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7.8招标人应在招标文件第四章中明确编制投标文件主要内容的格式要求。</w:t>
      </w:r>
    </w:p>
    <w:p>
      <w:pPr>
        <w:widowControl/>
        <w:shd w:val="clear"/>
        <w:snapToGrid w:val="0"/>
        <w:spacing w:line="360" w:lineRule="auto"/>
        <w:ind w:firstLine="472" w:firstLineChars="196"/>
        <w:jc w:val="left"/>
        <w:rPr>
          <w:rFonts w:hint="eastAsia" w:ascii="宋体" w:hAnsi="宋体" w:eastAsia="宋体"/>
          <w:color w:val="auto"/>
          <w:sz w:val="24"/>
          <w:highlight w:val="none"/>
        </w:rPr>
      </w:pPr>
      <w:r>
        <w:rPr>
          <w:rFonts w:hint="eastAsia" w:ascii="宋体" w:hAnsi="宋体" w:eastAsia="宋体"/>
          <w:b/>
          <w:bCs/>
          <w:color w:val="auto"/>
          <w:sz w:val="24"/>
          <w:highlight w:val="none"/>
        </w:rPr>
        <w:t>8．招标答疑</w:t>
      </w:r>
    </w:p>
    <w:p>
      <w:pPr>
        <w:pStyle w:val="19"/>
        <w:shd w:val="clear"/>
        <w:spacing w:after="0" w:afterLines="0" w:line="360"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8.1 招标答疑采用网上答疑方式进行。投标人若对招标文件（包括招标图纸、清单、招标控制价）有疑问的，应在规定的时间内登陆</w:t>
      </w:r>
      <w:r>
        <w:rPr>
          <w:rFonts w:hint="eastAsia" w:ascii="宋体" w:hAnsi="宋体" w:eastAsia="宋体"/>
          <w:color w:val="auto"/>
          <w:sz w:val="24"/>
          <w:szCs w:val="21"/>
          <w:highlight w:val="none"/>
          <w:lang w:eastAsia="zh-CN"/>
        </w:rPr>
        <w:t>广州公共资源交易中心网</w:t>
      </w:r>
      <w:r>
        <w:rPr>
          <w:rFonts w:hint="eastAsia" w:ascii="宋体" w:hAnsi="宋体" w:eastAsia="宋体"/>
          <w:color w:val="auto"/>
          <w:sz w:val="24"/>
          <w:szCs w:val="21"/>
          <w:highlight w:val="none"/>
        </w:rPr>
        <w:t>，将问题提交给招标人或招标代理人，提交问题时一律不得署名。</w:t>
      </w:r>
    </w:p>
    <w:p>
      <w:pPr>
        <w:pStyle w:val="19"/>
        <w:shd w:val="clear"/>
        <w:spacing w:after="0" w:afterLines="0" w:line="360"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8.2投标人应在投标截止时间前10日停止</w:t>
      </w:r>
      <w:r>
        <w:rPr>
          <w:rFonts w:hint="eastAsia" w:ascii="宋体" w:hAnsi="宋体" w:eastAsia="宋体"/>
          <w:color w:val="auto"/>
          <w:sz w:val="24"/>
          <w:szCs w:val="21"/>
          <w:highlight w:val="none"/>
          <w:lang w:val="en-US" w:eastAsia="zh-CN"/>
        </w:rPr>
        <w:t>提</w:t>
      </w:r>
      <w:r>
        <w:rPr>
          <w:rFonts w:hint="eastAsia" w:ascii="宋体" w:hAnsi="宋体" w:eastAsia="宋体"/>
          <w:color w:val="auto"/>
          <w:sz w:val="24"/>
          <w:szCs w:val="21"/>
          <w:highlight w:val="none"/>
        </w:rPr>
        <w:t>疑，招标人应在投标截止时间7日前解答投标人对招标文件提出的疑问，形成答疑纪要，并在</w:t>
      </w:r>
      <w:r>
        <w:rPr>
          <w:rFonts w:hint="eastAsia" w:ascii="宋体" w:hAnsi="宋体" w:eastAsia="宋体"/>
          <w:color w:val="auto"/>
          <w:sz w:val="24"/>
          <w:szCs w:val="21"/>
          <w:highlight w:val="none"/>
          <w:lang w:eastAsia="zh-CN"/>
        </w:rPr>
        <w:t>广州公共资源交易中心网</w:t>
      </w:r>
      <w:r>
        <w:rPr>
          <w:rFonts w:hint="eastAsia" w:ascii="宋体" w:hAnsi="宋体" w:eastAsia="宋体"/>
          <w:color w:val="auto"/>
          <w:sz w:val="24"/>
          <w:szCs w:val="21"/>
          <w:highlight w:val="none"/>
        </w:rPr>
        <w:t>发布。</w:t>
      </w:r>
    </w:p>
    <w:p>
      <w:pPr>
        <w:pStyle w:val="19"/>
        <w:shd w:val="clear"/>
        <w:spacing w:after="0" w:afterLines="0" w:line="360"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8.3招标答疑纪要一经在</w:t>
      </w:r>
      <w:r>
        <w:rPr>
          <w:rFonts w:hint="eastAsia" w:ascii="宋体" w:hAnsi="宋体" w:eastAsia="宋体"/>
          <w:color w:val="auto"/>
          <w:sz w:val="24"/>
          <w:szCs w:val="21"/>
          <w:highlight w:val="none"/>
          <w:lang w:eastAsia="zh-CN"/>
        </w:rPr>
        <w:t>广州公共资源交易中心网</w:t>
      </w:r>
      <w:r>
        <w:rPr>
          <w:rFonts w:hint="eastAsia" w:ascii="宋体" w:hAnsi="宋体" w:eastAsia="宋体"/>
          <w:color w:val="auto"/>
          <w:sz w:val="24"/>
          <w:szCs w:val="21"/>
          <w:highlight w:val="none"/>
        </w:rPr>
        <w:t>发布，视作已发放给所有投标人。</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1"/>
          <w:highlight w:val="none"/>
        </w:rPr>
        <w:t>8.4 若招标答疑纪要与招标文件有矛盾时，以</w:t>
      </w:r>
      <w:r>
        <w:rPr>
          <w:rFonts w:hint="eastAsia" w:ascii="宋体" w:hAnsi="宋体" w:eastAsia="宋体"/>
          <w:color w:val="auto"/>
          <w:sz w:val="24"/>
          <w:szCs w:val="21"/>
          <w:highlight w:val="none"/>
          <w:lang w:eastAsia="zh-CN"/>
        </w:rPr>
        <w:t>广州公共资源交易中心网</w:t>
      </w:r>
      <w:r>
        <w:rPr>
          <w:rFonts w:hint="eastAsia" w:ascii="宋体" w:hAnsi="宋体" w:eastAsia="宋体"/>
          <w:color w:val="auto"/>
          <w:sz w:val="24"/>
          <w:szCs w:val="21"/>
          <w:highlight w:val="none"/>
        </w:rPr>
        <w:t>最后发布的答疑纪要为准。</w:t>
      </w:r>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9.招标文件的澄清与修改</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9.1招标文件发出后,在投标截止时间15日前，招标人可对招标文件进行必要的澄清或修改。</w:t>
      </w:r>
    </w:p>
    <w:p>
      <w:pPr>
        <w:pStyle w:val="19"/>
        <w:shd w:val="clear"/>
        <w:spacing w:before="50" w:beforeLines="0" w:after="50" w:afterLines="0" w:line="360" w:lineRule="auto"/>
        <w:ind w:firstLine="480" w:firstLineChars="200"/>
        <w:rPr>
          <w:rFonts w:hint="eastAsia" w:ascii="宋体" w:hAnsi="宋体" w:eastAsia="宋体"/>
          <w:strike/>
          <w:color w:val="auto"/>
          <w:sz w:val="24"/>
          <w:highlight w:val="none"/>
        </w:rPr>
      </w:pPr>
      <w:r>
        <w:rPr>
          <w:rFonts w:hint="eastAsia" w:ascii="宋体" w:hAnsi="宋体" w:eastAsia="宋体"/>
          <w:color w:val="auto"/>
          <w:sz w:val="24"/>
          <w:highlight w:val="none"/>
        </w:rPr>
        <w:t>9.2招标文件的澄清或修改在</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发布。招标文件的澄清或修改一经在</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发布，视作已发放给所有投标人。</w:t>
      </w:r>
    </w:p>
    <w:p>
      <w:pPr>
        <w:pStyle w:val="19"/>
        <w:shd w:val="clear"/>
        <w:spacing w:after="0" w:afterLines="0" w:line="360" w:lineRule="auto"/>
        <w:ind w:firstLine="480" w:firstLineChars="200"/>
        <w:rPr>
          <w:rFonts w:hint="eastAsia" w:ascii="宋体" w:hAnsi="宋体" w:eastAsia="宋体"/>
          <w:strike/>
          <w:color w:val="auto"/>
          <w:sz w:val="24"/>
          <w:highlight w:val="none"/>
        </w:rPr>
      </w:pPr>
      <w:r>
        <w:rPr>
          <w:rFonts w:hint="eastAsia" w:ascii="宋体" w:hAnsi="宋体" w:eastAsia="宋体"/>
          <w:color w:val="auto"/>
          <w:sz w:val="24"/>
          <w:highlight w:val="none"/>
        </w:rPr>
        <w:t>9.3招标文件的澄清、修改均以</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发布</w:t>
      </w:r>
      <w:r>
        <w:rPr>
          <w:rFonts w:hint="eastAsia" w:ascii="宋体" w:hAnsi="宋体" w:eastAsia="宋体"/>
          <w:color w:val="auto"/>
          <w:sz w:val="24"/>
          <w:highlight w:val="none"/>
        </w:rPr>
        <w:t>的内容为准。当招标文件的澄清、修改在同一内容的表述不一致时，以</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highlight w:val="none"/>
        </w:rPr>
        <w:t>最后发布的内容为准。</w:t>
      </w:r>
    </w:p>
    <w:p>
      <w:pPr>
        <w:pStyle w:val="4"/>
        <w:shd w:val="clear"/>
        <w:outlineLvl w:val="2"/>
        <w:rPr>
          <w:rFonts w:hint="eastAsia" w:ascii="宋体" w:eastAsia="宋体"/>
          <w:color w:val="auto"/>
          <w:highlight w:val="none"/>
        </w:rPr>
      </w:pPr>
      <w:bookmarkStart w:id="18" w:name="_Toc2119"/>
      <w:bookmarkStart w:id="19" w:name="_Toc101777614"/>
      <w:bookmarkStart w:id="20" w:name="_Toc22683"/>
      <w:r>
        <w:rPr>
          <w:rFonts w:hint="eastAsia" w:ascii="宋体" w:eastAsia="宋体"/>
          <w:color w:val="auto"/>
          <w:highlight w:val="none"/>
        </w:rPr>
        <w:t>（三） 投标文件的编制</w:t>
      </w:r>
      <w:bookmarkEnd w:id="18"/>
      <w:bookmarkEnd w:id="19"/>
      <w:bookmarkEnd w:id="20"/>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10．投标文件的语言及度量衡单位</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10.1 投标文件和与投标有关的所有文件均应使用中文。</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10.2 除工程规范另有规定外，投标文件使用的度量衡单位，均采用中华人民共和国法定计量单位。</w:t>
      </w:r>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 xml:space="preserve">11．投标文件的组成   </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11.1法定代表人证明书，如投标文件为委托代理人签署应同时附上法定代表人证明书和法定代表人授权书。 </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11.2企业资质证书</w:t>
      </w:r>
      <w:r>
        <w:rPr>
          <w:rFonts w:hint="eastAsia" w:ascii="宋体" w:hAnsi="宋体" w:eastAsia="宋体"/>
          <w:bCs/>
          <w:color w:val="auto"/>
          <w:sz w:val="24"/>
          <w:szCs w:val="24"/>
          <w:highlight w:val="none"/>
          <w:lang w:eastAsia="zh-CN"/>
        </w:rPr>
        <w:t>和企业营业执照</w:t>
      </w:r>
      <w:r>
        <w:rPr>
          <w:rFonts w:hint="eastAsia" w:ascii="宋体" w:hAnsi="宋体" w:eastAsia="宋体"/>
          <w:bCs/>
          <w:color w:val="auto"/>
          <w:sz w:val="24"/>
          <w:szCs w:val="24"/>
          <w:highlight w:val="none"/>
        </w:rPr>
        <w:t>；</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11.3建筑施工企业安全生产许可证；</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11.4项目负责人的注册证书或资格证书；</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11.5项目</w:t>
      </w:r>
      <w:r>
        <w:rPr>
          <w:rFonts w:hint="eastAsia" w:ascii="宋体" w:hAnsi="宋体" w:eastAsia="宋体"/>
          <w:color w:val="auto"/>
          <w:sz w:val="24"/>
          <w:szCs w:val="24"/>
          <w:highlight w:val="none"/>
        </w:rPr>
        <w:t>负责人的</w:t>
      </w:r>
      <w:r>
        <w:rPr>
          <w:rFonts w:hint="eastAsia" w:ascii="宋体" w:hAnsi="宋体" w:eastAsia="宋体"/>
          <w:bCs/>
          <w:color w:val="auto"/>
          <w:sz w:val="24"/>
          <w:szCs w:val="24"/>
          <w:highlight w:val="none"/>
        </w:rPr>
        <w:t>安全生产考核合格证（B类），且项目负责人与安全员不为同一人；</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11.6专职安全员的</w:t>
      </w:r>
      <w:r>
        <w:rPr>
          <w:rFonts w:hint="eastAsia" w:ascii="宋体" w:hAnsi="宋体" w:eastAsia="宋体"/>
          <w:bCs/>
          <w:color w:val="auto"/>
          <w:sz w:val="24"/>
          <w:szCs w:val="24"/>
          <w:highlight w:val="none"/>
        </w:rPr>
        <w:t>安全生产考核合格证（C类）或建筑施工企业专职安全生产管理人员安全生产考核合格证书（C3类）；</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hint="eastAsia" w:ascii="宋体" w:hAnsi="宋体" w:eastAsia="宋体"/>
          <w:bCs/>
          <w:color w:val="auto"/>
          <w:sz w:val="24"/>
          <w:szCs w:val="24"/>
          <w:highlight w:val="none"/>
          <w:lang w:val="en-US" w:eastAsia="zh-CN"/>
        </w:rPr>
        <w:t>7</w:t>
      </w:r>
      <w:r>
        <w:rPr>
          <w:rFonts w:hint="eastAsia" w:ascii="宋体" w:hAnsi="宋体" w:eastAsia="宋体"/>
          <w:bCs/>
          <w:color w:val="auto"/>
          <w:sz w:val="24"/>
          <w:szCs w:val="24"/>
          <w:highlight w:val="none"/>
        </w:rPr>
        <w:t>投标人按照规定的格式及内容要求签署的《投标申请人声明》（格式见第四章）；</w:t>
      </w:r>
    </w:p>
    <w:p>
      <w:pPr>
        <w:shd w:val="clear"/>
        <w:tabs>
          <w:tab w:val="left" w:pos="1125"/>
        </w:tabs>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hint="eastAsia" w:ascii="宋体" w:hAnsi="宋体" w:eastAsia="宋体"/>
          <w:bCs/>
          <w:color w:val="auto"/>
          <w:sz w:val="24"/>
          <w:szCs w:val="24"/>
          <w:highlight w:val="none"/>
          <w:lang w:val="en-US" w:eastAsia="zh-CN"/>
        </w:rPr>
        <w:t>8</w:t>
      </w:r>
      <w:r>
        <w:rPr>
          <w:rFonts w:hint="eastAsia" w:ascii="宋体" w:hAnsi="宋体" w:eastAsia="宋体"/>
          <w:bCs/>
          <w:color w:val="auto"/>
          <w:sz w:val="24"/>
          <w:szCs w:val="24"/>
          <w:highlight w:val="none"/>
        </w:rPr>
        <w:t>《投标函》（格式见第四章）</w:t>
      </w:r>
    </w:p>
    <w:p>
      <w:pPr>
        <w:shd w:val="clear"/>
        <w:tabs>
          <w:tab w:val="left" w:pos="1125"/>
        </w:tabs>
        <w:spacing w:line="360" w:lineRule="auto"/>
        <w:ind w:firstLine="480" w:firstLineChars="200"/>
        <w:rPr>
          <w:rFonts w:hint="eastAsia" w:ascii="宋体" w:hAnsi="宋体" w:eastAsia="宋体"/>
          <w:bCs/>
          <w:strike/>
          <w:color w:val="auto"/>
          <w:sz w:val="24"/>
          <w:szCs w:val="24"/>
          <w:highlight w:val="none"/>
        </w:rPr>
      </w:pPr>
      <w:r>
        <w:rPr>
          <w:rFonts w:hint="eastAsia" w:ascii="宋体" w:hAnsi="宋体" w:eastAsia="宋体"/>
          <w:bCs/>
          <w:color w:val="auto"/>
          <w:sz w:val="24"/>
          <w:szCs w:val="24"/>
          <w:highlight w:val="none"/>
        </w:rPr>
        <w:t>11.</w:t>
      </w:r>
      <w:r>
        <w:rPr>
          <w:rFonts w:hint="eastAsia" w:ascii="宋体" w:hAnsi="宋体" w:eastAsia="宋体"/>
          <w:bCs/>
          <w:color w:val="auto"/>
          <w:sz w:val="24"/>
          <w:szCs w:val="24"/>
          <w:highlight w:val="none"/>
          <w:lang w:val="en-US" w:eastAsia="zh-CN"/>
        </w:rPr>
        <w:t>9</w:t>
      </w:r>
      <w:r>
        <w:rPr>
          <w:rFonts w:hint="eastAsia" w:ascii="宋体" w:hAnsi="宋体" w:eastAsia="宋体"/>
          <w:bCs/>
          <w:color w:val="auto"/>
          <w:sz w:val="24"/>
          <w:szCs w:val="24"/>
          <w:highlight w:val="none"/>
        </w:rPr>
        <w:t>《清远市建设工程施工招标投标书》（格式见第四章）</w:t>
      </w:r>
    </w:p>
    <w:p>
      <w:pPr>
        <w:shd w:val="clear"/>
        <w:tabs>
          <w:tab w:val="left" w:pos="1125"/>
        </w:tabs>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11.1</w:t>
      </w:r>
      <w:r>
        <w:rPr>
          <w:rFonts w:hint="eastAsia" w:ascii="宋体" w:hAnsi="宋体" w:eastAsia="宋体"/>
          <w:bCs/>
          <w:color w:val="auto"/>
          <w:sz w:val="24"/>
          <w:szCs w:val="24"/>
          <w:highlight w:val="none"/>
          <w:lang w:val="en-US" w:eastAsia="zh-CN"/>
        </w:rPr>
        <w:t>0</w:t>
      </w:r>
      <w:r>
        <w:rPr>
          <w:rFonts w:hint="eastAsia" w:ascii="宋体" w:hAnsi="宋体" w:eastAsia="宋体"/>
          <w:bCs/>
          <w:color w:val="auto"/>
          <w:sz w:val="24"/>
          <w:szCs w:val="24"/>
          <w:highlight w:val="none"/>
        </w:rPr>
        <w:t>投标报价部分：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本项目不适用</w:t>
      </w:r>
      <w:r>
        <w:rPr>
          <w:rFonts w:hint="eastAsia" w:ascii="宋体" w:hAnsi="宋体" w:eastAsia="宋体"/>
          <w:bCs/>
          <w:color w:val="auto"/>
          <w:sz w:val="24"/>
          <w:szCs w:val="24"/>
          <w:highlight w:val="none"/>
          <w:lang w:eastAsia="zh-CN"/>
        </w:rPr>
        <w:t>）</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.1投标总价封面</w:t>
      </w:r>
    </w:p>
    <w:p>
      <w:p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.2工程量清单报价表，其中列表明细如下：</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投标总价扉页</w:t>
      </w:r>
    </w:p>
    <w:p>
      <w:pPr>
        <w:numPr>
          <w:ilvl w:val="0"/>
          <w:numId w:val="2"/>
        </w:numPr>
        <w:shd w:val="clear"/>
        <w:spacing w:line="360" w:lineRule="auto"/>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投标总价总说明</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工程项目投标报价汇总表；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单项工程投标报价汇总表；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单位工程投标报价汇总表；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分部分项工程量清单报价表；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措施项目清单与计价表（一）；</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措施项目清单与计价表（二）；</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其他项目清单与计价表；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暂列金额明细表；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材料设备暂估价明细表；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专业工程暂估价明细表；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计日工计价表；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总承包服务计价表；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规费和税金项目计算表；</w:t>
      </w:r>
    </w:p>
    <w:p>
      <w:pPr>
        <w:numPr>
          <w:ilvl w:val="0"/>
          <w:numId w:val="2"/>
        </w:num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人工、主要材料设备、机械台班价格表</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.3</w:t>
      </w:r>
      <w:r>
        <w:rPr>
          <w:rFonts w:hint="eastAsia" w:ascii="宋体" w:hAnsi="宋体" w:eastAsia="宋体"/>
          <w:color w:val="auto"/>
          <w:sz w:val="24"/>
          <w:highlight w:val="none"/>
        </w:rPr>
        <w:t>综合单价分析表</w:t>
      </w:r>
      <w:r>
        <w:rPr>
          <w:rFonts w:hint="eastAsia" w:ascii="宋体" w:hAnsi="宋体" w:eastAsia="宋体"/>
          <w:color w:val="auto"/>
          <w:sz w:val="24"/>
          <w:szCs w:val="24"/>
          <w:highlight w:val="none"/>
        </w:rPr>
        <w:t>；</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.4其它辅助说明资料；</w:t>
      </w:r>
    </w:p>
    <w:p>
      <w:pPr>
        <w:shd w:val="clear"/>
        <w:tabs>
          <w:tab w:val="left" w:pos="1125"/>
        </w:tabs>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.5工程量清单的组成、编制、计价、格式、项目编码、项目名称、工程内容、计量单位和工程量计算规则按照招标人给出的工程量清单及国家、省有关计价规范执行；</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.6投标人应使用符合《广东省工程造价文件数据交换标准（电子评标部分）交易中心实施细则》的计价软件制作工程量清单报价表和单价分析表（如本招标文件要求单价分析表）；</w:t>
      </w:r>
    </w:p>
    <w:p>
      <w:pPr>
        <w:pStyle w:val="19"/>
        <w:shd w:val="clear"/>
        <w:spacing w:after="0" w:afterLines="0" w:line="360" w:lineRule="auto"/>
        <w:ind w:firstLine="480" w:firstLineChars="200"/>
        <w:rPr>
          <w:rFonts w:hint="eastAsia" w:ascii="宋体" w:hAnsi="宋体" w:eastAsia="宋体"/>
          <w:strike w:val="0"/>
          <w:color w:val="auto"/>
          <w:sz w:val="24"/>
          <w:szCs w:val="24"/>
          <w:highlight w:val="none"/>
        </w:rPr>
      </w:pPr>
      <w:r>
        <w:rPr>
          <w:rFonts w:hint="eastAsia" w:ascii="宋体" w:hAnsi="宋体" w:eastAsia="宋体"/>
          <w:strike w:val="0"/>
          <w:color w:val="auto"/>
          <w:sz w:val="24"/>
          <w:szCs w:val="24"/>
          <w:highlight w:val="none"/>
        </w:rPr>
        <w:t>11.1</w:t>
      </w:r>
      <w:r>
        <w:rPr>
          <w:rFonts w:hint="eastAsia" w:ascii="宋体" w:hAnsi="宋体" w:eastAsia="宋体"/>
          <w:strike w:val="0"/>
          <w:color w:val="auto"/>
          <w:sz w:val="24"/>
          <w:szCs w:val="24"/>
          <w:highlight w:val="none"/>
          <w:lang w:val="en-US" w:eastAsia="zh-CN"/>
        </w:rPr>
        <w:t>2</w:t>
      </w:r>
      <w:r>
        <w:rPr>
          <w:rFonts w:hint="eastAsia" w:ascii="宋体" w:hAnsi="宋体" w:eastAsia="宋体"/>
          <w:strike w:val="0"/>
          <w:color w:val="auto"/>
          <w:sz w:val="24"/>
          <w:szCs w:val="24"/>
          <w:highlight w:val="none"/>
        </w:rPr>
        <w:t xml:space="preserve"> 提交投标保证金证明；[投标人需上传银行转账凭证或银行保函或建设工程投标保证保险（保险合同或保险单）或第三方担保机构出具的投标保证金担保函；同时还需上传投标人基本存款账户证明文件扫描件。]（如</w:t>
      </w:r>
      <w:r>
        <w:rPr>
          <w:rFonts w:hint="eastAsia" w:ascii="宋体" w:hAnsi="宋体" w:eastAsia="宋体"/>
          <w:strike w:val="0"/>
          <w:color w:val="auto"/>
          <w:sz w:val="24"/>
          <w:szCs w:val="24"/>
          <w:highlight w:val="none"/>
          <w:lang w:val="en-US" w:eastAsia="zh-CN"/>
        </w:rPr>
        <w:t>需提供提交保证金则提供</w:t>
      </w:r>
      <w:r>
        <w:rPr>
          <w:rFonts w:hint="eastAsia" w:ascii="宋体" w:hAnsi="宋体" w:eastAsia="宋体"/>
          <w:strike w:val="0"/>
          <w:color w:val="auto"/>
          <w:sz w:val="24"/>
          <w:szCs w:val="24"/>
          <w:highlight w:val="none"/>
        </w:rPr>
        <w:t>）</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资信标部分；（如有）</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技术标部分；（如有）</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xml:space="preserve"> 投标人须知前附表规定的其他材料。</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12．投标文件格式</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12.1投标人递交的投标文件应当使用招标文件所规定的投标文件全部格式。</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12.3电子投标文件统一采用网络上传的形式，投标人需登录</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在递交投标文件截止时间前完整上传至</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12.4技术标暗标应当按照统一的文档格式和要求编制，不得出现投标人的名称、标志或者管理班子人员姓名，不得出现任何与判断投标人身份相关的标识或暗示，否则，评标委员会将对该投标予以否决。具体的制作要求详见投标人须知前附表。</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12.5投标文件统一制作成PDF格式文件，所附证书证件均为原件扫描件，需个人签字或盖章的应手签后扫描上传。投标文件应采用单位数字证书，按招标文件要求在相应位置加盖电子印章且不能进行压缩处理，详见第四章投标文件格式说明。</w:t>
      </w:r>
    </w:p>
    <w:p>
      <w:pPr>
        <w:pStyle w:val="19"/>
        <w:shd w:val="clear"/>
        <w:spacing w:after="0" w:afterLines="0"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highlight w:val="none"/>
        </w:rPr>
        <w:t>12.6投标文件应按上述编排要求编制。如因不按上述编排要求编制而所引起系统无法检索、读取相关信息时，其后果由投标人承担。</w:t>
      </w:r>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13．投标总报价及造价承包和变更结算方式</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13.1 本工程的投标总报价采用投标人须知前附表所规定的方式。</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13.3投标人的投标总报价，应是按照投标人须知前附表的工期要求，在投标人须知前附表的建设地点，完成投标人须知前附表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Pr>
          <w:rFonts w:hint="eastAsia" w:ascii="宋体" w:hAnsi="宋体" w:eastAsia="宋体"/>
          <w:color w:val="auto"/>
          <w:sz w:val="24"/>
          <w:szCs w:val="24"/>
          <w:highlight w:val="none"/>
        </w:rPr>
        <w:t>有关规费、暂列金额、暂估价、安全文明施工措施费等非竞争性项目明列了单价或合价金额的，投标人应按照明列的单价或合价金额报价，未按照规定金额报价的，作否决投标处理。</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13.4</w:t>
      </w:r>
      <w:r>
        <w:rPr>
          <w:rFonts w:hint="eastAsia" w:ascii="宋体" w:hAnsi="宋体" w:eastAsia="宋体"/>
          <w:color w:val="auto"/>
          <w:sz w:val="24"/>
          <w:szCs w:val="24"/>
          <w:highlight w:val="none"/>
        </w:rPr>
        <w:t>投标人一旦中标，投标人对招标人提供的工程量清单中列出的工程项目所报出的综合单价和措施项目费，在工程结算时应按照</w:t>
      </w:r>
      <w:r>
        <w:rPr>
          <w:rFonts w:ascii="宋体" w:hAnsi="宋体" w:eastAsia="宋体"/>
          <w:color w:val="auto"/>
          <w:sz w:val="24"/>
          <w:szCs w:val="24"/>
          <w:highlight w:val="none"/>
        </w:rPr>
        <w:t>招标文件及合同中明确在人工、材料、设备或机械台班市场价格发生异常变动情况时合同价款的调整办法</w:t>
      </w:r>
      <w:r>
        <w:rPr>
          <w:rFonts w:hint="eastAsia" w:ascii="宋体" w:hAnsi="宋体" w:eastAsia="宋体"/>
          <w:color w:val="auto"/>
          <w:sz w:val="24"/>
          <w:szCs w:val="24"/>
          <w:highlight w:val="none"/>
        </w:rPr>
        <w:t>调整</w:t>
      </w:r>
      <w:r>
        <w:rPr>
          <w:rFonts w:ascii="宋体" w:hAnsi="宋体" w:eastAsia="宋体"/>
          <w:color w:val="auto"/>
          <w:sz w:val="24"/>
          <w:szCs w:val="24"/>
          <w:highlight w:val="none"/>
        </w:rPr>
        <w:t>。</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13.5.1中标的投标文件工程量清单中已有相同项目的适用综合单价，则沿用；</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清远市造价管理机构同期《清远工程造价信息》计算，《清远工程造价信息》没有的材料单价，</w:t>
      </w:r>
      <w:r>
        <w:rPr>
          <w:rFonts w:hint="eastAsia" w:ascii="宋体" w:hAnsi="宋体" w:eastAsia="宋体"/>
          <w:color w:val="auto"/>
          <w:sz w:val="24"/>
          <w:szCs w:val="24"/>
          <w:highlight w:val="none"/>
        </w:rPr>
        <w:t>由招标人在招标文件中依法确定计价方式。</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13.5.3 中标的投标文件工程量清单中没有相同项目或类似项目的，如可套取相关定额，则以相关定额为基数下浮计算单价,下浮率为中标价相对于招标控制价的下浮率（下浮率=(招标控制价-中标价)/招标控制价）。</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13.5.4 如相关定额没有相应子目的，其计价方式由招标人在本招标文件第三章中另行规定。未规定的，中标后双方协商约定。</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13.6 </w:t>
      </w:r>
      <w:r>
        <w:rPr>
          <w:rFonts w:hint="eastAsia" w:ascii="宋体" w:hAnsi="宋体" w:eastAsia="宋体"/>
          <w:color w:val="auto"/>
          <w:sz w:val="24"/>
          <w:szCs w:val="24"/>
          <w:highlight w:val="none"/>
        </w:rPr>
        <w:t>暂列金额、暂估价</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highlight w:val="none"/>
        </w:rPr>
        <w:t>13.6.1</w:t>
      </w:r>
      <w:r>
        <w:rPr>
          <w:rFonts w:hint="eastAsia" w:ascii="宋体" w:hAnsi="宋体" w:eastAsia="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暂估价是指招标人在工程量清单中提供的用于支付必然发生但暂时不能确定价格的材料的单价以及专业工程的金额。</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13.6.2</w:t>
      </w:r>
      <w:r>
        <w:rPr>
          <w:rFonts w:hint="eastAsia" w:ascii="宋体" w:hAnsi="宋体" w:eastAsia="宋体"/>
          <w:color w:val="auto"/>
          <w:sz w:val="24"/>
          <w:highlight w:val="none"/>
        </w:rPr>
        <w:t>在工程实施中，</w:t>
      </w:r>
      <w:r>
        <w:rPr>
          <w:rFonts w:hint="eastAsia" w:ascii="宋体" w:hAnsi="宋体" w:eastAsia="宋体"/>
          <w:color w:val="auto"/>
          <w:sz w:val="24"/>
          <w:szCs w:val="24"/>
          <w:highlight w:val="none"/>
        </w:rPr>
        <w:t>暂列金额项目是否招标，需要综合考虑《中华人民共和国招标投标法实施条例》第九条以及合同变更条款等因素。需要招标</w:t>
      </w:r>
      <w:r>
        <w:rPr>
          <w:rFonts w:hint="eastAsia" w:ascii="宋体" w:hAnsi="宋体" w:eastAsia="宋体"/>
          <w:color w:val="auto"/>
          <w:sz w:val="24"/>
          <w:highlight w:val="none"/>
        </w:rPr>
        <w:t>的，应由招标人或中标人招标，确定承包人和承包价格。</w:t>
      </w:r>
    </w:p>
    <w:p>
      <w:pPr>
        <w:pStyle w:val="19"/>
        <w:shd w:val="clear"/>
        <w:spacing w:after="0" w:afterLines="0" w:line="360" w:lineRule="auto"/>
        <w:ind w:firstLine="480" w:firstLineChars="200"/>
        <w:rPr>
          <w:rFonts w:hint="eastAsia" w:ascii="宋体" w:hAnsi="宋体" w:eastAsia="宋体"/>
          <w:strike/>
          <w:color w:val="auto"/>
          <w:sz w:val="24"/>
          <w:highlight w:val="none"/>
        </w:rPr>
      </w:pPr>
      <w:r>
        <w:rPr>
          <w:rFonts w:hint="eastAsia" w:ascii="宋体" w:hAnsi="宋体" w:eastAsia="宋体"/>
          <w:color w:val="auto"/>
          <w:sz w:val="24"/>
          <w:szCs w:val="24"/>
          <w:highlight w:val="none"/>
        </w:rPr>
        <w:t>13.6.3</w:t>
      </w:r>
      <w:r>
        <w:rPr>
          <w:rFonts w:hint="eastAsia" w:ascii="宋体" w:hAnsi="宋体" w:eastAsia="宋体"/>
          <w:color w:val="auto"/>
          <w:sz w:val="24"/>
          <w:highlight w:val="none"/>
        </w:rPr>
        <w:t>本工程招标工程量清单中暂估价项目：在工程实施过程中，达到招标标准的，以财政审定预算价作为采购最高限价，由本工程中标人作为招标主体采用企业招标方式确定承包人和承包价格，中标价作为结算价；未达到招标标准的，可按照上述企业采购的方式和要求确定承包人和承包价格，中标价作为结算价，也可采用询价方式确定承包价格。采用询价方式时，由承包人负责实施，由发包人、承包人及监理工程师三方进行市场询价后报清远市财政局核定，以清远市财政局核定的价格为准，但经询价的材料（设备）价不参与下浮。</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13.6.4 在工程实施中，暂列金、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不予支付。</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13.8属于承包人自行采购的主要材料、设备，招标人应当在招标文件中提出材料、设备的技术标准或者质量要求，或者以事先公开征集的方式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14．投标货币</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本工程投标总报价采用的币种为人民币。</w:t>
      </w:r>
    </w:p>
    <w:p>
      <w:pPr>
        <w:pStyle w:val="19"/>
        <w:shd w:val="clear"/>
        <w:spacing w:after="0" w:afterLines="0" w:line="360" w:lineRule="auto"/>
        <w:ind w:firstLine="482" w:firstLineChars="200"/>
        <w:rPr>
          <w:rFonts w:hint="eastAsia" w:ascii="宋体" w:hAnsi="宋体" w:eastAsia="宋体"/>
          <w:color w:val="auto"/>
          <w:sz w:val="24"/>
          <w:highlight w:val="none"/>
        </w:rPr>
      </w:pPr>
      <w:r>
        <w:rPr>
          <w:rFonts w:hint="eastAsia" w:ascii="宋体" w:hAnsi="宋体" w:eastAsia="宋体"/>
          <w:b/>
          <w:bCs/>
          <w:color w:val="auto"/>
          <w:sz w:val="24"/>
          <w:highlight w:val="none"/>
        </w:rPr>
        <w:t>15．投标有效期</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15.1 投标有效期见投标人须知前附表所规定的期限，在此期限内，凡符合本招标文件要求的投标文件均保持有效。</w:t>
      </w:r>
    </w:p>
    <w:p>
      <w:pPr>
        <w:pStyle w:val="19"/>
        <w:shd w:val="clear"/>
        <w:spacing w:after="0" w:afterLines="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退还与否的规定仍然适用。</w:t>
      </w:r>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16．投标保证金</w:t>
      </w:r>
    </w:p>
    <w:p>
      <w:pPr>
        <w:pStyle w:val="31"/>
        <w:shd w:val="clear"/>
        <w:spacing w:line="360" w:lineRule="auto"/>
        <w:ind w:firstLine="480" w:firstLineChars="200"/>
        <w:rPr>
          <w:rFonts w:hint="eastAsia" w:ascii="宋体" w:hAnsi="宋体"/>
          <w:color w:val="auto"/>
          <w:sz w:val="24"/>
          <w:highlight w:val="none"/>
        </w:rPr>
      </w:pPr>
      <w:r>
        <w:rPr>
          <w:rFonts w:ascii="宋体" w:hAnsi="宋体"/>
          <w:color w:val="auto"/>
          <w:sz w:val="24"/>
          <w:highlight w:val="none"/>
        </w:rPr>
        <w:t>16.1投标人应按投标人须知前附表所述金额</w:t>
      </w:r>
      <w:r>
        <w:rPr>
          <w:rFonts w:hint="eastAsia" w:ascii="宋体" w:hAnsi="宋体"/>
          <w:color w:val="auto"/>
          <w:sz w:val="24"/>
          <w:highlight w:val="none"/>
        </w:rPr>
        <w:t>、形式</w:t>
      </w:r>
      <w:r>
        <w:rPr>
          <w:rFonts w:ascii="宋体" w:hAnsi="宋体"/>
          <w:color w:val="auto"/>
          <w:sz w:val="24"/>
          <w:highlight w:val="none"/>
        </w:rPr>
        <w:t>递交投标保证金</w:t>
      </w:r>
      <w:r>
        <w:rPr>
          <w:rFonts w:hint="eastAsia" w:ascii="宋体" w:hAnsi="宋体"/>
          <w:color w:val="auto"/>
          <w:sz w:val="24"/>
          <w:highlight w:val="none"/>
        </w:rPr>
        <w:t>，</w:t>
      </w:r>
      <w:r>
        <w:rPr>
          <w:rFonts w:ascii="宋体" w:hAnsi="宋体"/>
          <w:color w:val="auto"/>
          <w:sz w:val="24"/>
          <w:highlight w:val="none"/>
        </w:rPr>
        <w:t>招标人可委托</w:t>
      </w:r>
      <w:r>
        <w:rPr>
          <w:rFonts w:hint="eastAsia" w:ascii="宋体" w:hAnsi="宋体"/>
          <w:color w:val="auto"/>
          <w:sz w:val="24"/>
          <w:highlight w:val="none"/>
          <w:lang w:eastAsia="zh-CN"/>
        </w:rPr>
        <w:t>广州公共资源交易中心网</w:t>
      </w:r>
      <w:r>
        <w:rPr>
          <w:rFonts w:ascii="宋体" w:hAnsi="宋体"/>
          <w:color w:val="auto"/>
          <w:sz w:val="24"/>
          <w:highlight w:val="none"/>
        </w:rPr>
        <w:t>具体实施保证金的收取和退还工作</w:t>
      </w:r>
      <w:r>
        <w:rPr>
          <w:rFonts w:hint="eastAsia" w:ascii="宋体" w:hAnsi="宋体"/>
          <w:color w:val="auto"/>
          <w:sz w:val="24"/>
          <w:highlight w:val="none"/>
        </w:rPr>
        <w:t>。联合体投标的，其投标保证金由牵头人递交，并应符合“投标人须知前附表”的规定。</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16.2</w:t>
      </w:r>
      <w:r>
        <w:rPr>
          <w:rFonts w:hint="eastAsia" w:ascii="宋体" w:hAnsi="宋体"/>
          <w:color w:val="auto"/>
          <w:sz w:val="24"/>
          <w:highlight w:val="none"/>
        </w:rPr>
        <w:t>采用转账方式的投标保证金必须由投标单位的基本存款账户转出；采用银行保函或第三方担保函或投标保证保险方式的应</w:t>
      </w:r>
      <w:r>
        <w:rPr>
          <w:rFonts w:ascii="宋体" w:hAnsi="宋体"/>
          <w:color w:val="auto"/>
          <w:sz w:val="24"/>
          <w:highlight w:val="none"/>
        </w:rPr>
        <w:t>以</w:t>
      </w:r>
      <w:r>
        <w:rPr>
          <w:rFonts w:hint="eastAsia" w:ascii="宋体" w:hAnsi="宋体"/>
          <w:color w:val="auto"/>
          <w:sz w:val="24"/>
          <w:highlight w:val="none"/>
          <w:lang w:eastAsia="zh-CN"/>
        </w:rPr>
        <w:t>广州公共资源交易中心网</w:t>
      </w:r>
      <w:r>
        <w:rPr>
          <w:rFonts w:hint="eastAsia" w:ascii="宋体" w:hAnsi="宋体"/>
          <w:color w:val="auto"/>
          <w:sz w:val="24"/>
          <w:highlight w:val="none"/>
        </w:rPr>
        <w:t>上的电子保函或电子保险单</w:t>
      </w:r>
      <w:r>
        <w:rPr>
          <w:rFonts w:ascii="宋体" w:hAnsi="宋体"/>
          <w:color w:val="auto"/>
          <w:sz w:val="24"/>
          <w:highlight w:val="none"/>
        </w:rPr>
        <w:t>信息为准</w:t>
      </w:r>
      <w:r>
        <w:rPr>
          <w:rFonts w:hint="eastAsia" w:ascii="宋体" w:hAnsi="宋体"/>
          <w:color w:val="auto"/>
          <w:sz w:val="24"/>
          <w:highlight w:val="none"/>
        </w:rPr>
        <w:t>。</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16.3</w:t>
      </w:r>
      <w:r>
        <w:rPr>
          <w:rFonts w:hint="eastAsia" w:ascii="宋体" w:hAnsi="宋体"/>
          <w:color w:val="auto"/>
          <w:sz w:val="24"/>
          <w:highlight w:val="none"/>
          <w:lang w:eastAsia="zh-CN"/>
        </w:rPr>
        <w:t>广州公共资源交易中心网</w:t>
      </w:r>
      <w:r>
        <w:rPr>
          <w:rFonts w:ascii="宋体" w:hAnsi="宋体"/>
          <w:color w:val="auto"/>
          <w:sz w:val="24"/>
          <w:highlight w:val="none"/>
        </w:rPr>
        <w:t>代收投标保证金的，其</w:t>
      </w:r>
      <w:r>
        <w:rPr>
          <w:rFonts w:hint="eastAsia" w:ascii="宋体" w:hAnsi="宋体"/>
          <w:color w:val="auto"/>
          <w:sz w:val="24"/>
          <w:highlight w:val="none"/>
        </w:rPr>
        <w:t>到账</w:t>
      </w:r>
      <w:r>
        <w:rPr>
          <w:rFonts w:ascii="宋体" w:hAnsi="宋体"/>
          <w:color w:val="auto"/>
          <w:sz w:val="24"/>
          <w:highlight w:val="none"/>
        </w:rPr>
        <w:t>以</w:t>
      </w:r>
      <w:r>
        <w:rPr>
          <w:rFonts w:hint="eastAsia" w:ascii="宋体" w:hAnsi="宋体"/>
          <w:color w:val="auto"/>
          <w:sz w:val="24"/>
          <w:highlight w:val="none"/>
          <w:lang w:eastAsia="zh-CN"/>
        </w:rPr>
        <w:t>广州公共资源交易中心网</w:t>
      </w:r>
      <w:r>
        <w:rPr>
          <w:rFonts w:ascii="宋体" w:hAnsi="宋体"/>
          <w:color w:val="auto"/>
          <w:sz w:val="24"/>
          <w:highlight w:val="none"/>
        </w:rPr>
        <w:t>数据库记录的信息为准。</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16.4缴费的操作详见</w:t>
      </w:r>
      <w:r>
        <w:rPr>
          <w:rFonts w:hint="eastAsia" w:ascii="宋体" w:hAnsi="宋体"/>
          <w:color w:val="auto"/>
          <w:sz w:val="24"/>
          <w:highlight w:val="none"/>
          <w:lang w:eastAsia="zh-CN"/>
        </w:rPr>
        <w:t>广州公共资源交易中心网</w:t>
      </w:r>
      <w:r>
        <w:rPr>
          <w:rFonts w:ascii="宋体" w:hAnsi="宋体"/>
          <w:color w:val="auto"/>
          <w:sz w:val="24"/>
          <w:highlight w:val="none"/>
        </w:rPr>
        <w:t>公布的</w:t>
      </w:r>
      <w:r>
        <w:rPr>
          <w:rFonts w:hint="eastAsia" w:ascii="宋体" w:hAnsi="宋体"/>
          <w:color w:val="auto"/>
          <w:sz w:val="24"/>
          <w:highlight w:val="none"/>
        </w:rPr>
        <w:t>有关规定</w:t>
      </w:r>
      <w:r>
        <w:rPr>
          <w:rFonts w:ascii="宋体" w:hAnsi="宋体"/>
          <w:color w:val="auto"/>
          <w:sz w:val="24"/>
          <w:highlight w:val="none"/>
        </w:rPr>
        <w:t>。</w:t>
      </w:r>
    </w:p>
    <w:p>
      <w:pPr>
        <w:pStyle w:val="31"/>
        <w:shd w:val="clear"/>
        <w:spacing w:line="360" w:lineRule="auto"/>
        <w:ind w:firstLine="480" w:firstLineChars="200"/>
        <w:rPr>
          <w:rFonts w:hint="eastAsia" w:ascii="宋体" w:hAnsi="宋体"/>
          <w:color w:val="auto"/>
          <w:sz w:val="24"/>
          <w:highlight w:val="none"/>
        </w:rPr>
      </w:pPr>
      <w:r>
        <w:rPr>
          <w:rFonts w:ascii="宋体" w:hAnsi="宋体"/>
          <w:color w:val="auto"/>
          <w:sz w:val="24"/>
          <w:highlight w:val="none"/>
        </w:rPr>
        <w:t>16.5投标人未按要求递交投标保证金的，其投标文件不参与资格审查和评标</w:t>
      </w:r>
      <w:r>
        <w:rPr>
          <w:rFonts w:hint="eastAsia" w:ascii="宋体" w:hAnsi="宋体"/>
          <w:color w:val="auto"/>
          <w:sz w:val="24"/>
          <w:highlight w:val="none"/>
        </w:rPr>
        <w:t xml:space="preserve">。    </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16.6如有下列情况之一的，投标保证金不予退还：</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16.6.1投标人在投标有效期内撤</w:t>
      </w:r>
      <w:r>
        <w:rPr>
          <w:rFonts w:hint="eastAsia" w:ascii="宋体" w:hAnsi="宋体"/>
          <w:color w:val="auto"/>
          <w:sz w:val="24"/>
          <w:highlight w:val="none"/>
        </w:rPr>
        <w:t>销</w:t>
      </w: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16.6.2中标人未在规定期限内按要求递交履约担保；</w:t>
      </w:r>
    </w:p>
    <w:p>
      <w:pPr>
        <w:pStyle w:val="31"/>
        <w:shd w:val="clear"/>
        <w:spacing w:line="360" w:lineRule="auto"/>
        <w:ind w:firstLine="480" w:firstLineChars="200"/>
        <w:rPr>
          <w:rFonts w:hint="eastAsia" w:ascii="宋体" w:hAnsi="宋体"/>
          <w:color w:val="auto"/>
          <w:sz w:val="24"/>
          <w:highlight w:val="none"/>
          <w:lang w:eastAsia="zh-CN"/>
        </w:rPr>
      </w:pPr>
      <w:r>
        <w:rPr>
          <w:rFonts w:ascii="宋体" w:hAnsi="宋体"/>
          <w:color w:val="auto"/>
          <w:sz w:val="24"/>
          <w:highlight w:val="none"/>
        </w:rPr>
        <w:t>16.6.3中标人未在规定期限内签署合同协议</w:t>
      </w:r>
      <w:r>
        <w:rPr>
          <w:rFonts w:hint="eastAsia" w:ascii="宋体" w:hAnsi="宋体"/>
          <w:color w:val="auto"/>
          <w:sz w:val="24"/>
          <w:highlight w:val="none"/>
          <w:lang w:eastAsia="zh-CN"/>
        </w:rPr>
        <w:t>；</w:t>
      </w:r>
    </w:p>
    <w:p>
      <w:pPr>
        <w:pStyle w:val="31"/>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16.6.4投标人在规定的投标有效期内撤销或修改其投标文件；</w:t>
      </w:r>
    </w:p>
    <w:p>
      <w:pPr>
        <w:pStyle w:val="31"/>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16.6.5投标人不接受依据评标办法的规定对其投标文件中细微偏差进行澄清和补正；</w:t>
      </w:r>
    </w:p>
    <w:p>
      <w:pPr>
        <w:pStyle w:val="31"/>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16.6.6投标人提交了虚假资料</w:t>
      </w:r>
      <w:r>
        <w:rPr>
          <w:rFonts w:ascii="宋体" w:hAnsi="宋体"/>
          <w:color w:val="auto"/>
          <w:sz w:val="24"/>
          <w:highlight w:val="none"/>
        </w:rPr>
        <w:t>。</w:t>
      </w:r>
    </w:p>
    <w:p>
      <w:pPr>
        <w:pStyle w:val="31"/>
        <w:shd w:val="clea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符合免缴保证金条件的投标人出现前述情形之一的，招标人应根据招标文件及有关法律法规，及时报告有关部门按程序进行处置。</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16.7</w:t>
      </w:r>
      <w:r>
        <w:rPr>
          <w:rFonts w:ascii="宋体" w:hAnsi="宋体" w:eastAsia="宋体"/>
          <w:color w:val="auto"/>
          <w:sz w:val="24"/>
          <w:highlight w:val="none"/>
        </w:rPr>
        <w:t>保证金缴纳注意事项</w:t>
      </w:r>
    </w:p>
    <w:p>
      <w:pPr>
        <w:shd w:val="clea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16.7.1</w:t>
      </w:r>
      <w:r>
        <w:rPr>
          <w:rFonts w:ascii="宋体" w:hAnsi="宋体" w:eastAsia="宋体"/>
          <w:color w:val="auto"/>
          <w:sz w:val="24"/>
          <w:highlight w:val="none"/>
        </w:rPr>
        <w:t>投标单位必须严格按照缴纳投标保证金通知书上的收款人信息、账户缴交，并从基本账户银行缴交（转账）足额投标保证金，不接受现金缴纳。</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16.7.2</w:t>
      </w:r>
      <w:r>
        <w:rPr>
          <w:rFonts w:ascii="宋体" w:hAnsi="宋体" w:eastAsia="宋体"/>
          <w:color w:val="auto"/>
          <w:sz w:val="24"/>
          <w:highlight w:val="none"/>
        </w:rPr>
        <w:t>严禁采用EFT系统(广东金融结算系统)方式缴纳投标保证金，如采用此方式导致系统无法识别投标缴纳保证金信息，视为未按要求缴纳投标保证金，由此造成后果由投标单位自行承担责任。</w:t>
      </w:r>
    </w:p>
    <w:p>
      <w:pPr>
        <w:shd w:val="clea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16.8</w:t>
      </w:r>
      <w:r>
        <w:rPr>
          <w:rFonts w:ascii="宋体" w:hAnsi="宋体" w:eastAsia="宋体"/>
          <w:color w:val="auto"/>
          <w:sz w:val="24"/>
          <w:highlight w:val="none"/>
        </w:rPr>
        <w:t>保证金退还</w:t>
      </w:r>
    </w:p>
    <w:p>
      <w:pPr>
        <w:pStyle w:val="19"/>
        <w:shd w:val="clear"/>
        <w:spacing w:after="0" w:afterLines="0" w:line="360" w:lineRule="auto"/>
        <w:ind w:firstLine="475" w:firstLineChars="198"/>
        <w:rPr>
          <w:rFonts w:hint="eastAsia" w:ascii="宋体" w:hAnsi="宋体" w:eastAsia="宋体"/>
          <w:color w:val="auto"/>
          <w:sz w:val="24"/>
          <w:highlight w:val="none"/>
        </w:rPr>
      </w:pPr>
      <w:r>
        <w:rPr>
          <w:rFonts w:hint="eastAsia" w:ascii="宋体" w:hAnsi="宋体" w:eastAsia="宋体"/>
          <w:color w:val="auto"/>
          <w:sz w:val="24"/>
          <w:highlight w:val="none"/>
        </w:rPr>
        <w:t>16.8.1采用银行转账方式提交的，非中标候选人在中标通知书发出后5日内予以退还投标保证金及同期银行利息；中标人在合同书签订后5日内予以退还投标保证金及同期银行利息。</w:t>
      </w:r>
    </w:p>
    <w:p>
      <w:pPr>
        <w:pStyle w:val="19"/>
        <w:shd w:val="clear"/>
        <w:spacing w:after="0" w:afterLines="0" w:line="360" w:lineRule="auto"/>
        <w:ind w:firstLine="475" w:firstLineChars="198"/>
        <w:rPr>
          <w:rFonts w:hint="eastAsia" w:ascii="宋体" w:hAnsi="宋体" w:eastAsia="宋体"/>
          <w:color w:val="auto"/>
          <w:sz w:val="24"/>
          <w:highlight w:val="none"/>
        </w:rPr>
      </w:pPr>
      <w:r>
        <w:rPr>
          <w:rFonts w:hint="eastAsia" w:ascii="宋体" w:hAnsi="宋体" w:eastAsia="宋体"/>
          <w:color w:val="auto"/>
          <w:sz w:val="24"/>
          <w:highlight w:val="none"/>
        </w:rPr>
        <w:t>16.8.2交易结束后，根据招标文件要求，由招标代理机构在</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向中心发起投标保证金退回申请，并上传招标人同意退还保证金的证明文件。</w:t>
      </w:r>
    </w:p>
    <w:p>
      <w:pPr>
        <w:pStyle w:val="19"/>
        <w:shd w:val="clear"/>
        <w:spacing w:after="0" w:afterLines="0" w:line="360" w:lineRule="auto"/>
        <w:ind w:firstLine="477" w:firstLineChars="198"/>
        <w:rPr>
          <w:rFonts w:hint="eastAsia" w:ascii="宋体" w:hAnsi="宋体" w:eastAsia="宋体"/>
          <w:b/>
          <w:bCs/>
          <w:color w:val="auto"/>
          <w:sz w:val="24"/>
          <w:highlight w:val="none"/>
        </w:rPr>
      </w:pPr>
      <w:r>
        <w:rPr>
          <w:rFonts w:hint="eastAsia" w:ascii="宋体" w:hAnsi="宋体" w:eastAsia="宋体"/>
          <w:b/>
          <w:bCs/>
          <w:color w:val="auto"/>
          <w:sz w:val="24"/>
          <w:highlight w:val="none"/>
        </w:rPr>
        <w:t>17．投标文件的份数和签署</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1"/>
          <w:highlight w:val="none"/>
        </w:rPr>
        <w:t xml:space="preserve">17.1 </w:t>
      </w:r>
      <w:r>
        <w:rPr>
          <w:rFonts w:hint="eastAsia" w:ascii="宋体" w:hAnsi="宋体" w:eastAsia="宋体"/>
          <w:color w:val="auto"/>
          <w:sz w:val="24"/>
          <w:highlight w:val="none"/>
        </w:rPr>
        <w:t>投标人应按投标人须知前附表规定的份数递交投标文件。</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4"/>
          <w:highlight w:val="none"/>
        </w:rPr>
        <w:t>17.2</w:t>
      </w:r>
      <w:r>
        <w:rPr>
          <w:rFonts w:hint="eastAsia" w:ascii="宋体" w:hAnsi="宋体" w:eastAsia="宋体"/>
          <w:color w:val="auto"/>
          <w:sz w:val="24"/>
          <w:highlight w:val="none"/>
        </w:rPr>
        <w:t>投标文件应当按照《中华人民共和国电子签名法》和招标文件的要求加盖电子签章。</w:t>
      </w:r>
    </w:p>
    <w:p>
      <w:pPr>
        <w:pStyle w:val="4"/>
        <w:shd w:val="clear"/>
        <w:outlineLvl w:val="2"/>
        <w:rPr>
          <w:rFonts w:hint="eastAsia" w:ascii="宋体" w:eastAsia="宋体"/>
          <w:color w:val="auto"/>
          <w:highlight w:val="none"/>
        </w:rPr>
      </w:pPr>
      <w:bookmarkStart w:id="21" w:name="_Toc998"/>
      <w:bookmarkStart w:id="22" w:name="_Toc11122"/>
      <w:bookmarkStart w:id="23" w:name="_Toc101777615"/>
      <w:r>
        <w:rPr>
          <w:rFonts w:hint="eastAsia" w:ascii="宋体" w:eastAsia="宋体"/>
          <w:color w:val="auto"/>
          <w:highlight w:val="none"/>
        </w:rPr>
        <w:t>（四） 投标文件的递交</w:t>
      </w:r>
      <w:bookmarkEnd w:id="21"/>
      <w:bookmarkEnd w:id="22"/>
      <w:bookmarkEnd w:id="23"/>
    </w:p>
    <w:p>
      <w:pPr>
        <w:pStyle w:val="19"/>
        <w:shd w:val="clear"/>
        <w:spacing w:after="0" w:afterLines="0"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18．</w:t>
      </w:r>
      <w:r>
        <w:rPr>
          <w:rFonts w:hint="eastAsia" w:ascii="宋体" w:hAnsi="宋体" w:eastAsia="宋体"/>
          <w:b/>
          <w:color w:val="auto"/>
          <w:sz w:val="24"/>
          <w:szCs w:val="24"/>
          <w:highlight w:val="none"/>
        </w:rPr>
        <w:t>投标文件的密封</w:t>
      </w:r>
    </w:p>
    <w:p>
      <w:pPr>
        <w:shd w:val="clear"/>
        <w:spacing w:line="360"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18.1投标文件的份数要求：投标人应按投标人须知前附表规定的份数递交投标文件。</w:t>
      </w:r>
    </w:p>
    <w:p>
      <w:pPr>
        <w:shd w:val="clear"/>
        <w:spacing w:line="360"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18.2投标文件的密封要求：递交的电子投标文件（不含备用光盘）必须进行加密。按照交易平台关于全流程电子化项目的相关指南进行操作。</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19．投标文件的递交和接收</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19.1 投标人代表应按投标人须知前附表所规定的时间和地点向招标人递交投标文件。</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19.2投标人使用制作该投标文件的机构业务数字证书递交投标文件。</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highlight w:val="none"/>
        </w:rPr>
        <w:t>19.3</w:t>
      </w:r>
      <w:r>
        <w:rPr>
          <w:rFonts w:hint="eastAsia" w:ascii="宋体" w:hAnsi="宋体" w:eastAsia="宋体"/>
          <w:color w:val="auto"/>
          <w:sz w:val="24"/>
          <w:szCs w:val="24"/>
          <w:highlight w:val="none"/>
        </w:rPr>
        <w:t>若出现以下情况之一的，招标人将拒绝接收投标文件：</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19.3.1投标文件未在递交投标文件截止时间前完整上传并保存在</w:t>
      </w:r>
      <w:r>
        <w:rPr>
          <w:rFonts w:hint="eastAsia" w:ascii="宋体" w:hAnsi="宋体" w:eastAsia="宋体"/>
          <w:color w:val="auto"/>
          <w:sz w:val="24"/>
          <w:szCs w:val="24"/>
          <w:highlight w:val="none"/>
          <w:lang w:eastAsia="zh-CN"/>
        </w:rPr>
        <w:t>广州公共资源交易中心网</w:t>
      </w:r>
      <w:r>
        <w:rPr>
          <w:rFonts w:hint="eastAsia" w:ascii="宋体" w:hAnsi="宋体" w:eastAsia="宋体"/>
          <w:color w:val="auto"/>
          <w:sz w:val="24"/>
          <w:szCs w:val="24"/>
          <w:highlight w:val="none"/>
        </w:rPr>
        <w:t xml:space="preserve">； </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19.3.2投标文件未按招标文件要求进行加密的；</w:t>
      </w:r>
    </w:p>
    <w:p>
      <w:pPr>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19.3.3投标文件损坏或格式不正确的。</w:t>
      </w:r>
    </w:p>
    <w:p>
      <w:pPr>
        <w:shd w:val="clear"/>
        <w:spacing w:line="360" w:lineRule="auto"/>
        <w:ind w:firstLine="482" w:firstLineChars="200"/>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20．递交投标文件的截止时间</w:t>
      </w:r>
    </w:p>
    <w:p>
      <w:pPr>
        <w:shd w:val="clear"/>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20.1投标人应在投标人须知前附表所述的时间前递交投标文件。截止时间以</w:t>
      </w:r>
      <w:r>
        <w:rPr>
          <w:rFonts w:hint="eastAsia" w:ascii="宋体" w:hAnsi="宋体" w:eastAsia="宋体" w:cs="Times New Roman"/>
          <w:b w:val="0"/>
          <w:bCs w:val="0"/>
          <w:color w:val="auto"/>
          <w:sz w:val="24"/>
          <w:szCs w:val="24"/>
          <w:highlight w:val="none"/>
          <w:lang w:eastAsia="zh-CN"/>
        </w:rPr>
        <w:t>广州公共资源交易中心网</w:t>
      </w:r>
      <w:r>
        <w:rPr>
          <w:rFonts w:hint="eastAsia" w:ascii="宋体" w:hAnsi="宋体" w:eastAsia="宋体" w:cs="Times New Roman"/>
          <w:b w:val="0"/>
          <w:bCs w:val="0"/>
          <w:color w:val="auto"/>
          <w:sz w:val="24"/>
          <w:szCs w:val="24"/>
          <w:highlight w:val="none"/>
        </w:rPr>
        <w:t>的服务器从中国科学院国家授时中心取得的北京时间为准。</w:t>
      </w:r>
    </w:p>
    <w:p>
      <w:pPr>
        <w:shd w:val="clear"/>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pPr>
        <w:shd w:val="clear"/>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20.3 到递交投标文件截止时间止，招标人收到的投标文件少于3名的，招标人将依法重新组织招标。</w:t>
      </w:r>
    </w:p>
    <w:p>
      <w:pPr>
        <w:shd w:val="clear"/>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20.4递交投标文件截止时间到达后，招标人或其代理机构在</w:t>
      </w:r>
      <w:r>
        <w:rPr>
          <w:rFonts w:hint="eastAsia" w:ascii="宋体" w:hAnsi="宋体" w:eastAsia="宋体" w:cs="Times New Roman"/>
          <w:b w:val="0"/>
          <w:bCs w:val="0"/>
          <w:color w:val="auto"/>
          <w:sz w:val="24"/>
          <w:szCs w:val="24"/>
          <w:highlight w:val="none"/>
          <w:lang w:eastAsia="zh-CN"/>
        </w:rPr>
        <w:t>广州公共资源交易中心网</w:t>
      </w:r>
      <w:r>
        <w:rPr>
          <w:rFonts w:hint="eastAsia" w:ascii="宋体" w:hAnsi="宋体" w:eastAsia="宋体" w:cs="Times New Roman"/>
          <w:b w:val="0"/>
          <w:bCs w:val="0"/>
          <w:color w:val="auto"/>
          <w:sz w:val="24"/>
          <w:szCs w:val="24"/>
          <w:highlight w:val="none"/>
        </w:rPr>
        <w:t>对电子投标文件进行解密。</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21．迟交的投标文件</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21.1递交投标文件截止时间到达后，</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将不允许投标人上传投标文件。</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22．投标文件的补充、修改与撤回</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22.1 投标人在递交投标文件截止时间前，可以撤回或替换已递交的投标文件。</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22.3 在递交投标文件截止时间后，投标人不得补充、修改和更换投标文件。</w:t>
      </w:r>
    </w:p>
    <w:p>
      <w:pPr>
        <w:shd w:val="clea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22.4在递交投标文件截止时间后，投标人在投标文件格式中规定的有效期终止日前，投标人不能撤回投标文件，否则其投标保证金将不予退还。</w:t>
      </w:r>
    </w:p>
    <w:p>
      <w:pPr>
        <w:shd w:val="clear"/>
        <w:snapToGrid w:val="0"/>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23．投标信息录入</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投标人应在参与投标前将投标人的相关信息在</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录入完毕。</w:t>
      </w:r>
    </w:p>
    <w:p>
      <w:pPr>
        <w:shd w:val="clear"/>
        <w:spacing w:line="360" w:lineRule="auto"/>
        <w:ind w:firstLine="482" w:firstLineChars="200"/>
        <w:rPr>
          <w:rFonts w:hint="eastAsia" w:ascii="宋体" w:hAnsi="宋体" w:eastAsia="宋体"/>
          <w:b/>
          <w:color w:val="auto"/>
          <w:sz w:val="24"/>
          <w:highlight w:val="none"/>
        </w:rPr>
      </w:pPr>
      <w:r>
        <w:rPr>
          <w:rFonts w:hint="eastAsia" w:ascii="宋体" w:hAnsi="宋体" w:eastAsia="宋体"/>
          <w:b/>
          <w:color w:val="auto"/>
          <w:sz w:val="24"/>
          <w:highlight w:val="none"/>
        </w:rPr>
        <w:t>24．投标文件的解密</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s="仿宋_GB2312"/>
          <w:color w:val="auto"/>
          <w:sz w:val="24"/>
          <w:szCs w:val="24"/>
          <w:highlight w:val="none"/>
        </w:rPr>
        <w:t>招标人或其代理机构在规定的解密时间内使用制作该招标文件的机构业务数字证书对投标文件进行解密。</w:t>
      </w:r>
    </w:p>
    <w:p>
      <w:pPr>
        <w:pStyle w:val="4"/>
        <w:shd w:val="clear"/>
        <w:outlineLvl w:val="2"/>
        <w:rPr>
          <w:rFonts w:hint="eastAsia" w:ascii="宋体" w:eastAsia="宋体"/>
          <w:color w:val="auto"/>
          <w:highlight w:val="none"/>
        </w:rPr>
      </w:pPr>
      <w:bookmarkStart w:id="24" w:name="_Toc101777616"/>
      <w:bookmarkStart w:id="25" w:name="_Toc24175"/>
      <w:bookmarkStart w:id="26" w:name="_Toc17884"/>
      <w:r>
        <w:rPr>
          <w:rFonts w:hint="eastAsia" w:ascii="宋体" w:eastAsia="宋体"/>
          <w:color w:val="auto"/>
          <w:highlight w:val="none"/>
        </w:rPr>
        <w:t>（五）开标</w:t>
      </w:r>
      <w:bookmarkEnd w:id="24"/>
      <w:r>
        <w:rPr>
          <w:rFonts w:hint="eastAsia" w:ascii="宋体" w:eastAsia="宋体"/>
          <w:color w:val="auto"/>
          <w:highlight w:val="none"/>
        </w:rPr>
        <w:t>、评标、定标及合同签定</w:t>
      </w:r>
      <w:bookmarkEnd w:id="25"/>
      <w:bookmarkEnd w:id="26"/>
    </w:p>
    <w:p>
      <w:pPr>
        <w:shd w:val="clear"/>
        <w:spacing w:line="360" w:lineRule="auto"/>
        <w:ind w:firstLine="482" w:firstLineChars="200"/>
        <w:rPr>
          <w:rFonts w:hint="eastAsia" w:ascii="宋体" w:hAnsi="宋体" w:eastAsia="宋体"/>
          <w:b/>
          <w:bCs/>
          <w:color w:val="auto"/>
          <w:sz w:val="24"/>
          <w:highlight w:val="none"/>
        </w:rPr>
      </w:pPr>
      <w:bookmarkStart w:id="27" w:name="_Toc101777617"/>
      <w:r>
        <w:rPr>
          <w:rFonts w:hint="eastAsia" w:ascii="宋体" w:hAnsi="宋体" w:eastAsia="宋体"/>
          <w:b/>
          <w:bCs/>
          <w:color w:val="auto"/>
          <w:sz w:val="24"/>
          <w:highlight w:val="none"/>
        </w:rPr>
        <w:t>25．开标。</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25.1开标开始时间和地点：详见投标人须知前附表。</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25.2其他详见第二章开标、评标及定标办法。</w:t>
      </w:r>
    </w:p>
    <w:bookmarkEnd w:id="27"/>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26．评标过程的保密</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26.1 开标后，直至中标公示为止，凡属于对投标文件的审查、澄清、评价和比较有关的资料、中标候选人的推荐情况及与评标有关的其他任何情况均严格保密。</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26.2 在投标文件的评审和比较、中标候选人推荐以及授予合同的过程中，投标人向招标人和评标委员会施加不公正影响的任何行为，都将会导致其投标被拒绝。</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27．投标文件的澄清，计算错误的修正</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详见招标文件第二章开标、评标及定标办法</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28．投标文件的评审、比较和否决</w:t>
      </w:r>
    </w:p>
    <w:p>
      <w:pPr>
        <w:shd w:val="clea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highlight w:val="none"/>
        </w:rPr>
        <w:t>详见招标文件第二章开标、评标及定标办法。</w:t>
      </w:r>
      <w:r>
        <w:rPr>
          <w:rFonts w:hint="eastAsia" w:ascii="宋体" w:hAnsi="宋体" w:eastAsia="宋体"/>
          <w:color w:val="auto"/>
          <w:sz w:val="24"/>
          <w:szCs w:val="24"/>
          <w:highlight w:val="none"/>
        </w:rPr>
        <w:t>经评标委员会评审，资格审查合格的投标人少于3名或通过否决性条款审查的投标人不足3名时为招标失败，招标人将依法重新招标。</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29．中标通知书</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29.1定标后，招标人将就规定的内容在广东省招标投标监管网、广州公共资源交易中心</w:t>
      </w:r>
      <w:r>
        <w:rPr>
          <w:rFonts w:hint="eastAsia" w:ascii="宋体" w:hAnsi="宋体" w:eastAsia="宋体"/>
          <w:color w:val="auto"/>
          <w:sz w:val="24"/>
          <w:highlight w:val="none"/>
          <w:lang w:val="en-US" w:eastAsia="zh-CN"/>
        </w:rPr>
        <w:t>网</w:t>
      </w:r>
      <w:r>
        <w:rPr>
          <w:rFonts w:hint="eastAsia" w:ascii="宋体" w:hAnsi="宋体" w:eastAsia="宋体"/>
          <w:color w:val="auto"/>
          <w:sz w:val="24"/>
          <w:highlight w:val="none"/>
        </w:rPr>
        <w:t>公示3日（节假日顺延）。</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29.2依法必须进行招标的项目，招标人应当自确定中标人之日起十五日内，向有关行政监督部门提交招标投标情况的书面报告。</w:t>
      </w:r>
    </w:p>
    <w:p>
      <w:pPr>
        <w:shd w:val="clear"/>
        <w:spacing w:line="360" w:lineRule="auto"/>
        <w:ind w:firstLine="480" w:firstLineChars="200"/>
        <w:rPr>
          <w:rFonts w:hint="eastAsia" w:ascii="宋体" w:hAnsi="宋体" w:eastAsia="宋体"/>
          <w:color w:val="auto"/>
          <w:sz w:val="24"/>
          <w:highlight w:val="none"/>
          <w:bdr w:val="single" w:color="auto" w:sz="4" w:space="0"/>
        </w:rPr>
      </w:pPr>
      <w:r>
        <w:rPr>
          <w:rFonts w:hint="eastAsia" w:ascii="宋体" w:hAnsi="宋体" w:eastAsia="宋体"/>
          <w:color w:val="auto"/>
          <w:sz w:val="24"/>
          <w:highlight w:val="none"/>
        </w:rPr>
        <w:t>29.3中标人必须在收到中标通知书后24小时之内以书面形式回复招标人，确认收到。</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30．合同协议书的签订</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30.1 招标人与中标人应当在投标有效期内并在中标通知书发出之日起30日内，按照招标文件和中标人的投标文件签订合同，招标人和中标人不得再行订立背离合同实质性内容的其他协议。</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30.2中标通知书发出之日起30日后，中标人未按上款的规定与招标人订立合同，招标人取消其中标资格，其投标保证金不予退还；给招标人造成的损失超过投标保证金数额的，还应当对超过部分予以赔偿。</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30.3未经招标人同意，中标人在投标过程中使用的银行名称及帐号至完成竣工结算不得变更，否则招标人有权停止工程款项的拔付及至解除合同，由此造成的一切责任由中标人承担。</w:t>
      </w:r>
    </w:p>
    <w:p>
      <w:pPr>
        <w:shd w:val="clear"/>
        <w:spacing w:line="360" w:lineRule="auto"/>
        <w:ind w:firstLine="482" w:firstLineChars="200"/>
        <w:rPr>
          <w:rFonts w:hint="eastAsia" w:ascii="宋体" w:hAnsi="宋体" w:eastAsia="宋体"/>
          <w:dstrike/>
          <w:color w:val="auto"/>
          <w:sz w:val="24"/>
          <w:highlight w:val="none"/>
        </w:rPr>
      </w:pPr>
      <w:r>
        <w:rPr>
          <w:rFonts w:hint="eastAsia" w:ascii="宋体" w:hAnsi="宋体" w:eastAsia="宋体"/>
          <w:b/>
          <w:bCs/>
          <w:color w:val="auto"/>
          <w:sz w:val="24"/>
          <w:highlight w:val="none"/>
        </w:rPr>
        <w:t>31．履约担保</w:t>
      </w:r>
    </w:p>
    <w:p>
      <w:pPr>
        <w:shd w:val="clea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31.1 在签订合同前，中标人应按投标人须知前附表规定的金额、担保形式和招标文件第三章“合同条款”规定的履约担保格式向招标人提交履约担保。联合体中标的，其履约担保由牵头人递交，并应符合投标人须知前附表规定的金额、担保形式和招标文件第三章“合同条款”规定的履约担保格式要求。 </w:t>
      </w:r>
    </w:p>
    <w:p>
      <w:pPr>
        <w:shd w:val="clea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31.2 中标人未按上款的规定递交履约担保的，视为放弃中标，其投标担保不予退还，招标人将解除中标通知书，且原中标人需依法承担相应法律责任。原中标人给招标人造成的损失超过投标保证金数额的，还应当对超过部分予以赔偿。</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32．合同生效</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合同双方全权代表在合同协议书上签字，并分别加盖双方单位的公章后，合同正式生效。</w:t>
      </w:r>
    </w:p>
    <w:p>
      <w:p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33．其它费用</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中标人自行支付</w:t>
      </w:r>
      <w:r>
        <w:rPr>
          <w:rFonts w:hint="eastAsia" w:ascii="宋体" w:hAnsi="宋体" w:eastAsia="宋体"/>
          <w:color w:val="auto"/>
          <w:sz w:val="24"/>
          <w:highlight w:val="none"/>
          <w:lang w:val="en-US" w:eastAsia="zh-CN"/>
        </w:rPr>
        <w:t>交易中心</w:t>
      </w:r>
      <w:r>
        <w:rPr>
          <w:rFonts w:hint="eastAsia" w:ascii="宋体" w:hAnsi="宋体" w:eastAsia="宋体"/>
          <w:color w:val="auto"/>
          <w:sz w:val="24"/>
          <w:highlight w:val="none"/>
        </w:rPr>
        <w:t>公共资源交易服务费。</w:t>
      </w:r>
    </w:p>
    <w:p>
      <w:pPr>
        <w:numPr>
          <w:ilvl w:val="0"/>
          <w:numId w:val="0"/>
        </w:numPr>
        <w:shd w:val="clea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需要补充的其他内容</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 34.1招标人在规定的投标截止时间（开标时间）和投标人须知前附表规定的地点公开开标，并邀请所有投标人代表及其他特定人员准时出席。详见投标人须知前附表。</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 34.2“暗标”评审：见投标人须知前附表。</w:t>
      </w:r>
    </w:p>
    <w:p>
      <w:pPr>
        <w:pStyle w:val="9"/>
        <w:shd w:val="clear"/>
        <w:spacing w:line="360" w:lineRule="auto"/>
        <w:rPr>
          <w:rFonts w:hint="eastAsia" w:hAnsi="宋体" w:eastAsia="宋体"/>
          <w:color w:val="auto"/>
          <w:sz w:val="24"/>
          <w:highlight w:val="none"/>
        </w:rPr>
      </w:pPr>
      <w:r>
        <w:rPr>
          <w:rFonts w:hint="eastAsia" w:hAnsi="宋体" w:eastAsia="宋体"/>
          <w:color w:val="auto"/>
          <w:sz w:val="24"/>
          <w:highlight w:val="none"/>
        </w:rPr>
        <w:t xml:space="preserve">     34.3电子评标的项目，投标文件一律不接受纸质文件，投标人须递交具备法律效力的电子投标文件。为此，投标人应当使用广东省内依法设立的电子认证服务机构发放的CA证书进行电子投标。</w:t>
      </w:r>
    </w:p>
    <w:p>
      <w:pPr>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34.4评标委员会对投标文件进行审查的资料直接取自投标人在</w:t>
      </w:r>
      <w:r>
        <w:rPr>
          <w:rFonts w:hint="eastAsia" w:ascii="宋体" w:hAnsi="宋体" w:eastAsia="宋体"/>
          <w:color w:val="auto"/>
          <w:sz w:val="24"/>
          <w:highlight w:val="none"/>
          <w:lang w:eastAsia="zh-CN"/>
        </w:rPr>
        <w:t>广州公共资源交易中心网</w:t>
      </w:r>
      <w:r>
        <w:rPr>
          <w:rFonts w:hint="eastAsia" w:ascii="宋体" w:hAnsi="宋体" w:eastAsia="宋体"/>
          <w:color w:val="auto"/>
          <w:sz w:val="24"/>
          <w:highlight w:val="none"/>
        </w:rPr>
        <w:t>上传的文件，投标人应在投标截止时间前将投标文件各项内容进行电子签章并及时上传，并确保其上传到对应的评审栏目中。投标人应确保分栏上传的内容必须与整本</w:t>
      </w:r>
      <w:r>
        <w:rPr>
          <w:rFonts w:hint="eastAsia" w:ascii="宋体" w:hAnsi="宋体" w:eastAsia="宋体"/>
          <w:color w:val="auto"/>
          <w:sz w:val="24"/>
          <w:highlight w:val="none"/>
          <w:lang w:eastAsia="zh-CN"/>
        </w:rPr>
        <w:t>投标</w:t>
      </w:r>
      <w:r>
        <w:rPr>
          <w:rFonts w:hint="eastAsia" w:ascii="宋体" w:hAnsi="宋体" w:eastAsia="宋体"/>
          <w:color w:val="auto"/>
          <w:sz w:val="24"/>
          <w:highlight w:val="none"/>
        </w:rPr>
        <w:t>文件的内容一致，因内容不一致导致其审查不通过的，后果由投标人自行承担。</w:t>
      </w:r>
    </w:p>
    <w:p>
      <w:pPr>
        <w:pStyle w:val="9"/>
        <w:shd w:val="clear"/>
        <w:spacing w:line="360" w:lineRule="auto"/>
        <w:ind w:firstLine="480"/>
        <w:rPr>
          <w:rFonts w:hint="eastAsia" w:hAnsi="宋体" w:eastAsia="宋体"/>
          <w:color w:val="auto"/>
          <w:sz w:val="24"/>
          <w:highlight w:val="none"/>
        </w:rPr>
      </w:pPr>
      <w:r>
        <w:rPr>
          <w:rFonts w:hint="eastAsia" w:hAnsi="宋体" w:eastAsia="宋体"/>
          <w:color w:val="auto"/>
          <w:sz w:val="24"/>
          <w:highlight w:val="none"/>
        </w:rPr>
        <w:t>34.</w:t>
      </w:r>
      <w:r>
        <w:rPr>
          <w:rFonts w:hint="eastAsia" w:hAnsi="宋体" w:eastAsia="宋体"/>
          <w:color w:val="auto"/>
          <w:sz w:val="24"/>
          <w:highlight w:val="none"/>
          <w:lang w:val="en-US" w:eastAsia="zh-CN"/>
        </w:rPr>
        <w:t>5</w:t>
      </w:r>
      <w:r>
        <w:rPr>
          <w:rFonts w:hint="eastAsia" w:hAnsi="宋体" w:eastAsia="宋体"/>
          <w:color w:val="auto"/>
          <w:sz w:val="24"/>
          <w:highlight w:val="none"/>
        </w:rPr>
        <w:t>投标人录入投标信息时，如投标人为联合体的，须将联合体所有成员单位的全称录入</w:t>
      </w:r>
      <w:r>
        <w:rPr>
          <w:rFonts w:hint="eastAsia" w:hAnsi="宋体" w:eastAsia="宋体"/>
          <w:color w:val="auto"/>
          <w:sz w:val="24"/>
          <w:highlight w:val="none"/>
          <w:lang w:eastAsia="zh-CN"/>
        </w:rPr>
        <w:t>清远市政务服务中心</w:t>
      </w:r>
      <w:r>
        <w:rPr>
          <w:rFonts w:hint="eastAsia" w:hAnsi="宋体" w:eastAsia="宋体"/>
          <w:color w:val="auto"/>
          <w:sz w:val="24"/>
          <w:highlight w:val="none"/>
        </w:rPr>
        <w:t>信息系统。</w:t>
      </w:r>
    </w:p>
    <w:p>
      <w:pPr>
        <w:pStyle w:val="9"/>
        <w:shd w:val="clear"/>
        <w:spacing w:line="360" w:lineRule="auto"/>
        <w:ind w:firstLine="480"/>
        <w:rPr>
          <w:rFonts w:hint="eastAsia" w:hAnsi="宋体" w:eastAsia="宋体" w:cs="Times New Roman"/>
          <w:color w:val="auto"/>
          <w:sz w:val="24"/>
          <w:highlight w:val="none"/>
        </w:rPr>
      </w:pPr>
      <w:r>
        <w:rPr>
          <w:rFonts w:hint="eastAsia" w:hAnsi="宋体" w:eastAsia="宋体" w:cs="Times New Roman"/>
          <w:color w:val="auto"/>
          <w:sz w:val="24"/>
          <w:highlight w:val="none"/>
        </w:rPr>
        <w:t>34.</w:t>
      </w:r>
      <w:r>
        <w:rPr>
          <w:rFonts w:hint="eastAsia" w:hAnsi="宋体" w:eastAsia="宋体" w:cs="Times New Roman"/>
          <w:color w:val="auto"/>
          <w:sz w:val="24"/>
          <w:highlight w:val="none"/>
          <w:lang w:val="en-US" w:eastAsia="zh-CN"/>
        </w:rPr>
        <w:t>6关于项目预付款的约定</w:t>
      </w:r>
      <w:r>
        <w:rPr>
          <w:rFonts w:hint="eastAsia" w:hAnsi="宋体" w:eastAsia="宋体" w:cs="Times New Roman"/>
          <w:color w:val="auto"/>
          <w:sz w:val="24"/>
          <w:highlight w:val="none"/>
        </w:rPr>
        <w:t>：详见投标人须知前附表。</w:t>
      </w:r>
    </w:p>
    <w:p>
      <w:pPr>
        <w:pStyle w:val="9"/>
        <w:shd w:val="clear"/>
        <w:spacing w:line="360" w:lineRule="auto"/>
        <w:rPr>
          <w:rFonts w:hint="eastAsia"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 xml:space="preserve">     温馨提醒：1.根据《保障农民工工资支付条例》，发包人必须落实工程款支付担保制度，需有项目预付款。</w:t>
      </w:r>
    </w:p>
    <w:p>
      <w:pPr>
        <w:pStyle w:val="9"/>
        <w:shd w:val="clear"/>
        <w:spacing w:line="360" w:lineRule="auto"/>
        <w:rPr>
          <w:rFonts w:hint="eastAsia" w:hAnsi="宋体" w:eastAsia="宋体" w:cs="Times New Roman"/>
          <w:color w:val="auto"/>
          <w:sz w:val="24"/>
          <w:highlight w:val="none"/>
        </w:rPr>
      </w:pPr>
      <w:r>
        <w:rPr>
          <w:rFonts w:hint="eastAsia" w:hAnsi="宋体" w:eastAsia="宋体" w:cs="Times New Roman"/>
          <w:color w:val="auto"/>
          <w:sz w:val="24"/>
          <w:highlight w:val="none"/>
          <w:lang w:val="en-US" w:eastAsia="zh-CN"/>
        </w:rPr>
        <w:t xml:space="preserve">     2.根据《关于印发广东省根治欠薪冬季专项行动工作方案的通知》（粤治欠办函〔2021〕49号）要求，鼓励项目采用担保，担保形式可包括银行保函、工程保证保险以及专业工程担保公司保函等。</w:t>
      </w:r>
    </w:p>
    <w:p>
      <w:pPr>
        <w:pStyle w:val="9"/>
        <w:shd w:val="clear"/>
        <w:spacing w:line="360" w:lineRule="auto"/>
        <w:rPr>
          <w:rFonts w:hint="eastAsia" w:hAnsi="宋体" w:eastAsia="宋体" w:cs="Times New Roman"/>
          <w:color w:val="auto"/>
          <w:sz w:val="24"/>
          <w:highlight w:val="none"/>
        </w:rPr>
      </w:pPr>
      <w:r>
        <w:rPr>
          <w:rFonts w:hint="eastAsia" w:hAnsi="宋体" w:eastAsia="宋体" w:cs="Times New Roman"/>
          <w:color w:val="auto"/>
          <w:sz w:val="24"/>
          <w:highlight w:val="none"/>
        </w:rPr>
        <w:t xml:space="preserve">     34.</w:t>
      </w:r>
      <w:r>
        <w:rPr>
          <w:rFonts w:hint="eastAsia" w:hAnsi="宋体" w:eastAsia="宋体" w:cs="Times New Roman"/>
          <w:color w:val="auto"/>
          <w:sz w:val="24"/>
          <w:highlight w:val="none"/>
          <w:lang w:val="en-US" w:eastAsia="zh-CN"/>
        </w:rPr>
        <w:t>7关于工人工资支付专用账户（以下简称“工资专户”）、工程进度款中工人工资款的比例、工资款拨付的期限等事项的约定</w:t>
      </w:r>
      <w:r>
        <w:rPr>
          <w:rFonts w:hint="eastAsia" w:hAnsi="宋体" w:eastAsia="宋体" w:cs="Times New Roman"/>
          <w:color w:val="auto"/>
          <w:sz w:val="24"/>
          <w:highlight w:val="none"/>
        </w:rPr>
        <w:t>：详见投标人须知前附表。</w:t>
      </w:r>
    </w:p>
    <w:p>
      <w:pPr>
        <w:pStyle w:val="9"/>
        <w:shd w:val="clear"/>
        <w:spacing w:line="360" w:lineRule="auto"/>
        <w:rPr>
          <w:rFonts w:hint="eastAsia" w:hAnsi="宋体" w:eastAsia="宋体" w:cs="Times New Roman"/>
          <w:color w:val="auto"/>
          <w:sz w:val="24"/>
          <w:highlight w:val="none"/>
          <w:lang w:eastAsia="zh-CN"/>
        </w:rPr>
      </w:pPr>
      <w:r>
        <w:rPr>
          <w:rFonts w:hint="eastAsia" w:hAnsi="宋体" w:eastAsia="宋体" w:cs="Times New Roman"/>
          <w:color w:val="auto"/>
          <w:sz w:val="24"/>
          <w:highlight w:val="none"/>
          <w:lang w:val="en-US" w:eastAsia="zh-CN"/>
        </w:rPr>
        <w:t xml:space="preserve">     </w:t>
      </w:r>
      <w:r>
        <w:rPr>
          <w:rFonts w:hint="eastAsia" w:hAnsi="宋体" w:eastAsia="宋体" w:cs="Times New Roman"/>
          <w:color w:val="auto"/>
          <w:sz w:val="24"/>
          <w:highlight w:val="none"/>
          <w:lang w:eastAsia="zh-CN"/>
        </w:rPr>
        <w:t>指引：</w:t>
      </w:r>
      <w:r>
        <w:rPr>
          <w:rFonts w:hint="eastAsia" w:hAnsi="宋体" w:eastAsia="宋体" w:cs="Times New Roman"/>
          <w:color w:val="auto"/>
          <w:sz w:val="24"/>
          <w:highlight w:val="none"/>
          <w:lang w:val="en-US" w:eastAsia="zh-CN"/>
        </w:rPr>
        <w:t>1.</w:t>
      </w:r>
      <w:r>
        <w:rPr>
          <w:rFonts w:hint="eastAsia" w:hAnsi="宋体" w:eastAsia="宋体" w:cs="Times New Roman"/>
          <w:color w:val="auto"/>
          <w:sz w:val="24"/>
          <w:highlight w:val="none"/>
          <w:lang w:eastAsia="zh-CN"/>
        </w:rPr>
        <w:t>根据《保障农民工工作支付条例》及住建部关于工程量清单的指引精神，发、承包双方订立的合同价款约定中，双方必须明确约定人工费金额及所占的比例。</w:t>
      </w:r>
    </w:p>
    <w:p>
      <w:pPr>
        <w:pStyle w:val="9"/>
        <w:shd w:val="clear"/>
        <w:spacing w:line="360" w:lineRule="auto"/>
        <w:rPr>
          <w:rFonts w:hint="eastAsia"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 xml:space="preserve">     2.</w:t>
      </w:r>
      <w:r>
        <w:rPr>
          <w:rFonts w:hint="eastAsia" w:hAnsi="宋体" w:eastAsia="宋体" w:cs="Times New Roman"/>
          <w:color w:val="auto"/>
          <w:sz w:val="24"/>
          <w:highlight w:val="none"/>
          <w:lang w:eastAsia="zh-CN"/>
        </w:rPr>
        <w:t>根据《保障农民工工作支付条例》，</w:t>
      </w:r>
      <w:r>
        <w:rPr>
          <w:rFonts w:hint="eastAsia" w:hAnsi="宋体" w:eastAsia="宋体" w:cs="Times New Roman"/>
          <w:color w:val="auto"/>
          <w:sz w:val="24"/>
          <w:highlight w:val="none"/>
          <w:lang w:val="en-US" w:eastAsia="zh-CN"/>
        </w:rPr>
        <w:t>建设单位与施工总承包单位订立的工程施工合同中，必须约定人工费用、拨付周期等情况。</w:t>
      </w:r>
    </w:p>
    <w:p>
      <w:pPr>
        <w:pStyle w:val="9"/>
        <w:shd w:val="clear"/>
        <w:spacing w:line="360" w:lineRule="auto"/>
        <w:rPr>
          <w:rFonts w:hint="eastAsia"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 xml:space="preserve">     3.发包人、施工总承包单位一经在“全国根治欠薪线索反映平台”中留有不良行为记录，将按规定处理。</w:t>
      </w:r>
    </w:p>
    <w:p>
      <w:pPr>
        <w:pStyle w:val="9"/>
        <w:shd w:val="clear"/>
        <w:rPr>
          <w:rFonts w:hint="eastAsia" w:ascii="宋体" w:hAnsi="宋体" w:eastAsia="宋体"/>
          <w:color w:val="auto"/>
          <w:sz w:val="24"/>
          <w:highlight w:val="none"/>
        </w:rPr>
      </w:pPr>
      <w:r>
        <w:rPr>
          <w:rFonts w:hint="eastAsia" w:hAnsi="宋体" w:eastAsia="宋体" w:cs="Times New Roman"/>
          <w:color w:val="auto"/>
          <w:sz w:val="24"/>
          <w:highlight w:val="none"/>
        </w:rPr>
        <w:t xml:space="preserve">    </w:t>
      </w:r>
      <w:r>
        <w:rPr>
          <w:rFonts w:hint="eastAsia" w:ascii="宋体" w:hAnsi="宋体" w:eastAsia="宋体"/>
          <w:color w:val="auto"/>
          <w:sz w:val="24"/>
          <w:highlight w:val="none"/>
        </w:rPr>
        <w:t xml:space="preserve"> 34.</w:t>
      </w:r>
      <w:r>
        <w:rPr>
          <w:rFonts w:hint="eastAsia" w:hAnsi="宋体" w:eastAsia="宋体"/>
          <w:color w:val="auto"/>
          <w:sz w:val="24"/>
          <w:highlight w:val="none"/>
          <w:lang w:val="en-US" w:eastAsia="zh-CN"/>
        </w:rPr>
        <w:t>8</w:t>
      </w:r>
      <w:r>
        <w:rPr>
          <w:rFonts w:hint="eastAsia" w:ascii="宋体" w:hAnsi="宋体" w:eastAsia="宋体"/>
          <w:color w:val="auto"/>
          <w:sz w:val="24"/>
          <w:highlight w:val="none"/>
          <w:lang w:val="en-US" w:eastAsia="zh-CN"/>
        </w:rPr>
        <w:t>关于施工过程结算合同约定的约定</w:t>
      </w:r>
      <w:r>
        <w:rPr>
          <w:rFonts w:hint="eastAsia" w:ascii="宋体" w:hAnsi="宋体" w:eastAsia="宋体"/>
          <w:color w:val="auto"/>
          <w:sz w:val="24"/>
          <w:highlight w:val="none"/>
        </w:rPr>
        <w:t>：详见投标人须知前附表。</w:t>
      </w:r>
    </w:p>
    <w:p>
      <w:pPr>
        <w:shd w:val="clear"/>
        <w:spacing w:line="360" w:lineRule="auto"/>
        <w:jc w:val="center"/>
        <w:outlineLvl w:val="0"/>
        <w:rPr>
          <w:rFonts w:hint="eastAsia" w:ascii="宋体" w:eastAsia="宋体"/>
          <w:b/>
          <w:bCs/>
          <w:color w:val="auto"/>
          <w:sz w:val="32"/>
          <w:highlight w:val="none"/>
        </w:rPr>
      </w:pPr>
      <w:r>
        <w:rPr>
          <w:rFonts w:hint="eastAsia" w:ascii="宋体" w:hAnsi="宋体" w:eastAsia="宋体"/>
          <w:color w:val="auto"/>
          <w:sz w:val="24"/>
          <w:highlight w:val="none"/>
        </w:rPr>
        <w:br w:type="page"/>
      </w:r>
      <w:bookmarkStart w:id="28" w:name="_Toc2968"/>
      <w:bookmarkStart w:id="29" w:name="_Toc17472"/>
      <w:bookmarkStart w:id="30" w:name="_Toc155150492"/>
      <w:bookmarkStart w:id="31" w:name="_Toc155150494"/>
      <w:r>
        <w:rPr>
          <w:rFonts w:hint="eastAsia" w:ascii="宋体" w:eastAsia="宋体"/>
          <w:b/>
          <w:bCs/>
          <w:color w:val="auto"/>
          <w:sz w:val="36"/>
          <w:highlight w:val="none"/>
        </w:rPr>
        <w:t>第二章  开标、评标及定标办法</w:t>
      </w:r>
      <w:bookmarkEnd w:id="28"/>
      <w:bookmarkEnd w:id="29"/>
      <w:bookmarkEnd w:id="30"/>
    </w:p>
    <w:p>
      <w:pPr>
        <w:pStyle w:val="19"/>
        <w:numPr>
          <w:ilvl w:val="0"/>
          <w:numId w:val="3"/>
        </w:numPr>
        <w:shd w:val="clear"/>
        <w:outlineLvl w:val="1"/>
        <w:rPr>
          <w:rFonts w:hint="eastAsia" w:ascii="宋体" w:eastAsia="宋体"/>
          <w:b/>
          <w:color w:val="auto"/>
          <w:sz w:val="30"/>
          <w:szCs w:val="30"/>
          <w:highlight w:val="none"/>
        </w:rPr>
      </w:pPr>
      <w:bookmarkStart w:id="32" w:name="_Toc7940"/>
      <w:bookmarkStart w:id="33" w:name="_Toc8622"/>
      <w:r>
        <w:rPr>
          <w:rFonts w:hint="eastAsia" w:ascii="宋体" w:eastAsia="宋体"/>
          <w:b/>
          <w:color w:val="auto"/>
          <w:sz w:val="30"/>
          <w:szCs w:val="30"/>
          <w:highlight w:val="none"/>
        </w:rPr>
        <w:t>评标办法前附表</w:t>
      </w:r>
      <w:r>
        <w:rPr>
          <w:rFonts w:hint="eastAsia" w:ascii="宋体" w:hAnsi="宋体" w:eastAsia="宋体"/>
          <w:b/>
          <w:color w:val="auto"/>
          <w:sz w:val="28"/>
          <w:szCs w:val="28"/>
          <w:highlight w:val="none"/>
        </w:rPr>
        <w:t>（“技术+资信+报价”评估法）</w:t>
      </w:r>
      <w:bookmarkEnd w:id="32"/>
    </w:p>
    <w:tbl>
      <w:tblPr>
        <w:tblStyle w:val="20"/>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294"/>
        <w:gridCol w:w="568"/>
        <w:gridCol w:w="512"/>
        <w:gridCol w:w="2053"/>
        <w:gridCol w:w="5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76" w:type="dxa"/>
            <w:gridSpan w:val="3"/>
            <w:tcBorders>
              <w:top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ascii="宋体" w:hAnsi="宋体" w:cs="仿宋_GB2312"/>
                <w:b/>
                <w:color w:val="auto"/>
                <w:kern w:val="0"/>
                <w:sz w:val="24"/>
                <w:highlight w:val="none"/>
              </w:rPr>
            </w:pPr>
            <w:r>
              <w:rPr>
                <w:rFonts w:ascii="宋体" w:hAnsi="宋体" w:cs="仿宋_GB2312"/>
                <w:b/>
                <w:color w:val="auto"/>
                <w:kern w:val="0"/>
                <w:sz w:val="24"/>
                <w:highlight w:val="none"/>
              </w:rPr>
              <w:t>条款号</w:t>
            </w:r>
          </w:p>
        </w:tc>
        <w:tc>
          <w:tcPr>
            <w:tcW w:w="2565"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ascii="宋体" w:hAnsi="宋体" w:cs="仿宋_GB2312"/>
                <w:b/>
                <w:color w:val="auto"/>
                <w:kern w:val="0"/>
                <w:sz w:val="24"/>
                <w:highlight w:val="none"/>
              </w:rPr>
            </w:pPr>
            <w:r>
              <w:rPr>
                <w:rFonts w:ascii="宋体" w:hAnsi="宋体" w:cs="仿宋_GB2312"/>
                <w:b/>
                <w:color w:val="auto"/>
                <w:kern w:val="0"/>
                <w:sz w:val="24"/>
                <w:highlight w:val="none"/>
              </w:rPr>
              <w:t>评审因素</w:t>
            </w:r>
          </w:p>
        </w:tc>
        <w:tc>
          <w:tcPr>
            <w:tcW w:w="5882"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ascii="宋体" w:hAnsi="宋体" w:cs="仿宋_GB2312"/>
                <w:b/>
                <w:color w:val="auto"/>
                <w:kern w:val="0"/>
                <w:sz w:val="24"/>
                <w:highlight w:val="none"/>
              </w:rPr>
            </w:pPr>
            <w:r>
              <w:rPr>
                <w:rFonts w:ascii="宋体" w:hAnsi="宋体" w:cs="仿宋_GB2312"/>
                <w:b/>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4" w:type="dxa"/>
            <w:vMerge w:val="restart"/>
            <w:tcBorders>
              <w:top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line="340" w:lineRule="exact"/>
              <w:ind w:left="0" w:leftChars="0" w:right="0" w:rightChars="0"/>
              <w:jc w:val="center"/>
              <w:rPr>
                <w:rFonts w:ascii="宋体" w:hAnsi="宋体"/>
                <w:color w:val="auto"/>
                <w:sz w:val="24"/>
                <w:highlight w:val="none"/>
              </w:rPr>
            </w:pPr>
            <w:r>
              <w:rPr>
                <w:rFonts w:hint="eastAsia" w:ascii="宋体" w:hAnsi="宋体" w:eastAsia="宋体" w:cs="宋体"/>
                <w:color w:val="auto"/>
                <w:kern w:val="2"/>
                <w:sz w:val="21"/>
                <w:szCs w:val="21"/>
                <w:highlight w:val="none"/>
                <w:lang w:val="en-US" w:eastAsia="zh-CN" w:bidi="ar"/>
              </w:rPr>
              <w:t>42.3</w:t>
            </w:r>
          </w:p>
        </w:tc>
        <w:tc>
          <w:tcPr>
            <w:tcW w:w="862" w:type="dxa"/>
            <w:gridSpan w:val="2"/>
            <w:vMerge w:val="restart"/>
            <w:tcBorders>
              <w:top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line="340" w:lineRule="exact"/>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资格评审标准</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w:t>
            </w:r>
          </w:p>
          <w:p>
            <w:pPr>
              <w:shd w:val="clear"/>
              <w:spacing w:line="400" w:lineRule="exact"/>
              <w:jc w:val="center"/>
              <w:rPr>
                <w:rFonts w:hint="eastAsia" w:ascii="宋体" w:hAnsi="宋体" w:eastAsia="宋体"/>
                <w:color w:val="auto"/>
                <w:highlight w:val="none"/>
              </w:rPr>
            </w:pPr>
            <w:r>
              <w:rPr>
                <w:rFonts w:hint="eastAsia" w:ascii="宋体" w:hAnsi="宋体" w:eastAsia="宋体" w:cs="宋体"/>
                <w:color w:val="auto"/>
                <w:szCs w:val="21"/>
                <w:highlight w:val="none"/>
              </w:rPr>
              <w:t>法定代表人授权书</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rPr>
                <w:rFonts w:hint="eastAsia" w:ascii="宋体" w:hAnsi="宋体" w:eastAsia="宋体"/>
                <w:color w:val="auto"/>
                <w:highlight w:val="none"/>
              </w:rPr>
            </w:pPr>
            <w:r>
              <w:rPr>
                <w:rFonts w:hint="eastAsia" w:ascii="宋体" w:hAnsi="宋体" w:eastAsia="宋体" w:cs="宋体"/>
                <w:color w:val="auto"/>
                <w:szCs w:val="21"/>
                <w:highlight w:val="none"/>
              </w:rPr>
              <w:t>投标文件中有法定代表人证明书，如投标文件为委托代理人签署应同时附上法定代表人证明书和法定代表人授权书。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宋体"/>
                <w:color w:val="auto"/>
                <w:szCs w:val="21"/>
                <w:highlight w:val="none"/>
              </w:rPr>
            </w:pPr>
            <w:r>
              <w:rPr>
                <w:rFonts w:hint="eastAsia" w:ascii="宋体" w:hAnsi="宋体" w:eastAsia="宋体"/>
                <w:color w:val="auto"/>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240" w:lineRule="exact"/>
              <w:rPr>
                <w:rFonts w:hint="eastAsia" w:ascii="宋体" w:hAnsi="宋体" w:eastAsia="宋体"/>
                <w:color w:val="auto"/>
                <w:highlight w:val="none"/>
              </w:rPr>
            </w:pPr>
            <w:r>
              <w:rPr>
                <w:rFonts w:hint="eastAsia" w:ascii="宋体" w:hAnsi="宋体" w:eastAsia="宋体"/>
                <w:color w:val="auto"/>
                <w:szCs w:val="21"/>
                <w:highlight w:val="none"/>
              </w:rPr>
              <w:t>投标人具有承接本工程所需的资质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olor w:val="auto"/>
                <w:highlight w:val="none"/>
              </w:rPr>
            </w:pPr>
            <w:r>
              <w:rPr>
                <w:rFonts w:hint="eastAsia" w:ascii="宋体" w:hAnsi="宋体" w:eastAsia="宋体" w:cs="宋体"/>
                <w:color w:val="auto"/>
                <w:szCs w:val="21"/>
                <w:highlight w:val="none"/>
              </w:rPr>
              <w:t>安全生产许可证</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olor w:val="auto"/>
                <w:highlight w:val="none"/>
              </w:rPr>
            </w:pPr>
            <w:r>
              <w:rPr>
                <w:rFonts w:hint="eastAsia" w:ascii="宋体" w:hAnsi="宋体" w:eastAsia="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olor w:val="auto"/>
                <w:highlight w:val="none"/>
              </w:rPr>
            </w:pPr>
            <w:r>
              <w:rPr>
                <w:rFonts w:hint="eastAsia" w:ascii="宋体" w:hAnsi="宋体" w:eastAsia="宋体"/>
                <w:color w:val="auto"/>
                <w:highlight w:val="none"/>
              </w:rPr>
              <w:t>项目负责人</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olor w:val="auto"/>
                <w:highlight w:val="none"/>
              </w:rPr>
            </w:pPr>
            <w:r>
              <w:rPr>
                <w:rFonts w:hint="eastAsia" w:ascii="宋体" w:hAnsi="宋体" w:eastAsia="宋体"/>
                <w:color w:val="auto"/>
                <w:highlight w:val="none"/>
              </w:rPr>
              <w:t>符合本工程招标公告的要求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olor w:val="auto"/>
                <w:szCs w:val="21"/>
                <w:highlight w:val="none"/>
              </w:rPr>
            </w:pPr>
            <w:r>
              <w:rPr>
                <w:rFonts w:hint="eastAsia" w:ascii="宋体" w:hAnsi="宋体" w:eastAsia="宋体"/>
                <w:color w:val="auto"/>
                <w:highlight w:val="none"/>
              </w:rPr>
              <w:t>符合本工程招标公告的要求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olor w:val="auto"/>
                <w:highlight w:val="none"/>
              </w:rPr>
            </w:pPr>
            <w:r>
              <w:rPr>
                <w:rFonts w:hint="eastAsia" w:ascii="宋体" w:hAnsi="宋体" w:eastAsia="宋体" w:cs="宋体"/>
                <w:color w:val="auto"/>
                <w:szCs w:val="21"/>
                <w:highlight w:val="none"/>
              </w:rPr>
              <w:t>投标申请人声明</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rPr>
                <w:rFonts w:hint="eastAsia" w:ascii="宋体" w:hAnsi="宋体" w:eastAsia="宋体"/>
                <w:color w:val="auto"/>
                <w:highlight w:val="none"/>
              </w:rPr>
            </w:pPr>
            <w:r>
              <w:rPr>
                <w:rFonts w:hint="eastAsia" w:ascii="宋体" w:hAnsi="宋体" w:eastAsia="宋体" w:cs="宋体"/>
                <w:color w:val="auto"/>
                <w:szCs w:val="21"/>
                <w:highlight w:val="none"/>
              </w:rPr>
              <w:t>投标人按规定的格式及内容要求签署《投标申请人声明》。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4" w:type="dxa"/>
            <w:vMerge w:val="continue"/>
            <w:tcBorders>
              <w:right w:val="single" w:color="auto" w:sz="4" w:space="0"/>
            </w:tcBorders>
            <w:noWrap w:val="0"/>
            <w:vAlign w:val="center"/>
          </w:tcPr>
          <w:p>
            <w:pPr>
              <w:shd w:val="clear"/>
              <w:rPr>
                <w:rFonts w:ascii="宋体" w:hAnsi="宋体"/>
                <w:color w:val="auto"/>
                <w:sz w:val="24"/>
                <w:highlight w:val="none"/>
              </w:rPr>
            </w:pPr>
          </w:p>
        </w:tc>
        <w:tc>
          <w:tcPr>
            <w:tcW w:w="862" w:type="dxa"/>
            <w:gridSpan w:val="2"/>
            <w:vMerge w:val="continue"/>
            <w:tcBorders>
              <w:right w:val="single" w:color="auto" w:sz="4" w:space="0"/>
            </w:tcBorders>
            <w:noWrap w:val="0"/>
            <w:vAlign w:val="center"/>
          </w:tcPr>
          <w:p>
            <w:pPr>
              <w:shd w:val="clea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olor w:val="auto"/>
                <w:highlight w:val="none"/>
              </w:rPr>
            </w:pPr>
            <w:r>
              <w:rPr>
                <w:rFonts w:hint="eastAsia" w:ascii="宋体" w:hAnsi="宋体" w:eastAsia="宋体" w:cs="宋体"/>
                <w:color w:val="auto"/>
                <w:szCs w:val="21"/>
                <w:highlight w:val="none"/>
                <w:lang w:eastAsia="zh-CN"/>
              </w:rPr>
              <w:t>“信用中国”、</w:t>
            </w:r>
            <w:r>
              <w:rPr>
                <w:rFonts w:hint="eastAsia" w:ascii="宋体" w:hAnsi="宋体" w:eastAsia="宋体"/>
                <w:color w:val="auto"/>
                <w:highlight w:val="none"/>
                <w:lang w:val="en-US" w:eastAsia="zh-CN"/>
              </w:rPr>
              <w:t>“信用清远”</w:t>
            </w:r>
            <w:r>
              <w:rPr>
                <w:rFonts w:hint="eastAsia" w:ascii="宋体" w:hAnsi="宋体" w:eastAsia="宋体" w:cs="宋体"/>
                <w:color w:val="auto"/>
                <w:szCs w:val="21"/>
                <w:highlight w:val="none"/>
                <w:lang w:eastAsia="zh-CN"/>
              </w:rPr>
              <w:t>网站</w:t>
            </w:r>
            <w:r>
              <w:rPr>
                <w:rFonts w:hint="eastAsia" w:ascii="宋体" w:hAnsi="宋体" w:eastAsia="宋体" w:cs="宋体"/>
                <w:color w:val="auto"/>
                <w:szCs w:val="21"/>
                <w:highlight w:val="none"/>
              </w:rPr>
              <w:t>查询结果</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rPr>
                <w:rFonts w:hint="eastAsia" w:ascii="宋体" w:hAnsi="宋体" w:eastAsia="宋体"/>
                <w:color w:val="auto"/>
                <w:highlight w:val="none"/>
              </w:rPr>
            </w:pPr>
            <w:r>
              <w:rPr>
                <w:rFonts w:hint="eastAsia" w:ascii="宋体" w:hAnsi="宋体" w:eastAsia="宋体"/>
                <w:color w:val="auto"/>
                <w:highlight w:val="none"/>
                <w:lang w:val="en-US" w:eastAsia="zh-CN"/>
              </w:rPr>
              <w:t>最近三年内投标人未在“信用中国”网站（https://www.creditchina.gov.cn）中被列入拖欠农民工工资失信联合惩戒对象名单；未在“信用清远”网站（https://xyqy.gdqy.gov.cn/）的“失信黑名单”中被列入”拖欠农民工工资'黑名单'（清远市）”，投标活动依法予以限制，不接受其投标（以评标当日现场查询结果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76" w:type="dxa"/>
            <w:gridSpan w:val="3"/>
            <w:tcBorders>
              <w:top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2565"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条款内容</w:t>
            </w:r>
          </w:p>
        </w:tc>
        <w:tc>
          <w:tcPr>
            <w:tcW w:w="5882"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76" w:type="dxa"/>
            <w:gridSpan w:val="3"/>
            <w:vMerge w:val="restart"/>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43.2.1</w:t>
            </w:r>
          </w:p>
        </w:tc>
        <w:tc>
          <w:tcPr>
            <w:tcW w:w="2565" w:type="dxa"/>
            <w:gridSpan w:val="2"/>
            <w:tcBorders>
              <w:top w:val="single" w:color="auto" w:sz="4" w:space="0"/>
              <w:left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技术标：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pPr>
              <w:widowControl/>
              <w:shd w:val="clea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60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pPr>
              <w:widowControl/>
              <w:shd w:val="clear"/>
              <w:spacing w:line="400" w:lineRule="exact"/>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投标报价：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76" w:type="dxa"/>
            <w:gridSpan w:val="3"/>
            <w:vMerge w:val="continue"/>
            <w:tcBorders>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综合总得分计算公式</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综合总得分＝</w:t>
            </w:r>
            <w:r>
              <w:rPr>
                <w:rFonts w:hint="eastAsia" w:ascii="宋体" w:hAnsi="宋体" w:eastAsia="宋体" w:cs="宋体"/>
                <w:color w:val="auto"/>
                <w:szCs w:val="21"/>
                <w:highlight w:val="none"/>
                <w:lang w:val="en-US" w:eastAsia="zh-CN"/>
              </w:rPr>
              <w:t>技术标得分+</w:t>
            </w:r>
            <w:r>
              <w:rPr>
                <w:rFonts w:hint="eastAsia" w:ascii="宋体" w:hAnsi="宋体" w:eastAsia="宋体" w:cs="宋体"/>
                <w:color w:val="auto"/>
                <w:szCs w:val="21"/>
                <w:highlight w:val="none"/>
              </w:rPr>
              <w:t>资信标得分＋投标报价得分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76" w:type="dxa"/>
            <w:gridSpan w:val="3"/>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43.2.2</w:t>
            </w:r>
          </w:p>
        </w:tc>
        <w:tc>
          <w:tcPr>
            <w:tcW w:w="2565" w:type="dxa"/>
            <w:gridSpan w:val="2"/>
            <w:tcBorders>
              <w:top w:val="single" w:color="auto" w:sz="4" w:space="0"/>
              <w:left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评标基准价（A值）</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计算方法</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选取方法：</w:t>
            </w:r>
            <w:r>
              <w:rPr>
                <w:rFonts w:hint="eastAsia" w:ascii="宋体" w:hAnsi="宋体" w:eastAsia="宋体" w:cs="宋体"/>
                <w:b/>
                <w:bCs/>
                <w:color w:val="auto"/>
                <w:szCs w:val="21"/>
                <w:highlight w:val="none"/>
                <w:lang w:val="en-US" w:eastAsia="zh-CN"/>
              </w:rPr>
              <w:t>方法二</w:t>
            </w:r>
            <w:r>
              <w:rPr>
                <w:rFonts w:hint="eastAsia" w:ascii="宋体" w:hAnsi="宋体" w:eastAsia="宋体" w:cs="宋体"/>
                <w:color w:val="auto"/>
                <w:szCs w:val="21"/>
                <w:highlight w:val="none"/>
              </w:rPr>
              <w:t xml:space="preserve">  </w:t>
            </w:r>
          </w:p>
          <w:p>
            <w:pPr>
              <w:shd w:val="clea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方法一： 随机抽取2个号球（第一次抽出的号球不参与第二次抽取），将2个号球对应下浮率的算术平均值作为评标下浮率；将招标控制价与（1-评标下浮率%）的乘积作为评标基准价。计算方法详见43.2.2。</w:t>
            </w:r>
          </w:p>
          <w:p>
            <w:pPr>
              <w:shd w:val="clear"/>
              <w:spacing w:line="5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方法二：当有效投标人小于5人时，则所有有效投标报价计算值的平均值为K1；当有效投标人等于或大于5人时，去除1个最高的有效报价和1个最低的有效报价，余下的所有有效投标报价计算值的平均值为K1；所有低于K1值的有效投标报价计算值的平均值为K2；评标基准价等于K1和K2的平均值。</w:t>
            </w:r>
          </w:p>
          <w:p>
            <w:pPr>
              <w:widowControl/>
              <w:shd w:val="clea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注：计算值按四舍五入法保留三位有效小数。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8" w:type="dxa"/>
            <w:gridSpan w:val="2"/>
            <w:tcBorders>
              <w:top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3133" w:type="dxa"/>
            <w:gridSpan w:val="3"/>
            <w:tcBorders>
              <w:top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评分因素</w:t>
            </w:r>
          </w:p>
        </w:tc>
        <w:tc>
          <w:tcPr>
            <w:tcW w:w="5882"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008" w:type="dxa"/>
            <w:gridSpan w:val="2"/>
            <w:vMerge w:val="restart"/>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43.2.3（1）</w:t>
            </w:r>
          </w:p>
        </w:tc>
        <w:tc>
          <w:tcPr>
            <w:tcW w:w="1080" w:type="dxa"/>
            <w:gridSpan w:val="2"/>
            <w:vMerge w:val="restart"/>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技术标评分标准</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施工进度计划和各阶段进度的保证措施（</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【优】针对本工程项目特点，在施工工艺、施工方法、材料选用、劳动力安排、技术等方面有保证工期的具体措施，有控制工期的施工进度计划。有施工总进度表，符合本项目施工实际要求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eastAsia="zh-CN"/>
              </w:rPr>
              <w:t>投标人承诺施工工期比招标文件要求提前的：施工工期比招标文件要求提前</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日历天及以上，得2分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【良】针对本工程项目特点，在施工工艺、施工方法、材料选用、劳动力安排、技术等方面有保证工期的具体措施，有控制工期的施工进度计划。有施工总进度表，符合本项目施工实际要求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eastAsia="zh-CN"/>
              </w:rPr>
              <w:t>投标人承诺施工工期比招标文件要求提前的：施工工期比招标文件要求提前</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【中】针对本工程项目特点，在施工工艺、施工方法、材料选用、劳动力安排、技术等方面有保证工期的具体措施，有控制工期的施工进度计划。有施工总进度表，符合本项目施工实际要求</w:t>
            </w:r>
            <w:r>
              <w:rPr>
                <w:rFonts w:hint="eastAsia" w:ascii="宋体" w:hAnsi="宋体" w:eastAsia="宋体" w:cs="宋体"/>
                <w:color w:val="auto"/>
                <w:szCs w:val="21"/>
                <w:highlight w:val="none"/>
                <w:lang w:eastAsia="zh-CN"/>
              </w:rPr>
              <w:t>，投标人承诺施工工期比招标文件要求提前的：施工工期</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lang w:eastAsia="zh-CN"/>
              </w:rPr>
              <w:t>招标文件要求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eastAsia="zh-CN"/>
              </w:rPr>
              <w:t>，得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olor w:val="auto"/>
                <w:kern w:val="44"/>
                <w:szCs w:val="21"/>
                <w:highlight w:val="none"/>
              </w:rPr>
            </w:pPr>
            <w:r>
              <w:rPr>
                <w:rFonts w:hint="eastAsia" w:ascii="宋体" w:hAnsi="宋体" w:eastAsia="宋体" w:cs="宋体"/>
                <w:color w:val="auto"/>
                <w:szCs w:val="21"/>
                <w:highlight w:val="none"/>
              </w:rPr>
              <w:t>【差】不满足前述要求者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环保措施</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【优】安全文明目标优于招标文件要求，承诺争创</w:t>
            </w:r>
            <w:r>
              <w:rPr>
                <w:rFonts w:hint="eastAsia" w:ascii="宋体" w:hAnsi="宋体" w:eastAsia="宋体" w:cs="宋体"/>
                <w:color w:val="auto"/>
                <w:szCs w:val="21"/>
                <w:highlight w:val="none"/>
                <w:lang w:val="en-US" w:eastAsia="zh-CN"/>
              </w:rPr>
              <w:t>市</w:t>
            </w:r>
            <w:r>
              <w:rPr>
                <w:rFonts w:hint="eastAsia" w:ascii="宋体" w:hAnsi="宋体" w:eastAsia="宋体" w:cs="宋体"/>
                <w:color w:val="auto"/>
                <w:szCs w:val="21"/>
                <w:highlight w:val="none"/>
              </w:rPr>
              <w:t>级或以上安全文明施工样板工地，有安全文明控制管理体系，安全文明控制保证措施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有绿色节能控制措施；并有承诺在施工过程中通过科学管理和先进的技术手段，最大限度地节约资源与减少对环境的负面影响，以达到四节一环保（节能、节地、节水、节材和环境保护）的目标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【良】安全文明目标</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招标文件要求，有安全文明控制管理体系，安全文明控制保证措施，有绿色节能控制措施；并有承诺在施工过程中通过科学管理和先进的技术手段，最大限度地节约资源与减少对环境的负面影响，以达到四节一环保（节能、节地、节水、节材和环境保护）的目标，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【中】安全文明目标</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招标文件要求，有安全文明控制管理体系，安全文明控制保证措施，</w:t>
            </w:r>
            <w:r>
              <w:rPr>
                <w:rFonts w:hint="eastAsia" w:ascii="宋体" w:hAnsi="宋体" w:eastAsia="宋体" w:cs="宋体"/>
                <w:color w:val="auto"/>
                <w:szCs w:val="21"/>
                <w:highlight w:val="none"/>
                <w:lang w:val="en-US" w:eastAsia="zh-CN"/>
              </w:rPr>
              <w:t>未提供相关的绿色环保措施的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pPr>
              <w:pStyle w:val="2"/>
              <w:numPr>
                <w:ilvl w:val="0"/>
                <w:numId w:val="0"/>
              </w:numPr>
              <w:shd w:val="clear"/>
              <w:ind w:left="0" w:leftChars="0" w:firstLine="0" w:firstLineChars="0"/>
              <w:rPr>
                <w:rFonts w:hint="eastAsia" w:ascii="宋体" w:hAnsi="宋体" w:eastAsia="宋体"/>
                <w:color w:val="auto"/>
                <w:kern w:val="44"/>
                <w:szCs w:val="21"/>
                <w:highlight w:val="none"/>
              </w:rPr>
            </w:pPr>
            <w:r>
              <w:rPr>
                <w:rFonts w:hint="eastAsia" w:ascii="宋体" w:hAnsi="宋体" w:eastAsia="宋体" w:cs="宋体"/>
                <w:color w:val="auto"/>
                <w:szCs w:val="21"/>
                <w:highlight w:val="none"/>
              </w:rPr>
              <w:t>【差】不满足前述要求者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【优】质量目标优于招标文件要求，有承诺争创</w:t>
            </w:r>
            <w:r>
              <w:rPr>
                <w:rFonts w:hint="eastAsia" w:ascii="宋体" w:hAnsi="宋体" w:eastAsia="宋体" w:cs="宋体"/>
                <w:color w:val="auto"/>
                <w:szCs w:val="21"/>
                <w:highlight w:val="none"/>
                <w:lang w:val="en-US" w:eastAsia="zh-CN"/>
              </w:rPr>
              <w:t>市</w:t>
            </w:r>
            <w:r>
              <w:rPr>
                <w:rFonts w:hint="eastAsia" w:ascii="宋体" w:hAnsi="宋体" w:eastAsia="宋体" w:cs="宋体"/>
                <w:color w:val="auto"/>
                <w:szCs w:val="21"/>
                <w:highlight w:val="none"/>
              </w:rPr>
              <w:t>级或以上的优良样板工程且有质量控制管理体系，质量保证措施的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【良】质量目标</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招标文件要求，有质量控制管理体系，质量保证措施的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得1分</w:t>
            </w:r>
            <w:r>
              <w:rPr>
                <w:rFonts w:hint="eastAsia" w:ascii="宋体" w:hAnsi="宋体" w:eastAsia="宋体" w:cs="宋体"/>
                <w:color w:val="auto"/>
                <w:szCs w:val="21"/>
                <w:highlight w:val="none"/>
              </w:rPr>
              <w:t>；</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【中】质量目标</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招标文件要求，</w:t>
            </w:r>
            <w:r>
              <w:rPr>
                <w:rFonts w:hint="eastAsia" w:ascii="宋体" w:hAnsi="宋体" w:eastAsia="宋体" w:cs="宋体"/>
                <w:color w:val="auto"/>
                <w:szCs w:val="21"/>
                <w:highlight w:val="none"/>
                <w:lang w:val="en-US" w:eastAsia="zh-CN"/>
              </w:rPr>
              <w:t>仅</w:t>
            </w:r>
            <w:r>
              <w:rPr>
                <w:rFonts w:hint="eastAsia" w:ascii="宋体" w:hAnsi="宋体" w:eastAsia="宋体" w:cs="宋体"/>
                <w:color w:val="auto"/>
                <w:szCs w:val="21"/>
                <w:highlight w:val="none"/>
              </w:rPr>
              <w:t>有质量控制管理体系</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质量保证措施</w:t>
            </w:r>
            <w:r>
              <w:rPr>
                <w:rFonts w:hint="eastAsia" w:ascii="宋体" w:hAnsi="宋体" w:eastAsia="宋体" w:cs="宋体"/>
                <w:color w:val="auto"/>
                <w:szCs w:val="21"/>
                <w:highlight w:val="none"/>
                <w:lang w:val="en-US" w:eastAsia="zh-CN"/>
              </w:rPr>
              <w:t>当中一项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得0.5分</w:t>
            </w:r>
            <w:r>
              <w:rPr>
                <w:rFonts w:hint="eastAsia" w:ascii="宋体" w:hAnsi="宋体" w:eastAsia="宋体" w:cs="宋体"/>
                <w:color w:val="auto"/>
                <w:szCs w:val="21"/>
                <w:highlight w:val="none"/>
              </w:rPr>
              <w:t>；</w:t>
            </w:r>
          </w:p>
          <w:p>
            <w:pPr>
              <w:pStyle w:val="2"/>
              <w:numPr>
                <w:ilvl w:val="0"/>
                <w:numId w:val="0"/>
              </w:numPr>
              <w:shd w:val="clear"/>
              <w:ind w:left="0" w:leftChars="0" w:firstLine="0" w:firstLineChars="0"/>
              <w:rPr>
                <w:rFonts w:hint="eastAsia" w:ascii="宋体" w:hAnsi="宋体" w:eastAsia="宋体"/>
                <w:color w:val="auto"/>
                <w:kern w:val="44"/>
                <w:szCs w:val="21"/>
                <w:highlight w:val="none"/>
              </w:rPr>
            </w:pPr>
            <w:r>
              <w:rPr>
                <w:rFonts w:hint="eastAsia" w:ascii="宋体" w:hAnsi="宋体" w:eastAsia="宋体" w:cs="宋体"/>
                <w:color w:val="auto"/>
                <w:szCs w:val="21"/>
                <w:highlight w:val="none"/>
              </w:rPr>
              <w:t>【差】不满足前述要求者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组织机构（项目负责人除外的其他人员）</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【优】组织机构形式合理，有完善的指挥系统，生产及质量、安全、文明施工、创优达标监控系统、联络协调系统，项目管理人员内高级职称人员6名及以上、中级职称人员6名及以上，得2分。</w:t>
            </w:r>
          </w:p>
          <w:p>
            <w:pPr>
              <w:shd w:val="clea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【良】组织机构形式合理，有完善的指挥系统，生产及质量、安全、文明施工、创优达标监控系统、联络协调系统，项目管理人员内高级职称人员4-5名、中级职称人员4-5名，得1分。</w:t>
            </w:r>
          </w:p>
          <w:p>
            <w:pPr>
              <w:shd w:val="clea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【中】组织机构形式合理，有完善的指挥系统，生产及质量、安全、文明施工、创优达标监控系统、联络协调系统，项目管理人员内高级职称人员1-3名、中级职称人员1-3名，得0.5分。</w:t>
            </w:r>
          </w:p>
          <w:p>
            <w:pPr>
              <w:shd w:val="clear"/>
              <w:spacing w:line="400" w:lineRule="exact"/>
              <w:rPr>
                <w:rFonts w:hint="eastAsia" w:ascii="宋体" w:hAnsi="宋体" w:eastAsia="宋体"/>
                <w:color w:val="auto"/>
                <w:kern w:val="44"/>
                <w:szCs w:val="21"/>
                <w:highlight w:val="none"/>
              </w:rPr>
            </w:pPr>
            <w:r>
              <w:rPr>
                <w:rFonts w:hint="eastAsia" w:ascii="宋体" w:hAnsi="宋体" w:eastAsia="宋体" w:cs="宋体"/>
                <w:color w:val="auto"/>
                <w:kern w:val="2"/>
                <w:sz w:val="21"/>
                <w:szCs w:val="21"/>
                <w:highlight w:val="none"/>
                <w:lang w:val="en-US" w:eastAsia="zh-CN" w:bidi="ar-SA"/>
              </w:rPr>
              <w:t>【差】</w:t>
            </w:r>
            <w:r>
              <w:rPr>
                <w:rFonts w:hint="eastAsia" w:ascii="宋体" w:hAnsi="宋体" w:eastAsia="宋体" w:cs="宋体"/>
                <w:color w:val="auto"/>
                <w:szCs w:val="21"/>
                <w:highlight w:val="none"/>
              </w:rPr>
              <w:t>不满足前述要求者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机械设备、劳动力</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投入计划</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【优】有机械设备需求计划及保障措施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劳动力需求计划及保障措施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施工高峰期拟投入的劳动人数量大于或等于</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00人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分；</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【良】有机械设备需求计划及保障措施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劳动力需求计划及保障措施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施工高峰期拟投入的劳动人数量大于或等于</w:t>
            </w:r>
            <w:r>
              <w:rPr>
                <w:rFonts w:hint="eastAsia" w:ascii="宋体" w:hAnsi="宋体" w:eastAsia="宋体" w:cs="宋体"/>
                <w:color w:val="auto"/>
                <w:szCs w:val="21"/>
                <w:highlight w:val="none"/>
                <w:u w:val="none"/>
              </w:rPr>
              <w:t>50</w:t>
            </w:r>
            <w:r>
              <w:rPr>
                <w:rFonts w:hint="eastAsia" w:ascii="宋体" w:hAnsi="宋体" w:eastAsia="宋体" w:cs="宋体"/>
                <w:color w:val="auto"/>
                <w:szCs w:val="21"/>
                <w:highlight w:val="none"/>
              </w:rPr>
              <w:t>人且少于</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00</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【中】有机械设备需求计划及保障措施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劳动力需求计划及保障措施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施工高峰期拟投入的劳动人数量</w:t>
            </w:r>
            <w:r>
              <w:rPr>
                <w:rFonts w:hint="eastAsia" w:ascii="宋体" w:hAnsi="宋体" w:eastAsia="宋体" w:cs="宋体"/>
                <w:color w:val="auto"/>
                <w:szCs w:val="21"/>
                <w:highlight w:val="none"/>
                <w:lang w:val="en-US" w:eastAsia="zh-CN"/>
              </w:rPr>
              <w:t>低于50人的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pPr>
              <w:shd w:val="clear"/>
              <w:spacing w:line="400" w:lineRule="exact"/>
              <w:rPr>
                <w:rFonts w:hint="eastAsia" w:ascii="宋体" w:hAnsi="宋体" w:eastAsia="宋体"/>
                <w:color w:val="auto"/>
                <w:kern w:val="44"/>
                <w:szCs w:val="21"/>
                <w:highlight w:val="none"/>
              </w:rPr>
            </w:pPr>
            <w:r>
              <w:rPr>
                <w:rFonts w:hint="eastAsia" w:ascii="宋体" w:hAnsi="宋体" w:eastAsia="宋体" w:cs="宋体"/>
                <w:color w:val="auto"/>
                <w:szCs w:val="21"/>
                <w:highlight w:val="none"/>
              </w:rPr>
              <w:t>【差】不满足前述要求者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得0分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9" w:hRule="atLeast"/>
          <w:jc w:val="center"/>
        </w:trPr>
        <w:tc>
          <w:tcPr>
            <w:tcW w:w="1008" w:type="dxa"/>
            <w:gridSpan w:val="2"/>
            <w:vMerge w:val="restart"/>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43.2.3（2）</w:t>
            </w:r>
          </w:p>
        </w:tc>
        <w:tc>
          <w:tcPr>
            <w:tcW w:w="1080" w:type="dxa"/>
            <w:gridSpan w:val="2"/>
            <w:vMerge w:val="restart"/>
            <w:tcBorders>
              <w:top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资信标评分标准</w:t>
            </w:r>
          </w:p>
          <w:p>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分）</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企业诚信评价等级</w:t>
            </w:r>
          </w:p>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（1）投标人连续4个年度或以上获得省级或以上市政行业协会颁发的先进单位或先进企业或优秀企业称号的，得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连续3个年度获得省级或以上市政行业协会颁发的先进单位或先进企业称号的，得7分；连续2个年度获得省级或以上市政行业协会颁发的先进单位或先进企业称号的，得4分。只有1年获得省级或以上市政行业协会颁发的先进单位或先进企业或优秀企业称号的，得1分。本</w:t>
            </w: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项最高得10分。</w:t>
            </w:r>
          </w:p>
          <w:p>
            <w:pPr>
              <w:shd w:val="clea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注：（1）“先进单位或先进企业或优秀企业称号”须含最新评审年度2022年度；（2）投标人须提交证书扫描件并加盖投标单位公章，时间以证书或获奖证明材料评价（评定）年度为准。（2）同时提供该行业协会在“中国社会组织公共服务平台”（网址：https://chinanpo.mca.gov.cn/）的登记的网页查询截图，证明其有登记备案，否则不得分。只计算投标人自身（不含投标人的子公司或分公司），不符合条件或无提交上述材料不计分。】</w:t>
            </w:r>
          </w:p>
          <w:p>
            <w:pPr>
              <w:shd w:val="clear"/>
              <w:bidi w:val="0"/>
              <w:spacing w:line="360" w:lineRule="auto"/>
              <w:rPr>
                <w:rFonts w:hint="eastAsia" w:ascii="宋体" w:hAnsi="宋体" w:eastAsia="宋体" w:cs="宋体"/>
                <w:sz w:val="21"/>
                <w:szCs w:val="21"/>
                <w:highlight w:val="none"/>
              </w:rPr>
            </w:pPr>
          </w:p>
          <w:p>
            <w:pPr>
              <w:shd w:val="clear"/>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人获得过省级或以上市政行业协会颁发的“企业诚信评价”或“企业信用等级评价”AAAAA级称号证书（证书须在有效期内）的，得10分；获得过AAAA级称号证书（证书须在有效期内）的，得5分；获得过AAA级及以下级别称号证书（证书须在有效期内）的，得1分；其它情况不得分。本</w:t>
            </w: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项最高得10分。</w:t>
            </w:r>
          </w:p>
          <w:p>
            <w:pPr>
              <w:shd w:val="clear"/>
              <w:bidi w:val="0"/>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备注：（1）省级或以上市政行业协会颁发的“企业诚信评价”或“企业信用等级评价”证书：投标人须提供信用等级证书扫描件，时间以发证日期为准，证书须在有效期内。（2）同时提供该协会在“中国社会组织政务服务平台”有登记的网页查询截图（网址：https://chinanpo.mca.gov.cn/），证明其有登记备案，否则不得分。只计算投标人自身（不含投标人的子公司或分公司），不符合条件或无提交上述材料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4"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top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企业获奖情况</w:t>
            </w:r>
          </w:p>
          <w:p>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bidi w:val="0"/>
              <w:spacing w:line="360" w:lineRule="auto"/>
              <w:rPr>
                <w:rFonts w:hint="eastAsia" w:ascii="宋体" w:hAnsi="宋体" w:eastAsia="宋体" w:cs="宋体"/>
                <w:sz w:val="21"/>
                <w:szCs w:val="21"/>
                <w:highlight w:val="none"/>
              </w:rPr>
            </w:pPr>
            <w:bookmarkStart w:id="34" w:name="_Toc15476"/>
            <w:bookmarkStart w:id="35" w:name="_Toc14785"/>
            <w:r>
              <w:rPr>
                <w:rFonts w:hint="eastAsia" w:ascii="宋体" w:hAnsi="宋体" w:eastAsia="宋体" w:cs="宋体"/>
                <w:sz w:val="21"/>
                <w:szCs w:val="21"/>
                <w:highlight w:val="none"/>
              </w:rPr>
              <w:t>（1）投标人自2020年1月1日至投标截止时间，获得过省级或以上市政类科学技术进步奖或科学技术奖项，</w:t>
            </w:r>
            <w:r>
              <w:rPr>
                <w:rFonts w:hint="eastAsia" w:ascii="宋体" w:hAnsi="宋体" w:eastAsia="宋体" w:cs="宋体"/>
                <w:sz w:val="21"/>
                <w:szCs w:val="21"/>
                <w:highlight w:val="none"/>
                <w:lang w:val="en-US" w:eastAsia="zh-CN"/>
              </w:rPr>
              <w:t>每提供一个</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本小项最高得10分</w:t>
            </w:r>
            <w:r>
              <w:rPr>
                <w:rFonts w:hint="eastAsia" w:ascii="宋体" w:hAnsi="宋体" w:eastAsia="宋体" w:cs="宋体"/>
                <w:sz w:val="21"/>
                <w:szCs w:val="21"/>
                <w:highlight w:val="none"/>
              </w:rPr>
              <w:t>；</w:t>
            </w:r>
          </w:p>
          <w:bookmarkEnd w:id="34"/>
          <w:bookmarkEnd w:id="35"/>
          <w:p>
            <w:pPr>
              <w:shd w:val="clear"/>
              <w:bidi w:val="0"/>
              <w:spacing w:line="360" w:lineRule="auto"/>
              <w:rPr>
                <w:rFonts w:hint="eastAsia" w:ascii="宋体" w:hAnsi="宋体" w:eastAsia="宋体" w:cs="宋体"/>
                <w:sz w:val="21"/>
                <w:szCs w:val="21"/>
                <w:highlight w:val="none"/>
              </w:rPr>
            </w:pPr>
            <w:bookmarkStart w:id="36" w:name="_Toc17711"/>
            <w:bookmarkStart w:id="37" w:name="_Toc30224"/>
            <w:r>
              <w:rPr>
                <w:rFonts w:hint="eastAsia" w:ascii="宋体" w:hAnsi="宋体" w:eastAsia="宋体" w:cs="宋体"/>
                <w:sz w:val="21"/>
                <w:szCs w:val="21"/>
                <w:highlight w:val="none"/>
              </w:rPr>
              <w:t>（2）投标人自2020年1月1日至投标截止时间，获得过国家知识产权局颁发的工程建设类发明授权专利：获得10项以上（不含本数）的，得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分；获得5项以上（不含本数）至10项的，得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分；获得1项或以上至5项的，得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bookmarkEnd w:id="36"/>
          <w:bookmarkEnd w:id="37"/>
          <w:p>
            <w:pPr>
              <w:shd w:val="clear"/>
              <w:bidi w:val="0"/>
              <w:spacing w:line="360" w:lineRule="auto"/>
              <w:rPr>
                <w:rFonts w:hint="eastAsia" w:ascii="宋体" w:hAnsi="宋体" w:eastAsia="宋体" w:cs="宋体"/>
                <w:sz w:val="21"/>
                <w:szCs w:val="21"/>
                <w:highlight w:val="none"/>
              </w:rPr>
            </w:pPr>
            <w:bookmarkStart w:id="38" w:name="_Toc21981"/>
            <w:bookmarkStart w:id="39" w:name="_Toc14132"/>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）投标人自2020年1月1日至投标截止时间，获得过国家知识产权局颁发的工程建设类中国专利奖的，一项加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bookmarkEnd w:id="38"/>
          <w:bookmarkEnd w:id="39"/>
          <w:p>
            <w:pPr>
              <w:shd w:val="clear"/>
              <w:bidi w:val="0"/>
              <w:spacing w:line="360" w:lineRule="auto"/>
              <w:rPr>
                <w:rFonts w:hint="eastAsia" w:ascii="宋体" w:hAnsi="宋体" w:eastAsia="宋体" w:cs="宋体"/>
                <w:color w:val="auto"/>
                <w:sz w:val="21"/>
                <w:szCs w:val="21"/>
                <w:highlight w:val="none"/>
              </w:rPr>
            </w:pPr>
            <w:bookmarkStart w:id="40" w:name="_Toc10882"/>
            <w:bookmarkStart w:id="41" w:name="_Toc13669"/>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备注：（1）省级或以上市政类科学技术进步奖或科学技术奖：投标人须同时提交获奖证书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及建设职能部门（或其主管的行业协会）出具可反映该科学技术成果成功应用在具体市政项目的科学技术成果鉴定证书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，以上要求提供的</w:t>
            </w:r>
            <w:r>
              <w:rPr>
                <w:rFonts w:hint="eastAsia" w:ascii="宋体" w:hAnsi="宋体" w:eastAsia="宋体" w:cs="宋体"/>
                <w:sz w:val="21"/>
                <w:szCs w:val="21"/>
                <w:highlight w:val="none"/>
                <w:lang w:val="en-US" w:eastAsia="zh-CN"/>
              </w:rPr>
              <w:t>证明材料</w:t>
            </w:r>
            <w:r>
              <w:rPr>
                <w:rFonts w:hint="eastAsia" w:ascii="宋体" w:hAnsi="宋体" w:eastAsia="宋体" w:cs="宋体"/>
                <w:sz w:val="21"/>
                <w:szCs w:val="21"/>
                <w:highlight w:val="none"/>
              </w:rPr>
              <w:t>缺一不可，否则该科学技术进步奖或科学技术奖不能计算为有效奖项。不符合上述条件或无法提供证书</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及科学技术成果鉴定证书</w:t>
            </w:r>
            <w:r>
              <w:rPr>
                <w:rFonts w:hint="eastAsia" w:ascii="宋体" w:hAnsi="宋体" w:eastAsia="宋体" w:cs="宋体"/>
                <w:sz w:val="21"/>
                <w:szCs w:val="21"/>
                <w:highlight w:val="none"/>
                <w:lang w:val="en-US" w:eastAsia="zh-CN"/>
              </w:rPr>
              <w:t>及无法证明该科学技术进步奖或科学技术奖应用在具体市政项目的不得分</w:t>
            </w:r>
            <w:r>
              <w:rPr>
                <w:rFonts w:hint="eastAsia" w:ascii="宋体" w:hAnsi="宋体" w:eastAsia="宋体" w:cs="宋体"/>
                <w:sz w:val="21"/>
                <w:szCs w:val="21"/>
                <w:highlight w:val="none"/>
              </w:rPr>
              <w:t>。（2）工程建设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以及所对应的发明授权专利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并加盖</w:t>
            </w:r>
            <w:r>
              <w:rPr>
                <w:rFonts w:hint="eastAsia" w:ascii="宋体" w:hAnsi="宋体" w:eastAsia="宋体" w:cs="宋体"/>
                <w:sz w:val="21"/>
                <w:szCs w:val="21"/>
                <w:highlight w:val="none"/>
                <w:lang w:val="en-US" w:eastAsia="zh-CN"/>
              </w:rPr>
              <w:t>投标人电子</w:t>
            </w:r>
            <w:r>
              <w:rPr>
                <w:rFonts w:hint="eastAsia" w:ascii="宋体" w:hAnsi="宋体" w:eastAsia="宋体" w:cs="宋体"/>
                <w:sz w:val="21"/>
                <w:szCs w:val="21"/>
                <w:highlight w:val="none"/>
              </w:rPr>
              <w:t>公章。仅计算发明授权类专利（不包含实用新型类专利、发明公布类专利及外观设计类专利），不符合上述条件或未提供上述资料的不得分。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工程建设类中国专利奖需提供获奖证书</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及国家知识产权局网站（https://www.cnipa.gov.cn/）中国专利奖评审结果名单</w:t>
            </w:r>
            <w:r>
              <w:rPr>
                <w:rFonts w:hint="eastAsia" w:ascii="宋体" w:hAnsi="宋体" w:eastAsia="宋体" w:cs="宋体"/>
                <w:sz w:val="21"/>
                <w:szCs w:val="21"/>
                <w:highlight w:val="none"/>
                <w:lang w:val="en-US" w:eastAsia="zh-CN"/>
              </w:rPr>
              <w:t>扫描件</w:t>
            </w:r>
            <w:r>
              <w:rPr>
                <w:rFonts w:hint="eastAsia" w:ascii="宋体" w:hAnsi="宋体" w:eastAsia="宋体" w:cs="宋体"/>
                <w:sz w:val="21"/>
                <w:szCs w:val="21"/>
                <w:highlight w:val="none"/>
              </w:rPr>
              <w:t>，时间以发证日期为准，不符合上述条件或未提供上述资料的不得分。本项合计最高得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bookmarkEnd w:id="40"/>
            <w:bookmark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2"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top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Style w:val="63"/>
                <w:rFonts w:hint="eastAsia" w:ascii="宋体" w:hAnsi="宋体" w:eastAsia="宋体" w:cs="宋体"/>
                <w:b w:val="0"/>
                <w:color w:val="auto"/>
                <w:sz w:val="21"/>
                <w:szCs w:val="21"/>
                <w:highlight w:val="none"/>
                <w:lang w:val="en-US" w:eastAsia="zh-CN" w:bidi="ar-SA"/>
              </w:rPr>
            </w:pPr>
            <w:bookmarkStart w:id="42" w:name="_Toc6604"/>
            <w:bookmarkStart w:id="43" w:name="_Toc18835"/>
            <w:bookmarkStart w:id="44" w:name="_Toc24695"/>
            <w:bookmarkStart w:id="45" w:name="_Toc8691"/>
            <w:bookmarkStart w:id="46" w:name="_Toc27524"/>
            <w:bookmarkStart w:id="47" w:name="_Toc12846"/>
            <w:bookmarkStart w:id="48" w:name="_Toc8597"/>
            <w:bookmarkStart w:id="49" w:name="_Toc18549"/>
            <w:bookmarkStart w:id="50" w:name="_Toc30664"/>
            <w:bookmarkStart w:id="51" w:name="_Toc1071"/>
            <w:r>
              <w:rPr>
                <w:rStyle w:val="63"/>
                <w:rFonts w:hint="eastAsia" w:ascii="宋体" w:hAnsi="宋体" w:eastAsia="宋体" w:cs="宋体"/>
                <w:b w:val="0"/>
                <w:color w:val="auto"/>
                <w:sz w:val="21"/>
                <w:szCs w:val="21"/>
                <w:highlight w:val="none"/>
                <w:lang w:val="en-US" w:eastAsia="zh-CN" w:bidi="ar-SA"/>
              </w:rPr>
              <w:t>企业业绩（10分）</w:t>
            </w:r>
          </w:p>
          <w:bookmarkEnd w:id="42"/>
          <w:bookmarkEnd w:id="43"/>
          <w:bookmarkEnd w:id="44"/>
          <w:bookmarkEnd w:id="45"/>
          <w:bookmarkEnd w:id="46"/>
          <w:bookmarkEnd w:id="47"/>
          <w:bookmarkEnd w:id="48"/>
          <w:bookmarkEnd w:id="49"/>
          <w:bookmarkEnd w:id="50"/>
          <w:bookmarkEnd w:id="51"/>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bidi w:val="0"/>
              <w:spacing w:line="360" w:lineRule="auto"/>
              <w:rPr>
                <w:rFonts w:hint="eastAsia" w:ascii="宋体" w:hAnsi="宋体" w:eastAsia="宋体" w:cs="宋体"/>
                <w:sz w:val="21"/>
                <w:szCs w:val="21"/>
                <w:highlight w:val="none"/>
              </w:rPr>
            </w:pPr>
            <w:bookmarkStart w:id="52" w:name="_Toc28344"/>
            <w:bookmarkStart w:id="53" w:name="_Toc10708"/>
            <w:r>
              <w:rPr>
                <w:rFonts w:hint="eastAsia" w:ascii="宋体" w:hAnsi="宋体" w:eastAsia="宋体" w:cs="宋体"/>
                <w:sz w:val="21"/>
                <w:szCs w:val="21"/>
                <w:highlight w:val="none"/>
                <w:lang w:val="en-US" w:eastAsia="zh-CN"/>
              </w:rPr>
              <w:t>投标人自2020年1月1日至投标截止时间止,完成过质量合格的中标金额大于或等于8000万元的市政公用工程业绩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每提供一个业绩得1分，本项最高得10分</w:t>
            </w:r>
            <w:r>
              <w:rPr>
                <w:rFonts w:hint="eastAsia" w:ascii="宋体" w:hAnsi="宋体" w:eastAsia="宋体" w:cs="宋体"/>
                <w:sz w:val="21"/>
                <w:szCs w:val="21"/>
                <w:highlight w:val="none"/>
              </w:rPr>
              <w:t>；不符合上述条件或未提供相关证明材料的不得分。</w:t>
            </w:r>
          </w:p>
          <w:bookmarkEnd w:id="52"/>
          <w:bookmarkEnd w:id="53"/>
          <w:p>
            <w:pPr>
              <w:shd w:val="clear"/>
              <w:bidi w:val="0"/>
              <w:spacing w:line="360" w:lineRule="auto"/>
              <w:rPr>
                <w:rStyle w:val="63"/>
                <w:rFonts w:hint="eastAsia" w:ascii="宋体" w:hAnsi="宋体" w:eastAsia="宋体" w:cs="宋体"/>
                <w:b w:val="0"/>
                <w:color w:val="auto"/>
                <w:sz w:val="21"/>
                <w:szCs w:val="21"/>
                <w:highlight w:val="none"/>
                <w:lang w:val="en-US" w:eastAsia="zh-CN" w:bidi="ar-SA"/>
              </w:rPr>
            </w:pPr>
            <w:bookmarkStart w:id="54" w:name="_Toc18778"/>
            <w:bookmarkStart w:id="55" w:name="_Toc26465"/>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备注：业绩需提供相关证明材料。投标人须提供业绩的中标通知书或免招标的相关证明、施工合同（不含补充合同）、竣工验收报告或工程竣工备案表或建设工程质量监督部门出具的工程竣工合格验收的证明（验收文件至少具有建设单位、设计、施工和监理单位盖章）。完成时间以竣工验收证明材料为准。业绩金额以中标通知书为准，若中标通知书没有显示中标金额或免招标的，以施工合同（不含补充合同）为准。上述资料显示的内容须一致且工程业绩须为市政公用工程施工总承包资质方能承接的业绩。不符合上述条件或提供的资料不齐全的业绩不予评审。评标委员会对业绩的评审以投标人提供的完整的证明资料为依据。</w:t>
            </w:r>
            <w:r>
              <w:rPr>
                <w:rFonts w:hint="eastAsia" w:ascii="宋体" w:hAnsi="宋体" w:eastAsia="宋体" w:cs="宋体"/>
                <w:sz w:val="21"/>
                <w:szCs w:val="21"/>
                <w:highlight w:val="none"/>
                <w:lang w:eastAsia="zh-CN"/>
              </w:rPr>
              <w:t>】</w:t>
            </w:r>
          </w:p>
          <w:bookmarkEnd w:id="54"/>
          <w:bookmarkEnd w:id="55"/>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8" w:type="dxa"/>
            <w:gridSpan w:val="2"/>
            <w:vMerge w:val="continue"/>
            <w:tcBorders>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1080" w:type="dxa"/>
            <w:gridSpan w:val="2"/>
            <w:vMerge w:val="continue"/>
            <w:tcBorders>
              <w:top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jc w:val="center"/>
              <w:rPr>
                <w:rStyle w:val="63"/>
                <w:rFonts w:hint="eastAsia" w:ascii="宋体" w:hAnsi="宋体" w:eastAsia="宋体" w:cs="宋体"/>
                <w:b w:val="0"/>
                <w:color w:val="auto"/>
                <w:sz w:val="21"/>
                <w:szCs w:val="21"/>
                <w:highlight w:val="none"/>
                <w:lang w:val="en-US" w:eastAsia="zh-CN" w:bidi="ar-SA"/>
              </w:rPr>
            </w:pPr>
            <w:bookmarkStart w:id="56" w:name="_Toc19943"/>
            <w:bookmarkStart w:id="57" w:name="_Toc28456"/>
            <w:bookmarkStart w:id="58" w:name="_Toc2830"/>
            <w:bookmarkStart w:id="59" w:name="_Toc20340"/>
            <w:bookmarkStart w:id="60" w:name="_Toc5838"/>
            <w:bookmarkStart w:id="61" w:name="_Toc19752"/>
            <w:bookmarkStart w:id="62" w:name="_Toc936"/>
            <w:bookmarkStart w:id="63" w:name="_Toc12974"/>
            <w:bookmarkStart w:id="64" w:name="_Toc4047"/>
            <w:bookmarkStart w:id="65" w:name="_Toc2583"/>
            <w:r>
              <w:rPr>
                <w:rStyle w:val="63"/>
                <w:rFonts w:hint="eastAsia" w:ascii="宋体" w:hAnsi="宋体" w:eastAsia="宋体" w:cs="宋体"/>
                <w:b w:val="0"/>
                <w:color w:val="auto"/>
                <w:sz w:val="21"/>
                <w:szCs w:val="21"/>
                <w:highlight w:val="none"/>
                <w:lang w:val="en-US" w:eastAsia="zh-CN" w:bidi="ar-SA"/>
              </w:rPr>
              <w:t>企业财务（10分）</w:t>
            </w:r>
          </w:p>
          <w:bookmarkEnd w:id="56"/>
          <w:bookmarkEnd w:id="57"/>
          <w:bookmarkEnd w:id="58"/>
          <w:bookmarkEnd w:id="59"/>
          <w:bookmarkEnd w:id="60"/>
          <w:bookmarkEnd w:id="61"/>
          <w:bookmarkEnd w:id="62"/>
          <w:bookmarkEnd w:id="63"/>
          <w:bookmarkEnd w:id="64"/>
          <w:bookmarkEnd w:id="65"/>
        </w:tc>
        <w:tc>
          <w:tcPr>
            <w:tcW w:w="5882" w:type="dxa"/>
            <w:tcBorders>
              <w:top w:val="single" w:color="auto" w:sz="4" w:space="0"/>
              <w:left w:val="single" w:color="auto" w:sz="4" w:space="0"/>
              <w:bottom w:val="single" w:color="auto" w:sz="4" w:space="0"/>
              <w:right w:val="single" w:color="auto" w:sz="4" w:space="0"/>
            </w:tcBorders>
            <w:noWrap w:val="0"/>
            <w:vAlign w:val="center"/>
          </w:tcPr>
          <w:p>
            <w:pPr>
              <w:shd w:val="clear"/>
              <w:bidi w:val="0"/>
              <w:spacing w:line="360" w:lineRule="auto"/>
              <w:rPr>
                <w:rFonts w:hint="eastAsia" w:ascii="宋体" w:hAnsi="宋体" w:eastAsia="宋体" w:cs="宋体"/>
                <w:sz w:val="21"/>
                <w:szCs w:val="21"/>
                <w:highlight w:val="none"/>
              </w:rPr>
            </w:pPr>
            <w:bookmarkStart w:id="66" w:name="_Toc32595"/>
            <w:bookmarkStart w:id="67" w:name="_Toc1904"/>
            <w:r>
              <w:rPr>
                <w:rFonts w:hint="eastAsia" w:ascii="宋体" w:hAnsi="宋体" w:eastAsia="宋体" w:cs="宋体"/>
                <w:sz w:val="21"/>
                <w:szCs w:val="21"/>
                <w:highlight w:val="none"/>
              </w:rPr>
              <w:t>投标人近三年（2020年、2021年、2022年）资产负债率平均值情况：</w:t>
            </w:r>
          </w:p>
          <w:bookmarkEnd w:id="66"/>
          <w:bookmarkEnd w:id="67"/>
          <w:p>
            <w:pPr>
              <w:shd w:val="clear"/>
              <w:bidi w:val="0"/>
              <w:spacing w:line="360" w:lineRule="auto"/>
              <w:rPr>
                <w:rFonts w:hint="eastAsia" w:ascii="宋体" w:hAnsi="宋体" w:eastAsia="宋体" w:cs="宋体"/>
                <w:sz w:val="21"/>
                <w:szCs w:val="21"/>
                <w:highlight w:val="none"/>
              </w:rPr>
            </w:pPr>
            <w:bookmarkStart w:id="68" w:name="_Toc20798"/>
            <w:bookmarkStart w:id="69" w:name="_Toc30854"/>
            <w:r>
              <w:rPr>
                <w:rFonts w:hint="eastAsia" w:ascii="宋体" w:hAnsi="宋体" w:eastAsia="宋体" w:cs="宋体"/>
                <w:sz w:val="21"/>
                <w:szCs w:val="21"/>
                <w:highlight w:val="none"/>
              </w:rPr>
              <w:t>（1）平均资产负债率＜70%的，得10分；</w:t>
            </w:r>
          </w:p>
          <w:bookmarkEnd w:id="68"/>
          <w:bookmarkEnd w:id="69"/>
          <w:p>
            <w:pPr>
              <w:shd w:val="clear"/>
              <w:bidi w:val="0"/>
              <w:spacing w:line="360" w:lineRule="auto"/>
              <w:rPr>
                <w:rFonts w:hint="eastAsia" w:ascii="宋体" w:hAnsi="宋体" w:eastAsia="宋体" w:cs="宋体"/>
                <w:sz w:val="21"/>
                <w:szCs w:val="21"/>
                <w:highlight w:val="none"/>
              </w:rPr>
            </w:pPr>
            <w:bookmarkStart w:id="70" w:name="_Toc17528"/>
            <w:bookmarkStart w:id="71" w:name="_Toc6000"/>
            <w:r>
              <w:rPr>
                <w:rFonts w:hint="eastAsia" w:ascii="宋体" w:hAnsi="宋体" w:eastAsia="宋体" w:cs="宋体"/>
                <w:sz w:val="21"/>
                <w:szCs w:val="21"/>
                <w:highlight w:val="none"/>
              </w:rPr>
              <w:t>（2）70%≤平均资产负债率＜75%的，得7分；</w:t>
            </w:r>
          </w:p>
          <w:bookmarkEnd w:id="70"/>
          <w:bookmarkEnd w:id="71"/>
          <w:p>
            <w:pPr>
              <w:shd w:val="clear"/>
              <w:bidi w:val="0"/>
              <w:spacing w:line="360" w:lineRule="auto"/>
              <w:rPr>
                <w:rFonts w:hint="eastAsia" w:ascii="宋体" w:hAnsi="宋体" w:eastAsia="宋体" w:cs="宋体"/>
                <w:sz w:val="21"/>
                <w:szCs w:val="21"/>
                <w:highlight w:val="none"/>
              </w:rPr>
            </w:pPr>
            <w:bookmarkStart w:id="72" w:name="_Toc23092"/>
            <w:bookmarkStart w:id="73" w:name="_Toc30970"/>
            <w:r>
              <w:rPr>
                <w:rFonts w:hint="eastAsia" w:ascii="宋体" w:hAnsi="宋体" w:eastAsia="宋体" w:cs="宋体"/>
                <w:sz w:val="21"/>
                <w:szCs w:val="21"/>
                <w:highlight w:val="none"/>
              </w:rPr>
              <w:t>（3）75%≤平均资产负债率＜80%的，得4分；</w:t>
            </w:r>
          </w:p>
          <w:bookmarkEnd w:id="72"/>
          <w:bookmarkEnd w:id="73"/>
          <w:p>
            <w:pPr>
              <w:shd w:val="clear"/>
              <w:bidi w:val="0"/>
              <w:spacing w:line="360" w:lineRule="auto"/>
              <w:rPr>
                <w:rFonts w:hint="eastAsia" w:ascii="宋体" w:hAnsi="宋体" w:eastAsia="宋体" w:cs="宋体"/>
                <w:sz w:val="21"/>
                <w:szCs w:val="21"/>
                <w:highlight w:val="none"/>
              </w:rPr>
            </w:pPr>
            <w:bookmarkStart w:id="74" w:name="_Toc3004"/>
            <w:bookmarkStart w:id="75" w:name="_Toc6958"/>
            <w:r>
              <w:rPr>
                <w:rFonts w:hint="eastAsia" w:ascii="宋体" w:hAnsi="宋体" w:eastAsia="宋体" w:cs="宋体"/>
                <w:sz w:val="21"/>
                <w:szCs w:val="21"/>
                <w:highlight w:val="none"/>
              </w:rPr>
              <w:t>（4）80%≤平均资产负债率＜85%的，得1分。</w:t>
            </w:r>
          </w:p>
          <w:bookmarkEnd w:id="74"/>
          <w:bookmarkEnd w:id="75"/>
          <w:p>
            <w:pPr>
              <w:shd w:val="clear"/>
              <w:bidi w:val="0"/>
              <w:spacing w:line="360" w:lineRule="auto"/>
              <w:rPr>
                <w:rFonts w:hint="eastAsia" w:ascii="宋体" w:hAnsi="宋体" w:eastAsia="宋体" w:cs="宋体"/>
                <w:sz w:val="21"/>
                <w:szCs w:val="21"/>
                <w:highlight w:val="none"/>
              </w:rPr>
            </w:pPr>
            <w:bookmarkStart w:id="76" w:name="_Toc30347"/>
            <w:bookmarkStart w:id="77" w:name="_Toc16542"/>
            <w:r>
              <w:rPr>
                <w:rFonts w:hint="eastAsia" w:ascii="宋体" w:hAnsi="宋体" w:eastAsia="宋体" w:cs="宋体"/>
                <w:sz w:val="21"/>
                <w:szCs w:val="21"/>
                <w:highlight w:val="none"/>
              </w:rPr>
              <w:t>（5）平均资产负债率≥85%的，得0分。</w:t>
            </w:r>
          </w:p>
          <w:bookmarkEnd w:id="76"/>
          <w:bookmarkEnd w:id="77"/>
          <w:p>
            <w:pPr>
              <w:shd w:val="clear"/>
              <w:bidi w:val="0"/>
              <w:spacing w:line="360" w:lineRule="auto"/>
              <w:rPr>
                <w:rFonts w:hint="eastAsia" w:ascii="宋体" w:hAnsi="宋体" w:eastAsia="宋体" w:cs="宋体"/>
                <w:sz w:val="21"/>
                <w:szCs w:val="21"/>
                <w:highlight w:val="none"/>
              </w:rPr>
            </w:pPr>
            <w:bookmarkStart w:id="78" w:name="_Toc6973"/>
            <w:bookmarkStart w:id="79" w:name="_Toc8312"/>
            <w:r>
              <w:rPr>
                <w:rFonts w:hint="eastAsia" w:ascii="宋体" w:hAnsi="宋体" w:eastAsia="宋体" w:cs="宋体"/>
                <w:sz w:val="21"/>
                <w:szCs w:val="21"/>
                <w:highlight w:val="none"/>
              </w:rPr>
              <w:t>本项最高得</w:t>
            </w:r>
            <w:r>
              <w:rPr>
                <w:rFonts w:hint="eastAsia" w:ascii="宋体" w:hAnsi="宋体" w:eastAsia="宋体" w:cs="宋体"/>
                <w:sz w:val="21"/>
                <w:szCs w:val="21"/>
                <w:highlight w:val="none"/>
                <w:lang w:val="en-US"/>
              </w:rPr>
              <w:t>10</w:t>
            </w:r>
            <w:r>
              <w:rPr>
                <w:rFonts w:hint="eastAsia" w:ascii="宋体" w:hAnsi="宋体" w:eastAsia="宋体" w:cs="宋体"/>
                <w:sz w:val="21"/>
                <w:szCs w:val="21"/>
                <w:highlight w:val="none"/>
              </w:rPr>
              <w:t>分。不符合上述条件或未提供相关证明材料的不得分。</w:t>
            </w:r>
          </w:p>
          <w:bookmarkEnd w:id="78"/>
          <w:bookmarkEnd w:id="79"/>
          <w:p>
            <w:pPr>
              <w:shd w:val="clear"/>
              <w:bidi w:val="0"/>
              <w:spacing w:line="360" w:lineRule="auto"/>
              <w:rPr>
                <w:rFonts w:hint="eastAsia" w:ascii="宋体" w:hAnsi="宋体" w:eastAsia="宋体" w:cs="宋体"/>
                <w:sz w:val="21"/>
                <w:szCs w:val="21"/>
                <w:highlight w:val="none"/>
                <w:lang w:val="en-US" w:eastAsia="zh-CN"/>
              </w:rPr>
            </w:pPr>
            <w:bookmarkStart w:id="80" w:name="_Toc21178"/>
            <w:bookmarkStart w:id="81" w:name="_Toc13461"/>
            <w:r>
              <w:rPr>
                <w:rFonts w:hint="eastAsia" w:ascii="宋体" w:hAnsi="宋体" w:eastAsia="宋体" w:cs="宋体"/>
                <w:sz w:val="21"/>
                <w:szCs w:val="21"/>
                <w:highlight w:val="none"/>
              </w:rPr>
              <w:t>【备注：资产负债率=（期末）负债总额/（期末）资产总额*100%，平均资产负债率=2020、2021、2022年度资产负债率总和/计算年数，负债总额、资产总额均以经第三方会计师事务所审计的财务报表的（期末）数据为准，须提供2020、2021、2022年度经会计师事务所审计的财务报表复印件（仅需提供资产负债表、利润表、现金流量表和相关审计单位营业执照等关键信息页即可，财务报表附注可不提供）。无提交上述资料不计分。】</w:t>
            </w:r>
          </w:p>
          <w:bookmarkEnd w:id="80"/>
          <w:bookmarkEnd w:id="81"/>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8" w:type="dxa"/>
            <w:gridSpan w:val="2"/>
            <w:tcBorders>
              <w:top w:val="single" w:color="auto" w:sz="4" w:space="0"/>
              <w:right w:val="single" w:color="auto" w:sz="4" w:space="0"/>
            </w:tcBorders>
            <w:noWrap w:val="0"/>
            <w:vAlign w:val="center"/>
          </w:tcPr>
          <w:p>
            <w:pPr>
              <w:shd w:val="clea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43.2.3（3）</w:t>
            </w:r>
          </w:p>
        </w:tc>
        <w:tc>
          <w:tcPr>
            <w:tcW w:w="1080" w:type="dxa"/>
            <w:gridSpan w:val="2"/>
            <w:tcBorders>
              <w:top w:val="single" w:color="auto" w:sz="4" w:space="0"/>
              <w:right w:val="single" w:color="auto" w:sz="4" w:space="0"/>
            </w:tcBorders>
            <w:noWrap w:val="0"/>
            <w:vAlign w:val="center"/>
          </w:tcPr>
          <w:p>
            <w:pPr>
              <w:shd w:val="clear"/>
              <w:spacing w:line="300" w:lineRule="exact"/>
              <w:ind w:hanging="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pPr>
              <w:shd w:val="clear"/>
              <w:spacing w:line="300" w:lineRule="exact"/>
              <w:ind w:hanging="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p>
        </w:tc>
        <w:tc>
          <w:tcPr>
            <w:tcW w:w="2053" w:type="dxa"/>
            <w:tcBorders>
              <w:top w:val="single" w:color="auto" w:sz="4" w:space="0"/>
              <w:left w:val="single" w:color="auto" w:sz="4" w:space="0"/>
              <w:right w:val="single" w:color="auto" w:sz="4" w:space="0"/>
            </w:tcBorders>
            <w:noWrap w:val="0"/>
            <w:vAlign w:val="center"/>
          </w:tcPr>
          <w:p>
            <w:pPr>
              <w:shd w:val="clea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报价得分计算公式</w:t>
            </w:r>
          </w:p>
        </w:tc>
        <w:tc>
          <w:tcPr>
            <w:tcW w:w="5882" w:type="dxa"/>
            <w:tcBorders>
              <w:top w:val="single" w:color="auto" w:sz="4" w:space="0"/>
              <w:left w:val="single" w:color="auto" w:sz="4" w:space="0"/>
              <w:right w:val="single" w:color="auto" w:sz="4" w:space="0"/>
            </w:tcBorders>
            <w:noWrap w:val="0"/>
            <w:vAlign w:val="center"/>
          </w:tcPr>
          <w:p>
            <w:pPr>
              <w:shd w:val="clear"/>
              <w:rPr>
                <w:rFonts w:hint="eastAsia" w:ascii="宋体" w:hAnsi="宋体" w:eastAsia="宋体"/>
                <w:color w:val="auto"/>
                <w:szCs w:val="21"/>
                <w:highlight w:val="none"/>
              </w:rPr>
            </w:pPr>
            <w:r>
              <w:rPr>
                <w:rFonts w:hint="eastAsia" w:ascii="宋体" w:hAnsi="宋体" w:eastAsia="宋体" w:cs="宋体"/>
                <w:color w:val="auto"/>
                <w:szCs w:val="21"/>
                <w:highlight w:val="none"/>
              </w:rPr>
              <w:t>投标报价得分</w:t>
            </w:r>
            <w:r>
              <w:rPr>
                <w:rFonts w:hint="eastAsia" w:ascii="宋体" w:hAnsi="宋体" w:eastAsia="宋体"/>
                <w:color w:val="auto"/>
                <w:szCs w:val="21"/>
                <w:highlight w:val="none"/>
              </w:rPr>
              <w:t>：</w:t>
            </w:r>
          </w:p>
          <w:p>
            <w:pPr>
              <w:shd w:val="clear"/>
              <w:rPr>
                <w:rFonts w:hint="eastAsia" w:ascii="宋体" w:hAnsi="宋体" w:eastAsia="宋体" w:cs="宋体"/>
                <w:color w:val="auto"/>
                <w:szCs w:val="21"/>
                <w:highlight w:val="none"/>
              </w:rPr>
            </w:pPr>
            <w:r>
              <w:rPr>
                <w:rFonts w:hint="eastAsia" w:ascii="宋体" w:hAnsi="宋体" w:eastAsia="宋体"/>
                <w:color w:val="auto"/>
                <w:szCs w:val="21"/>
                <w:highlight w:val="none"/>
              </w:rPr>
              <w:t xml:space="preserve">    S＝</w:t>
            </w:r>
            <w:r>
              <w:rPr>
                <w:rFonts w:hint="eastAsia" w:ascii="宋体" w:hAnsi="宋体" w:eastAsia="宋体"/>
                <w:color w:val="auto"/>
                <w:szCs w:val="21"/>
                <w:highlight w:val="none"/>
                <w:lang w:val="en-US" w:eastAsia="zh-CN"/>
              </w:rPr>
              <w:t>30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30</w:t>
            </w:r>
            <w:r>
              <w:rPr>
                <w:rFonts w:ascii="宋体" w:hAnsi="宋体" w:eastAsia="宋体"/>
                <w:color w:val="auto"/>
                <w:szCs w:val="21"/>
                <w:highlight w:val="none"/>
              </w:rPr>
              <w:t xml:space="preserve"> </w:t>
            </w:r>
            <w:r>
              <w:rPr>
                <w:rFonts w:hint="eastAsia" w:ascii="宋体" w:hAnsi="宋体" w:eastAsia="宋体"/>
                <w:color w:val="auto"/>
                <w:szCs w:val="21"/>
                <w:highlight w:val="none"/>
              </w:rPr>
              <w:t>×</w:t>
            </w:r>
            <w:r>
              <w:rPr>
                <w:rFonts w:ascii="宋体" w:hAnsi="宋体" w:eastAsia="宋体"/>
                <w:color w:val="auto"/>
                <w:position w:val="-24"/>
                <w:szCs w:val="21"/>
                <w:highlight w:val="none"/>
              </w:rPr>
              <w:object>
                <v:shape id="_x0000_i1025" o:spt="75" type="#_x0000_t75" style="height:29.4pt;width:44.45pt;" o:ole="t" filled="f" o:preferrelative="t" stroked="f" coordsize="21600,21600">
                  <v:path/>
                  <v:fill on="f" focussize="0,0"/>
                  <v:stroke on="f"/>
                  <v:imagedata r:id="rId8" o:title=""/>
                  <o:lock v:ext="edit" grouping="f" rotation="f" text="f" aspectratio="t"/>
                  <w10:wrap type="none"/>
                  <w10:anchorlock/>
                </v:shape>
                <o:OLEObject Type="Embed" ProgID="Equation.3" ShapeID="_x0000_i1025" DrawAspect="Content" ObjectID="_1468075725" r:id="rId7">
                  <o:LockedField>false</o:LockedField>
                </o:OLEObject>
              </w:object>
            </w:r>
            <w:r>
              <w:rPr>
                <w:rFonts w:hint="eastAsia" w:ascii="宋体" w:hAnsi="宋体" w:eastAsia="宋体"/>
                <w:color w:val="auto"/>
                <w:szCs w:val="21"/>
                <w:highlight w:val="none"/>
              </w:rPr>
              <w:t>×C</w:t>
            </w:r>
          </w:p>
          <w:p>
            <w:pPr>
              <w:pStyle w:val="19"/>
              <w:shd w:val="clear"/>
              <w:tabs>
                <w:tab w:val="left" w:pos="7380"/>
              </w:tabs>
              <w:spacing w:line="360" w:lineRule="auto"/>
              <w:ind w:firstLine="457" w:firstLineChars="218"/>
              <w:rPr>
                <w:rFonts w:hint="eastAsia" w:ascii="宋体" w:hAnsi="宋体" w:eastAsia="宋体"/>
                <w:color w:val="auto"/>
                <w:szCs w:val="21"/>
                <w:highlight w:val="none"/>
                <w:lang w:bidi="en-US"/>
              </w:rPr>
            </w:pPr>
            <w:r>
              <w:rPr>
                <w:rFonts w:hint="eastAsia" w:ascii="宋体" w:hAnsi="宋体" w:eastAsia="宋体" w:cs="宋体"/>
                <w:color w:val="auto"/>
                <w:szCs w:val="21"/>
                <w:highlight w:val="none"/>
              </w:rPr>
              <w:t xml:space="preserve">其中 </w:t>
            </w:r>
            <w:r>
              <w:rPr>
                <w:rFonts w:hint="eastAsia" w:ascii="宋体" w:hAnsi="宋体" w:eastAsia="宋体"/>
                <w:color w:val="auto"/>
                <w:szCs w:val="21"/>
                <w:highlight w:val="none"/>
                <w:lang w:bidi="en-US"/>
              </w:rPr>
              <w:t>S—投标报价得分；B—投标人的投标报价；A—评标基准价；C—扣分系数，当B&gt;A时，C=</w:t>
            </w:r>
            <w:r>
              <w:rPr>
                <w:rFonts w:hint="eastAsia" w:ascii="宋体" w:hAnsi="宋体" w:eastAsia="宋体"/>
                <w:color w:val="auto"/>
                <w:szCs w:val="21"/>
                <w:highlight w:val="none"/>
                <w:lang w:val="en-US" w:eastAsia="zh-CN" w:bidi="en-US"/>
              </w:rPr>
              <w:t>1.5</w:t>
            </w:r>
            <w:r>
              <w:rPr>
                <w:rFonts w:hint="eastAsia" w:ascii="宋体" w:hAnsi="宋体" w:eastAsia="宋体"/>
                <w:color w:val="auto"/>
                <w:szCs w:val="21"/>
                <w:highlight w:val="none"/>
                <w:lang w:bidi="en-US"/>
              </w:rPr>
              <w:t>；B&lt;A时，C=</w:t>
            </w:r>
            <w:r>
              <w:rPr>
                <w:rFonts w:hint="eastAsia" w:ascii="宋体" w:hAnsi="宋体" w:eastAsia="宋体"/>
                <w:color w:val="auto"/>
                <w:szCs w:val="21"/>
                <w:highlight w:val="none"/>
                <w:lang w:val="en-US" w:eastAsia="zh-CN" w:bidi="en-US"/>
              </w:rPr>
              <w:t>1</w:t>
            </w:r>
            <w:r>
              <w:rPr>
                <w:rFonts w:hint="eastAsia" w:ascii="宋体" w:hAnsi="宋体" w:eastAsia="宋体"/>
                <w:color w:val="auto"/>
                <w:szCs w:val="21"/>
                <w:highlight w:val="none"/>
                <w:lang w:bidi="en-US"/>
              </w:rPr>
              <w:t>。</w:t>
            </w:r>
          </w:p>
          <w:p>
            <w:pPr>
              <w:pStyle w:val="19"/>
              <w:shd w:val="clear"/>
              <w:tabs>
                <w:tab w:val="left" w:pos="7380"/>
              </w:tabs>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olor w:val="auto"/>
                <w:szCs w:val="21"/>
                <w:highlight w:val="none"/>
                <w:lang w:bidi="en-US"/>
              </w:rPr>
              <w:t>投标人投标报价得分最低分为0分，取值</w:t>
            </w:r>
            <w:r>
              <w:rPr>
                <w:rFonts w:hint="eastAsia" w:ascii="宋体" w:hAnsi="宋体" w:eastAsia="宋体"/>
                <w:color w:val="auto"/>
                <w:szCs w:val="21"/>
                <w:highlight w:val="none"/>
                <w:lang w:val="en-US" w:eastAsia="zh-CN" w:bidi="en-US"/>
              </w:rPr>
              <w:t>四舍五入，</w:t>
            </w:r>
            <w:r>
              <w:rPr>
                <w:rFonts w:hint="eastAsia" w:ascii="宋体" w:hAnsi="宋体" w:eastAsia="宋体"/>
                <w:color w:val="auto"/>
                <w:szCs w:val="21"/>
                <w:highlight w:val="none"/>
                <w:lang w:bidi="en-US"/>
              </w:rPr>
              <w:t>保留到小数点后两位。</w:t>
            </w:r>
          </w:p>
          <w:p>
            <w:pPr>
              <w:shd w:val="clea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注：计算值按四舍五入法保留三位有效小数，本项最低得分为0分。</w:t>
            </w:r>
          </w:p>
        </w:tc>
      </w:tr>
    </w:tbl>
    <w:p>
      <w:pPr>
        <w:pStyle w:val="19"/>
        <w:shd w:val="clear"/>
        <w:ind w:firstLine="0"/>
        <w:rPr>
          <w:rFonts w:hint="eastAsia"/>
          <w:color w:val="auto"/>
          <w:highlight w:val="none"/>
        </w:rPr>
      </w:pPr>
    </w:p>
    <w:p>
      <w:pPr>
        <w:pStyle w:val="19"/>
        <w:shd w:val="clear"/>
        <w:ind w:firstLine="0"/>
        <w:rPr>
          <w:rFonts w:hint="eastAsia" w:ascii="宋体" w:hAnsi="宋体" w:eastAsia="宋体"/>
          <w:strike/>
          <w:color w:val="auto"/>
          <w:szCs w:val="21"/>
          <w:highlight w:val="none"/>
        </w:rPr>
      </w:pPr>
    </w:p>
    <w:p>
      <w:pPr>
        <w:shd w:val="clear"/>
        <w:spacing w:line="360" w:lineRule="auto"/>
        <w:rPr>
          <w:rFonts w:hint="eastAsia" w:ascii="楷体" w:hAnsi="楷体" w:eastAsia="楷体"/>
          <w:color w:val="auto"/>
          <w:sz w:val="24"/>
          <w:szCs w:val="21"/>
          <w:highlight w:val="none"/>
        </w:rPr>
      </w:pPr>
      <w:r>
        <w:rPr>
          <w:rFonts w:hint="eastAsia" w:ascii="楷体" w:hAnsi="楷体" w:eastAsia="楷体"/>
          <w:color w:val="auto"/>
          <w:sz w:val="24"/>
          <w:szCs w:val="21"/>
          <w:highlight w:val="none"/>
        </w:rPr>
        <w:t>备注：</w:t>
      </w:r>
    </w:p>
    <w:p>
      <w:pPr>
        <w:shd w:val="clear"/>
        <w:spacing w:line="360" w:lineRule="auto"/>
        <w:rPr>
          <w:rFonts w:hint="eastAsia" w:ascii="楷体" w:hAnsi="楷体" w:eastAsia="楷体"/>
          <w:color w:val="auto"/>
          <w:sz w:val="24"/>
          <w:szCs w:val="21"/>
          <w:highlight w:val="none"/>
        </w:rPr>
      </w:pPr>
      <w:r>
        <w:rPr>
          <w:rFonts w:hint="eastAsia" w:ascii="楷体" w:hAnsi="楷体" w:eastAsia="楷体"/>
          <w:color w:val="auto"/>
          <w:sz w:val="24"/>
          <w:szCs w:val="21"/>
          <w:highlight w:val="none"/>
        </w:rPr>
        <w:t xml:space="preserve">    1.评标过程中，招标文件明确指定采用现场实时查询的信息资料（如“信用中国”信息），由招标代理机构工作人员在</w:t>
      </w:r>
      <w:r>
        <w:rPr>
          <w:rFonts w:hint="eastAsia" w:ascii="楷体" w:hAnsi="楷体" w:eastAsia="楷体"/>
          <w:color w:val="auto"/>
          <w:sz w:val="24"/>
          <w:szCs w:val="21"/>
          <w:highlight w:val="none"/>
          <w:lang w:val="en-US" w:eastAsia="zh-CN"/>
        </w:rPr>
        <w:t>评标当日</w:t>
      </w:r>
      <w:r>
        <w:rPr>
          <w:rFonts w:hint="eastAsia" w:ascii="楷体" w:hAnsi="楷体" w:eastAsia="楷体"/>
          <w:color w:val="auto"/>
          <w:sz w:val="24"/>
          <w:szCs w:val="21"/>
          <w:highlight w:val="none"/>
        </w:rPr>
        <w:t>登录相关发布网站进行下载、打印，并移交评标委员会。完成评标后，相关查询资料应予妥善保存、归档。</w:t>
      </w:r>
    </w:p>
    <w:p>
      <w:pPr>
        <w:shd w:val="clear"/>
        <w:spacing w:line="360" w:lineRule="auto"/>
        <w:rPr>
          <w:rFonts w:hint="eastAsia" w:ascii="楷体" w:hAnsi="楷体" w:eastAsia="楷体"/>
          <w:color w:val="auto"/>
          <w:sz w:val="24"/>
          <w:szCs w:val="21"/>
          <w:highlight w:val="none"/>
        </w:rPr>
      </w:pPr>
      <w:r>
        <w:rPr>
          <w:rFonts w:hint="eastAsia" w:ascii="楷体" w:hAnsi="楷体" w:eastAsia="楷体"/>
          <w:color w:val="auto"/>
          <w:sz w:val="24"/>
          <w:szCs w:val="21"/>
          <w:highlight w:val="none"/>
        </w:rPr>
        <w:t xml:space="preserve">    2.企业诚信评价等级、人员资格岗位、职称、业绩、奖项、企业财务状况等评分须附相关有效证明材料的扫描件。否则在评审时不予承认。</w:t>
      </w:r>
    </w:p>
    <w:p>
      <w:pPr>
        <w:shd w:val="clear"/>
        <w:spacing w:line="360" w:lineRule="auto"/>
        <w:ind w:firstLine="480" w:firstLineChars="200"/>
        <w:rPr>
          <w:rFonts w:hint="eastAsia" w:ascii="楷体" w:hAnsi="楷体" w:eastAsia="楷体"/>
          <w:color w:val="auto"/>
          <w:sz w:val="24"/>
          <w:szCs w:val="21"/>
          <w:highlight w:val="none"/>
        </w:rPr>
      </w:pPr>
      <w:r>
        <w:rPr>
          <w:rFonts w:hint="eastAsia" w:ascii="楷体" w:hAnsi="楷体" w:eastAsia="楷体"/>
          <w:color w:val="auto"/>
          <w:sz w:val="24"/>
          <w:szCs w:val="21"/>
          <w:highlight w:val="none"/>
        </w:rPr>
        <w:t>3.业绩、奖项有效期以投标截止日期之日止。</w:t>
      </w:r>
    </w:p>
    <w:p>
      <w:pPr>
        <w:shd w:val="clear"/>
        <w:spacing w:line="360" w:lineRule="auto"/>
        <w:rPr>
          <w:rFonts w:hint="eastAsia" w:ascii="宋体" w:hAnsi="宋体" w:eastAsia="宋体"/>
          <w:strike/>
          <w:color w:val="auto"/>
          <w:szCs w:val="21"/>
          <w:highlight w:val="none"/>
        </w:rPr>
      </w:pPr>
    </w:p>
    <w:p>
      <w:pPr>
        <w:shd w:val="clear"/>
        <w:rPr>
          <w:rFonts w:hint="eastAsia" w:ascii="宋体" w:eastAsia="宋体"/>
          <w:b/>
          <w:bCs/>
          <w:color w:val="auto"/>
          <w:sz w:val="30"/>
          <w:szCs w:val="30"/>
          <w:highlight w:val="none"/>
        </w:rPr>
      </w:pPr>
      <w:r>
        <w:rPr>
          <w:rFonts w:hint="eastAsia" w:ascii="宋体" w:eastAsia="宋体"/>
          <w:b/>
          <w:bCs/>
          <w:color w:val="auto"/>
          <w:sz w:val="30"/>
          <w:szCs w:val="30"/>
          <w:highlight w:val="none"/>
        </w:rPr>
        <w:br w:type="page"/>
      </w:r>
    </w:p>
    <w:p>
      <w:pPr>
        <w:shd w:val="clear"/>
        <w:spacing w:line="360" w:lineRule="auto"/>
        <w:jc w:val="center"/>
        <w:rPr>
          <w:rFonts w:hint="eastAsia" w:ascii="宋体" w:eastAsia="宋体"/>
          <w:color w:val="auto"/>
          <w:sz w:val="30"/>
          <w:szCs w:val="30"/>
          <w:highlight w:val="none"/>
        </w:rPr>
      </w:pPr>
      <w:r>
        <w:rPr>
          <w:rFonts w:hint="eastAsia" w:ascii="宋体" w:eastAsia="宋体"/>
          <w:b/>
          <w:bCs/>
          <w:color w:val="auto"/>
          <w:sz w:val="30"/>
          <w:szCs w:val="30"/>
          <w:highlight w:val="none"/>
        </w:rPr>
        <w:t>二、采用资格后审方式施工招标项目开标、评标及定标办法</w:t>
      </w:r>
      <w:bookmarkEnd w:id="33"/>
    </w:p>
    <w:p>
      <w:pPr>
        <w:pStyle w:val="4"/>
        <w:shd w:val="clear"/>
        <w:rPr>
          <w:rFonts w:hint="eastAsia" w:ascii="宋体" w:eastAsia="宋体"/>
          <w:color w:val="auto"/>
          <w:highlight w:val="none"/>
        </w:rPr>
      </w:pPr>
      <w:bookmarkStart w:id="82" w:name="_Toc4965"/>
      <w:bookmarkStart w:id="83" w:name="_Toc10627"/>
      <w:r>
        <w:rPr>
          <w:rFonts w:hint="eastAsia" w:ascii="宋体" w:eastAsia="宋体"/>
          <w:color w:val="auto"/>
          <w:highlight w:val="none"/>
        </w:rPr>
        <w:t>（一）总则</w:t>
      </w:r>
      <w:bookmarkEnd w:id="82"/>
      <w:bookmarkEnd w:id="83"/>
    </w:p>
    <w:p>
      <w:pPr>
        <w:shd w:val="clear"/>
        <w:ind w:firstLine="3896" w:firstLineChars="1617"/>
        <w:rPr>
          <w:rFonts w:hint="eastAsia" w:ascii="宋体" w:hAnsi="宋体" w:eastAsia="宋体"/>
          <w:b/>
          <w:color w:val="auto"/>
          <w:sz w:val="24"/>
          <w:szCs w:val="24"/>
          <w:highlight w:val="none"/>
        </w:rPr>
      </w:pPr>
    </w:p>
    <w:p>
      <w:pPr>
        <w:shd w:val="clear"/>
        <w:tabs>
          <w:tab w:val="left" w:pos="1620"/>
        </w:tabs>
        <w:snapToGrid w:val="0"/>
        <w:spacing w:line="360" w:lineRule="auto"/>
        <w:ind w:firstLine="525" w:firstLineChars="218"/>
        <w:rPr>
          <w:rFonts w:hint="eastAsia" w:ascii="宋体" w:hAnsi="宋体" w:eastAsia="宋体"/>
          <w:b/>
          <w:bCs/>
          <w:color w:val="auto"/>
          <w:sz w:val="24"/>
          <w:szCs w:val="24"/>
          <w:highlight w:val="none"/>
        </w:rPr>
      </w:pPr>
      <w:r>
        <w:rPr>
          <w:rFonts w:hint="eastAsia" w:ascii="宋体" w:hAnsi="宋体" w:eastAsia="宋体"/>
          <w:b/>
          <w:bCs/>
          <w:color w:val="auto"/>
          <w:sz w:val="24"/>
          <w:highlight w:val="none"/>
        </w:rPr>
        <w:t>34．</w:t>
      </w:r>
      <w:r>
        <w:rPr>
          <w:rFonts w:hint="eastAsia" w:ascii="宋体" w:hAnsi="宋体" w:eastAsia="宋体"/>
          <w:bCs/>
          <w:color w:val="auto"/>
          <w:sz w:val="24"/>
          <w:highlight w:val="none"/>
        </w:rPr>
        <w:t>开标、评标及定标所依据的规则</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34.1《中华人民共和国招标投标法》；</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34.2《中华人民共和国招标投标法实施条例》；</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34.3《广东省实施〈中华人民共和国招标投标法〉办法》；</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34.4</w:t>
      </w:r>
      <w:r>
        <w:rPr>
          <w:rFonts w:ascii="宋体" w:hAnsi="宋体" w:eastAsia="宋体"/>
          <w:color w:val="auto"/>
          <w:sz w:val="24"/>
          <w:szCs w:val="24"/>
          <w:highlight w:val="none"/>
        </w:rPr>
        <w:t>国家发改委等九部委2013年第23号令</w:t>
      </w:r>
      <w:r>
        <w:rPr>
          <w:rFonts w:hint="eastAsia" w:ascii="宋体" w:hAnsi="宋体" w:eastAsia="宋体"/>
          <w:color w:val="auto"/>
          <w:sz w:val="24"/>
          <w:szCs w:val="24"/>
          <w:highlight w:val="none"/>
        </w:rPr>
        <w:t>；</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34.5《广东省加强建设工程招标投标监督管理的若干规定》；</w:t>
      </w:r>
    </w:p>
    <w:p>
      <w:pPr>
        <w:shd w:val="clear"/>
        <w:spacing w:line="360" w:lineRule="auto"/>
        <w:ind w:firstLine="525" w:firstLineChars="218"/>
        <w:rPr>
          <w:rFonts w:hint="eastAsia" w:ascii="宋体" w:hAnsi="宋体" w:eastAsia="宋体"/>
          <w:b/>
          <w:bCs/>
          <w:color w:val="auto"/>
          <w:sz w:val="24"/>
          <w:highlight w:val="none"/>
        </w:rPr>
      </w:pPr>
      <w:r>
        <w:rPr>
          <w:rFonts w:hint="eastAsia" w:ascii="宋体" w:hAnsi="宋体" w:eastAsia="宋体"/>
          <w:b/>
          <w:bCs/>
          <w:color w:val="auto"/>
          <w:sz w:val="24"/>
          <w:highlight w:val="none"/>
        </w:rPr>
        <w:t>35．开标</w:t>
      </w:r>
    </w:p>
    <w:p>
      <w:pPr>
        <w:shd w:val="clea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35.1 招标人按投标人须知前附表第25.1款所规定的时间和地点开标</w:t>
      </w:r>
    </w:p>
    <w:p>
      <w:pPr>
        <w:shd w:val="clea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35.2</w:t>
      </w:r>
      <w:r>
        <w:rPr>
          <w:rFonts w:hint="eastAsia" w:ascii="宋体" w:hAnsi="宋体" w:eastAsia="宋体" w:cs="仿宋_GB2312"/>
          <w:color w:val="auto"/>
          <w:sz w:val="24"/>
          <w:szCs w:val="24"/>
          <w:highlight w:val="none"/>
        </w:rPr>
        <w:t>开标时，出现下列情形之一的，不参与资格审查和评标：</w:t>
      </w:r>
    </w:p>
    <w:p>
      <w:pPr>
        <w:shd w:val="clear"/>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35.2.1投标文件在投标截止时间以后传输递交或者未传输递交到指定的</w:t>
      </w:r>
      <w:r>
        <w:rPr>
          <w:rFonts w:hint="eastAsia" w:ascii="宋体" w:hAnsi="宋体" w:eastAsia="宋体" w:cs="仿宋_GB2312"/>
          <w:color w:val="auto"/>
          <w:sz w:val="24"/>
          <w:szCs w:val="24"/>
          <w:highlight w:val="none"/>
          <w:lang w:eastAsia="zh-CN"/>
        </w:rPr>
        <w:t>广州公共资源交易中心网</w:t>
      </w:r>
      <w:r>
        <w:rPr>
          <w:rFonts w:hint="eastAsia" w:ascii="宋体" w:hAnsi="宋体" w:eastAsia="宋体" w:cs="仿宋_GB2312"/>
          <w:color w:val="auto"/>
          <w:sz w:val="24"/>
          <w:szCs w:val="24"/>
          <w:highlight w:val="none"/>
        </w:rPr>
        <w:t>；</w:t>
      </w:r>
    </w:p>
    <w:p>
      <w:pPr>
        <w:shd w:val="clear"/>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35.2.3投标人无正当理由放弃中标或者在投标截止后撤销投标文件，造成招标人重新招标的，招标人可以禁止该投标人再次投标该项目；</w:t>
      </w:r>
    </w:p>
    <w:p>
      <w:pPr>
        <w:shd w:val="clear"/>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35.2.4投标文件未在递交投标文件截止时间前完整传输递交到</w:t>
      </w:r>
      <w:r>
        <w:rPr>
          <w:rFonts w:hint="eastAsia" w:ascii="宋体" w:hAnsi="宋体" w:eastAsia="宋体" w:cs="仿宋_GB2312"/>
          <w:color w:val="auto"/>
          <w:sz w:val="24"/>
          <w:szCs w:val="24"/>
          <w:highlight w:val="none"/>
          <w:lang w:eastAsia="zh-CN"/>
        </w:rPr>
        <w:t>广州公共资源交易中心网</w:t>
      </w:r>
      <w:r>
        <w:rPr>
          <w:rFonts w:hint="eastAsia" w:ascii="宋体" w:hAnsi="宋体" w:eastAsia="宋体" w:cs="仿宋_GB2312"/>
          <w:color w:val="auto"/>
          <w:sz w:val="24"/>
          <w:szCs w:val="24"/>
          <w:highlight w:val="none"/>
        </w:rPr>
        <w:t>；</w:t>
      </w:r>
    </w:p>
    <w:p>
      <w:pPr>
        <w:shd w:val="clear"/>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35.2.5因投标人原因造成投标文件未能在规定时间内解密的。</w:t>
      </w:r>
    </w:p>
    <w:p>
      <w:pPr>
        <w:shd w:val="clear"/>
        <w:spacing w:line="360" w:lineRule="auto"/>
        <w:ind w:firstLine="525" w:firstLineChars="218"/>
        <w:rPr>
          <w:rFonts w:hint="eastAsia" w:ascii="宋体" w:hAnsi="宋体" w:eastAsia="宋体"/>
          <w:b/>
          <w:bCs/>
          <w:color w:val="auto"/>
          <w:sz w:val="24"/>
          <w:highlight w:val="none"/>
        </w:rPr>
      </w:pPr>
      <w:r>
        <w:rPr>
          <w:rFonts w:hint="eastAsia" w:ascii="宋体" w:hAnsi="宋体" w:eastAsia="宋体"/>
          <w:b/>
          <w:bCs/>
          <w:color w:val="auto"/>
          <w:sz w:val="24"/>
          <w:highlight w:val="none"/>
        </w:rPr>
        <w:t>36．评标</w:t>
      </w:r>
    </w:p>
    <w:p>
      <w:pPr>
        <w:shd w:val="clea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36.1招标人参加或派代表参加评标委员会的，应当具备国家和省规定的评标专家条件和要求，且不得担任评标委员会负责人，不得接受评标报酬，评标过程中不得以任何方式影响其他评标专家独立评标。</w:t>
      </w:r>
    </w:p>
    <w:p>
      <w:pPr>
        <w:shd w:val="clea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36.2评标委员会的职责及守则：</w:t>
      </w:r>
    </w:p>
    <w:p>
      <w:pPr>
        <w:shd w:val="clea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36.2.1根据评标细则，对标书进行认真评审，完成评审报告；</w:t>
      </w:r>
    </w:p>
    <w:p>
      <w:pPr>
        <w:shd w:val="clear"/>
        <w:tabs>
          <w:tab w:val="left" w:pos="1620"/>
        </w:tabs>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36.2.2向招标人报告评审意见，推荐合格的中标候选人。</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36.2.3</w:t>
      </w:r>
      <w:r>
        <w:rPr>
          <w:rFonts w:hint="eastAsia" w:ascii="宋体" w:hAnsi="宋体" w:eastAsia="宋体"/>
          <w:b/>
          <w:bCs/>
          <w:color w:val="auto"/>
          <w:sz w:val="24"/>
          <w:szCs w:val="24"/>
          <w:highlight w:val="none"/>
        </w:rPr>
        <w:t xml:space="preserve"> </w:t>
      </w:r>
      <w:r>
        <w:rPr>
          <w:rFonts w:hint="eastAsia" w:ascii="宋体" w:hAnsi="宋体" w:eastAsia="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36.2.4全体参与评标人员：</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36.2.4.1 必须遵守评标纪律、不得泄密；</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36.2.4.2 必须公正、不得循私；</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36.2.4.3 必须科学、不得草率；</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36.2.4.4 必须客观、不得带有成见；</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36.2.4.5 必须平等、不得强加于人</w:t>
      </w:r>
      <w:r>
        <w:rPr>
          <w:rFonts w:hint="eastAsia" w:ascii="宋体" w:hAnsi="宋体" w:eastAsia="宋体"/>
          <w:color w:val="auto"/>
          <w:sz w:val="24"/>
          <w:szCs w:val="24"/>
          <w:highlight w:val="none"/>
        </w:rPr>
        <w:t>；</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36.2.4.6 必须严谨、不得随意马虎。</w:t>
      </w:r>
    </w:p>
    <w:p>
      <w:pPr>
        <w:shd w:val="clear"/>
        <w:snapToGrid w:val="0"/>
        <w:spacing w:line="360" w:lineRule="auto"/>
        <w:ind w:firstLine="523" w:firstLineChars="218"/>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36.3 评标结束后，</w:t>
      </w:r>
      <w:r>
        <w:rPr>
          <w:rFonts w:hint="eastAsia" w:ascii="宋体" w:hAnsi="宋体" w:eastAsia="宋体"/>
          <w:bCs/>
          <w:color w:val="auto"/>
          <w:sz w:val="24"/>
          <w:szCs w:val="24"/>
          <w:highlight w:val="none"/>
        </w:rPr>
        <w:t>评标委员会递交评标报告并依法推荐中标候选人。</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如存在投标人串通投标行为的，评标委员会应将相关投标单位存在的具体情形、评审认定过程及评审依据详细记录在评标报告中，作为评标报告的组成部分。投标人有关澄清文件的原件封存</w:t>
      </w:r>
      <w:r>
        <w:rPr>
          <w:rFonts w:hint="eastAsia" w:ascii="宋体" w:hAnsi="宋体" w:eastAsia="宋体"/>
          <w:color w:val="auto"/>
          <w:sz w:val="24"/>
          <w:szCs w:val="24"/>
          <w:highlight w:val="none"/>
          <w:lang w:eastAsia="zh-CN"/>
        </w:rPr>
        <w:t>招标人或招标代理处</w:t>
      </w:r>
      <w:r>
        <w:rPr>
          <w:rFonts w:hint="eastAsia" w:ascii="宋体" w:hAnsi="宋体" w:eastAsia="宋体"/>
          <w:color w:val="auto"/>
          <w:sz w:val="24"/>
          <w:szCs w:val="24"/>
          <w:highlight w:val="none"/>
        </w:rPr>
        <w:t>备查，复印件在评标结束当日工作时间内（评标结束时处于非工作时间的，应于下个一工作日12:00时前）由招标人或招标代理机构转交该项目招标监管机构查处。</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37．投标文件的澄清</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37.1投标文件属于投标人串通投标评审表所列情形之一的，评标委员会应要求涉及相应情形的投标企业在接到通知后一小时内到达指定地点作出书面澄清。</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37.2对于37.1以外的其他情况，为有助于投标文件的审查、评价和比较，评标期间，经评标委员会</w:t>
      </w:r>
      <w:r>
        <w:rPr>
          <w:rFonts w:ascii="宋体" w:hAnsi="宋体" w:eastAsia="宋体"/>
          <w:color w:val="auto"/>
          <w:sz w:val="24"/>
          <w:szCs w:val="24"/>
          <w:highlight w:val="none"/>
        </w:rPr>
        <w:t>两人以上（含两人）</w:t>
      </w:r>
      <w:r>
        <w:rPr>
          <w:rFonts w:hint="eastAsia" w:ascii="宋体" w:hAnsi="宋体" w:eastAsia="宋体"/>
          <w:color w:val="auto"/>
          <w:sz w:val="24"/>
          <w:szCs w:val="24"/>
          <w:highlight w:val="none"/>
        </w:rPr>
        <w:t>成员以书面形式提出动议，评标委员会应当书面发出澄清通知，要求投标人对投标文件含义不明确的内容作出澄清。</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37.3 投标人应以书面形式进行澄清，</w:t>
      </w:r>
      <w:r>
        <w:rPr>
          <w:rFonts w:hint="eastAsia" w:ascii="宋体" w:hAnsi="宋体" w:eastAsia="宋体"/>
          <w:bCs/>
          <w:color w:val="auto"/>
          <w:sz w:val="24"/>
          <w:highlight w:val="none"/>
        </w:rPr>
        <w:t>澄清和说明内容属于投标文件的组成部分，</w:t>
      </w:r>
      <w:r>
        <w:rPr>
          <w:rFonts w:hint="eastAsia" w:ascii="宋体" w:hAnsi="宋体" w:eastAsia="宋体"/>
          <w:color w:val="auto"/>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hd w:val="clea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37.4 评标委员会成员均应当阅读投标人的澄清，但应独立参考澄清对投标文件进行评审，</w:t>
      </w:r>
      <w:r>
        <w:rPr>
          <w:rFonts w:hint="eastAsia" w:ascii="宋体" w:hAnsi="宋体" w:eastAsia="宋体"/>
          <w:bCs/>
          <w:color w:val="auto"/>
          <w:sz w:val="24"/>
          <w:highlight w:val="none"/>
        </w:rPr>
        <w:t>整个澄清的过程不得存在排斥潜在投标人的现象。</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37.5如果投标文件实质上不响应招标文件的各项要求，评标委员会将按照符合性审查标准予以拒绝，不接受投标人通过修改或撤销其不符合要求的差异或保留，使之成为具有响应性的投标。</w:t>
      </w:r>
    </w:p>
    <w:p>
      <w:pPr>
        <w:shd w:val="clea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38．定标</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38.1 招标人根据评标委员会递交的评标报告，最终审定中标人。</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38.2 依法必须进行公开招标的项目，招标人应当确定排名第一的中标候选人为中标人。</w:t>
      </w:r>
    </w:p>
    <w:p>
      <w:pPr>
        <w:shd w:val="clear"/>
        <w:snapToGrid w:val="0"/>
        <w:spacing w:line="360" w:lineRule="auto"/>
        <w:ind w:firstLine="523" w:firstLineChars="218"/>
        <w:rPr>
          <w:rFonts w:hint="eastAsia" w:ascii="宋体" w:hAnsi="宋体" w:eastAsia="宋体"/>
          <w:b/>
          <w:color w:val="auto"/>
          <w:szCs w:val="32"/>
          <w:highlight w:val="none"/>
        </w:rPr>
      </w:pPr>
      <w:r>
        <w:rPr>
          <w:rFonts w:hint="eastAsia" w:ascii="宋体" w:hAnsi="宋体" w:eastAsia="宋体"/>
          <w:color w:val="auto"/>
          <w:sz w:val="24"/>
          <w:szCs w:val="24"/>
          <w:highlight w:val="none"/>
        </w:rPr>
        <w:t>38.3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31"/>
      <w:bookmarkStart w:id="84" w:name="_Toc155150496"/>
    </w:p>
    <w:p>
      <w:pPr>
        <w:pStyle w:val="4"/>
        <w:shd w:val="clear"/>
        <w:rPr>
          <w:rFonts w:hint="eastAsia" w:ascii="宋体" w:eastAsia="宋体"/>
          <w:color w:val="auto"/>
          <w:highlight w:val="none"/>
        </w:rPr>
      </w:pPr>
      <w:r>
        <w:rPr>
          <w:rFonts w:ascii="宋体" w:eastAsia="宋体"/>
          <w:color w:val="auto"/>
          <w:szCs w:val="32"/>
          <w:highlight w:val="none"/>
        </w:rPr>
        <w:br w:type="page"/>
      </w:r>
      <w:bookmarkEnd w:id="84"/>
      <w:bookmarkStart w:id="85" w:name="_Toc18553"/>
      <w:bookmarkStart w:id="86" w:name="_Toc10356"/>
      <w:r>
        <w:rPr>
          <w:rFonts w:hint="eastAsia" w:ascii="宋体" w:eastAsia="宋体"/>
          <w:color w:val="auto"/>
          <w:highlight w:val="none"/>
        </w:rPr>
        <w:t>（二）开标评标办法程序和细则</w:t>
      </w:r>
      <w:bookmarkEnd w:id="85"/>
      <w:bookmarkEnd w:id="86"/>
    </w:p>
    <w:p>
      <w:pPr>
        <w:pStyle w:val="19"/>
        <w:numPr>
          <w:ilvl w:val="0"/>
          <w:numId w:val="4"/>
        </w:numPr>
        <w:shd w:val="clear"/>
        <w:spacing w:after="0" w:afterLines="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开标和评标程序：</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39.1宣布开标纪律；</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39.2</w:t>
      </w:r>
      <w:r>
        <w:rPr>
          <w:rFonts w:hint="eastAsia" w:ascii="宋体" w:hAnsi="宋体" w:eastAsia="宋体"/>
          <w:color w:val="auto"/>
          <w:sz w:val="24"/>
          <w:szCs w:val="21"/>
          <w:highlight w:val="none"/>
        </w:rPr>
        <w:t>宣布开标人、唱标人、记录人、监标人等有关人员姓名；</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39.3</w:t>
      </w:r>
      <w:r>
        <w:rPr>
          <w:rFonts w:hint="eastAsia" w:ascii="宋体" w:hAnsi="宋体" w:eastAsia="宋体" w:cs="仿宋_GB2312"/>
          <w:color w:val="auto"/>
          <w:sz w:val="24"/>
          <w:szCs w:val="24"/>
          <w:highlight w:val="none"/>
        </w:rPr>
        <w:t>公布投标人名单，将显示出所有投标人信息及投标人标书投递情况；</w:t>
      </w:r>
    </w:p>
    <w:p>
      <w:pPr>
        <w:pStyle w:val="32"/>
        <w:shd w:val="clear"/>
        <w:spacing w:line="360" w:lineRule="auto"/>
        <w:rPr>
          <w:rFonts w:hint="eastAsia" w:ascii="宋体" w:hAnsi="宋体"/>
          <w:color w:val="auto"/>
          <w:sz w:val="24"/>
          <w:highlight w:val="none"/>
        </w:rPr>
      </w:pPr>
      <w:r>
        <w:rPr>
          <w:rFonts w:hint="eastAsia" w:ascii="宋体" w:hAnsi="宋体"/>
          <w:color w:val="auto"/>
          <w:sz w:val="24"/>
          <w:highlight w:val="none"/>
        </w:rPr>
        <w:t xml:space="preserve">    39.</w:t>
      </w:r>
      <w:r>
        <w:rPr>
          <w:rFonts w:hint="eastAsia" w:ascii="宋体" w:hAnsi="宋体"/>
          <w:color w:val="auto"/>
          <w:sz w:val="24"/>
          <w:highlight w:val="none"/>
          <w:lang w:val="en-US" w:eastAsia="zh-CN"/>
        </w:rPr>
        <w:t>4</w:t>
      </w:r>
      <w:r>
        <w:rPr>
          <w:rFonts w:hint="eastAsia" w:ascii="宋体" w:hAnsi="宋体"/>
          <w:color w:val="auto"/>
          <w:sz w:val="24"/>
          <w:highlight w:val="none"/>
        </w:rPr>
        <w:t>公布投标人名称、投标文件解密情况、投标保证金递交情况、投标报价、质量目标、工期、项目负责人及其他内容；</w:t>
      </w:r>
    </w:p>
    <w:p>
      <w:pPr>
        <w:shd w:val="clear"/>
        <w:snapToGrid w:val="0"/>
        <w:spacing w:line="360" w:lineRule="auto"/>
        <w:ind w:firstLine="523" w:firstLineChars="218"/>
        <w:rPr>
          <w:rFonts w:hint="eastAsia" w:ascii="宋体" w:hAnsi="宋体" w:eastAsia="宋体"/>
          <w:color w:val="auto"/>
          <w:sz w:val="24"/>
          <w:szCs w:val="21"/>
          <w:highlight w:val="none"/>
        </w:rPr>
      </w:pPr>
      <w:r>
        <w:rPr>
          <w:rFonts w:hint="eastAsia" w:ascii="宋体" w:hAnsi="宋体" w:eastAsia="宋体"/>
          <w:color w:val="auto"/>
          <w:sz w:val="24"/>
          <w:szCs w:val="24"/>
          <w:highlight w:val="none"/>
        </w:rPr>
        <w:t>39.</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1"/>
          <w:highlight w:val="none"/>
        </w:rPr>
        <w:t>招标人代表、监标人等有关人员在开标记录上签字确认，开标会结束。</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开标时，出现下列情形之一的，不参与资格审查和评标：</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.1投标文件在投标截止时间以后传输递交或者未传输递交到指定的电子招标投标交易平台；</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2</w:t>
      </w:r>
      <w:r>
        <w:rPr>
          <w:rFonts w:hint="eastAsia" w:ascii="宋体" w:hAnsi="宋体" w:eastAsia="宋体" w:cs="仿宋_GB2312"/>
          <w:color w:val="auto"/>
          <w:sz w:val="24"/>
          <w:szCs w:val="24"/>
          <w:highlight w:val="none"/>
        </w:rPr>
        <w:t>投标人无正当理由放弃中标或者在投标截止后撤销投标文件，造成招标人重新招标的，招标人可以禁止该投标人再次投标该项目。</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3</w:t>
      </w:r>
      <w:r>
        <w:rPr>
          <w:rFonts w:hint="eastAsia" w:ascii="宋体" w:hAnsi="宋体" w:eastAsia="宋体" w:cs="仿宋_GB2312"/>
          <w:color w:val="auto"/>
          <w:sz w:val="24"/>
          <w:szCs w:val="24"/>
          <w:highlight w:val="none"/>
        </w:rPr>
        <w:t>投标文件未按要求加密的；</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4</w:t>
      </w:r>
      <w:r>
        <w:rPr>
          <w:rFonts w:hint="eastAsia" w:ascii="宋体" w:hAnsi="宋体" w:eastAsia="宋体" w:cs="仿宋_GB2312"/>
          <w:color w:val="auto"/>
          <w:sz w:val="24"/>
          <w:szCs w:val="24"/>
          <w:highlight w:val="none"/>
        </w:rPr>
        <w:t>投标文件未在递交投标文件截止时间前完整传输递交到广州公共资源交易中心交易平台；</w:t>
      </w:r>
    </w:p>
    <w:p>
      <w:pPr>
        <w:shd w:val="clea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39.</w:t>
      </w:r>
      <w:r>
        <w:rPr>
          <w:rFonts w:hint="eastAsia" w:ascii="宋体" w:hAnsi="宋体" w:eastAsia="宋体" w:cs="仿宋_GB2312"/>
          <w:color w:val="auto"/>
          <w:sz w:val="24"/>
          <w:szCs w:val="24"/>
          <w:highlight w:val="none"/>
          <w:lang w:val="en-US" w:eastAsia="zh-CN"/>
        </w:rPr>
        <w:t>6</w:t>
      </w:r>
      <w:r>
        <w:rPr>
          <w:rFonts w:hint="eastAsia"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lang w:val="en-US" w:eastAsia="zh-CN"/>
        </w:rPr>
        <w:t>5</w:t>
      </w:r>
      <w:r>
        <w:rPr>
          <w:rFonts w:hint="eastAsia" w:ascii="宋体" w:hAnsi="宋体" w:eastAsia="宋体" w:cs="仿宋_GB2312"/>
          <w:color w:val="auto"/>
          <w:sz w:val="24"/>
          <w:szCs w:val="24"/>
          <w:highlight w:val="none"/>
        </w:rPr>
        <w:t>因投标人原因造成投标文件未能在规定时间内解密的。</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由评标委员会对所有已公开开标的投标人进行资格审查。</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由评标委员会对所有已通过资格审查的投标人进行否决性条款审查。</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由评标委员会按照第43款“评标办法”评标。</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39.1</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评标委员会向招标人推荐中标候选人名单，并递交资格审查报告及评标报告。</w:t>
      </w:r>
    </w:p>
    <w:p>
      <w:pPr>
        <w:shd w:val="clea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40．开标细则</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40.1开标由招标人或其委托的招标代理机构主持；</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40.2 在投标截止时间后半小时内，投标人通过广州公共资源交易中心交易平台对已递交的电子投标文件进行解密。投标人完成解密后，再由招标人进行解密。解密完成后，公布招标项目名称、投标人名称、投标保证金的递交情况、投标报价、工期及其他内容。</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40.3</w:t>
      </w:r>
      <w:r>
        <w:rPr>
          <w:rFonts w:hint="eastAsia" w:ascii="宋体" w:hAnsi="宋体" w:eastAsia="宋体"/>
          <w:color w:val="auto"/>
          <w:sz w:val="24"/>
          <w:szCs w:val="24"/>
          <w:highlight w:val="none"/>
        </w:rPr>
        <w:t>投标人代表、招标人代表、监标人、记录人等有关人员在开标记录上签字确认；若有关人员不签字的，不影响开标程序；若投标人代表不参加开标会的，或不签字确认的，视同该投标人代表认可开标结果。</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 xml:space="preserve"> 细则</w:t>
      </w:r>
    </w:p>
    <w:p>
      <w:pPr>
        <w:shd w:val="clea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.1递交投标文件截止时间前，各投标人递交投标文件至招标文件规定的投标地点。</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40.</w:t>
      </w:r>
      <w:r>
        <w:rPr>
          <w:rFonts w:hint="eastAsia" w:ascii="宋体" w:hAnsi="宋体" w:eastAsia="宋体"/>
          <w:color w:val="auto"/>
          <w:kern w:val="44"/>
          <w:sz w:val="24"/>
          <w:szCs w:val="24"/>
          <w:highlight w:val="none"/>
          <w:lang w:val="en-US" w:eastAsia="zh-CN"/>
        </w:rPr>
        <w:t>4</w:t>
      </w:r>
      <w:r>
        <w:rPr>
          <w:rFonts w:hint="eastAsia" w:ascii="宋体" w:hAnsi="宋体" w:eastAsia="宋体"/>
          <w:color w:val="auto"/>
          <w:kern w:val="44"/>
          <w:sz w:val="24"/>
          <w:szCs w:val="24"/>
          <w:highlight w:val="none"/>
        </w:rPr>
        <w:t>.2</w:t>
      </w:r>
      <w:r>
        <w:rPr>
          <w:rFonts w:hint="eastAsia" w:ascii="宋体" w:hAnsi="宋体" w:eastAsia="宋体"/>
          <w:color w:val="auto"/>
          <w:sz w:val="24"/>
          <w:szCs w:val="24"/>
          <w:highlight w:val="none"/>
        </w:rPr>
        <w:t>若投标人对开标过程提出异议，应在开标</w:t>
      </w:r>
      <w:r>
        <w:rPr>
          <w:rFonts w:hint="eastAsia" w:ascii="宋体" w:hAnsi="宋体" w:eastAsia="宋体"/>
          <w:color w:val="auto"/>
          <w:sz w:val="24"/>
          <w:szCs w:val="24"/>
          <w:highlight w:val="none"/>
          <w:lang w:eastAsia="zh-CN"/>
        </w:rPr>
        <w:t>大厅</w:t>
      </w:r>
      <w:r>
        <w:rPr>
          <w:rFonts w:hint="eastAsia" w:ascii="宋体" w:hAnsi="宋体" w:eastAsia="宋体"/>
          <w:color w:val="auto"/>
          <w:sz w:val="24"/>
          <w:szCs w:val="24"/>
          <w:highlight w:val="none"/>
        </w:rPr>
        <w:t>提出，招标人应当当场作出答复，并制作记录。采用电子招标投标方式且电子交易平台具备在线异议受理及答复条件的，投标人或者其他利害关系人提出异议应当在规定时间内通过电子交易平台提出，招标人或者招标代理机构向异议提出人送达异议不予受理通知书、异议受理通知书、异议答复函等文书，均应当通过电子招标投标交易平台进行。电子交易平台未具备在线异议受理及答复条件的，按线下形式进行。</w:t>
      </w:r>
    </w:p>
    <w:p>
      <w:pPr>
        <w:pStyle w:val="19"/>
        <w:shd w:val="clear"/>
        <w:spacing w:after="0" w:afterLines="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投标总报价以数字和文字两种方式表述的，应宣读文字表述的投标总报价。</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招标人对开标过程进行记录，并存档备查，投标人在开标记录上签字。</w:t>
      </w:r>
    </w:p>
    <w:p>
      <w:pPr>
        <w:pStyle w:val="19"/>
        <w:shd w:val="clear"/>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招标人将上述符合要求的投标文件，送至评标委员会进行评审。</w:t>
      </w:r>
    </w:p>
    <w:p>
      <w:pPr>
        <w:pStyle w:val="19"/>
        <w:shd w:val="clear"/>
        <w:tabs>
          <w:tab w:val="left" w:pos="7380"/>
        </w:tabs>
        <w:spacing w:after="0" w:afterLines="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41. 资格审查及评标细则</w:t>
      </w:r>
    </w:p>
    <w:p>
      <w:pPr>
        <w:pStyle w:val="19"/>
        <w:shd w:val="clear"/>
        <w:tabs>
          <w:tab w:val="left" w:pos="7380"/>
        </w:tabs>
        <w:spacing w:after="0" w:afterLines="0" w:line="360" w:lineRule="auto"/>
        <w:ind w:firstLine="523" w:firstLineChars="218"/>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41.1资格审查及评标均由招标人依法组建的评标委员会负责。</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41.2资格审查、评标流程</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41.2.1评标委员会按资格审查的标准对所有递交投标文件的投标人进行审查，如资格审查合格的投标人不足3名时，应重新招标。</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41.2.2如通过否决性条款审查的投标人少于3名时，应重新招标。</w:t>
      </w:r>
    </w:p>
    <w:p>
      <w:pPr>
        <w:pStyle w:val="19"/>
        <w:shd w:val="clear"/>
        <w:tabs>
          <w:tab w:val="left" w:pos="7380"/>
        </w:tabs>
        <w:spacing w:after="0" w:afterLines="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42．投标人资格审查及否决性条款审查</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42.1资格审查采用电子化审查方式进行，评标委员会利用计算机系统对投标人递交的资格审查文件进行独立评审。</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42.2</w:t>
      </w:r>
      <w:r>
        <w:rPr>
          <w:rFonts w:hint="eastAsia" w:ascii="宋体" w:hAnsi="宋体" w:eastAsia="宋体"/>
          <w:color w:val="auto"/>
          <w:sz w:val="24"/>
          <w:szCs w:val="24"/>
          <w:highlight w:val="none"/>
        </w:rPr>
        <w:t>资格审查时，电子评标系统将对投标人的营业执照、企业资质、企业安全生产许可证、投标人拟担任本工程的项目负责人的资质、项目负责人安全生产考核合格证（B类）、专职安全员的安全生产考核合格证（C类）是否符合要求提供辅助审查结果，最终以评标委员会审查的结果为准。</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42.3资格审查文件中全部符合《资格审查表》中情形的，为资格审查合格。否则为资格审查不合格，经评标委员会认定后，其资格审查文件将被拒绝。如评标委员会成员的评审意见不一致时，</w:t>
      </w:r>
      <w:r>
        <w:rPr>
          <w:rFonts w:hint="eastAsia" w:ascii="宋体" w:hAnsi="宋体" w:eastAsia="宋体"/>
          <w:color w:val="auto"/>
          <w:sz w:val="24"/>
          <w:szCs w:val="24"/>
          <w:highlight w:val="none"/>
          <w:lang w:eastAsia="zh-CN"/>
        </w:rPr>
        <w:t>可</w:t>
      </w:r>
      <w:r>
        <w:rPr>
          <w:rFonts w:hint="eastAsia" w:ascii="宋体" w:hAnsi="宋体" w:eastAsia="宋体"/>
          <w:color w:val="auto"/>
          <w:sz w:val="24"/>
          <w:szCs w:val="24"/>
          <w:highlight w:val="none"/>
        </w:rPr>
        <w:t>要求投标人进行</w:t>
      </w:r>
      <w:r>
        <w:rPr>
          <w:rFonts w:hint="eastAsia" w:ascii="宋体" w:hAnsi="宋体" w:eastAsia="宋体"/>
          <w:color w:val="auto"/>
          <w:sz w:val="24"/>
          <w:szCs w:val="24"/>
          <w:highlight w:val="none"/>
          <w:lang w:eastAsia="zh-CN"/>
        </w:rPr>
        <w:t>书面</w:t>
      </w:r>
      <w:r>
        <w:rPr>
          <w:rFonts w:hint="eastAsia" w:ascii="宋体" w:hAnsi="宋体" w:eastAsia="宋体"/>
          <w:color w:val="auto"/>
          <w:sz w:val="24"/>
          <w:szCs w:val="24"/>
          <w:highlight w:val="none"/>
        </w:rPr>
        <w:t>澄清，并记录及由评标委员会、作出澄清的投标人签字确认，以评标委员会过半数成员的意见作为评标委员会对该情形的认定结论。</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42.4汇总资格审查情况，编写资格审查报告。</w:t>
      </w:r>
    </w:p>
    <w:p>
      <w:pPr>
        <w:pStyle w:val="19"/>
        <w:shd w:val="clear"/>
        <w:tabs>
          <w:tab w:val="left" w:pos="7380"/>
        </w:tabs>
        <w:spacing w:after="0" w:afterLines="0" w:line="360" w:lineRule="auto"/>
        <w:ind w:firstLine="523" w:firstLineChars="218"/>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42.5资格审查不合格及存在39.</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款情形的投标文件不参加评标。</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42.6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特别声明：资审合格后，投标人的资格发生变化而不满足投标人合格条件，在发出中标通知书前，资格问题仍未解决的，招标人将取消其中标资格。</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42.7判断投标是否为否决投标</w:t>
      </w:r>
    </w:p>
    <w:p>
      <w:pPr>
        <w:pStyle w:val="33"/>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42.7.1判断投标人的投标是否为否决投标的全部条件，在本章附件B中集中列示。</w:t>
      </w:r>
    </w:p>
    <w:p>
      <w:pPr>
        <w:pStyle w:val="33"/>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42.7.2 本章附件B集中列示的否决投标条件不应与第一章“投标人须知”和本章正文部分包括的否决投标条件抵触，如果出现相互矛盾的情况，以本章附件B规定为准。</w:t>
      </w:r>
    </w:p>
    <w:p>
      <w:pPr>
        <w:pStyle w:val="33"/>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42.7.3 评标委员会在评标过程中，依据本章附件B中规定的否决投标条件判断投标人的投标是否为否决投标。</w:t>
      </w:r>
    </w:p>
    <w:p>
      <w:pPr>
        <w:pStyle w:val="19"/>
        <w:shd w:val="clear"/>
        <w:tabs>
          <w:tab w:val="left" w:pos="7380"/>
        </w:tabs>
        <w:spacing w:after="0" w:afterLines="0" w:line="360" w:lineRule="auto"/>
        <w:ind w:firstLine="0"/>
        <w:rPr>
          <w:rFonts w:hint="eastAsia" w:ascii="宋体" w:hAnsi="宋体" w:eastAsia="宋体"/>
          <w:strike/>
          <w:color w:val="auto"/>
          <w:sz w:val="24"/>
          <w:szCs w:val="24"/>
          <w:highlight w:val="none"/>
          <w:lang w:bidi="en-US"/>
        </w:rPr>
      </w:pPr>
      <w:r>
        <w:rPr>
          <w:rFonts w:hint="eastAsia" w:ascii="宋体" w:hAnsi="宋体" w:eastAsia="宋体"/>
          <w:color w:val="auto"/>
          <w:sz w:val="24"/>
          <w:szCs w:val="24"/>
          <w:highlight w:val="none"/>
        </w:rPr>
        <w:t xml:space="preserve">   </w:t>
      </w:r>
      <w:r>
        <w:rPr>
          <w:rFonts w:hint="eastAsia" w:ascii="宋体" w:hAnsi="宋体" w:eastAsia="宋体"/>
          <w:b/>
          <w:color w:val="auto"/>
          <w:sz w:val="24"/>
          <w:szCs w:val="24"/>
          <w:highlight w:val="none"/>
        </w:rPr>
        <w:t xml:space="preserve"> 43．评标办法</w:t>
      </w:r>
    </w:p>
    <w:p>
      <w:pPr>
        <w:pStyle w:val="19"/>
        <w:shd w:val="clear"/>
        <w:tabs>
          <w:tab w:val="left" w:pos="7380"/>
        </w:tabs>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43.1本次评标采用“技术+资信+报价”评估法。</w:t>
      </w:r>
      <w:r>
        <w:rPr>
          <w:rFonts w:hint="eastAsia" w:ascii="宋体" w:hAnsi="宋体" w:eastAsia="宋体" w:cs="宋体"/>
          <w:color w:val="auto"/>
          <w:sz w:val="24"/>
          <w:szCs w:val="24"/>
          <w:highlight w:val="none"/>
        </w:rPr>
        <w:t>评标委员会对满足招标文件实质性要求的投标文件，按照本章第</w:t>
      </w:r>
      <w:r>
        <w:rPr>
          <w:rFonts w:hint="eastAsia" w:ascii="宋体" w:hAnsi="宋体" w:cs="宋体"/>
          <w:color w:val="auto"/>
          <w:sz w:val="24"/>
          <w:szCs w:val="24"/>
          <w:highlight w:val="none"/>
        </w:rPr>
        <w:t xml:space="preserve"> 43.2 </w:t>
      </w:r>
      <w:r>
        <w:rPr>
          <w:rFonts w:hint="eastAsia" w:ascii="宋体" w:hAnsi="宋体" w:eastAsia="宋体" w:cs="宋体"/>
          <w:color w:val="auto"/>
          <w:sz w:val="24"/>
          <w:szCs w:val="24"/>
          <w:highlight w:val="none"/>
        </w:rPr>
        <w:t>款规定的评分标准进行打分，</w:t>
      </w:r>
      <w:r>
        <w:rPr>
          <w:rFonts w:hint="eastAsia" w:ascii="宋体" w:hAnsi="宋体" w:eastAsia="宋体" w:cs="宋体"/>
          <w:color w:val="auto"/>
          <w:sz w:val="24"/>
          <w:szCs w:val="24"/>
          <w:highlight w:val="none"/>
          <w:lang w:eastAsia="zh-CN"/>
        </w:rPr>
        <w:t>并把综合总得分按高到低的顺序依次推荐排名前三的投标人为第一、第二、第三中标候选人，但投标报价低于其成本的除外。综合总得分相等时，比较投标报价，报价低者名次排前；投标报价相等的，采用评标专家记名投票的方式计算得票数，得票数者名次排前</w:t>
      </w:r>
      <w:r>
        <w:rPr>
          <w:rFonts w:hint="eastAsia" w:ascii="宋体" w:hAnsi="宋体" w:eastAsia="宋体" w:cs="宋体"/>
          <w:color w:val="auto"/>
          <w:sz w:val="24"/>
          <w:szCs w:val="24"/>
          <w:highlight w:val="none"/>
        </w:rPr>
        <w:t>。</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43.2分值构成与评分标准 </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43.2.1分值构成</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技术</w:t>
      </w:r>
      <w:r>
        <w:rPr>
          <w:rFonts w:hint="eastAsia" w:ascii="宋体" w:hAnsi="宋体" w:eastAsia="宋体"/>
          <w:color w:val="auto"/>
          <w:sz w:val="24"/>
          <w:szCs w:val="24"/>
          <w:highlight w:val="none"/>
        </w:rPr>
        <w:t>标：见评标办法前附表；</w:t>
      </w:r>
    </w:p>
    <w:p>
      <w:pPr>
        <w:pStyle w:val="19"/>
        <w:shd w:val="clear"/>
        <w:tabs>
          <w:tab w:val="left" w:pos="7380"/>
        </w:tabs>
        <w:spacing w:line="360" w:lineRule="auto"/>
        <w:ind w:firstLine="763" w:firstLineChars="3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）资信标：见评标办法前附表；</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）投标报价：见评标办法前附表。</w:t>
      </w:r>
    </w:p>
    <w:p>
      <w:pPr>
        <w:pStyle w:val="19"/>
        <w:shd w:val="clear"/>
        <w:tabs>
          <w:tab w:val="left" w:pos="7380"/>
        </w:tabs>
        <w:spacing w:line="360" w:lineRule="auto"/>
        <w:ind w:firstLine="523" w:firstLineChars="218"/>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4"/>
          <w:highlight w:val="none"/>
        </w:rPr>
        <w:t>43.2.2评</w:t>
      </w:r>
      <w:r>
        <w:rPr>
          <w:rFonts w:hint="eastAsia" w:ascii="宋体" w:hAnsi="宋体" w:eastAsia="宋体" w:cs="宋体"/>
          <w:color w:val="auto"/>
          <w:sz w:val="24"/>
          <w:szCs w:val="24"/>
          <w:highlight w:val="none"/>
        </w:rPr>
        <w:t>标基准价计算</w:t>
      </w:r>
      <w:r>
        <w:rPr>
          <w:rFonts w:hint="eastAsia" w:ascii="宋体" w:hAnsi="宋体" w:eastAsia="宋体" w:cs="宋体"/>
          <w:color w:val="auto"/>
          <w:sz w:val="24"/>
          <w:szCs w:val="24"/>
          <w:highlight w:val="none"/>
          <w:lang w:eastAsia="zh-CN"/>
        </w:rPr>
        <w:t>：</w:t>
      </w:r>
    </w:p>
    <w:p>
      <w:pPr>
        <w:pStyle w:val="19"/>
        <w:shd w:val="clear"/>
        <w:tabs>
          <w:tab w:val="left" w:pos="7380"/>
        </w:tabs>
        <w:spacing w:line="360" w:lineRule="auto"/>
        <w:ind w:firstLine="523" w:firstLineChars="218"/>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方法一：</w:t>
      </w:r>
    </w:p>
    <w:p>
      <w:pPr>
        <w:shd w:val="clea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43.2.2.1</w:t>
      </w:r>
      <w:r>
        <w:rPr>
          <w:rFonts w:hint="eastAsia" w:ascii="宋体" w:hAnsi="宋体" w:eastAsia="宋体" w:cs="宋体"/>
          <w:color w:val="auto"/>
          <w:sz w:val="24"/>
          <w:szCs w:val="24"/>
          <w:highlight w:val="none"/>
        </w:rPr>
        <w:t>评标基准价=招标控制价×（1-评标下浮率%）。评标基准价在整个评标期间不变。</w:t>
      </w:r>
    </w:p>
    <w:p>
      <w:pPr>
        <w:shd w:val="clea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评标下浮率由评标专家委员会在评标时由评标专家通过摇珠方式确认。</w:t>
      </w:r>
    </w:p>
    <w:p>
      <w:pPr>
        <w:shd w:val="clea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43.2.2.2</w:t>
      </w:r>
      <w:r>
        <w:rPr>
          <w:rFonts w:hint="eastAsia" w:ascii="宋体" w:hAnsi="宋体" w:eastAsia="宋体" w:cs="宋体"/>
          <w:color w:val="auto"/>
          <w:sz w:val="24"/>
          <w:szCs w:val="24"/>
          <w:highlight w:val="none"/>
        </w:rPr>
        <w:t>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,21)</w:instrText>
      </w:r>
      <w:r>
        <w:rPr>
          <w:rFonts w:hint="eastAsia" w:ascii="宋体" w:hAnsi="宋体" w:eastAsia="宋体"/>
          <w:color w:val="auto"/>
          <w:sz w:val="28"/>
          <w:szCs w:val="28"/>
          <w:highlight w:val="none"/>
        </w:rPr>
        <w:fldChar w:fldCharType="end"/>
      </w:r>
      <w:r>
        <w:rPr>
          <w:rFonts w:hint="eastAsia" w:ascii="宋体" w:hAnsi="宋体" w:eastAsia="宋体" w:cs="宋体"/>
          <w:color w:val="auto"/>
          <w:sz w:val="24"/>
          <w:szCs w:val="24"/>
          <w:highlight w:val="none"/>
        </w:rPr>
        <w:t>号球分别代表一个下浮率，从这</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个号码中随机抽取2次（第一次抽出的号球不参与第二次抽取），每次抽取1个号码，2个号码对应下浮率的算术平均值为评标下浮率；将招标控制价与（1-评标下浮率%）的乘积作为评标基准价。</w:t>
      </w:r>
    </w:p>
    <w:p>
      <w:pPr>
        <w:pStyle w:val="19"/>
        <w:shd w:val="clear"/>
        <w:spacing w:after="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43.2.2.3</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,21)</w:instrText>
      </w:r>
      <w:r>
        <w:rPr>
          <w:rFonts w:hint="eastAsia" w:ascii="宋体" w:hAnsi="宋体" w:eastAsia="宋体"/>
          <w:color w:val="auto"/>
          <w:sz w:val="28"/>
          <w:szCs w:val="28"/>
          <w:highlight w:val="none"/>
        </w:rPr>
        <w:fldChar w:fldCharType="end"/>
      </w:r>
      <w:r>
        <w:rPr>
          <w:rFonts w:hint="eastAsia" w:ascii="宋体" w:hAnsi="宋体" w:eastAsia="宋体" w:cs="宋体"/>
          <w:color w:val="auto"/>
          <w:sz w:val="24"/>
          <w:szCs w:val="24"/>
          <w:highlight w:val="none"/>
        </w:rPr>
        <w:t>号球所代表的下浮率只作为计算评标基准价的数据，并不代表招标人要求投标人投标报价的范围区间。投标人应根据企业成本、招标项目特点等实际情况自行确定投标报价，但当房屋建筑工程投标报价低于招标控制价的80%、市政工程投标报价低于招标控制价的75%时，</w:t>
      </w:r>
      <w:r>
        <w:rPr>
          <w:rFonts w:hint="eastAsia" w:ascii="宋体" w:hAnsi="宋体" w:eastAsia="宋体" w:cs="宋体"/>
          <w:color w:val="auto"/>
          <w:sz w:val="24"/>
          <w:szCs w:val="24"/>
          <w:highlight w:val="none"/>
          <w:lang w:val="en-US" w:eastAsia="zh-CN"/>
        </w:rPr>
        <w:t>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pPr>
        <w:shd w:val="clea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 xml:space="preserve">    43.2.2.4</w:t>
      </w:r>
      <w:r>
        <w:rPr>
          <w:rFonts w:hint="eastAsia" w:ascii="宋体" w:hAnsi="宋体" w:eastAsia="宋体" w:cs="宋体"/>
          <w:color w:val="auto"/>
          <w:sz w:val="24"/>
          <w:szCs w:val="24"/>
          <w:highlight w:val="none"/>
        </w:rPr>
        <w:t>房屋建筑、市政</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,21)</w:instrText>
      </w:r>
      <w:r>
        <w:rPr>
          <w:rFonts w:hint="eastAsia" w:ascii="宋体" w:hAnsi="宋体" w:eastAsia="宋体"/>
          <w:color w:val="auto"/>
          <w:sz w:val="28"/>
          <w:szCs w:val="28"/>
          <w:highlight w:val="none"/>
        </w:rPr>
        <w:fldChar w:fldCharType="end"/>
      </w:r>
      <w:r>
        <w:rPr>
          <w:rFonts w:hint="eastAsia" w:ascii="宋体" w:hAnsi="宋体" w:eastAsia="宋体" w:cs="宋体"/>
          <w:color w:val="auto"/>
          <w:sz w:val="24"/>
          <w:szCs w:val="24"/>
          <w:highlight w:val="none"/>
        </w:rPr>
        <w:t>号球所代表的下浮率（%）如下：</w:t>
      </w:r>
    </w:p>
    <w:p>
      <w:pPr>
        <w:shd w:val="clea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房屋建筑工程</w:t>
      </w:r>
    </w:p>
    <w:p>
      <w:pPr>
        <w:shd w:val="clear"/>
        <w:rPr>
          <w:rFonts w:hint="eastAsia"/>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982"/>
        <w:gridCol w:w="970"/>
        <w:gridCol w:w="973"/>
        <w:gridCol w:w="972"/>
        <w:gridCol w:w="972"/>
        <w:gridCol w:w="972"/>
        <w:gridCol w:w="97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,3)</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,4)</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,5)</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,6)</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,7)</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,8)</w:instrText>
            </w:r>
            <w:r>
              <w:rPr>
                <w:rFonts w:hint="eastAsia" w:ascii="宋体" w:hAnsi="宋体" w:eastAsia="宋体"/>
                <w:color w:val="auto"/>
                <w:sz w:val="28"/>
                <w:szCs w:val="28"/>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0.00</w:t>
            </w:r>
          </w:p>
        </w:tc>
        <w:tc>
          <w:tcPr>
            <w:tcW w:w="970"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0.50</w:t>
            </w:r>
          </w:p>
        </w:tc>
        <w:tc>
          <w:tcPr>
            <w:tcW w:w="973"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1.00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1.50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2.00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2.50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3.00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,9)</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,10)</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,11)</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,12)</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,13)</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,14)</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,15)</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,16)</w:instrText>
            </w:r>
            <w:r>
              <w:rPr>
                <w:rFonts w:hint="eastAsia" w:ascii="宋体" w:hAnsi="宋体" w:eastAsia="宋体"/>
                <w:color w:val="auto"/>
                <w:sz w:val="28"/>
                <w:szCs w:val="28"/>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4.00</w:t>
            </w:r>
          </w:p>
        </w:tc>
        <w:tc>
          <w:tcPr>
            <w:tcW w:w="970"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4.50</w:t>
            </w:r>
          </w:p>
        </w:tc>
        <w:tc>
          <w:tcPr>
            <w:tcW w:w="973"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5.00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5.50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6.00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6.50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7.00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,17)</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,18)</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,19)</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,20)</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,21)</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w:t>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8.00</w:t>
            </w:r>
          </w:p>
        </w:tc>
        <w:tc>
          <w:tcPr>
            <w:tcW w:w="970"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8.50</w:t>
            </w:r>
          </w:p>
        </w:tc>
        <w:tc>
          <w:tcPr>
            <w:tcW w:w="973"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9.00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9.50</w:t>
            </w:r>
          </w:p>
        </w:tc>
        <w:tc>
          <w:tcPr>
            <w:tcW w:w="972" w:type="dxa"/>
            <w:noWrap w:val="0"/>
            <w:vAlign w:val="center"/>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宋体" w:hAnsi="宋体"/>
                <w:color w:val="auto"/>
                <w:sz w:val="28"/>
                <w:szCs w:val="28"/>
                <w:highlight w:val="none"/>
              </w:rPr>
              <w:t>10.00</w:t>
            </w: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r>
    </w:tbl>
    <w:p>
      <w:pPr>
        <w:shd w:val="clea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市政工程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982"/>
        <w:gridCol w:w="970"/>
        <w:gridCol w:w="973"/>
        <w:gridCol w:w="972"/>
        <w:gridCol w:w="972"/>
        <w:gridCol w:w="972"/>
        <w:gridCol w:w="972"/>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,3)</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,4)</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,5)</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,6)</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,7)</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,8)</w:instrText>
            </w:r>
            <w:r>
              <w:rPr>
                <w:rFonts w:hint="eastAsia" w:ascii="宋体" w:hAnsi="宋体" w:eastAsia="宋体"/>
                <w:color w:val="auto"/>
                <w:sz w:val="28"/>
                <w:szCs w:val="28"/>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5.00</w:t>
            </w:r>
          </w:p>
        </w:tc>
        <w:tc>
          <w:tcPr>
            <w:tcW w:w="970"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5.50</w:t>
            </w:r>
          </w:p>
        </w:tc>
        <w:tc>
          <w:tcPr>
            <w:tcW w:w="973"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6.00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6.50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7.00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7.50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8.00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,9)</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,10)</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,11)</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,12)</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,13)</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,14)</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,15)</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,16)</w:instrText>
            </w:r>
            <w:r>
              <w:rPr>
                <w:rFonts w:hint="eastAsia" w:ascii="宋体" w:hAnsi="宋体" w:eastAsia="宋体"/>
                <w:color w:val="auto"/>
                <w:sz w:val="28"/>
                <w:szCs w:val="28"/>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9.00</w:t>
            </w:r>
          </w:p>
        </w:tc>
        <w:tc>
          <w:tcPr>
            <w:tcW w:w="970"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9.50</w:t>
            </w:r>
          </w:p>
        </w:tc>
        <w:tc>
          <w:tcPr>
            <w:tcW w:w="973"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10.00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10.50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11.00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11.50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12.00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号球</w:t>
            </w:r>
          </w:p>
        </w:tc>
        <w:tc>
          <w:tcPr>
            <w:tcW w:w="98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,17)</w:instrText>
            </w:r>
            <w:r>
              <w:rPr>
                <w:rFonts w:hint="eastAsia" w:ascii="宋体" w:hAnsi="宋体" w:eastAsia="宋体"/>
                <w:color w:val="auto"/>
                <w:sz w:val="28"/>
                <w:szCs w:val="28"/>
                <w:highlight w:val="none"/>
              </w:rPr>
              <w:fldChar w:fldCharType="end"/>
            </w:r>
          </w:p>
        </w:tc>
        <w:tc>
          <w:tcPr>
            <w:tcW w:w="970"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,18)</w:instrText>
            </w:r>
            <w:r>
              <w:rPr>
                <w:rFonts w:hint="eastAsia" w:ascii="宋体" w:hAnsi="宋体" w:eastAsia="宋体"/>
                <w:color w:val="auto"/>
                <w:sz w:val="28"/>
                <w:szCs w:val="28"/>
                <w:highlight w:val="none"/>
              </w:rPr>
              <w:fldChar w:fldCharType="end"/>
            </w:r>
          </w:p>
        </w:tc>
        <w:tc>
          <w:tcPr>
            <w:tcW w:w="973"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,19)</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,20)</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fldChar w:fldCharType="begin"/>
            </w:r>
            <w:r>
              <w:rPr>
                <w:rFonts w:hint="eastAsia" w:ascii="宋体" w:hAnsi="宋体" w:eastAsia="宋体"/>
                <w:color w:val="auto"/>
                <w:sz w:val="28"/>
                <w:szCs w:val="28"/>
                <w:highlight w:val="none"/>
              </w:rPr>
              <w:instrText xml:space="preserve"> EQ \o\ac(</w:instrText>
            </w:r>
            <w:r>
              <w:rPr>
                <w:rFonts w:hint="eastAsia" w:ascii="宋体" w:hAnsi="宋体" w:eastAsia="宋体"/>
                <w:color w:val="auto"/>
                <w:position w:val="-5"/>
                <w:sz w:val="42"/>
                <w:szCs w:val="28"/>
                <w:highlight w:val="none"/>
              </w:rPr>
              <w:instrText xml:space="preserve">○</w:instrText>
            </w:r>
            <w:r>
              <w:rPr>
                <w:rFonts w:hint="eastAsia" w:ascii="宋体" w:hAnsi="宋体" w:eastAsia="宋体"/>
                <w:color w:val="auto"/>
                <w:sz w:val="28"/>
                <w:szCs w:val="28"/>
                <w:highlight w:val="none"/>
              </w:rPr>
              <w:instrText xml:space="preserve">,21)</w:instrText>
            </w:r>
            <w:r>
              <w:rPr>
                <w:rFonts w:hint="eastAsia" w:ascii="宋体" w:hAnsi="宋体" w:eastAsia="宋体"/>
                <w:color w:val="auto"/>
                <w:sz w:val="28"/>
                <w:szCs w:val="28"/>
                <w:highlight w:val="none"/>
              </w:rPr>
              <w:fldChar w:fldCharType="end"/>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w:t>
            </w: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center"/>
          </w:tcPr>
          <w:p>
            <w:pPr>
              <w:shd w:val="clear"/>
              <w:spacing w:line="500" w:lineRule="exact"/>
              <w:jc w:val="center"/>
              <w:rPr>
                <w:rFonts w:hint="eastAsia" w:ascii="宋体" w:hAnsi="宋体"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top"/>
          </w:tcPr>
          <w:p>
            <w:pPr>
              <w:shd w:val="clear"/>
              <w:spacing w:line="500" w:lineRule="exact"/>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下浮率</w:t>
            </w:r>
          </w:p>
        </w:tc>
        <w:tc>
          <w:tcPr>
            <w:tcW w:w="98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13.00</w:t>
            </w:r>
          </w:p>
        </w:tc>
        <w:tc>
          <w:tcPr>
            <w:tcW w:w="970"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13.50</w:t>
            </w:r>
          </w:p>
        </w:tc>
        <w:tc>
          <w:tcPr>
            <w:tcW w:w="973"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14.00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14.50</w:t>
            </w:r>
          </w:p>
        </w:tc>
        <w:tc>
          <w:tcPr>
            <w:tcW w:w="972" w:type="dxa"/>
            <w:noWrap w:val="0"/>
            <w:vAlign w:val="top"/>
          </w:tcPr>
          <w:p>
            <w:pPr>
              <w:shd w:val="clear"/>
              <w:spacing w:line="240" w:lineRule="auto"/>
              <w:ind w:firstLine="0" w:firstLineChars="0"/>
              <w:jc w:val="center"/>
              <w:rPr>
                <w:rFonts w:hint="eastAsia" w:ascii="宋体" w:hAnsi="宋体" w:eastAsia="宋体"/>
                <w:color w:val="auto"/>
                <w:sz w:val="28"/>
                <w:szCs w:val="28"/>
                <w:highlight w:val="none"/>
              </w:rPr>
            </w:pPr>
            <w:r>
              <w:rPr>
                <w:rFonts w:hint="eastAsia" w:ascii="华文新魏" w:hAnsi="宋体" w:eastAsia="仿宋_GB2312"/>
                <w:color w:val="auto"/>
                <w:sz w:val="28"/>
                <w:szCs w:val="28"/>
                <w:highlight w:val="none"/>
              </w:rPr>
              <w:t>15.00</w:t>
            </w: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c>
          <w:tcPr>
            <w:tcW w:w="972" w:type="dxa"/>
            <w:noWrap w:val="0"/>
            <w:vAlign w:val="top"/>
          </w:tcPr>
          <w:p>
            <w:pPr>
              <w:shd w:val="clear"/>
              <w:spacing w:line="500" w:lineRule="exact"/>
              <w:jc w:val="center"/>
              <w:rPr>
                <w:rFonts w:hint="eastAsia" w:ascii="宋体" w:hAnsi="宋体" w:eastAsia="宋体"/>
                <w:color w:val="auto"/>
                <w:sz w:val="28"/>
                <w:szCs w:val="28"/>
                <w:highlight w:val="none"/>
              </w:rPr>
            </w:pPr>
          </w:p>
        </w:tc>
      </w:tr>
    </w:tbl>
    <w:p>
      <w:pPr>
        <w:shd w:val="clear"/>
        <w:rPr>
          <w:rFonts w:hint="eastAsia" w:eastAsia="宋体"/>
          <w:color w:val="auto"/>
          <w:highlight w:val="none"/>
        </w:rPr>
      </w:pPr>
    </w:p>
    <w:p>
      <w:pPr>
        <w:pStyle w:val="19"/>
        <w:shd w:val="clear"/>
        <w:tabs>
          <w:tab w:val="left" w:pos="7380"/>
        </w:tabs>
        <w:spacing w:line="360" w:lineRule="auto"/>
        <w:ind w:firstLine="525" w:firstLineChars="218"/>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指引：表中内容仅作示例，招标人应根据项目特点和实际情况合理确定号球数量和下浮系数取值范围，并相应修改两者对应关系。</w:t>
      </w:r>
    </w:p>
    <w:p>
      <w:pPr>
        <w:pStyle w:val="19"/>
        <w:shd w:val="clear"/>
        <w:tabs>
          <w:tab w:val="left" w:pos="7380"/>
        </w:tabs>
        <w:spacing w:line="360" w:lineRule="auto"/>
        <w:ind w:firstLine="525" w:firstLineChars="218"/>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方法二：</w:t>
      </w:r>
    </w:p>
    <w:p>
      <w:pPr>
        <w:pStyle w:val="19"/>
        <w:shd w:val="clear"/>
        <w:tabs>
          <w:tab w:val="left" w:pos="7380"/>
        </w:tabs>
        <w:spacing w:line="360" w:lineRule="auto"/>
        <w:ind w:firstLine="525" w:firstLineChars="218"/>
        <w:rPr>
          <w:rFonts w:hint="eastAsia" w:ascii="宋体" w:hAnsi="宋体" w:eastAsia="宋体"/>
          <w:b w:val="0"/>
          <w:bCs w:val="0"/>
          <w:color w:val="auto"/>
          <w:sz w:val="24"/>
          <w:szCs w:val="24"/>
          <w:highlight w:val="none"/>
          <w:lang w:val="en-US" w:eastAsia="zh-CN"/>
        </w:rPr>
      </w:pPr>
      <w:r>
        <w:rPr>
          <w:rFonts w:hint="eastAsia" w:ascii="宋体" w:hAnsi="宋体" w:eastAsia="宋体"/>
          <w:b/>
          <w:bCs/>
          <w:color w:val="auto"/>
          <w:sz w:val="24"/>
          <w:szCs w:val="24"/>
          <w:highlight w:val="none"/>
          <w:lang w:val="en-US" w:eastAsia="zh-CN"/>
        </w:rPr>
        <w:t>43.2.2.1</w:t>
      </w:r>
      <w:r>
        <w:rPr>
          <w:rFonts w:hint="eastAsia" w:ascii="宋体" w:hAnsi="宋体" w:eastAsia="宋体"/>
          <w:b w:val="0"/>
          <w:bCs w:val="0"/>
          <w:color w:val="auto"/>
          <w:sz w:val="24"/>
          <w:szCs w:val="24"/>
          <w:highlight w:val="none"/>
          <w:lang w:val="en-US" w:eastAsia="zh-CN"/>
        </w:rPr>
        <w:t>当有效投标人小于5人时，则所有有效投标报价计算值的平均值为K1；当有效投标人等于或大于5人时，去除1个最高的有效报价和1个最低的有效报价，余下的所有有效投标报价计算值的平均值为K1；所有低于K1值的有效投标报价计算值的平均值为K2；评标基准价等于K1和K2的平均值。</w:t>
      </w:r>
    </w:p>
    <w:p>
      <w:pPr>
        <w:pStyle w:val="19"/>
        <w:shd w:val="clear"/>
        <w:tabs>
          <w:tab w:val="left" w:pos="7380"/>
        </w:tabs>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43.2.3评分标准</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技术标</w:t>
      </w:r>
      <w:r>
        <w:rPr>
          <w:rFonts w:hint="eastAsia" w:ascii="宋体" w:hAnsi="宋体" w:eastAsia="宋体"/>
          <w:color w:val="auto"/>
          <w:sz w:val="24"/>
          <w:szCs w:val="24"/>
          <w:highlight w:val="none"/>
        </w:rPr>
        <w:t>评分标准：见评标办法前附表。</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）资信标评分标准：见评标办法前附表。</w:t>
      </w:r>
    </w:p>
    <w:p>
      <w:pPr>
        <w:pStyle w:val="19"/>
        <w:shd w:val="clear"/>
        <w:tabs>
          <w:tab w:val="left" w:pos="7380"/>
        </w:tabs>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）投标报价评分标准：见评标办法前附表。</w:t>
      </w:r>
    </w:p>
    <w:p>
      <w:pPr>
        <w:pStyle w:val="19"/>
        <w:shd w:val="clear"/>
        <w:tabs>
          <w:tab w:val="left" w:pos="7380"/>
        </w:tabs>
        <w:spacing w:line="360" w:lineRule="auto"/>
        <w:ind w:firstLine="523" w:firstLineChars="218"/>
        <w:rPr>
          <w:rFonts w:hint="eastAsia" w:ascii="宋体" w:hAnsi="宋体" w:eastAsia="宋体"/>
          <w:strike/>
          <w:color w:val="auto"/>
          <w:sz w:val="24"/>
          <w:szCs w:val="24"/>
          <w:highlight w:val="none"/>
          <w:lang w:bidi="en-US"/>
        </w:rPr>
      </w:pPr>
      <w:r>
        <w:rPr>
          <w:rFonts w:hint="eastAsia" w:ascii="宋体" w:hAnsi="宋体" w:eastAsia="宋体"/>
          <w:color w:val="auto"/>
          <w:sz w:val="24"/>
          <w:szCs w:val="24"/>
          <w:highlight w:val="none"/>
          <w:lang w:bidi="en-US"/>
        </w:rPr>
        <w:t>43.4计算投标人的总得分（满分为100分）</w:t>
      </w:r>
    </w:p>
    <w:p>
      <w:pPr>
        <w:pStyle w:val="19"/>
        <w:shd w:val="clear"/>
        <w:tabs>
          <w:tab w:val="left" w:pos="7380"/>
        </w:tabs>
        <w:spacing w:after="0" w:afterLines="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44．评标细则</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44.1投标文件算术校核：</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评标委员会将对投标文件投标总报价按照就低不就高的原则进行算术校核，具体标准如下：</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44.1.1数字表示的金额和用文字表示的金额不一致时，应以文字表示的金额为准。</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44.1.2经算术复核的中标候选人报价与其投标总报价不一致时，按就低不就高原则确定其最终报价。</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44.1.4当合价、金额累加错误时，按就低不就高原则，如果累加修正值小于原累加值，则按累加修正值；如果累加修正值大于原累加值，则按原累加值。</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44.1.5如果投标人的有关规费、所有暂列金额、暂估价等未按招标文件规定的金额填写的，未按照规定金额报价的，作否决投标处理。</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44.1.6①分部分项项目漏项的，则该漏项费用视为已分配在其他项目中，不再修改；②分部分项工程量清单中的综合单价与综合单价分析表中的综合单价不一致时，以价低者为准；③其它招标文件规定需要修改的，均以就低不就高原则进行修改。</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44.1.7按就低不就高原则，当修正后报价小于原报价，总价按修正后报价；当修正后报价大于原报价，总价按原报价，并在签订合同时载明在结算价中扣除修正报价与原报价的差额。</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44.1.8按上述修正错误的原则及方法调整或修正投标文件的投标总报价，调整后的投标总报价对投标人起约束作用。如果投标人不接受修正后的报价，则取消其投标资格，并且其投标保证金也不予退还。</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44.2评标结束后，评标委员会应在通过投标文件否决性条款审查的投标人中，按照原评标排序，推荐有排序的1-3名依次为第一中标候选人至第三中标候选人,并编制评标报告。</w:t>
      </w:r>
    </w:p>
    <w:p>
      <w:pPr>
        <w:pStyle w:val="19"/>
        <w:shd w:val="clear"/>
        <w:tabs>
          <w:tab w:val="left" w:pos="7380"/>
        </w:tabs>
        <w:spacing w:after="0" w:afterLines="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44.3资格审查合格的投标申请人少于3名或通过否决性条款审查的投标人不足3名时为招标失败，应修正招标方案，重新招标。</w:t>
      </w: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36"/>
        <w:shd w:val="clear"/>
        <w:jc w:val="center"/>
        <w:outlineLvl w:val="2"/>
        <w:rPr>
          <w:rFonts w:hint="eastAsia" w:ascii="宋体" w:hAnsi="宋体" w:eastAsia="宋体" w:cs="宋体"/>
          <w:b/>
          <w:color w:val="auto"/>
          <w:szCs w:val="21"/>
          <w:highlight w:val="none"/>
        </w:rPr>
      </w:pPr>
      <w:bookmarkStart w:id="87" w:name="_Toc19431"/>
      <w:r>
        <w:rPr>
          <w:rFonts w:hint="eastAsia" w:ascii="宋体" w:hAnsi="宋体" w:eastAsia="宋体" w:cs="宋体"/>
          <w:b/>
          <w:color w:val="auto"/>
          <w:sz w:val="28"/>
          <w:szCs w:val="28"/>
          <w:highlight w:val="none"/>
        </w:rPr>
        <w:t>附件A   《技术标详细评分标准》</w:t>
      </w:r>
      <w:bookmarkEnd w:id="87"/>
    </w:p>
    <w:p>
      <w:pPr>
        <w:pStyle w:val="34"/>
        <w:shd w:val="clear"/>
        <w:outlineLvl w:val="9"/>
        <w:rPr>
          <w:rFonts w:hint="eastAsia" w:ascii="宋体" w:hAnsi="宋体" w:eastAsia="宋体"/>
          <w:color w:val="auto"/>
          <w:sz w:val="24"/>
          <w:highlight w:val="none"/>
        </w:rPr>
      </w:pPr>
      <w:bookmarkStart w:id="88" w:name="_Toc9585"/>
      <w:bookmarkStart w:id="89" w:name="_Toc27482"/>
      <w:bookmarkStart w:id="90" w:name="_Toc10809"/>
      <w:r>
        <w:rPr>
          <w:rFonts w:hint="eastAsia" w:ascii="宋体" w:hAnsi="宋体" w:eastAsia="宋体"/>
          <w:color w:val="auto"/>
          <w:sz w:val="24"/>
          <w:highlight w:val="none"/>
        </w:rPr>
        <w:t>A0 总  则</w:t>
      </w:r>
      <w:bookmarkEnd w:id="88"/>
      <w:bookmarkEnd w:id="89"/>
      <w:bookmarkEnd w:id="90"/>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本附件所列示的技术标详细评分标准，是本章“开标、评标及定标办法”的组成部分，评标委员会应根据本评分标准对对投标人的技术标进行评审。</w:t>
      </w:r>
    </w:p>
    <w:p>
      <w:pPr>
        <w:pStyle w:val="34"/>
        <w:shd w:val="clear"/>
        <w:outlineLvl w:val="9"/>
        <w:rPr>
          <w:rFonts w:hint="eastAsia" w:ascii="宋体" w:hAnsi="宋体" w:eastAsia="宋体" w:cs="宋体"/>
          <w:color w:val="auto"/>
          <w:sz w:val="24"/>
          <w:szCs w:val="24"/>
          <w:highlight w:val="none"/>
        </w:rPr>
      </w:pPr>
      <w:bookmarkStart w:id="91" w:name="_Toc12331"/>
      <w:bookmarkStart w:id="92" w:name="_Toc6792"/>
      <w:bookmarkStart w:id="93" w:name="_Toc13456"/>
      <w:r>
        <w:rPr>
          <w:rFonts w:hint="eastAsia" w:ascii="宋体" w:hAnsi="宋体" w:eastAsia="宋体" w:cs="宋体"/>
          <w:color w:val="auto"/>
          <w:sz w:val="24"/>
          <w:szCs w:val="24"/>
          <w:highlight w:val="none"/>
        </w:rPr>
        <w:t>A1技术标详细评分标准</w:t>
      </w:r>
      <w:bookmarkEnd w:id="91"/>
      <w:bookmarkEnd w:id="92"/>
      <w:bookmarkEnd w:id="93"/>
    </w:p>
    <w:p>
      <w:pPr>
        <w:shd w:val="clea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A1.1施工进度计划和各阶段进度的保证措施</w:t>
      </w:r>
    </w:p>
    <w:p>
      <w:pPr>
        <w:shd w:val="clear"/>
        <w:snapToGrid w:val="0"/>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 xml:space="preserve">      【优】</w:t>
      </w:r>
      <w:r>
        <w:rPr>
          <w:rFonts w:hint="eastAsia" w:ascii="宋体" w:hAnsi="宋体" w:eastAsia="宋体" w:cs="宋体"/>
          <w:color w:val="auto"/>
          <w:spacing w:val="-4"/>
          <w:sz w:val="24"/>
          <w:szCs w:val="24"/>
          <w:highlight w:val="none"/>
        </w:rPr>
        <w:t xml:space="preserve">针对本工程项目特点，在施工工艺、施工方法、材料选用、劳动力安排、技术等方面有保证工期的具体措施，有控制工期的施工进度计划。有施工总进度表，符合本项目施工实际要求，投标人承诺施工工期比招标文件要求提前的：施工工期比招标文件要求提前10日历天及以上。 </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良】针对本工程项目特点，在施工工艺、施工方法、材料选用、劳动力安排、技术等方面有保证工期的具体措施，有控制工期的施工进度计划。有施工总进度表，符合本项目施工实际要求，投标人承诺施工工期比招标文件要求提前的：施工工期比招标文件要求提前1-9日历天的，得1分。</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针对本工程项目特点，在施工工艺、施工方法、材料选用、劳动力安排、技术等方面有保证工期的具体措施，有控制工期的施工进度计划。有施工总进度表，符合本项目施工实际要求，投标人承诺施工工期比招标文件要求提前的：施工工期按招标文件要求的，得0.5分。</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【差】不满足前述要求者，得0分。</w:t>
      </w:r>
    </w:p>
    <w:p>
      <w:pPr>
        <w:shd w:val="clea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A1.2 安全、文明施工、环保措施：</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优】安全文明目标优于招标文件要求，承诺争创市级或以上安全文明施工样板工地，有安全文明控制管理体系，安全文明控制保证措施，有绿色节能控制措施；并有承诺在施工过程中通过科学管理和先进的技术手段，最大限度地节约资源与减少对环境的负面影响，以达到四节一环保（节能、节地、节水、节材和环境保护）的目标。</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良】安全文明目标符合招标文件要求，有安全文明控制管理体系，安全文明控制保证措施，有绿色节能控制措施；并有承诺在施工过程中通过科学管理和先进的技术手段，最大限度地节约资源与减少对环境的负面影响，以达到四节一环保（节能、节地、节水、节材和环境保护）的目标。</w:t>
      </w:r>
    </w:p>
    <w:p>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【中】安全文明目标符合招标文件要求，有安全文明控制管理体系，安全文明控制保证措施，未提供相关的绿色环保措施的。</w:t>
      </w:r>
    </w:p>
    <w:p>
      <w:pPr>
        <w:shd w:val="clea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【差】不满足前述要求者。</w:t>
      </w:r>
    </w:p>
    <w:p>
      <w:pPr>
        <w:shd w:val="clea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A1.3 质量保证措施：</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【优】质量目标优于招标文件要求，有承诺争创市级或以上的优良样板工程且有质量控制管理体系，质量保证措施的。</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【良】质量目标符合招标文件要求，有质量控制管理体系，质量保证措施的。</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【中】质量目标符合招标文件要求，仅有质量控制管理体系或质量保证措施当中一项的。</w:t>
      </w:r>
    </w:p>
    <w:p>
      <w:pPr>
        <w:shd w:val="clea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【差】不满足前述要求者。</w:t>
      </w:r>
    </w:p>
    <w:p>
      <w:pPr>
        <w:shd w:val="clea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A1.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组织机构： </w:t>
      </w:r>
    </w:p>
    <w:p>
      <w:pPr>
        <w:shd w:val="clear"/>
        <w:snapToGrid w:val="0"/>
        <w:spacing w:line="360" w:lineRule="auto"/>
        <w:ind w:left="1199" w:leftChars="22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【优】组织机构形式合理，有完善的指挥系统，生产及质量、安全、文明施工、创优达标监控系统、联络协调系统，项目管理人员内高级职称人员6名及以上、中级职称人员6名及以上。</w:t>
      </w:r>
    </w:p>
    <w:p>
      <w:pPr>
        <w:shd w:val="clear"/>
        <w:snapToGrid w:val="0"/>
        <w:spacing w:line="360" w:lineRule="auto"/>
        <w:ind w:left="1199" w:leftChars="22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【良】组织机构形式合理，有完善的指挥系统，生产及质量、安全、文明施工、创优达标监控系统、联络协调系统，项目管理人员内高级职称人员4-5名、中级职称人员4-5名。</w:t>
      </w:r>
    </w:p>
    <w:p>
      <w:pPr>
        <w:shd w:val="clear"/>
        <w:snapToGrid w:val="0"/>
        <w:spacing w:line="360" w:lineRule="auto"/>
        <w:ind w:left="1199" w:leftChars="22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【中】组织机构形式合理，有完善的指挥系统，生产及质量、安全、文明施工、创优达标监控系统、联络协调系统，项目管理人员内高级职称人员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-3名、中级职称人员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-3名。</w:t>
      </w:r>
    </w:p>
    <w:p>
      <w:pPr>
        <w:shd w:val="clear"/>
        <w:snapToGrid w:val="0"/>
        <w:spacing w:line="360" w:lineRule="auto"/>
        <w:ind w:left="1199" w:leftChars="22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【差】不满足前述要求者。</w:t>
      </w:r>
    </w:p>
    <w:p>
      <w:pPr>
        <w:shd w:val="clea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A1.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机械设备、劳动力投入计划：</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【优】有机械设备需求计划及保障措施、劳动力需求计划及保障措施，施工高峰期拟投入的劳动人数量大于或等于100人。</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【良】有机械设备需求计划及保障措施、劳动力需求计划及保障措施，施工高峰期拟投入的劳动人数量大于或等于50人且少于100人。</w:t>
      </w:r>
    </w:p>
    <w:p>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【中】有机械设备需求计划及保障措施、劳动力需求计划及保障措施，施工高峰期拟投入的劳动人数量低于50人的。</w:t>
      </w:r>
    </w:p>
    <w:p>
      <w:pPr>
        <w:shd w:val="clear"/>
        <w:snapToGrid w:val="0"/>
        <w:spacing w:line="360" w:lineRule="auto"/>
        <w:ind w:firstLine="480" w:firstLineChars="200"/>
        <w:rPr>
          <w:rFonts w:hint="eastAsia" w:ascii="宋体" w:hAnsi="宋体"/>
          <w:color w:val="auto"/>
          <w:sz w:val="24"/>
          <w:highlight w:val="none"/>
        </w:rPr>
      </w:pPr>
      <w:r>
        <w:rPr>
          <w:rFonts w:hint="eastAsia" w:ascii="宋体" w:hAnsi="宋体" w:eastAsia="宋体" w:cs="宋体"/>
          <w:color w:val="auto"/>
          <w:sz w:val="24"/>
          <w:szCs w:val="24"/>
          <w:highlight w:val="none"/>
        </w:rPr>
        <w:t xml:space="preserve">  【差】不满足前述要求者。</w:t>
      </w: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36"/>
        <w:shd w:val="clear"/>
        <w:jc w:val="center"/>
        <w:outlineLvl w:val="2"/>
        <w:rPr>
          <w:color w:val="auto"/>
          <w:highlight w:val="none"/>
        </w:rPr>
      </w:pPr>
      <w:bookmarkStart w:id="94" w:name="_Toc389065230"/>
      <w:bookmarkStart w:id="95" w:name="_Toc407135165"/>
      <w:bookmarkStart w:id="96" w:name="_Toc9116"/>
      <w:r>
        <w:rPr>
          <w:color w:val="auto"/>
          <w:highlight w:val="none"/>
        </w:rPr>
        <w:t>附件B</w:t>
      </w:r>
      <w:bookmarkEnd w:id="94"/>
      <w:r>
        <w:rPr>
          <w:rFonts w:hint="eastAsia"/>
          <w:color w:val="auto"/>
          <w:highlight w:val="none"/>
        </w:rPr>
        <w:t xml:space="preserve">  </w:t>
      </w:r>
      <w:r>
        <w:rPr>
          <w:color w:val="auto"/>
          <w:highlight w:val="none"/>
        </w:rPr>
        <w:t>否决投标条件</w:t>
      </w:r>
      <w:bookmarkEnd w:id="95"/>
      <w:bookmarkEnd w:id="96"/>
    </w:p>
    <w:p>
      <w:pPr>
        <w:pStyle w:val="34"/>
        <w:shd w:val="clear"/>
        <w:outlineLvl w:val="9"/>
        <w:rPr>
          <w:rFonts w:hint="eastAsia" w:ascii="宋体" w:hAnsi="宋体" w:eastAsia="宋体"/>
          <w:color w:val="auto"/>
          <w:sz w:val="24"/>
          <w:highlight w:val="none"/>
        </w:rPr>
      </w:pPr>
      <w:bookmarkStart w:id="97" w:name="_Toc18167"/>
      <w:bookmarkStart w:id="98" w:name="_Toc19237"/>
      <w:bookmarkStart w:id="99" w:name="_Toc407135166"/>
      <w:bookmarkStart w:id="100" w:name="_Toc389065231"/>
      <w:r>
        <w:rPr>
          <w:rFonts w:hint="eastAsia" w:ascii="宋体" w:hAnsi="宋体" w:eastAsia="宋体"/>
          <w:color w:val="auto"/>
          <w:sz w:val="24"/>
          <w:highlight w:val="none"/>
        </w:rPr>
        <w:t>B0 总  则</w:t>
      </w:r>
      <w:bookmarkEnd w:id="97"/>
      <w:bookmarkEnd w:id="98"/>
      <w:bookmarkEnd w:id="99"/>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附件所集中列示的否决投标条件，是本章“开标、评标及定标办法”的组成部分，是对第一章“投标人须知”和本章正文部分所规定的否决投标条件的总结和补充，如果出现相互矛盾的情况，以本章附件B的规定为准。</w:t>
      </w:r>
    </w:p>
    <w:p>
      <w:pPr>
        <w:pStyle w:val="34"/>
        <w:shd w:val="clear"/>
        <w:outlineLvl w:val="9"/>
        <w:rPr>
          <w:rFonts w:hint="eastAsia" w:ascii="宋体" w:hAnsi="宋体" w:eastAsia="宋体"/>
          <w:color w:val="auto"/>
          <w:sz w:val="24"/>
          <w:highlight w:val="none"/>
        </w:rPr>
      </w:pPr>
      <w:bookmarkStart w:id="101" w:name="_Toc22996"/>
      <w:bookmarkStart w:id="102" w:name="_Toc407135167"/>
      <w:bookmarkStart w:id="103" w:name="_Toc8139"/>
      <w:r>
        <w:rPr>
          <w:rFonts w:hint="eastAsia" w:ascii="宋体" w:hAnsi="宋体" w:eastAsia="宋体"/>
          <w:color w:val="auto"/>
          <w:sz w:val="24"/>
          <w:highlight w:val="none"/>
        </w:rPr>
        <w:t>B1 否决投标条件</w:t>
      </w:r>
      <w:bookmarkEnd w:id="101"/>
      <w:bookmarkEnd w:id="102"/>
      <w:bookmarkEnd w:id="103"/>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投标人或其投标文件有下列情形之一的，其投标作否决投标处理：</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 有第一章“投标人须知”第4.3项规定的任何一种情形的；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B1.2 有串通投标或弄虚作假或有其他违法行为的；</w:t>
      </w:r>
    </w:p>
    <w:p>
      <w:pPr>
        <w:pStyle w:val="35"/>
        <w:shd w:val="clea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B1.3 </w:t>
      </w:r>
      <w:r>
        <w:rPr>
          <w:rFonts w:hint="eastAsia" w:ascii="宋体" w:hAnsi="宋体" w:eastAsia="宋体"/>
          <w:color w:val="auto"/>
          <w:sz w:val="24"/>
          <w:highlight w:val="none"/>
          <w:lang w:val="en-US" w:eastAsia="zh-CN"/>
        </w:rPr>
        <w:t>被招标人在招标公告中列入拒绝参加本次投标单位名单的</w:t>
      </w:r>
      <w:r>
        <w:rPr>
          <w:rFonts w:hint="eastAsia" w:ascii="宋体" w:hAnsi="宋体" w:eastAsia="宋体"/>
          <w:color w:val="auto"/>
          <w:sz w:val="24"/>
          <w:szCs w:val="21"/>
          <w:highlight w:val="none"/>
        </w:rPr>
        <w:t>；</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B1.4 不按评标委员会要求澄清、说明或补正的；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B1.5 在资格评审中，评标委员会认定投标人的投标文件不符合“评标办法前附表”中规定的任何一项评审标准的；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B1.6 不按第一章投标人须知前附表第11条内容提供资料的；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B1.7 由委托代理人签字或盖章，但未随投标文件一起提交有效的“法定代表人证明书”、“法定代表人授权书”的；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B1.8 投标文件未按规定的格式填写，或主要内容不全，或关键字迹模糊、无法辨认的；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B1.9 投标人不接受评标委员会按第二章“开标、评标及定标办法”第44.1“投标文件算术校核”的原则对投标报价进行修正的；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B1.10 投标人不具备独立法人资格或作为独立法人资格但就本工程提交一个以上的投标文件的；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B1.11 安全文明施工措施费、暂列金、暂估价任何一处不按招标工程量清单中列出的金额报价的；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B1.12 投标人已标价工程量清单的项目编码、项目名称、项目特征、计量单位、工程量任何一处与招标工程量清单不一致的；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B1.13 《清远市建设工程施工招标投标书》中的报价与已标价的工程量清单汇总表不一致的；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B1.14 投标文件实质上没有响应招标文件的要求的；</w:t>
      </w:r>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B1.15 法规规定的其他否决投标条款。</w:t>
      </w:r>
      <w:bookmarkEnd w:id="100"/>
    </w:p>
    <w:p>
      <w:pPr>
        <w:pStyle w:val="37"/>
        <w:shd w:val="clear"/>
        <w:spacing w:line="360" w:lineRule="auto"/>
        <w:rPr>
          <w:rFonts w:hint="eastAsia" w:ascii="宋体" w:hAnsi="宋体"/>
          <w:color w:val="auto"/>
          <w:sz w:val="24"/>
          <w:highlight w:val="none"/>
        </w:rPr>
      </w:pPr>
    </w:p>
    <w:p>
      <w:pPr>
        <w:pStyle w:val="36"/>
        <w:shd w:val="clear"/>
        <w:jc w:val="center"/>
        <w:outlineLvl w:val="2"/>
        <w:rPr>
          <w:rFonts w:hint="eastAsia" w:ascii="黑体" w:hAnsi="黑体"/>
          <w:color w:val="auto"/>
          <w:highlight w:val="none"/>
        </w:rPr>
      </w:pPr>
      <w:bookmarkStart w:id="104" w:name="_Toc16486"/>
      <w:r>
        <w:rPr>
          <w:color w:val="auto"/>
          <w:highlight w:val="none"/>
        </w:rPr>
        <w:t>附件</w:t>
      </w:r>
      <w:r>
        <w:rPr>
          <w:rFonts w:hint="eastAsia"/>
          <w:color w:val="auto"/>
          <w:highlight w:val="none"/>
        </w:rPr>
        <w:t xml:space="preserve">C  </w:t>
      </w:r>
      <w:r>
        <w:rPr>
          <w:rFonts w:hint="eastAsia"/>
          <w:color w:val="auto"/>
          <w:highlight w:val="none"/>
          <w:lang w:eastAsia="zh-CN"/>
        </w:rPr>
        <w:t>类似工程业绩</w:t>
      </w:r>
      <w:r>
        <w:rPr>
          <w:rFonts w:hint="eastAsia"/>
          <w:color w:val="auto"/>
          <w:highlight w:val="none"/>
        </w:rPr>
        <w:t>认定标准</w:t>
      </w:r>
      <w:bookmarkEnd w:id="104"/>
    </w:p>
    <w:p>
      <w:pPr>
        <w:pStyle w:val="34"/>
        <w:shd w:val="clear"/>
        <w:outlineLvl w:val="9"/>
        <w:rPr>
          <w:rFonts w:hint="eastAsia" w:ascii="宋体" w:hAnsi="宋体" w:eastAsia="宋体"/>
          <w:color w:val="auto"/>
          <w:sz w:val="24"/>
          <w:highlight w:val="none"/>
        </w:rPr>
      </w:pPr>
      <w:bookmarkStart w:id="105" w:name="_Toc14462"/>
      <w:bookmarkStart w:id="106" w:name="_Toc11619"/>
      <w:r>
        <w:rPr>
          <w:rFonts w:hint="eastAsia" w:ascii="宋体" w:hAnsi="宋体" w:eastAsia="宋体"/>
          <w:color w:val="auto"/>
          <w:sz w:val="24"/>
          <w:highlight w:val="none"/>
        </w:rPr>
        <w:t>C0 总  则</w:t>
      </w:r>
      <w:bookmarkEnd w:id="105"/>
      <w:bookmarkEnd w:id="106"/>
    </w:p>
    <w:p>
      <w:pPr>
        <w:pStyle w:val="35"/>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本附件所列示的</w:t>
      </w:r>
      <w:r>
        <w:rPr>
          <w:rFonts w:hint="eastAsia" w:ascii="宋体" w:hAnsi="宋体"/>
          <w:color w:val="auto"/>
          <w:sz w:val="24"/>
          <w:highlight w:val="none"/>
          <w:lang w:eastAsia="zh-CN"/>
        </w:rPr>
        <w:t>类似工程业绩</w:t>
      </w:r>
      <w:r>
        <w:rPr>
          <w:rFonts w:hint="eastAsia" w:ascii="宋体" w:hAnsi="宋体"/>
          <w:color w:val="auto"/>
          <w:sz w:val="24"/>
          <w:highlight w:val="none"/>
        </w:rPr>
        <w:t>认定标准，是本章“开标、评标及定标办法”的组成部分，评标委员会应根据本认定标准对投标人、项目负责人的</w:t>
      </w:r>
      <w:r>
        <w:rPr>
          <w:rFonts w:hint="eastAsia" w:ascii="宋体" w:hAnsi="宋体"/>
          <w:color w:val="auto"/>
          <w:sz w:val="24"/>
          <w:highlight w:val="none"/>
          <w:lang w:eastAsia="zh-CN"/>
        </w:rPr>
        <w:t>类似工程业绩</w:t>
      </w:r>
      <w:r>
        <w:rPr>
          <w:rFonts w:hint="eastAsia" w:ascii="宋体" w:hAnsi="宋体"/>
          <w:color w:val="auto"/>
          <w:sz w:val="24"/>
          <w:highlight w:val="none"/>
        </w:rPr>
        <w:t>进行评审。</w:t>
      </w:r>
    </w:p>
    <w:p>
      <w:pPr>
        <w:pStyle w:val="34"/>
        <w:shd w:val="clear"/>
        <w:outlineLvl w:val="9"/>
        <w:rPr>
          <w:rFonts w:hint="eastAsia" w:ascii="宋体" w:hAnsi="宋体" w:eastAsia="宋体"/>
          <w:color w:val="auto"/>
          <w:sz w:val="24"/>
          <w:highlight w:val="none"/>
        </w:rPr>
      </w:pPr>
      <w:bookmarkStart w:id="107" w:name="_Toc18884"/>
      <w:bookmarkStart w:id="108" w:name="_Toc7182"/>
      <w:r>
        <w:rPr>
          <w:rFonts w:hint="eastAsia" w:ascii="宋体" w:hAnsi="宋体" w:eastAsia="宋体"/>
          <w:color w:val="auto"/>
          <w:sz w:val="24"/>
          <w:highlight w:val="none"/>
        </w:rPr>
        <w:t xml:space="preserve">C1 </w:t>
      </w:r>
      <w:r>
        <w:rPr>
          <w:rFonts w:hint="eastAsia" w:ascii="宋体" w:hAnsi="宋体" w:eastAsia="宋体"/>
          <w:color w:val="auto"/>
          <w:sz w:val="24"/>
          <w:highlight w:val="none"/>
          <w:lang w:eastAsia="zh-CN"/>
        </w:rPr>
        <w:t>类似工程业绩</w:t>
      </w:r>
      <w:r>
        <w:rPr>
          <w:rFonts w:hint="eastAsia" w:ascii="宋体" w:hAnsi="宋体" w:eastAsia="宋体"/>
          <w:color w:val="auto"/>
          <w:sz w:val="24"/>
          <w:highlight w:val="none"/>
        </w:rPr>
        <w:t>认定标准</w:t>
      </w:r>
      <w:bookmarkEnd w:id="107"/>
      <w:bookmarkEnd w:id="108"/>
    </w:p>
    <w:p>
      <w:pPr>
        <w:pStyle w:val="19"/>
        <w:shd w:val="clear"/>
        <w:tabs>
          <w:tab w:val="left" w:pos="7380"/>
        </w:tabs>
        <w:spacing w:after="0" w:afterLines="0" w:line="360" w:lineRule="auto"/>
        <w:ind w:firstLine="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eastAsia="zh-CN"/>
        </w:rPr>
        <w:t>类似工程业绩</w:t>
      </w:r>
      <w:r>
        <w:rPr>
          <w:rFonts w:hint="eastAsia" w:ascii="宋体" w:hAnsi="宋体" w:eastAsia="宋体"/>
          <w:color w:val="auto"/>
          <w:sz w:val="24"/>
          <w:szCs w:val="24"/>
          <w:highlight w:val="none"/>
        </w:rPr>
        <w:t>认定标准：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由招标人根据国家法律法规政策等，以及项目具体情况自行制定。</w:t>
      </w:r>
      <w:r>
        <w:rPr>
          <w:rFonts w:hint="eastAsia" w:ascii="宋体" w:hAnsi="宋体" w:eastAsia="宋体"/>
          <w:color w:val="auto"/>
          <w:sz w:val="24"/>
          <w:szCs w:val="24"/>
          <w:highlight w:val="none"/>
          <w:lang w:eastAsia="zh-CN"/>
        </w:rPr>
        <w:t>）</w:t>
      </w: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pPr>
    </w:p>
    <w:p>
      <w:pPr>
        <w:pStyle w:val="19"/>
        <w:shd w:val="clear"/>
        <w:tabs>
          <w:tab w:val="left" w:pos="7380"/>
        </w:tabs>
        <w:spacing w:after="0" w:afterLines="0" w:line="360" w:lineRule="auto"/>
        <w:ind w:firstLine="0"/>
        <w:rPr>
          <w:rFonts w:hint="eastAsia" w:ascii="宋体" w:hAnsi="宋体" w:eastAsia="宋体"/>
          <w:color w:val="auto"/>
          <w:sz w:val="24"/>
          <w:szCs w:val="24"/>
          <w:highlight w:val="none"/>
        </w:rPr>
        <w:sectPr>
          <w:endnotePr>
            <w:numFmt w:val="decimal"/>
          </w:endnotePr>
          <w:pgSz w:w="11907" w:h="16840"/>
          <w:pgMar w:top="1134" w:right="1134" w:bottom="1134" w:left="1134" w:header="851" w:footer="907" w:gutter="283"/>
          <w:cols w:space="720" w:num="1"/>
        </w:sectPr>
      </w:pPr>
    </w:p>
    <w:p>
      <w:pPr>
        <w:pStyle w:val="39"/>
        <w:shd w:val="clear"/>
        <w:outlineLvl w:val="1"/>
        <w:rPr>
          <w:rFonts w:hint="default" w:ascii="宋体" w:hAnsi="宋体" w:eastAsia="宋体" w:cs="宋体"/>
          <w:color w:val="auto"/>
          <w:sz w:val="21"/>
          <w:highlight w:val="none"/>
          <w:lang w:val="en-US" w:eastAsia="zh-CN"/>
        </w:rPr>
      </w:pPr>
      <w:bookmarkStart w:id="109" w:name="_Toc14918"/>
      <w:r>
        <w:rPr>
          <w:rFonts w:hint="eastAsia" w:ascii="宋体" w:hAnsi="宋体" w:eastAsia="宋体" w:cs="宋体"/>
          <w:color w:val="auto"/>
          <w:sz w:val="21"/>
          <w:highlight w:val="none"/>
        </w:rPr>
        <w:t>附表一</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开标记录表</w:t>
      </w:r>
      <w:bookmarkEnd w:id="109"/>
    </w:p>
    <w:p>
      <w:pPr>
        <w:keepNext w:val="0"/>
        <w:keepLines w:val="0"/>
        <w:widowControl w:val="0"/>
        <w:suppressLineNumbers w:val="0"/>
        <w:shd w:val="clear"/>
        <w:spacing w:before="0" w:beforeLines="0" w:beforeAutospacing="0" w:after="0" w:afterLines="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b/>
          <w:color w:val="auto"/>
          <w:szCs w:val="21"/>
          <w:highlight w:val="none"/>
        </w:rPr>
        <w:t xml:space="preserve">  </w:t>
      </w:r>
      <w:r>
        <w:rPr>
          <w:rFonts w:hint="eastAsia" w:ascii="宋体" w:hAnsi="宋体" w:eastAsia="宋体"/>
          <w:b/>
          <w:color w:val="auto"/>
          <w:sz w:val="24"/>
          <w:highlight w:val="none"/>
        </w:rPr>
        <w:t xml:space="preserve">           </w:t>
      </w:r>
      <w:r>
        <w:rPr>
          <w:rFonts w:hint="eastAsia" w:ascii="宋体" w:hAnsi="宋体" w:eastAsia="宋体" w:cs="宋体"/>
          <w:b/>
          <w:bCs w:val="0"/>
          <w:color w:val="auto"/>
          <w:kern w:val="2"/>
          <w:sz w:val="24"/>
          <w:szCs w:val="24"/>
          <w:highlight w:val="none"/>
          <w:lang w:val="en-US" w:eastAsia="zh-CN" w:bidi="ar"/>
        </w:rPr>
        <w:t>开标记录表</w:t>
      </w:r>
    </w:p>
    <w:p>
      <w:pPr>
        <w:keepNext w:val="0"/>
        <w:keepLines w:val="0"/>
        <w:widowControl w:val="0"/>
        <w:suppressLineNumbers w:val="0"/>
        <w:shd w:val="clear"/>
        <w:spacing w:before="0" w:beforeLines="0" w:beforeAutospacing="0" w:after="0" w:afterLines="0" w:afterAutospacing="0" w:line="360" w:lineRule="auto"/>
        <w:ind w:left="0" w:right="0" w:firstLine="1440" w:firstLineChars="600"/>
        <w:jc w:val="left"/>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（项目编号）</w:t>
      </w:r>
    </w:p>
    <w:p>
      <w:pPr>
        <w:keepNext w:val="0"/>
        <w:keepLines w:val="0"/>
        <w:widowControl w:val="0"/>
        <w:suppressLineNumbers w:val="0"/>
        <w:shd w:val="clear"/>
        <w:spacing w:before="0" w:beforeLines="0" w:beforeAutospacing="0" w:after="0" w:afterLines="0" w:afterAutospacing="0" w:line="360" w:lineRule="auto"/>
        <w:ind w:left="0" w:right="0" w:firstLine="600" w:firstLineChars="250"/>
        <w:jc w:val="right"/>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开标时间：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bl>
      <w:tblPr>
        <w:tblStyle w:val="20"/>
        <w:tblW w:w="14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3"/>
        <w:gridCol w:w="1269"/>
        <w:gridCol w:w="1479"/>
        <w:gridCol w:w="1459"/>
        <w:gridCol w:w="1321"/>
        <w:gridCol w:w="1079"/>
        <w:gridCol w:w="1413"/>
        <w:gridCol w:w="1760"/>
        <w:gridCol w:w="925"/>
        <w:gridCol w:w="743"/>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投标人</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投标下浮率</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投标总报价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质量目标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工期</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项目负责人</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项目负责人注册证书编号</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专职安全员</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备注</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Lines="0" w:beforeAutospacing="0" w:after="0" w:afterLines="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投标人法定代表人或其委托代理人签名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3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74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spacing w:before="0" w:beforeLines="0" w:beforeAutospacing="0" w:after="0" w:afterLines="0" w:afterAutospacing="0" w:line="500" w:lineRule="exact"/>
              <w:ind w:left="0" w:right="0"/>
              <w:jc w:val="left"/>
              <w:rPr>
                <w:rFonts w:hint="eastAsia" w:ascii="宋体" w:hAnsi="宋体" w:eastAsia="宋体" w:cs="宋体"/>
                <w:color w:val="auto"/>
                <w:szCs w:val="21"/>
                <w:highlight w:val="none"/>
                <w:lang w:val="en-US"/>
              </w:rPr>
            </w:pPr>
          </w:p>
        </w:tc>
      </w:tr>
    </w:tbl>
    <w:p>
      <w:pPr>
        <w:keepNext w:val="0"/>
        <w:keepLines w:val="0"/>
        <w:widowControl w:val="0"/>
        <w:suppressLineNumbers w:val="0"/>
        <w:shd w:val="clear"/>
        <w:spacing w:before="0" w:beforeLines="0" w:beforeAutospacing="0" w:after="0" w:afterLines="0" w:afterAutospacing="0" w:line="440" w:lineRule="exact"/>
        <w:ind w:left="0" w:right="0" w:firstLine="720" w:firstLineChars="3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开标结束时间：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p>
      <w:pPr>
        <w:keepNext w:val="0"/>
        <w:keepLines w:val="0"/>
        <w:widowControl w:val="0"/>
        <w:suppressLineNumbers w:val="0"/>
        <w:shd w:val="clear"/>
        <w:spacing w:before="0" w:beforeLines="0" w:beforeAutospacing="0" w:after="0" w:afterLines="0" w:afterAutospacing="0" w:line="620" w:lineRule="exact"/>
        <w:ind w:left="0" w:right="0" w:firstLine="720" w:firstLineChars="3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主持人：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开标人：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唱标人：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记录人：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监标人：</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hd w:val="clear"/>
        <w:spacing w:before="0" w:beforeLines="0" w:beforeAutospacing="0" w:after="0" w:afterLines="0" w:afterAutospacing="0"/>
        <w:ind w:left="0" w:right="0"/>
        <w:jc w:val="righ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pPr>
        <w:keepNext w:val="0"/>
        <w:keepLines w:val="0"/>
        <w:widowControl w:val="0"/>
        <w:suppressLineNumbers w:val="0"/>
        <w:shd w:val="clear"/>
        <w:spacing w:before="0" w:beforeLines="0" w:beforeAutospacing="0" w:after="0" w:afterLines="0" w:afterAutospacing="0"/>
        <w:ind w:left="0" w:right="0"/>
        <w:jc w:val="both"/>
        <w:rPr>
          <w:rFonts w:hint="eastAsia" w:ascii="宋体" w:hAnsi="宋体" w:eastAsia="宋体" w:cs="宋体"/>
          <w:color w:val="auto"/>
          <w:highlight w:val="none"/>
          <w:lang w:val="en-US"/>
        </w:rPr>
      </w:pPr>
    </w:p>
    <w:p>
      <w:pPr>
        <w:pStyle w:val="38"/>
        <w:widowControl/>
        <w:shd w:val="clear"/>
        <w:snapToGrid w:val="0"/>
        <w:spacing w:line="360" w:lineRule="auto"/>
        <w:rPr>
          <w:rFonts w:hAnsi="宋体" w:eastAsia="宋体"/>
          <w:b/>
          <w:bCs/>
          <w:color w:val="auto"/>
          <w:szCs w:val="21"/>
          <w:highlight w:val="none"/>
          <w:lang w:eastAsia="zh-CN"/>
        </w:rPr>
      </w:pPr>
      <w:r>
        <w:rPr>
          <w:rFonts w:hAnsi="宋体" w:eastAsia="宋体"/>
          <w:b/>
          <w:bCs/>
          <w:color w:val="auto"/>
          <w:szCs w:val="21"/>
          <w:highlight w:val="none"/>
          <w:lang w:eastAsia="zh-CN"/>
        </w:rPr>
        <w:t>注：可以根据招标项目的实际需要对本开标记录表进行适当修改。</w:t>
      </w:r>
    </w:p>
    <w:p>
      <w:pPr>
        <w:pStyle w:val="38"/>
        <w:widowControl/>
        <w:shd w:val="clear"/>
        <w:snapToGrid w:val="0"/>
        <w:spacing w:line="360" w:lineRule="auto"/>
        <w:rPr>
          <w:rFonts w:hAnsi="宋体" w:eastAsia="宋体"/>
          <w:b/>
          <w:bCs/>
          <w:color w:val="auto"/>
          <w:szCs w:val="21"/>
          <w:highlight w:val="none"/>
          <w:lang w:val="en-US"/>
        </w:rPr>
      </w:pPr>
      <w:r>
        <w:rPr>
          <w:rFonts w:hAnsi="宋体" w:eastAsia="宋体"/>
          <w:b/>
          <w:bCs/>
          <w:color w:val="auto"/>
          <w:szCs w:val="21"/>
          <w:highlight w:val="none"/>
          <w:lang w:eastAsia="zh-CN"/>
        </w:rPr>
        <w:br w:type="page"/>
      </w:r>
    </w:p>
    <w:p>
      <w:pPr>
        <w:pStyle w:val="39"/>
        <w:shd w:val="clear"/>
        <w:outlineLvl w:val="2"/>
        <w:rPr>
          <w:rFonts w:hint="eastAsia" w:ascii="宋体" w:hAnsi="宋体" w:eastAsia="宋体"/>
          <w:color w:val="auto"/>
          <w:sz w:val="21"/>
          <w:highlight w:val="none"/>
        </w:rPr>
        <w:sectPr>
          <w:endnotePr>
            <w:numFmt w:val="decimal"/>
          </w:endnotePr>
          <w:pgSz w:w="16840" w:h="11907" w:orient="landscape"/>
          <w:pgMar w:top="851" w:right="1360" w:bottom="851" w:left="900" w:header="851" w:footer="907" w:gutter="284"/>
          <w:cols w:space="720" w:num="1"/>
        </w:sectPr>
      </w:pPr>
    </w:p>
    <w:p>
      <w:pPr>
        <w:pStyle w:val="39"/>
        <w:shd w:val="clear"/>
        <w:outlineLvl w:val="1"/>
        <w:rPr>
          <w:rFonts w:hint="eastAsia"/>
          <w:color w:val="auto"/>
          <w:highlight w:val="none"/>
        </w:rPr>
      </w:pPr>
      <w:bookmarkStart w:id="110" w:name="_Toc2235"/>
      <w:r>
        <w:rPr>
          <w:rFonts w:hint="eastAsia" w:ascii="宋体" w:hAnsi="宋体" w:eastAsia="宋体"/>
          <w:color w:val="auto"/>
          <w:sz w:val="21"/>
          <w:highlight w:val="none"/>
        </w:rPr>
        <w:t>附表二：问题</w:t>
      </w:r>
      <w:r>
        <w:rPr>
          <w:rFonts w:hint="eastAsia" w:ascii="宋体" w:hAnsi="宋体" w:eastAsia="宋体" w:cs="宋体"/>
          <w:color w:val="auto"/>
          <w:sz w:val="21"/>
          <w:highlight w:val="none"/>
          <w:lang w:val="en-US" w:eastAsia="zh-CN"/>
        </w:rPr>
        <w:t>澄清</w:t>
      </w:r>
      <w:r>
        <w:rPr>
          <w:rFonts w:hint="eastAsia" w:ascii="宋体" w:hAnsi="宋体" w:eastAsia="宋体"/>
          <w:color w:val="auto"/>
          <w:sz w:val="21"/>
          <w:highlight w:val="none"/>
        </w:rPr>
        <w:t>通知</w:t>
      </w:r>
      <w:bookmarkEnd w:id="110"/>
    </w:p>
    <w:p>
      <w:pPr>
        <w:pStyle w:val="41"/>
        <w:shd w:val="clear"/>
        <w:spacing w:line="400" w:lineRule="exact"/>
        <w:jc w:val="center"/>
        <w:rPr>
          <w:rFonts w:hint="eastAsia" w:ascii="黑体" w:eastAsia="黑体"/>
          <w:color w:val="auto"/>
          <w:sz w:val="28"/>
          <w:szCs w:val="28"/>
          <w:highlight w:val="none"/>
        </w:rPr>
      </w:pPr>
    </w:p>
    <w:p>
      <w:pPr>
        <w:pStyle w:val="41"/>
        <w:shd w:val="clear"/>
        <w:spacing w:line="440" w:lineRule="exact"/>
        <w:jc w:val="center"/>
        <w:rPr>
          <w:rFonts w:eastAsia="黑体"/>
          <w:color w:val="auto"/>
          <w:sz w:val="32"/>
          <w:szCs w:val="28"/>
          <w:highlight w:val="none"/>
        </w:rPr>
      </w:pPr>
      <w:r>
        <w:rPr>
          <w:rFonts w:eastAsia="黑体"/>
          <w:color w:val="auto"/>
          <w:sz w:val="32"/>
          <w:szCs w:val="28"/>
          <w:highlight w:val="none"/>
        </w:rPr>
        <w:t>问题澄清通知</w:t>
      </w:r>
    </w:p>
    <w:p>
      <w:pPr>
        <w:pStyle w:val="41"/>
        <w:shd w:val="clear"/>
        <w:spacing w:line="440" w:lineRule="exact"/>
        <w:jc w:val="center"/>
        <w:rPr>
          <w:rFonts w:eastAsia="黑体"/>
          <w:color w:val="auto"/>
          <w:sz w:val="32"/>
          <w:szCs w:val="28"/>
          <w:highlight w:val="none"/>
        </w:rPr>
      </w:pPr>
    </w:p>
    <w:p>
      <w:pPr>
        <w:pStyle w:val="41"/>
        <w:shd w:val="clea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编号：</w:t>
      </w:r>
      <w:r>
        <w:rPr>
          <w:rFonts w:hint="eastAsia" w:ascii="宋体" w:hAnsi="宋体" w:cs="宋体"/>
          <w:color w:val="auto"/>
          <w:sz w:val="24"/>
          <w:highlight w:val="none"/>
          <w:u w:val="single"/>
        </w:rPr>
        <w:t xml:space="preserve">         </w:t>
      </w:r>
    </w:p>
    <w:p>
      <w:pPr>
        <w:pStyle w:val="41"/>
        <w:shd w:val="clear"/>
        <w:spacing w:line="360" w:lineRule="auto"/>
        <w:rPr>
          <w:rFonts w:hint="eastAsia" w:ascii="宋体" w:hAnsi="宋体" w:cs="宋体"/>
          <w:color w:val="auto"/>
          <w:sz w:val="24"/>
          <w:highlight w:val="none"/>
        </w:rPr>
      </w:pP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w:t>
      </w:r>
    </w:p>
    <w:p>
      <w:pPr>
        <w:pStyle w:val="41"/>
        <w:shd w:val="clear"/>
        <w:spacing w:line="360" w:lineRule="auto"/>
        <w:rPr>
          <w:rFonts w:hint="eastAsia" w:ascii="宋体" w:hAnsi="宋体" w:cs="宋体"/>
          <w:color w:val="auto"/>
          <w:sz w:val="24"/>
          <w:highlight w:val="none"/>
        </w:rPr>
      </w:pP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（工程名称）施工招标的评标委员会，对你方的投标文件进行了仔细的审查，现需你方对下列问题以书面形式予以澄清：</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1.</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2.</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xml:space="preserve">      ......   </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rPr>
        <w:t>　　　</w:t>
      </w:r>
    </w:p>
    <w:p>
      <w:pPr>
        <w:pStyle w:val="41"/>
        <w:shd w:val="clear"/>
        <w:spacing w:line="48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请将上述问题的澄清于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时前密封递交至</w:t>
      </w:r>
      <w:r>
        <w:rPr>
          <w:rFonts w:hint="eastAsia" w:ascii="宋体" w:hAnsi="宋体" w:cs="宋体"/>
          <w:color w:val="auto"/>
          <w:sz w:val="24"/>
          <w:highlight w:val="none"/>
          <w:u w:val="single"/>
        </w:rPr>
        <w:t xml:space="preserve">               </w:t>
      </w:r>
    </w:p>
    <w:p>
      <w:pPr>
        <w:pStyle w:val="41"/>
        <w:shd w:val="clear"/>
        <w:spacing w:line="48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详细地址）。</w:t>
      </w:r>
    </w:p>
    <w:p>
      <w:pPr>
        <w:pStyle w:val="41"/>
        <w:shd w:val="clear"/>
        <w:spacing w:line="480" w:lineRule="auto"/>
        <w:rPr>
          <w:rFonts w:hint="eastAsia" w:ascii="宋体" w:hAnsi="宋体" w:cs="宋体"/>
          <w:color w:val="auto"/>
          <w:sz w:val="24"/>
          <w:highlight w:val="none"/>
        </w:rPr>
      </w:pPr>
    </w:p>
    <w:p>
      <w:pPr>
        <w:pStyle w:val="41"/>
        <w:shd w:val="clear"/>
        <w:spacing w:line="480" w:lineRule="auto"/>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评标委员会负责人：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41"/>
        <w:shd w:val="clear"/>
        <w:spacing w:line="440" w:lineRule="exact"/>
        <w:rPr>
          <w:color w:val="auto"/>
          <w:szCs w:val="21"/>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hd w:val="clear"/>
        <w:spacing w:line="360" w:lineRule="auto"/>
        <w:rPr>
          <w:rFonts w:ascii="宋体" w:hAnsi="宋体" w:eastAsia="宋体"/>
          <w:b/>
          <w:color w:val="auto"/>
          <w:sz w:val="24"/>
          <w:szCs w:val="24"/>
          <w:highlight w:val="none"/>
        </w:rPr>
      </w:pPr>
    </w:p>
    <w:p>
      <w:pPr>
        <w:pStyle w:val="41"/>
        <w:shd w:val="clear"/>
        <w:spacing w:line="400" w:lineRule="exact"/>
        <w:rPr>
          <w:rFonts w:hint="eastAsia"/>
          <w:color w:val="auto"/>
          <w:highlight w:val="none"/>
        </w:rPr>
      </w:pPr>
    </w:p>
    <w:p>
      <w:pPr>
        <w:shd w:val="clear"/>
        <w:rPr>
          <w:rFonts w:hint="eastAsia" w:ascii="宋体" w:hAnsi="宋体" w:eastAsia="宋体"/>
          <w:color w:val="auto"/>
          <w:sz w:val="21"/>
          <w:highlight w:val="none"/>
        </w:rPr>
      </w:pPr>
      <w:bookmarkStart w:id="111" w:name="_Toc359208475"/>
      <w:bookmarkStart w:id="112" w:name="_Toc152042360"/>
      <w:bookmarkStart w:id="113" w:name="_Toc144974550"/>
      <w:bookmarkStart w:id="114" w:name="_Toc152045583"/>
      <w:r>
        <w:rPr>
          <w:rFonts w:hint="eastAsia" w:ascii="宋体" w:hAnsi="宋体" w:eastAsia="宋体"/>
          <w:color w:val="auto"/>
          <w:sz w:val="21"/>
          <w:highlight w:val="none"/>
        </w:rPr>
        <w:br w:type="page"/>
      </w:r>
    </w:p>
    <w:p>
      <w:pPr>
        <w:pStyle w:val="39"/>
        <w:shd w:val="clear"/>
        <w:outlineLvl w:val="1"/>
        <w:rPr>
          <w:rFonts w:hint="eastAsia"/>
          <w:color w:val="auto"/>
          <w:highlight w:val="none"/>
        </w:rPr>
      </w:pPr>
      <w:bookmarkStart w:id="115" w:name="_Toc10913"/>
      <w:r>
        <w:rPr>
          <w:rFonts w:hint="eastAsia" w:ascii="宋体" w:hAnsi="宋体" w:eastAsia="宋体"/>
          <w:color w:val="auto"/>
          <w:sz w:val="21"/>
          <w:highlight w:val="none"/>
        </w:rPr>
        <w:t>附表三：问题的澄清</w:t>
      </w:r>
      <w:bookmarkEnd w:id="111"/>
      <w:bookmarkEnd w:id="112"/>
      <w:bookmarkEnd w:id="113"/>
      <w:bookmarkEnd w:id="114"/>
      <w:bookmarkEnd w:id="115"/>
    </w:p>
    <w:p>
      <w:pPr>
        <w:pStyle w:val="41"/>
        <w:shd w:val="clear"/>
        <w:spacing w:line="400" w:lineRule="exact"/>
        <w:jc w:val="center"/>
        <w:rPr>
          <w:rFonts w:hint="eastAsia" w:ascii="黑体" w:eastAsia="黑体"/>
          <w:color w:val="auto"/>
          <w:sz w:val="28"/>
          <w:szCs w:val="28"/>
          <w:highlight w:val="none"/>
        </w:rPr>
      </w:pPr>
    </w:p>
    <w:p>
      <w:pPr>
        <w:pStyle w:val="41"/>
        <w:shd w:val="clear"/>
        <w:spacing w:line="400" w:lineRule="exact"/>
        <w:jc w:val="center"/>
        <w:rPr>
          <w:rFonts w:hint="eastAsia" w:ascii="黑体" w:eastAsia="黑体"/>
          <w:color w:val="auto"/>
          <w:sz w:val="32"/>
          <w:szCs w:val="28"/>
          <w:highlight w:val="none"/>
        </w:rPr>
      </w:pPr>
      <w:r>
        <w:rPr>
          <w:rFonts w:hint="eastAsia" w:ascii="黑体" w:eastAsia="黑体"/>
          <w:color w:val="auto"/>
          <w:sz w:val="32"/>
          <w:szCs w:val="28"/>
          <w:highlight w:val="none"/>
        </w:rPr>
        <w:t>问题的澄清</w:t>
      </w:r>
    </w:p>
    <w:p>
      <w:pPr>
        <w:pStyle w:val="41"/>
        <w:shd w:val="clear"/>
        <w:spacing w:line="400" w:lineRule="exact"/>
        <w:rPr>
          <w:rFonts w:hint="eastAsia" w:ascii="宋体" w:hAnsi="宋体" w:cs="宋体"/>
          <w:color w:val="auto"/>
          <w:sz w:val="24"/>
          <w:highlight w:val="none"/>
        </w:rPr>
      </w:pPr>
    </w:p>
    <w:p>
      <w:pPr>
        <w:pStyle w:val="41"/>
        <w:shd w:val="clea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编号：</w:t>
      </w:r>
      <w:r>
        <w:rPr>
          <w:rFonts w:hint="eastAsia" w:ascii="宋体" w:hAnsi="宋体" w:cs="宋体"/>
          <w:color w:val="auto"/>
          <w:sz w:val="24"/>
          <w:highlight w:val="none"/>
          <w:u w:val="single"/>
        </w:rPr>
        <w:t xml:space="preserve">         </w:t>
      </w:r>
    </w:p>
    <w:p>
      <w:pPr>
        <w:pStyle w:val="41"/>
        <w:shd w:val="clear"/>
        <w:spacing w:line="400" w:lineRule="exact"/>
        <w:rPr>
          <w:rFonts w:hint="eastAsia" w:ascii="宋体" w:hAnsi="宋体" w:cs="宋体"/>
          <w:color w:val="auto"/>
          <w:sz w:val="24"/>
          <w:highlight w:val="none"/>
        </w:rPr>
      </w:pPr>
    </w:p>
    <w:p>
      <w:pPr>
        <w:pStyle w:val="41"/>
        <w:shd w:val="clear"/>
        <w:spacing w:line="400" w:lineRule="exact"/>
        <w:rPr>
          <w:rFonts w:hint="eastAsia" w:ascii="宋体" w:hAnsi="宋体" w:cs="宋体"/>
          <w:color w:val="auto"/>
          <w:sz w:val="24"/>
          <w:highlight w:val="none"/>
        </w:rPr>
      </w:pP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工程名称）施工招标评标委员会：</w:t>
      </w:r>
    </w:p>
    <w:p>
      <w:pPr>
        <w:pStyle w:val="41"/>
        <w:shd w:val="clear"/>
        <w:spacing w:line="360" w:lineRule="auto"/>
        <w:rPr>
          <w:rFonts w:hint="eastAsia" w:ascii="宋体" w:hAnsi="宋体" w:cs="宋体"/>
          <w:color w:val="auto"/>
          <w:sz w:val="24"/>
          <w:highlight w:val="none"/>
        </w:rPr>
      </w:pP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问题澄清通知（编号：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）已收悉，现澄清如下：</w:t>
      </w: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1.</w:t>
      </w: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2.</w:t>
      </w: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pStyle w:val="41"/>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投标人：</w:t>
      </w:r>
      <w:r>
        <w:rPr>
          <w:rFonts w:hint="eastAsia" w:ascii="宋体" w:hAnsi="宋体" w:cs="宋体"/>
          <w:color w:val="auto"/>
          <w:sz w:val="24"/>
          <w:highlight w:val="none"/>
          <w:u w:val="single"/>
        </w:rPr>
        <w:t xml:space="preserve">                        </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w:t>
      </w:r>
    </w:p>
    <w:p>
      <w:pPr>
        <w:pStyle w:val="41"/>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1"/>
        <w:shd w:val="clear"/>
        <w:spacing w:line="400" w:lineRule="exact"/>
        <w:rPr>
          <w:color w:val="auto"/>
          <w:highlight w:val="none"/>
        </w:rPr>
      </w:pPr>
    </w:p>
    <w:p>
      <w:pPr>
        <w:shd w:val="clear"/>
        <w:spacing w:line="360" w:lineRule="auto"/>
        <w:rPr>
          <w:rFonts w:hint="eastAsia" w:ascii="宋体" w:hAnsi="宋体" w:eastAsia="宋体"/>
          <w:color w:val="auto"/>
          <w:szCs w:val="21"/>
          <w:highlight w:val="none"/>
        </w:rPr>
      </w:pPr>
    </w:p>
    <w:p>
      <w:pPr>
        <w:shd w:val="clear"/>
        <w:spacing w:line="360" w:lineRule="auto"/>
        <w:rPr>
          <w:rFonts w:ascii="宋体" w:hAnsi="宋体" w:eastAsia="宋体"/>
          <w:b/>
          <w:color w:val="auto"/>
          <w:sz w:val="24"/>
          <w:szCs w:val="24"/>
          <w:highlight w:val="none"/>
        </w:rPr>
      </w:pPr>
    </w:p>
    <w:p>
      <w:pPr>
        <w:shd w:val="clear"/>
        <w:spacing w:line="360" w:lineRule="auto"/>
        <w:rPr>
          <w:rFonts w:ascii="宋体" w:hAnsi="宋体" w:eastAsia="宋体"/>
          <w:b/>
          <w:color w:val="auto"/>
          <w:sz w:val="24"/>
          <w:szCs w:val="24"/>
          <w:highlight w:val="none"/>
        </w:rPr>
      </w:pPr>
    </w:p>
    <w:p>
      <w:pPr>
        <w:shd w:val="clear"/>
        <w:spacing w:line="240" w:lineRule="exact"/>
        <w:ind w:left="-50" w:leftChars="-24" w:firstLine="210" w:firstLineChars="100"/>
        <w:rPr>
          <w:rFonts w:hint="eastAsia" w:ascii="宋体" w:hAnsi="宋体" w:eastAsia="宋体" w:cs="宋体"/>
          <w:color w:val="auto"/>
          <w:kern w:val="0"/>
          <w:szCs w:val="21"/>
          <w:highlight w:val="none"/>
        </w:rPr>
        <w:sectPr>
          <w:endnotePr>
            <w:numFmt w:val="decimal"/>
          </w:endnotePr>
          <w:pgSz w:w="11907" w:h="16840"/>
          <w:pgMar w:top="1361" w:right="851" w:bottom="901" w:left="851" w:header="851" w:footer="907" w:gutter="283"/>
          <w:cols w:space="0" w:num="1"/>
          <w:rtlGutter w:val="0"/>
          <w:docGrid w:linePitch="0" w:charSpace="0"/>
        </w:sectPr>
      </w:pPr>
    </w:p>
    <w:p>
      <w:pPr>
        <w:pStyle w:val="39"/>
        <w:shd w:val="clear"/>
        <w:outlineLvl w:val="1"/>
        <w:rPr>
          <w:rFonts w:hint="eastAsia" w:ascii="宋体" w:hAnsi="宋体" w:eastAsia="宋体" w:cs="Times New Roman"/>
          <w:b/>
          <w:color w:val="auto"/>
          <w:sz w:val="30"/>
          <w:szCs w:val="30"/>
          <w:highlight w:val="none"/>
          <w:lang w:eastAsia="zh-CN"/>
        </w:rPr>
      </w:pPr>
      <w:bookmarkStart w:id="116" w:name="_Toc5524"/>
      <w:r>
        <w:rPr>
          <w:rFonts w:hint="eastAsia" w:ascii="宋体" w:hAnsi="宋体" w:eastAsia="宋体" w:cs="Times New Roman"/>
          <w:color w:val="auto"/>
          <w:szCs w:val="24"/>
          <w:highlight w:val="none"/>
        </w:rPr>
        <w:t>附表四</w:t>
      </w:r>
      <w:r>
        <w:rPr>
          <w:rFonts w:hint="eastAsia" w:ascii="宋体" w:hAnsi="宋体" w:eastAsia="宋体" w:cs="Times New Roman"/>
          <w:color w:val="auto"/>
          <w:szCs w:val="24"/>
          <w:highlight w:val="none"/>
          <w:lang w:eastAsia="zh-CN"/>
        </w:rPr>
        <w:t>：资格</w:t>
      </w:r>
      <w:r>
        <w:rPr>
          <w:rFonts w:hint="eastAsia" w:ascii="宋体" w:hAnsi="宋体" w:eastAsia="宋体" w:cs="宋体"/>
          <w:color w:val="auto"/>
          <w:sz w:val="21"/>
          <w:highlight w:val="none"/>
          <w:lang w:val="en-US" w:eastAsia="zh-CN"/>
        </w:rPr>
        <w:t>审查</w:t>
      </w:r>
      <w:r>
        <w:rPr>
          <w:rFonts w:hint="eastAsia" w:ascii="宋体" w:hAnsi="宋体" w:eastAsia="宋体" w:cs="Times New Roman"/>
          <w:color w:val="auto"/>
          <w:szCs w:val="24"/>
          <w:highlight w:val="none"/>
          <w:lang w:eastAsia="zh-CN"/>
        </w:rPr>
        <w:t>表</w:t>
      </w:r>
      <w:bookmarkEnd w:id="116"/>
    </w:p>
    <w:p>
      <w:pPr>
        <w:shd w:val="clear"/>
        <w:spacing w:line="360" w:lineRule="auto"/>
        <w:jc w:val="center"/>
        <w:rPr>
          <w:rFonts w:hint="eastAsia" w:ascii="宋体" w:hAnsi="宋体" w:eastAsia="宋体" w:cs="Times New Roman"/>
          <w:bCs/>
          <w:color w:val="auto"/>
          <w:sz w:val="30"/>
          <w:szCs w:val="30"/>
          <w:highlight w:val="none"/>
        </w:rPr>
      </w:pPr>
      <w:r>
        <w:rPr>
          <w:rFonts w:hint="eastAsia" w:ascii="宋体" w:hAnsi="宋体" w:eastAsia="宋体" w:cs="Times New Roman"/>
          <w:bCs/>
          <w:color w:val="auto"/>
          <w:sz w:val="30"/>
          <w:szCs w:val="30"/>
          <w:highlight w:val="none"/>
        </w:rPr>
        <w:t>资格审查表</w:t>
      </w:r>
    </w:p>
    <w:p>
      <w:pPr>
        <w:shd w:val="clea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工程名称：</w:t>
      </w:r>
    </w:p>
    <w:tbl>
      <w:tblPr>
        <w:tblStyle w:val="20"/>
        <w:tblW w:w="13566" w:type="dxa"/>
        <w:jc w:val="center"/>
        <w:tblLayout w:type="fixed"/>
        <w:tblCellMar>
          <w:top w:w="0" w:type="dxa"/>
          <w:left w:w="108" w:type="dxa"/>
          <w:bottom w:w="0" w:type="dxa"/>
          <w:right w:w="108" w:type="dxa"/>
        </w:tblCellMar>
      </w:tblPr>
      <w:tblGrid>
        <w:gridCol w:w="629"/>
        <w:gridCol w:w="2753"/>
        <w:gridCol w:w="5534"/>
        <w:gridCol w:w="1242"/>
        <w:gridCol w:w="1123"/>
        <w:gridCol w:w="1124"/>
        <w:gridCol w:w="1161"/>
      </w:tblGrid>
      <w:tr>
        <w:tblPrEx>
          <w:tblCellMar>
            <w:top w:w="0" w:type="dxa"/>
            <w:left w:w="108" w:type="dxa"/>
            <w:bottom w:w="0" w:type="dxa"/>
            <w:right w:w="108" w:type="dxa"/>
          </w:tblCellMar>
        </w:tblPrEx>
        <w:trPr>
          <w:trHeight w:val="1134"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8287"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pPr>
              <w:shd w:val="clear"/>
              <w:rPr>
                <w:rFonts w:hint="eastAsia" w:ascii="宋体" w:hAnsi="宋体" w:eastAsia="宋体" w:cs="Times New Roman"/>
                <w:b/>
                <w:color w:val="auto"/>
                <w:szCs w:val="21"/>
                <w:highlight w:val="none"/>
                <w:lang w:val="en-US" w:eastAsia="zh-CN"/>
              </w:rPr>
            </w:pPr>
            <w:r>
              <w:rPr>
                <w:sz w:val="21"/>
                <w:highlight w:val="none"/>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6985</wp:posOffset>
                      </wp:positionV>
                      <wp:extent cx="1737995" cy="706755"/>
                      <wp:effectExtent l="2540" t="5715" r="12065" b="11430"/>
                      <wp:wrapNone/>
                      <wp:docPr id="4" name="直接连接符 4"/>
                      <wp:cNvGraphicFramePr/>
                      <a:graphic xmlns:a="http://schemas.openxmlformats.org/drawingml/2006/main">
                        <a:graphicData uri="http://schemas.microsoft.com/office/word/2010/wordprocessingShape">
                          <wps:wsp>
                            <wps:cNvCnPr/>
                            <wps:spPr>
                              <a:xfrm>
                                <a:off x="1314450" y="1577975"/>
                                <a:ext cx="1737995" cy="70675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7pt;margin-top:0.55pt;height:55.65pt;width:136.85pt;z-index:251660288;mso-width-relative:page;mso-height-relative:page;" filled="f" stroked="t" coordsize="21600,21600" o:gfxdata="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iBuu7XAAAACAEAAA8AAAAAAAAAAQAgAAAAIgAAAGRycy9kb3ducmV2LnhtbFBL&#10;AQIUABQAAAAIAIdO4kBKZ2Ep9wEAAMIDAAAOAAAAAAAAAAEAIAAAACYBAABkcnMvZTJvRG9jLnht&#10;bFBLBQYAAAAABgAGAFkBAACPBQAAAAA=&#10;">
                      <v:fill on="f" focussize="0,0"/>
                      <v:stroke weight="1pt" color="#000000" miterlimit="8" joinstyle="miter"/>
                      <v:imagedata o:title=""/>
                      <o:lock v:ext="edit" aspectratio="f"/>
                    </v:line>
                  </w:pict>
                </mc:Fallback>
              </mc:AlternateContent>
            </w:r>
          </w:p>
          <w:p>
            <w:pPr>
              <w:shd w:val="clear"/>
              <w:rPr>
                <w:rFonts w:hint="eastAsia" w:ascii="宋体" w:hAnsi="宋体" w:eastAsia="宋体" w:cs="Times New Roman"/>
                <w:b/>
                <w:color w:val="auto"/>
                <w:szCs w:val="21"/>
                <w:highlight w:val="none"/>
                <w:lang w:val="en-US" w:eastAsia="zh-CN"/>
              </w:rPr>
            </w:pPr>
          </w:p>
          <w:p>
            <w:pPr>
              <w:shd w:val="clear"/>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评审因素</w:t>
            </w:r>
          </w:p>
          <w:p>
            <w:pPr>
              <w:shd w:val="clear"/>
              <w:snapToGrid w:val="0"/>
              <w:ind w:firstLine="3162" w:firstLineChars="1500"/>
              <mc:AlternateContent>
                <mc:Choice Requires="wpsCustomData">
                  <wpsCustomData:diagonalParaType/>
                </mc:Choice>
              </mc:AlternateContent>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评审标准</w:t>
            </w:r>
          </w:p>
          <w:p>
            <w:pPr>
              <w:shd w:val="clear"/>
              <w:ind w:firstLine="211" w:firstLineChars="100"/>
              <w:jc w:val="right"/>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投标单位</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42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1</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spacing w:line="240" w:lineRule="exac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法定代表人证明书、法定代表人授权书</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已提交，且符合招标文件格式要求</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42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2</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spacing w:line="240" w:lineRule="exac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营业执照</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具备有效营业执照，且与投标人名称相符，如不符合需提供证明材料</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3</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spacing w:line="240" w:lineRule="exact"/>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资质等级</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具有有效资质证书，资质等级符合招标文件要求，且与投标人名称相符，如不符合需提供证明材料</w:t>
            </w:r>
            <w:r>
              <w:rPr>
                <w:rFonts w:hint="eastAsia" w:ascii="宋体" w:hAnsi="宋体" w:eastAsia="宋体" w:cs="Times New Roman"/>
                <w:color w:val="auto"/>
                <w:sz w:val="18"/>
                <w:szCs w:val="18"/>
                <w:highlight w:val="none"/>
                <w:lang w:eastAsia="zh-CN"/>
              </w:rPr>
              <w:t>。</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42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spacing w:line="240" w:lineRule="exac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安全生产许可证</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具有有效的安全生产许可证，且与投标人名称相符，如不符合需提供证明材料</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42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5</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spacing w:line="240" w:lineRule="exac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项目负责人</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项目负责人符合本项目招标公告要求</w:t>
            </w:r>
            <w:r>
              <w:rPr>
                <w:rFonts w:hint="eastAsia" w:ascii="宋体" w:hAnsi="宋体" w:eastAsia="宋体" w:cs="Times New Roman"/>
                <w:color w:val="auto"/>
                <w:sz w:val="18"/>
                <w:szCs w:val="18"/>
                <w:highlight w:val="none"/>
                <w:lang w:eastAsia="zh-CN"/>
              </w:rPr>
              <w:t>。</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3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6</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专职安全员</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专职安全员符合本项目招标公告要求</w:t>
            </w:r>
            <w:r>
              <w:rPr>
                <w:rFonts w:hint="eastAsia" w:ascii="宋体" w:hAnsi="宋体" w:eastAsia="宋体" w:cs="Times New Roman"/>
                <w:color w:val="auto"/>
                <w:sz w:val="18"/>
                <w:szCs w:val="18"/>
                <w:highlight w:val="none"/>
                <w:lang w:eastAsia="zh-CN"/>
              </w:rPr>
              <w:t>。</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416"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lang w:val="en-US" w:eastAsia="zh-CN"/>
              </w:rPr>
              <w:t>7</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投标申请人声明</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spacing w:line="240" w:lineRule="exact"/>
              <w:ind w:firstLine="0" w:firstLineChars="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 w:val="18"/>
                <w:szCs w:val="18"/>
                <w:highlight w:val="none"/>
              </w:rPr>
              <w:t>按规定格式及内容要求签署《投标申请人声明》</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625"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lang w:val="en-US" w:eastAsia="zh-CN"/>
              </w:rPr>
              <w:t>8</w:t>
            </w:r>
          </w:p>
        </w:tc>
        <w:tc>
          <w:tcPr>
            <w:tcW w:w="2753" w:type="dxa"/>
            <w:tcBorders>
              <w:top w:val="single" w:color="auto" w:sz="4" w:space="0"/>
              <w:left w:val="single" w:color="auto" w:sz="4" w:space="0"/>
              <w:bottom w:val="single" w:color="auto" w:sz="4" w:space="0"/>
              <w:right w:val="single" w:color="000000"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eastAsia="zh-CN"/>
              </w:rPr>
              <w:t>“信用中国”、</w:t>
            </w:r>
            <w:r>
              <w:rPr>
                <w:rFonts w:hint="eastAsia" w:ascii="宋体" w:hAnsi="宋体" w:eastAsia="宋体" w:cs="Times New Roman"/>
                <w:color w:val="auto"/>
                <w:sz w:val="18"/>
                <w:szCs w:val="18"/>
                <w:highlight w:val="none"/>
                <w:lang w:val="en-US" w:eastAsia="zh-CN"/>
              </w:rPr>
              <w:t>“信用清远”</w:t>
            </w:r>
            <w:r>
              <w:rPr>
                <w:rFonts w:hint="eastAsia" w:ascii="宋体" w:hAnsi="宋体" w:eastAsia="宋体" w:cs="Times New Roman"/>
                <w:color w:val="auto"/>
                <w:sz w:val="18"/>
                <w:szCs w:val="18"/>
                <w:highlight w:val="none"/>
                <w:lang w:eastAsia="zh-CN"/>
              </w:rPr>
              <w:t>网站</w:t>
            </w:r>
            <w:r>
              <w:rPr>
                <w:rFonts w:hint="eastAsia" w:ascii="宋体" w:hAnsi="宋体" w:eastAsia="宋体" w:cs="Times New Roman"/>
                <w:color w:val="auto"/>
                <w:sz w:val="18"/>
                <w:szCs w:val="18"/>
                <w:highlight w:val="none"/>
              </w:rPr>
              <w:t>查询结果</w:t>
            </w:r>
          </w:p>
        </w:tc>
        <w:tc>
          <w:tcPr>
            <w:tcW w:w="5534" w:type="dxa"/>
            <w:tcBorders>
              <w:top w:val="single" w:color="auto" w:sz="4" w:space="0"/>
              <w:left w:val="single" w:color="000000"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最近三年内投标人未在“信用中国”网站（https://www.creditchina.gov.cn）中被列入拖欠农民工工资失信联合惩戒对象名单；未在“信用清远”网站（https://xyqy.gdqy.gov.cn/）的“失信黑名单”中被列入”拖欠农民工工资'黑名单'（清远市）”，投标活动依法予以限制，不接受其投标（以评标当日现场查询结果为准）。</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r>
        <w:tblPrEx>
          <w:tblCellMar>
            <w:top w:w="0" w:type="dxa"/>
            <w:left w:w="108" w:type="dxa"/>
            <w:bottom w:w="0" w:type="dxa"/>
            <w:right w:w="108" w:type="dxa"/>
          </w:tblCellMar>
        </w:tblPrEx>
        <w:trPr>
          <w:trHeight w:val="313" w:hRule="atLeast"/>
          <w:jc w:val="center"/>
        </w:trPr>
        <w:tc>
          <w:tcPr>
            <w:tcW w:w="8916" w:type="dxa"/>
            <w:gridSpan w:val="3"/>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是否通过评审</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Times New Roman" w:hAnsi="Times New Roman" w:cs="Times New Roman"/>
                <w:color w:val="auto"/>
                <w:highlight w:val="none"/>
              </w:rPr>
            </w:pPr>
          </w:p>
        </w:tc>
      </w:tr>
    </w:tbl>
    <w:p>
      <w:pPr>
        <w:shd w:val="clear"/>
        <w:spacing w:line="200" w:lineRule="exact"/>
        <w:rPr>
          <w:rFonts w:hint="eastAsia" w:ascii="宋体" w:hAnsi="宋体" w:eastAsia="宋体" w:cs="Times New Roman"/>
          <w:color w:val="auto"/>
          <w:sz w:val="18"/>
          <w:szCs w:val="18"/>
          <w:highlight w:val="none"/>
        </w:rPr>
      </w:pPr>
    </w:p>
    <w:p>
      <w:pPr>
        <w:shd w:val="clear"/>
        <w:spacing w:line="360" w:lineRule="auto"/>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 xml:space="preserve">注：1、每一项目符合的打“○”，不符合的打“×”； </w:t>
      </w:r>
    </w:p>
    <w:p>
      <w:pPr>
        <w:pStyle w:val="2"/>
        <w:shd w:val="clear"/>
        <w:spacing w:line="360" w:lineRule="auto"/>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2、若评委意见不一致时，则按少数服从多数的原则，作出评审结论。汇总后，出现一个“×”的结论为“不通过”</w:t>
      </w:r>
      <w:r>
        <w:rPr>
          <w:rFonts w:hint="eastAsia" w:ascii="宋体" w:hAnsi="宋体" w:eastAsia="宋体" w:cs="Times New Roman"/>
          <w:color w:val="auto"/>
          <w:sz w:val="18"/>
          <w:szCs w:val="18"/>
          <w:highlight w:val="none"/>
          <w:lang w:eastAsia="zh-CN"/>
        </w:rPr>
        <w:t>；</w:t>
      </w:r>
    </w:p>
    <w:p>
      <w:pPr>
        <w:pStyle w:val="2"/>
        <w:shd w:val="clear"/>
        <w:rPr>
          <w:rFonts w:hint="default" w:ascii="Times New Roman" w:hAnsi="Times New Roman" w:cs="Times New Roman"/>
          <w:color w:val="auto"/>
          <w:highlight w:val="none"/>
          <w:lang w:val="en-US" w:eastAsia="zh-CN"/>
        </w:rPr>
      </w:pPr>
      <w:r>
        <w:rPr>
          <w:rFonts w:hint="eastAsia" w:ascii="宋体" w:hAnsi="宋体" w:eastAsia="宋体" w:cs="Times New Roman"/>
          <w:color w:val="auto"/>
          <w:sz w:val="18"/>
          <w:szCs w:val="18"/>
          <w:highlight w:val="none"/>
          <w:lang w:val="en-US" w:eastAsia="zh-CN"/>
        </w:rPr>
        <w:t>3、评标过程中，招标文件明确指定采用现场实时查询的信息资料，由招标代理机构工作人员在评标委员会成员、交易场所工作人员共同见证下，使用指定设备登录相关发布网站进行下载、打印，并移交评标委员会。完成评标后，相关查询资料应予妥善保存、归档。</w:t>
      </w:r>
    </w:p>
    <w:p>
      <w:pPr>
        <w:shd w:val="clea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18"/>
          <w:szCs w:val="18"/>
          <w:highlight w:val="none"/>
        </w:rPr>
        <w:t xml:space="preserve">  </w:t>
      </w:r>
      <w:r>
        <w:rPr>
          <w:rFonts w:hint="eastAsia" w:ascii="宋体" w:hAnsi="宋体" w:eastAsia="宋体" w:cs="Times New Roman"/>
          <w:b/>
          <w:color w:val="auto"/>
          <w:sz w:val="18"/>
          <w:szCs w:val="18"/>
          <w:highlight w:val="none"/>
        </w:rPr>
        <w:t xml:space="preserve">评委签名：  </w:t>
      </w:r>
      <w:r>
        <w:rPr>
          <w:rFonts w:hint="eastAsia" w:ascii="宋体" w:hAnsi="宋体" w:eastAsia="宋体" w:cs="Times New Roman"/>
          <w:color w:val="auto"/>
          <w:sz w:val="18"/>
          <w:szCs w:val="18"/>
          <w:highlight w:val="none"/>
        </w:rPr>
        <w:t xml:space="preserve">                                                                                                          </w:t>
      </w:r>
      <w:r>
        <w:rPr>
          <w:rFonts w:hint="eastAsia" w:ascii="宋体" w:hAnsi="宋体" w:eastAsia="宋体" w:cs="Times New Roman"/>
          <w:b/>
          <w:color w:val="auto"/>
          <w:sz w:val="18"/>
          <w:szCs w:val="18"/>
          <w:highlight w:val="none"/>
        </w:rPr>
        <w:t xml:space="preserve">  日期：   </w:t>
      </w:r>
    </w:p>
    <w:p>
      <w:pPr>
        <w:pStyle w:val="39"/>
        <w:shd w:val="clear"/>
        <w:outlineLvl w:val="1"/>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Cs w:val="24"/>
          <w:highlight w:val="none"/>
        </w:rPr>
        <w:br w:type="page"/>
      </w:r>
      <w:bookmarkStart w:id="117" w:name="_Toc14712"/>
      <w:r>
        <w:rPr>
          <w:rFonts w:hint="eastAsia" w:ascii="宋体" w:hAnsi="宋体" w:eastAsia="宋体" w:cs="Times New Roman"/>
          <w:color w:val="auto"/>
          <w:szCs w:val="24"/>
          <w:highlight w:val="none"/>
        </w:rPr>
        <w:t>附表五</w:t>
      </w:r>
      <w:r>
        <w:rPr>
          <w:rFonts w:hint="eastAsia" w:ascii="宋体" w:hAnsi="宋体" w:eastAsia="宋体" w:cs="Times New Roman"/>
          <w:b/>
          <w:color w:val="auto"/>
          <w:szCs w:val="24"/>
          <w:highlight w:val="none"/>
          <w:lang w:eastAsia="zh-CN"/>
        </w:rPr>
        <w:t>：</w:t>
      </w:r>
      <w:r>
        <w:rPr>
          <w:rFonts w:hint="eastAsia" w:ascii="宋体" w:hAnsi="宋体" w:eastAsia="宋体" w:cs="Times New Roman"/>
          <w:b w:val="0"/>
          <w:bCs/>
          <w:color w:val="auto"/>
          <w:szCs w:val="24"/>
          <w:highlight w:val="none"/>
          <w:lang w:eastAsia="zh-CN"/>
        </w:rPr>
        <w:t>投标文件否决性条款审查表</w:t>
      </w:r>
      <w:bookmarkEnd w:id="117"/>
    </w:p>
    <w:p>
      <w:pPr>
        <w:shd w:val="clear"/>
        <w:jc w:val="center"/>
        <w:rPr>
          <w:rFonts w:hint="eastAsia" w:ascii="宋体" w:hAnsi="宋体" w:eastAsia="宋体" w:cs="Times New Roman"/>
          <w:b/>
          <w:color w:val="auto"/>
          <w:sz w:val="36"/>
          <w:szCs w:val="36"/>
          <w:highlight w:val="none"/>
        </w:rPr>
      </w:pPr>
      <w:r>
        <w:rPr>
          <w:rFonts w:hint="eastAsia" w:ascii="宋体" w:hAnsi="宋体" w:eastAsia="宋体" w:cs="Times New Roman"/>
          <w:bCs/>
          <w:color w:val="auto"/>
          <w:sz w:val="36"/>
          <w:szCs w:val="36"/>
          <w:highlight w:val="none"/>
        </w:rPr>
        <w:t>投标文件否决性条款审查表</w:t>
      </w:r>
    </w:p>
    <w:p>
      <w:pPr>
        <w:shd w:val="clear"/>
        <w:tabs>
          <w:tab w:val="left" w:pos="720"/>
        </w:tabs>
        <w:snapToGrid w:val="0"/>
        <w:spacing w:line="360" w:lineRule="auto"/>
        <w:rPr>
          <w:rFonts w:hint="eastAsia" w:ascii="宋体" w:hAnsi="宋体" w:eastAsia="宋体" w:cs="Times New Roman"/>
          <w:b/>
          <w:color w:val="auto"/>
          <w:szCs w:val="21"/>
          <w:highlight w:val="none"/>
        </w:rPr>
      </w:pPr>
      <w:r>
        <w:rPr>
          <w:rFonts w:hint="eastAsia" w:ascii="宋体" w:hAnsi="宋体" w:eastAsia="宋体" w:cs="Times New Roman"/>
          <w:bCs/>
          <w:color w:val="auto"/>
          <w:szCs w:val="21"/>
          <w:highlight w:val="none"/>
        </w:rPr>
        <w:t>工程名称：</w:t>
      </w:r>
    </w:p>
    <w:tbl>
      <w:tblPr>
        <w:tblStyle w:val="20"/>
        <w:tblW w:w="14816" w:type="dxa"/>
        <w:tblInd w:w="3" w:type="dxa"/>
        <w:tblLayout w:type="fixed"/>
        <w:tblCellMar>
          <w:top w:w="0" w:type="dxa"/>
          <w:left w:w="108" w:type="dxa"/>
          <w:bottom w:w="0" w:type="dxa"/>
          <w:right w:w="108" w:type="dxa"/>
        </w:tblCellMar>
      </w:tblPr>
      <w:tblGrid>
        <w:gridCol w:w="479"/>
        <w:gridCol w:w="9144"/>
        <w:gridCol w:w="931"/>
        <w:gridCol w:w="1086"/>
        <w:gridCol w:w="1086"/>
        <w:gridCol w:w="1086"/>
        <w:gridCol w:w="1004"/>
      </w:tblGrid>
      <w:tr>
        <w:tblPrEx>
          <w:tblCellMar>
            <w:top w:w="0" w:type="dxa"/>
            <w:left w:w="108" w:type="dxa"/>
            <w:bottom w:w="0" w:type="dxa"/>
            <w:right w:w="108" w:type="dxa"/>
          </w:tblCellMar>
        </w:tblPrEx>
        <w:trPr>
          <w:trHeight w:val="482"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spacing w:line="2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914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hd w:val="clea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投标单位</w:t>
            </w:r>
          </w:p>
          <w:p>
            <w:pPr>
              <w:shd w:val="clea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评审内容</w:t>
            </w:r>
          </w:p>
        </w:tc>
        <w:tc>
          <w:tcPr>
            <w:tcW w:w="931"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1</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spacing w:line="240" w:lineRule="exac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投标文件中没有有效的《投标函》</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注：上传投标函</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2</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spacing w:line="240" w:lineRule="exac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投标文件中没有有效的《清远市建设工程施工招标投标书》</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w:t>
            </w:r>
            <w:r>
              <w:rPr>
                <w:rFonts w:hint="eastAsia" w:ascii="宋体" w:hAnsi="宋体" w:eastAsia="宋体" w:cs="Times New Roman"/>
                <w:color w:val="auto"/>
                <w:sz w:val="18"/>
                <w:szCs w:val="18"/>
                <w:highlight w:val="none"/>
              </w:rPr>
              <w:t>清远市建设工程施工招标投标书</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3</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投标文件未按规定的格式填写，或主要内容不全，或关键字迹模糊、无法辨认。</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注：上传整本投文</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工期不符合招标文件要求</w:t>
            </w:r>
            <w:r>
              <w:rPr>
                <w:rFonts w:hint="eastAsia" w:ascii="宋体" w:hAnsi="宋体" w:eastAsia="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w:t>
            </w:r>
            <w:r>
              <w:rPr>
                <w:rFonts w:hint="eastAsia" w:ascii="宋体" w:hAnsi="宋体" w:eastAsia="宋体" w:cs="Times New Roman"/>
                <w:color w:val="auto"/>
                <w:sz w:val="18"/>
                <w:szCs w:val="18"/>
                <w:highlight w:val="none"/>
              </w:rPr>
              <w:t>清远市建设工程施工招标投标书</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5</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质量不符合招标文件要求</w:t>
            </w:r>
            <w:r>
              <w:rPr>
                <w:rFonts w:hint="eastAsia" w:ascii="宋体" w:hAnsi="宋体" w:eastAsia="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w:t>
            </w:r>
            <w:r>
              <w:rPr>
                <w:rFonts w:hint="eastAsia" w:ascii="宋体" w:hAnsi="宋体" w:eastAsia="宋体" w:cs="Times New Roman"/>
                <w:color w:val="auto"/>
                <w:sz w:val="18"/>
                <w:szCs w:val="18"/>
                <w:highlight w:val="none"/>
              </w:rPr>
              <w:t>清远市建设工程施工招标投标书</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6</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投标有效期不符合招标文件要求</w:t>
            </w:r>
            <w:r>
              <w:rPr>
                <w:rFonts w:hint="eastAsia" w:ascii="宋体" w:hAnsi="宋体" w:eastAsia="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注：上传投标函</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7</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投标保证金不符合招标文件要求</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注：上传递交投标保证金证明文件</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default"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8</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对同一招标项目出现两个或以上的投标报价，且没声明哪个有效</w:t>
            </w:r>
            <w:r>
              <w:rPr>
                <w:rFonts w:hint="eastAsia" w:ascii="宋体" w:hAnsi="宋体" w:eastAsia="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w:t>
            </w:r>
            <w:r>
              <w:rPr>
                <w:rFonts w:hint="eastAsia" w:ascii="宋体" w:hAnsi="宋体" w:eastAsia="宋体" w:cs="Times New Roman"/>
                <w:color w:val="auto"/>
                <w:sz w:val="18"/>
                <w:szCs w:val="18"/>
                <w:highlight w:val="none"/>
              </w:rPr>
              <w:t>清远市建设工程施工招标投标书</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default"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9</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spacing w:line="200" w:lineRule="atLeast"/>
              <w:rPr>
                <w:rFonts w:ascii="宋体" w:hAnsi="宋体" w:eastAsia="宋体" w:cs="Times New Roman"/>
                <w:color w:val="auto"/>
                <w:sz w:val="18"/>
                <w:szCs w:val="18"/>
                <w:highlight w:val="none"/>
              </w:rPr>
            </w:pPr>
            <w:r>
              <w:rPr>
                <w:rFonts w:hint="eastAsia" w:ascii="宋体" w:hAnsi="宋体" w:eastAsia="宋体"/>
                <w:color w:val="auto"/>
                <w:sz w:val="18"/>
                <w:szCs w:val="18"/>
                <w:highlight w:val="none"/>
              </w:rPr>
              <w:t>投标价超过招标控制价或低于成本价</w:t>
            </w:r>
            <w:r>
              <w:rPr>
                <w:rFonts w:hint="eastAsia" w:ascii="宋体" w:hAnsi="宋体" w:eastAsia="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w:t>
            </w:r>
            <w:r>
              <w:rPr>
                <w:rFonts w:hint="eastAsia" w:ascii="宋体" w:hAnsi="宋体" w:eastAsia="宋体" w:cs="Times New Roman"/>
                <w:color w:val="auto"/>
                <w:sz w:val="18"/>
                <w:szCs w:val="18"/>
                <w:highlight w:val="none"/>
              </w:rPr>
              <w:t>清远市建设工程施工招标投标书</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2360" w:hRule="atLeast"/>
        </w:trPr>
        <w:tc>
          <w:tcPr>
            <w:tcW w:w="479" w:type="dxa"/>
            <w:tcBorders>
              <w:top w:val="single" w:color="auto" w:sz="4" w:space="0"/>
              <w:left w:val="single" w:color="auto" w:sz="4" w:space="0"/>
              <w:right w:val="single" w:color="auto" w:sz="4" w:space="0"/>
            </w:tcBorders>
            <w:noWrap w:val="0"/>
            <w:vAlign w:val="center"/>
          </w:tcPr>
          <w:p>
            <w:pPr>
              <w:shd w:val="clear"/>
              <w:jc w:val="center"/>
              <w:rPr>
                <w:rFonts w:hint="default"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10</w:t>
            </w:r>
          </w:p>
        </w:tc>
        <w:tc>
          <w:tcPr>
            <w:tcW w:w="9144" w:type="dxa"/>
            <w:tcBorders>
              <w:top w:val="single" w:color="auto" w:sz="4" w:space="0"/>
              <w:left w:val="single" w:color="auto" w:sz="4" w:space="0"/>
              <w:right w:val="single" w:color="auto" w:sz="4" w:space="0"/>
            </w:tcBorders>
            <w:noWrap w:val="0"/>
            <w:vAlign w:val="center"/>
          </w:tcPr>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（一）不同投标人的投标文件由同一单位或者个人编制；</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（二）不同投标人委托同一单位或者个人办理投标事宜；</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（三）不同投标人的投标文件载明的项目管理成员为同一人；</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（四）不同投标人的投标文件异常一致或者投标报价呈规律性差异；</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（五）不同投标人的投标文件相互混装；</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（六）不同投标人的投标保证金从同一账户转出或者汇入系统分配的同一账户；</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（七）不同投标人的投标报价中分部分项工程量清单综合单价相似度达到80%及以上的；</w:t>
            </w:r>
          </w:p>
          <w:p>
            <w:pPr>
              <w:pStyle w:val="2"/>
              <w:numPr>
                <w:ilvl w:val="0"/>
                <w:numId w:val="0"/>
              </w:numPr>
              <w:shd w:val="clear"/>
              <w:ind w:leftChars="0"/>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（八）不同投标人加密打包投标文件的电脑机器特征码相同的；</w:t>
            </w:r>
          </w:p>
          <w:p>
            <w:pPr>
              <w:pStyle w:val="2"/>
              <w:numPr>
                <w:ilvl w:val="0"/>
                <w:numId w:val="0"/>
              </w:numPr>
              <w:shd w:val="clear"/>
              <w:ind w:leftChars="0"/>
              <w:rPr>
                <w:rFonts w:hint="eastAsia"/>
                <w:highlight w:val="none"/>
                <w:lang w:val="en-US" w:eastAsia="zh-CN"/>
              </w:rPr>
            </w:pP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注：上传整本投文</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05" w:hRule="atLeast"/>
        </w:trPr>
        <w:tc>
          <w:tcPr>
            <w:tcW w:w="479"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lang w:val="en-US" w:eastAsia="zh-CN"/>
              </w:rPr>
            </w:pPr>
            <w:r>
              <w:rPr>
                <w:rFonts w:hint="default" w:ascii="宋体" w:hAnsi="宋体" w:eastAsia="宋体" w:cs="Times New Roman"/>
                <w:color w:val="auto"/>
                <w:sz w:val="18"/>
                <w:szCs w:val="18"/>
                <w:highlight w:val="none"/>
                <w:lang w:val="en-US"/>
              </w:rPr>
              <w:t>1</w:t>
            </w:r>
            <w:r>
              <w:rPr>
                <w:rFonts w:hint="eastAsia" w:ascii="宋体" w:hAnsi="宋体" w:eastAsia="宋体" w:cs="Times New Roman"/>
                <w:color w:val="auto"/>
                <w:sz w:val="18"/>
                <w:szCs w:val="18"/>
                <w:highlight w:val="none"/>
                <w:lang w:val="en-US" w:eastAsia="zh-CN"/>
              </w:rPr>
              <w:t>1</w:t>
            </w:r>
          </w:p>
        </w:tc>
        <w:tc>
          <w:tcPr>
            <w:tcW w:w="9144" w:type="dxa"/>
            <w:tcBorders>
              <w:top w:val="single" w:color="auto" w:sz="4" w:space="0"/>
              <w:left w:val="single" w:color="auto" w:sz="4" w:space="0"/>
              <w:bottom w:val="single" w:color="auto" w:sz="4" w:space="0"/>
              <w:right w:val="single" w:color="auto" w:sz="4" w:space="0"/>
            </w:tcBorders>
            <w:noWrap w:val="0"/>
            <w:vAlign w:val="center"/>
          </w:tcPr>
          <w:p>
            <w:pPr>
              <w:shd w:val="clear"/>
              <w:spacing w:line="200" w:lineRule="atLeas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出现第二章附件B“否决投标条件”的其他任何一种情形</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lang w:val="en-US" w:eastAsia="zh-CN"/>
              </w:rPr>
              <w:t>注：上传整本投文</w:t>
            </w:r>
            <w:r>
              <w:rPr>
                <w:rFonts w:hint="eastAsia" w:ascii="宋体" w:hAnsi="宋体" w:eastAsia="宋体" w:cs="Times New Roman"/>
                <w:color w:val="auto"/>
                <w:sz w:val="18"/>
                <w:szCs w:val="18"/>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313" w:hRule="atLeast"/>
        </w:trPr>
        <w:tc>
          <w:tcPr>
            <w:tcW w:w="9623"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是否通过评审</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eastAsia="宋体" w:cs="Times New Roman"/>
                <w:color w:val="auto"/>
                <w:szCs w:val="21"/>
                <w:highlight w:val="none"/>
              </w:rPr>
            </w:pPr>
          </w:p>
        </w:tc>
      </w:tr>
    </w:tbl>
    <w:p>
      <w:pPr>
        <w:shd w:val="clear"/>
        <w:spacing w:line="240" w:lineRule="exact"/>
        <w:rPr>
          <w:rFonts w:hint="eastAsia" w:ascii="宋体" w:hAnsi="宋体" w:eastAsia="宋体" w:cs="Times New Roman"/>
          <w:color w:val="auto"/>
          <w:sz w:val="18"/>
          <w:szCs w:val="18"/>
          <w:highlight w:val="none"/>
        </w:rPr>
      </w:pPr>
    </w:p>
    <w:p>
      <w:pPr>
        <w:shd w:val="clear"/>
        <w:spacing w:line="240" w:lineRule="exact"/>
        <w:ind w:left="-50" w:leftChars="-24" w:firstLine="180" w:firstLineChars="100"/>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注：  1. 凡出现以上任何一项情形，否决其投标；2. 出现第1</w:t>
      </w:r>
      <w:r>
        <w:rPr>
          <w:rFonts w:hint="eastAsia" w:ascii="宋体" w:hAnsi="宋体" w:eastAsia="宋体" w:cs="Times New Roman"/>
          <w:color w:val="auto"/>
          <w:sz w:val="18"/>
          <w:szCs w:val="18"/>
          <w:highlight w:val="none"/>
          <w:lang w:val="en-US" w:eastAsia="zh-CN"/>
        </w:rPr>
        <w:t>0</w:t>
      </w:r>
      <w:r>
        <w:rPr>
          <w:rFonts w:hint="eastAsia" w:ascii="宋体" w:hAnsi="宋体" w:eastAsia="宋体" w:cs="Times New Roman"/>
          <w:color w:val="auto"/>
          <w:sz w:val="18"/>
          <w:szCs w:val="18"/>
          <w:highlight w:val="none"/>
        </w:rPr>
        <w:t>项内容所列情形之一的，评标委员会应按照招标文件规定进行有关串通投标认定（按投标人串通投标评审表）。</w:t>
      </w:r>
    </w:p>
    <w:p>
      <w:pPr>
        <w:shd w:val="clear"/>
        <w:spacing w:line="240" w:lineRule="exact"/>
        <w:ind w:left="-50" w:leftChars="-24" w:firstLine="180" w:firstLineChars="100"/>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 xml:space="preserve">   </w:t>
      </w:r>
    </w:p>
    <w:p>
      <w:pPr>
        <w:shd w:val="clear"/>
        <w:spacing w:line="240" w:lineRule="exact"/>
        <w:ind w:left="-50" w:leftChars="-24" w:firstLine="180" w:firstLineChars="100"/>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 xml:space="preserve">   评委签名：                                                                                                        日期：</w:t>
      </w:r>
    </w:p>
    <w:p>
      <w:pPr>
        <w:pStyle w:val="2"/>
        <w:shd w:val="clear"/>
        <w:rPr>
          <w:rFonts w:hint="eastAsia"/>
          <w:highlight w:val="none"/>
        </w:rPr>
      </w:pPr>
    </w:p>
    <w:p>
      <w:pPr>
        <w:shd w:val="clea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pPr>
        <w:pStyle w:val="39"/>
        <w:shd w:val="clear"/>
        <w:outlineLvl w:val="1"/>
        <w:rPr>
          <w:rFonts w:hint="eastAsia" w:ascii="宋体" w:hAnsi="宋体" w:eastAsia="宋体" w:cs="Times New Roman"/>
          <w:color w:val="auto"/>
          <w:sz w:val="24"/>
          <w:szCs w:val="24"/>
          <w:highlight w:val="none"/>
          <w:lang w:eastAsia="zh-CN"/>
        </w:rPr>
      </w:pPr>
      <w:bookmarkStart w:id="118" w:name="_Toc23424"/>
      <w:r>
        <w:rPr>
          <w:rFonts w:hint="eastAsia" w:ascii="宋体" w:hAnsi="宋体" w:eastAsia="宋体" w:cs="Times New Roman"/>
          <w:color w:val="auto"/>
          <w:sz w:val="24"/>
          <w:szCs w:val="24"/>
          <w:highlight w:val="none"/>
        </w:rPr>
        <w:t>附表六</w:t>
      </w:r>
      <w:r>
        <w:rPr>
          <w:rFonts w:hint="eastAsia" w:ascii="宋体" w:hAnsi="宋体" w:eastAsia="宋体" w:cs="Times New Roman"/>
          <w:color w:val="auto"/>
          <w:sz w:val="24"/>
          <w:szCs w:val="24"/>
          <w:highlight w:val="none"/>
          <w:lang w:eastAsia="zh-CN"/>
        </w:rPr>
        <w:t>：投标人串通投标评审表</w:t>
      </w:r>
      <w:bookmarkEnd w:id="118"/>
    </w:p>
    <w:p>
      <w:pPr>
        <w:shd w:val="clear"/>
        <w:ind w:left="-50" w:leftChars="-24" w:firstLine="360" w:firstLineChars="100"/>
        <w:jc w:val="center"/>
        <w:rPr>
          <w:rFonts w:hint="eastAsia" w:ascii="宋体" w:hAnsi="宋体" w:eastAsia="宋体" w:cs="Times New Roman"/>
          <w:bCs/>
          <w:color w:val="auto"/>
          <w:sz w:val="36"/>
          <w:szCs w:val="36"/>
          <w:highlight w:val="none"/>
        </w:rPr>
      </w:pPr>
      <w:r>
        <w:rPr>
          <w:rFonts w:hint="eastAsia" w:ascii="宋体" w:hAnsi="宋体" w:eastAsia="宋体" w:cs="Times New Roman"/>
          <w:bCs/>
          <w:color w:val="auto"/>
          <w:sz w:val="36"/>
          <w:szCs w:val="36"/>
          <w:highlight w:val="none"/>
        </w:rPr>
        <w:t>投标人串通投标评审表</w:t>
      </w:r>
    </w:p>
    <w:p>
      <w:pPr>
        <w:shd w:val="clear"/>
        <w:spacing w:line="240" w:lineRule="exact"/>
        <w:rPr>
          <w:rFonts w:hint="eastAsia" w:ascii="宋体" w:hAnsi="宋体" w:eastAsia="宋体" w:cs="Times New Roman"/>
          <w:color w:val="auto"/>
          <w:sz w:val="24"/>
          <w:szCs w:val="24"/>
          <w:highlight w:val="none"/>
        </w:rPr>
      </w:pPr>
    </w:p>
    <w:p>
      <w:pPr>
        <w:shd w:val="clear"/>
        <w:spacing w:line="240" w:lineRule="exact"/>
        <w:rPr>
          <w:rFonts w:hint="eastAsia" w:ascii="宋体" w:hAnsi="宋体" w:eastAsia="宋体" w:cs="Times New Roman"/>
          <w:color w:val="auto"/>
          <w:sz w:val="24"/>
          <w:szCs w:val="24"/>
          <w:highlight w:val="none"/>
        </w:rPr>
      </w:pPr>
    </w:p>
    <w:tbl>
      <w:tblPr>
        <w:tblStyle w:val="20"/>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735"/>
        <w:gridCol w:w="780"/>
        <w:gridCol w:w="1569"/>
        <w:gridCol w:w="6501"/>
        <w:gridCol w:w="1359"/>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14" w:type="dxa"/>
            <w:gridSpan w:val="3"/>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w:t>
            </w:r>
          </w:p>
        </w:tc>
        <w:tc>
          <w:tcPr>
            <w:tcW w:w="9429" w:type="dxa"/>
            <w:gridSpan w:val="3"/>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1686" w:type="dxa"/>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restart"/>
            <w:noWrap w:val="0"/>
            <w:textDirection w:val="tbRlV"/>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串 通 投 标 认 定</w:t>
            </w:r>
          </w:p>
        </w:tc>
        <w:tc>
          <w:tcPr>
            <w:tcW w:w="735" w:type="dxa"/>
            <w:vMerge w:val="restart"/>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780" w:type="dxa"/>
            <w:vMerge w:val="restart"/>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存在情形</w:t>
            </w:r>
          </w:p>
        </w:tc>
        <w:tc>
          <w:tcPr>
            <w:tcW w:w="807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（一）不同投标人的投标文件由同一单位或者个人编制</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restart"/>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807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（二）不同投标人委托同一单位或者个人办理投标事宜</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807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（三）不同投标人的投标文件载明的项目管理成员为同一人</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807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（四）不同投标人的投标文件异常一致或者投标报价呈规律性差异</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807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（五）不同投标人的投标文件相互混装</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8070" w:type="dxa"/>
            <w:gridSpan w:val="2"/>
            <w:noWrap w:val="0"/>
            <w:vAlign w:val="center"/>
          </w:tcPr>
          <w:p>
            <w:pPr>
              <w:shd w:val="clea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）不同投标人加密打包投标文件的电脑机器特征码相同的</w:t>
            </w:r>
          </w:p>
        </w:tc>
        <w:tc>
          <w:tcPr>
            <w:tcW w:w="1359" w:type="dxa"/>
            <w:noWrap w:val="0"/>
            <w:vAlign w:val="center"/>
          </w:tcPr>
          <w:p>
            <w:pPr>
              <w:shd w:val="clear"/>
              <w:spacing w:line="240" w:lineRule="exact"/>
              <w:jc w:val="center"/>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restart"/>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780" w:type="dxa"/>
            <w:vMerge w:val="restart"/>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澄清核查</w:t>
            </w:r>
          </w:p>
        </w:tc>
        <w:tc>
          <w:tcPr>
            <w:tcW w:w="1569" w:type="dxa"/>
            <w:noWrap w:val="0"/>
            <w:vAlign w:val="center"/>
          </w:tcPr>
          <w:p>
            <w:pPr>
              <w:shd w:val="clea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无澄清 □　</w:t>
            </w:r>
          </w:p>
        </w:tc>
        <w:tc>
          <w:tcPr>
            <w:tcW w:w="786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p>
        </w:tc>
        <w:tc>
          <w:tcPr>
            <w:tcW w:w="1686" w:type="dxa"/>
            <w:vMerge w:val="restart"/>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1569" w:type="dxa"/>
            <w:vMerge w:val="restart"/>
            <w:noWrap w:val="0"/>
            <w:vAlign w:val="center"/>
          </w:tcPr>
          <w:p>
            <w:pPr>
              <w:shd w:val="clea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有澄清 □</w:t>
            </w:r>
          </w:p>
        </w:tc>
        <w:tc>
          <w:tcPr>
            <w:tcW w:w="7860" w:type="dxa"/>
            <w:gridSpan w:val="2"/>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澄清合理    □</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780" w:type="dxa"/>
            <w:vMerge w:val="continue"/>
            <w:noWrap w:val="0"/>
            <w:vAlign w:val="center"/>
          </w:tcPr>
          <w:p>
            <w:pPr>
              <w:shd w:val="clear"/>
              <w:spacing w:line="240" w:lineRule="exact"/>
              <w:jc w:val="center"/>
              <w:rPr>
                <w:rFonts w:hint="eastAsia" w:ascii="宋体" w:hAnsi="宋体" w:eastAsia="宋体" w:cs="Times New Roman"/>
                <w:color w:val="auto"/>
                <w:sz w:val="24"/>
                <w:szCs w:val="24"/>
                <w:highlight w:val="none"/>
              </w:rPr>
            </w:pPr>
          </w:p>
        </w:tc>
        <w:tc>
          <w:tcPr>
            <w:tcW w:w="1569" w:type="dxa"/>
            <w:vMerge w:val="continue"/>
            <w:noWrap w:val="0"/>
            <w:vAlign w:val="center"/>
          </w:tcPr>
          <w:p>
            <w:pPr>
              <w:shd w:val="clear"/>
              <w:spacing w:line="240" w:lineRule="exact"/>
              <w:rPr>
                <w:rFonts w:hint="eastAsia" w:ascii="宋体" w:hAnsi="宋体" w:eastAsia="宋体" w:cs="宋体"/>
                <w:color w:val="auto"/>
                <w:kern w:val="0"/>
                <w:szCs w:val="21"/>
                <w:highlight w:val="none"/>
              </w:rPr>
            </w:pPr>
          </w:p>
        </w:tc>
        <w:tc>
          <w:tcPr>
            <w:tcW w:w="7860" w:type="dxa"/>
            <w:gridSpan w:val="2"/>
            <w:noWrap w:val="0"/>
            <w:vAlign w:val="center"/>
          </w:tcPr>
          <w:p>
            <w:pPr>
              <w:shd w:val="clea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澄清不合理  □</w:t>
            </w:r>
          </w:p>
        </w:tc>
        <w:tc>
          <w:tcPr>
            <w:tcW w:w="1686"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noWrap w:val="0"/>
            <w:vAlign w:val="center"/>
          </w:tcPr>
          <w:p>
            <w:pPr>
              <w:shd w:val="clear"/>
              <w:spacing w:line="240" w:lineRule="exact"/>
              <w:rPr>
                <w:rFonts w:hint="eastAsia" w:ascii="宋体" w:hAnsi="宋体" w:eastAsia="宋体" w:cs="Times New Roman"/>
                <w:color w:val="auto"/>
                <w:sz w:val="24"/>
                <w:szCs w:val="24"/>
                <w:highlight w:val="none"/>
              </w:rPr>
            </w:pPr>
          </w:p>
        </w:tc>
        <w:tc>
          <w:tcPr>
            <w:tcW w:w="735" w:type="dxa"/>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780" w:type="dxa"/>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认定</w:t>
            </w:r>
          </w:p>
        </w:tc>
        <w:tc>
          <w:tcPr>
            <w:tcW w:w="11115" w:type="dxa"/>
            <w:gridSpan w:val="4"/>
            <w:noWrap w:val="0"/>
            <w:vAlign w:val="center"/>
          </w:tcPr>
          <w:p>
            <w:pPr>
              <w:shd w:val="clear"/>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串通投标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29" w:type="dxa"/>
            <w:gridSpan w:val="7"/>
            <w:noWrap w:val="0"/>
            <w:vAlign w:val="center"/>
          </w:tcPr>
          <w:p>
            <w:pPr>
              <w:shd w:val="clear"/>
              <w:spacing w:line="240" w:lineRule="exact"/>
              <w:rPr>
                <w:rFonts w:hint="eastAsia" w:ascii="宋体" w:hAnsi="宋体" w:eastAsia="宋体" w:cs="Times New Roman"/>
                <w:color w:val="auto"/>
                <w:sz w:val="24"/>
                <w:szCs w:val="24"/>
                <w:highlight w:val="none"/>
              </w:rPr>
            </w:pPr>
            <w:r>
              <w:rPr>
                <w:rFonts w:hint="eastAsia" w:ascii="宋体" w:hAnsi="宋体" w:eastAsia="宋体" w:cs="宋体"/>
                <w:color w:val="auto"/>
                <w:kern w:val="0"/>
                <w:szCs w:val="21"/>
                <w:highlight w:val="none"/>
              </w:rPr>
              <w:t>注：1.评标委员会应将证据、记录、澄清等相关依据文件保存完整；2.评标委员会按照少数服从多数的原则进行表决；3.评审工程量清单综合单价相似的仅限于投标人投标报价中分部分项工程量清单综合单价。</w:t>
            </w:r>
          </w:p>
        </w:tc>
      </w:tr>
    </w:tbl>
    <w:p>
      <w:pPr>
        <w:shd w:val="clear"/>
        <w:spacing w:line="240" w:lineRule="exact"/>
        <w:rPr>
          <w:rFonts w:hint="eastAsia" w:ascii="宋体" w:hAnsi="宋体" w:eastAsia="宋体" w:cs="Times New Roman"/>
          <w:color w:val="auto"/>
          <w:sz w:val="24"/>
          <w:szCs w:val="24"/>
          <w:highlight w:val="none"/>
        </w:rPr>
      </w:pPr>
    </w:p>
    <w:p>
      <w:pPr>
        <w:shd w:val="clear"/>
        <w:spacing w:line="240" w:lineRule="exact"/>
        <w:ind w:left="-50" w:leftChars="-24" w:firstLine="210" w:firstLineChars="100"/>
        <w:rPr>
          <w:rFonts w:hint="eastAsia" w:ascii="宋体" w:hAnsi="宋体" w:eastAsia="宋体" w:cs="宋体"/>
          <w:color w:val="auto"/>
          <w:kern w:val="0"/>
          <w:szCs w:val="21"/>
          <w:highlight w:val="none"/>
        </w:rPr>
        <w:sectPr>
          <w:endnotePr>
            <w:numFmt w:val="decimal"/>
          </w:endnotePr>
          <w:pgSz w:w="16840" w:h="11907" w:orient="landscape"/>
          <w:pgMar w:top="850" w:right="1361" w:bottom="850" w:left="901" w:header="851" w:footer="907" w:gutter="283"/>
          <w:cols w:space="0" w:num="1"/>
          <w:rtlGutter w:val="0"/>
          <w:docGrid w:linePitch="0" w:charSpace="0"/>
        </w:sectPr>
      </w:pPr>
      <w:r>
        <w:rPr>
          <w:rFonts w:hint="eastAsia" w:ascii="宋体" w:hAnsi="宋体" w:eastAsia="宋体" w:cs="宋体"/>
          <w:color w:val="auto"/>
          <w:kern w:val="0"/>
          <w:szCs w:val="21"/>
          <w:highlight w:val="none"/>
        </w:rPr>
        <w:t>评委签名：                                                                               日期：</w:t>
      </w:r>
    </w:p>
    <w:p>
      <w:pPr>
        <w:pStyle w:val="39"/>
        <w:shd w:val="clear"/>
        <w:outlineLvl w:val="1"/>
        <w:rPr>
          <w:rFonts w:hint="default" w:ascii="宋体" w:hAnsi="宋体" w:eastAsia="宋体" w:cs="Times New Roman"/>
          <w:color w:val="auto"/>
          <w:sz w:val="24"/>
          <w:szCs w:val="24"/>
          <w:highlight w:val="none"/>
          <w:lang w:val="en-US" w:eastAsia="zh-CN"/>
        </w:rPr>
      </w:pPr>
      <w:bookmarkStart w:id="119" w:name="_Toc22649"/>
      <w:r>
        <w:rPr>
          <w:rFonts w:hint="eastAsia" w:ascii="宋体" w:hAnsi="宋体" w:eastAsia="宋体" w:cs="Times New Roman"/>
          <w:color w:val="auto"/>
          <w:sz w:val="24"/>
          <w:szCs w:val="24"/>
          <w:highlight w:val="none"/>
          <w:lang w:eastAsia="zh-CN"/>
        </w:rPr>
        <w:t>附表</w:t>
      </w:r>
      <w:r>
        <w:rPr>
          <w:rFonts w:hint="eastAsia" w:ascii="宋体" w:hAnsi="宋体" w:eastAsia="宋体" w:cs="Times New Roman"/>
          <w:color w:val="auto"/>
          <w:sz w:val="24"/>
          <w:szCs w:val="24"/>
          <w:highlight w:val="none"/>
          <w:lang w:val="en-US" w:eastAsia="zh-CN"/>
        </w:rPr>
        <w:t>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投标</w:t>
      </w:r>
      <w:r>
        <w:rPr>
          <w:rFonts w:hint="eastAsia" w:ascii="宋体" w:hAnsi="宋体" w:eastAsia="宋体" w:cs="宋体"/>
          <w:color w:val="auto"/>
          <w:sz w:val="21"/>
          <w:highlight w:val="none"/>
          <w:lang w:val="en-US" w:eastAsia="zh-CN"/>
        </w:rPr>
        <w:t>报价</w:t>
      </w:r>
      <w:r>
        <w:rPr>
          <w:rFonts w:hint="eastAsia" w:ascii="宋体" w:hAnsi="宋体" w:eastAsia="宋体" w:cs="Times New Roman"/>
          <w:color w:val="auto"/>
          <w:sz w:val="24"/>
          <w:szCs w:val="24"/>
          <w:highlight w:val="none"/>
          <w:lang w:val="en-US" w:eastAsia="zh-CN"/>
        </w:rPr>
        <w:t>评审表</w:t>
      </w:r>
      <w:bookmarkEnd w:id="119"/>
    </w:p>
    <w:p>
      <w:pPr>
        <w:pStyle w:val="42"/>
        <w:shd w:val="clear"/>
        <w:spacing w:after="312" w:afterLines="100"/>
        <w:jc w:val="center"/>
        <w:rPr>
          <w:rFonts w:hint="eastAsia" w:ascii="宋体" w:hAnsi="宋体"/>
          <w:color w:val="auto"/>
          <w:sz w:val="36"/>
          <w:szCs w:val="28"/>
          <w:highlight w:val="none"/>
        </w:rPr>
      </w:pPr>
      <w:r>
        <w:rPr>
          <w:rFonts w:hint="eastAsia" w:ascii="宋体" w:hAnsi="宋体"/>
          <w:color w:val="auto"/>
          <w:sz w:val="36"/>
          <w:szCs w:val="28"/>
          <w:highlight w:val="none"/>
        </w:rPr>
        <w:t>投标报价评审表</w:t>
      </w:r>
    </w:p>
    <w:p>
      <w:pPr>
        <w:pStyle w:val="42"/>
        <w:shd w:val="clear"/>
        <w:spacing w:after="312" w:afterLines="100"/>
        <w:rPr>
          <w:rFonts w:hint="eastAsia"/>
          <w:color w:val="auto"/>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r>
        <w:rPr>
          <w:rFonts w:hint="eastAsia" w:ascii="宋体" w:hAnsi="宋体"/>
          <w:color w:val="auto"/>
          <w:szCs w:val="44"/>
          <w:highlight w:val="none"/>
        </w:rPr>
        <w:t xml:space="preserve">     　　　　　　　    　　　　　　　　　　　　　                         　 </w:t>
      </w:r>
      <w:r>
        <w:rPr>
          <w:rFonts w:hint="eastAsia"/>
          <w:color w:val="auto"/>
          <w:highlight w:val="none"/>
        </w:rPr>
        <w:t>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813"/>
        <w:gridCol w:w="1814"/>
        <w:gridCol w:w="1820"/>
        <w:gridCol w:w="1820"/>
        <w:gridCol w:w="1820"/>
        <w:gridCol w:w="182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813" w:type="dxa"/>
            <w:vMerge w:val="restart"/>
            <w:noWrap w:val="0"/>
            <w:vAlign w:val="center"/>
          </w:tcPr>
          <w:p>
            <w:pPr>
              <w:pStyle w:val="42"/>
              <w:shd w:val="clear"/>
              <w:jc w:val="center"/>
              <w:rPr>
                <w:rFonts w:hint="eastAsia"/>
                <w:color w:val="auto"/>
                <w:highlight w:val="none"/>
              </w:rPr>
            </w:pPr>
            <w:r>
              <w:rPr>
                <w:rFonts w:hint="eastAsia"/>
                <w:color w:val="auto"/>
                <w:highlight w:val="none"/>
              </w:rPr>
              <w:t>项目</w:t>
            </w:r>
          </w:p>
        </w:tc>
        <w:tc>
          <w:tcPr>
            <w:tcW w:w="12746" w:type="dxa"/>
            <w:gridSpan w:val="7"/>
            <w:noWrap w:val="0"/>
            <w:vAlign w:val="center"/>
          </w:tcPr>
          <w:p>
            <w:pPr>
              <w:pStyle w:val="42"/>
              <w:shd w:val="clear"/>
              <w:jc w:val="center"/>
              <w:rPr>
                <w:rFonts w:hint="eastAsia"/>
                <w:color w:val="auto"/>
                <w:highlight w:val="none"/>
              </w:rPr>
            </w:pPr>
            <w:r>
              <w:rPr>
                <w:rFonts w:hint="eastAsia"/>
                <w:color w:val="auto"/>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3" w:type="dxa"/>
            <w:vMerge w:val="continue"/>
            <w:noWrap w:val="0"/>
            <w:vAlign w:val="center"/>
          </w:tcPr>
          <w:p>
            <w:pPr>
              <w:pStyle w:val="42"/>
              <w:shd w:val="clear"/>
              <w:jc w:val="center"/>
              <w:rPr>
                <w:rFonts w:hint="eastAsia"/>
                <w:color w:val="auto"/>
                <w:highlight w:val="none"/>
              </w:rPr>
            </w:pPr>
          </w:p>
        </w:tc>
        <w:tc>
          <w:tcPr>
            <w:tcW w:w="1813" w:type="dxa"/>
            <w:noWrap w:val="0"/>
            <w:vAlign w:val="center"/>
          </w:tcPr>
          <w:p>
            <w:pPr>
              <w:pStyle w:val="42"/>
              <w:shd w:val="clear"/>
              <w:jc w:val="center"/>
              <w:rPr>
                <w:rFonts w:hint="eastAsia"/>
                <w:color w:val="auto"/>
                <w:highlight w:val="none"/>
              </w:rPr>
            </w:pPr>
          </w:p>
        </w:tc>
        <w:tc>
          <w:tcPr>
            <w:tcW w:w="1814"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39" w:type="dxa"/>
            <w:noWrap w:val="0"/>
            <w:vAlign w:val="center"/>
          </w:tcPr>
          <w:p>
            <w:pPr>
              <w:pStyle w:val="42"/>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813" w:type="dxa"/>
            <w:noWrap w:val="0"/>
            <w:vAlign w:val="center"/>
          </w:tcPr>
          <w:p>
            <w:pPr>
              <w:pStyle w:val="42"/>
              <w:shd w:val="clear"/>
              <w:jc w:val="center"/>
              <w:rPr>
                <w:rFonts w:hint="eastAsia"/>
                <w:color w:val="auto"/>
                <w:highlight w:val="none"/>
              </w:rPr>
            </w:pPr>
            <w:r>
              <w:rPr>
                <w:rFonts w:hint="eastAsia"/>
                <w:color w:val="auto"/>
                <w:highlight w:val="none"/>
              </w:rPr>
              <w:t>投标总报价（B）</w:t>
            </w:r>
          </w:p>
        </w:tc>
        <w:tc>
          <w:tcPr>
            <w:tcW w:w="1813" w:type="dxa"/>
            <w:noWrap w:val="0"/>
            <w:vAlign w:val="center"/>
          </w:tcPr>
          <w:p>
            <w:pPr>
              <w:pStyle w:val="42"/>
              <w:shd w:val="clear"/>
              <w:jc w:val="center"/>
              <w:rPr>
                <w:rFonts w:hint="eastAsia"/>
                <w:color w:val="auto"/>
                <w:highlight w:val="none"/>
              </w:rPr>
            </w:pPr>
          </w:p>
        </w:tc>
        <w:tc>
          <w:tcPr>
            <w:tcW w:w="1814"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39" w:type="dxa"/>
            <w:noWrap w:val="0"/>
            <w:vAlign w:val="center"/>
          </w:tcPr>
          <w:p>
            <w:pPr>
              <w:pStyle w:val="42"/>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13" w:type="dxa"/>
            <w:noWrap w:val="0"/>
            <w:vAlign w:val="center"/>
          </w:tcPr>
          <w:p>
            <w:pPr>
              <w:pStyle w:val="42"/>
              <w:shd w:val="clear"/>
              <w:jc w:val="center"/>
              <w:rPr>
                <w:rFonts w:hint="eastAsia"/>
                <w:color w:val="auto"/>
                <w:highlight w:val="none"/>
              </w:rPr>
            </w:pPr>
            <w:r>
              <w:rPr>
                <w:rFonts w:hint="eastAsia"/>
                <w:color w:val="auto"/>
                <w:highlight w:val="none"/>
              </w:rPr>
              <w:t>投标报价得分</w:t>
            </w:r>
          </w:p>
          <w:p>
            <w:pPr>
              <w:pStyle w:val="42"/>
              <w:shd w:val="clear"/>
              <w:jc w:val="center"/>
              <w:rPr>
                <w:rFonts w:hint="eastAsia"/>
                <w:color w:val="auto"/>
                <w:highlight w:val="none"/>
              </w:rPr>
            </w:pPr>
            <w:r>
              <w:rPr>
                <w:rFonts w:hint="eastAsia"/>
                <w:color w:val="auto"/>
                <w:highlight w:val="none"/>
              </w:rPr>
              <w:t>(满分</w:t>
            </w:r>
            <w:r>
              <w:rPr>
                <w:rFonts w:hint="eastAsia"/>
                <w:color w:val="auto"/>
                <w:highlight w:val="none"/>
                <w:u w:val="single"/>
              </w:rPr>
              <w:t xml:space="preserve">    </w:t>
            </w:r>
            <w:r>
              <w:rPr>
                <w:rFonts w:hint="eastAsia"/>
                <w:color w:val="auto"/>
                <w:highlight w:val="none"/>
              </w:rPr>
              <w:t>)</w:t>
            </w:r>
          </w:p>
        </w:tc>
        <w:tc>
          <w:tcPr>
            <w:tcW w:w="1813" w:type="dxa"/>
            <w:noWrap w:val="0"/>
            <w:vAlign w:val="center"/>
          </w:tcPr>
          <w:p>
            <w:pPr>
              <w:pStyle w:val="42"/>
              <w:shd w:val="clear"/>
              <w:jc w:val="center"/>
              <w:rPr>
                <w:rFonts w:hint="eastAsia"/>
                <w:color w:val="auto"/>
                <w:highlight w:val="none"/>
              </w:rPr>
            </w:pPr>
          </w:p>
        </w:tc>
        <w:tc>
          <w:tcPr>
            <w:tcW w:w="1814"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20" w:type="dxa"/>
            <w:noWrap w:val="0"/>
            <w:vAlign w:val="center"/>
          </w:tcPr>
          <w:p>
            <w:pPr>
              <w:pStyle w:val="42"/>
              <w:shd w:val="clear"/>
              <w:jc w:val="center"/>
              <w:rPr>
                <w:rFonts w:hint="eastAsia"/>
                <w:color w:val="auto"/>
                <w:highlight w:val="none"/>
              </w:rPr>
            </w:pPr>
          </w:p>
        </w:tc>
        <w:tc>
          <w:tcPr>
            <w:tcW w:w="1839" w:type="dxa"/>
            <w:noWrap w:val="0"/>
            <w:vAlign w:val="center"/>
          </w:tcPr>
          <w:p>
            <w:pPr>
              <w:pStyle w:val="42"/>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13" w:type="dxa"/>
            <w:noWrap w:val="0"/>
            <w:vAlign w:val="center"/>
          </w:tcPr>
          <w:p>
            <w:pPr>
              <w:pStyle w:val="42"/>
              <w:shd w:val="clear"/>
              <w:jc w:val="center"/>
              <w:rPr>
                <w:rFonts w:hint="eastAsia"/>
                <w:color w:val="auto"/>
                <w:highlight w:val="none"/>
              </w:rPr>
            </w:pPr>
            <w:r>
              <w:rPr>
                <w:rFonts w:hint="eastAsia"/>
                <w:color w:val="auto"/>
                <w:highlight w:val="none"/>
              </w:rPr>
              <w:t>评标基准价（A）</w:t>
            </w:r>
          </w:p>
        </w:tc>
        <w:tc>
          <w:tcPr>
            <w:tcW w:w="12746" w:type="dxa"/>
            <w:gridSpan w:val="7"/>
            <w:noWrap w:val="0"/>
            <w:vAlign w:val="center"/>
          </w:tcPr>
          <w:p>
            <w:pPr>
              <w:pStyle w:val="42"/>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13" w:type="dxa"/>
            <w:noWrap w:val="0"/>
            <w:vAlign w:val="center"/>
          </w:tcPr>
          <w:p>
            <w:pPr>
              <w:pStyle w:val="42"/>
              <w:shd w:val="clear"/>
              <w:jc w:val="center"/>
              <w:rPr>
                <w:rFonts w:hint="eastAsia"/>
                <w:color w:val="auto"/>
                <w:highlight w:val="none"/>
              </w:rPr>
            </w:pPr>
            <w:r>
              <w:rPr>
                <w:rFonts w:hint="eastAsia"/>
                <w:color w:val="auto"/>
                <w:highlight w:val="none"/>
              </w:rPr>
              <w:t>招标控制价</w:t>
            </w:r>
          </w:p>
        </w:tc>
        <w:tc>
          <w:tcPr>
            <w:tcW w:w="12746" w:type="dxa"/>
            <w:gridSpan w:val="7"/>
            <w:noWrap w:val="0"/>
            <w:vAlign w:val="center"/>
          </w:tcPr>
          <w:p>
            <w:pPr>
              <w:pStyle w:val="42"/>
              <w:shd w:val="clear"/>
              <w:jc w:val="center"/>
              <w:rPr>
                <w:rFonts w:hint="eastAsia"/>
                <w:color w:val="auto"/>
                <w:highlight w:val="none"/>
              </w:rPr>
            </w:pPr>
          </w:p>
        </w:tc>
      </w:tr>
    </w:tbl>
    <w:p>
      <w:pPr>
        <w:pStyle w:val="42"/>
        <w:shd w:val="clear"/>
        <w:rPr>
          <w:rFonts w:hint="eastAsia"/>
          <w:color w:val="auto"/>
          <w:highlight w:val="none"/>
        </w:rPr>
      </w:pPr>
    </w:p>
    <w:p>
      <w:pPr>
        <w:pStyle w:val="42"/>
        <w:shd w:val="clear"/>
        <w:rPr>
          <w:rFonts w:hint="eastAsia"/>
          <w:color w:val="auto"/>
          <w:highlight w:val="none"/>
        </w:rPr>
      </w:pPr>
      <w:r>
        <w:rPr>
          <w:rFonts w:hint="eastAsia"/>
          <w:color w:val="auto"/>
          <w:highlight w:val="none"/>
        </w:rPr>
        <w:t>评委签名：                                                                                       日期：    年  月  日</w:t>
      </w:r>
    </w:p>
    <w:p>
      <w:pPr>
        <w:pStyle w:val="42"/>
        <w:shd w:val="clear"/>
        <w:rPr>
          <w:rFonts w:hint="eastAsia"/>
          <w:color w:val="auto"/>
          <w:highlight w:val="none"/>
        </w:rPr>
      </w:pPr>
    </w:p>
    <w:p>
      <w:pPr>
        <w:pStyle w:val="42"/>
        <w:shd w:val="clear"/>
        <w:rPr>
          <w:rFonts w:hint="eastAsia"/>
          <w:color w:val="auto"/>
          <w:highlight w:val="none"/>
        </w:rPr>
      </w:pPr>
    </w:p>
    <w:p>
      <w:pPr>
        <w:pStyle w:val="42"/>
        <w:shd w:val="clear"/>
        <w:rPr>
          <w:color w:val="auto"/>
          <w:highlight w:val="none"/>
        </w:rPr>
      </w:pPr>
    </w:p>
    <w:p>
      <w:pPr>
        <w:pStyle w:val="43"/>
        <w:shd w:val="clear"/>
        <w:spacing w:after="312" w:afterLines="100"/>
        <w:jc w:val="center"/>
        <w:rPr>
          <w:color w:val="auto"/>
          <w:highlight w:val="none"/>
        </w:rPr>
      </w:pPr>
    </w:p>
    <w:p>
      <w:pPr>
        <w:pStyle w:val="43"/>
        <w:shd w:val="clear"/>
        <w:spacing w:after="312" w:afterLines="100"/>
        <w:jc w:val="center"/>
        <w:rPr>
          <w:color w:val="auto"/>
          <w:highlight w:val="none"/>
        </w:rPr>
      </w:pPr>
    </w:p>
    <w:p>
      <w:pPr>
        <w:pStyle w:val="43"/>
        <w:shd w:val="clear"/>
        <w:spacing w:after="312" w:afterLines="100"/>
        <w:jc w:val="center"/>
        <w:rPr>
          <w:color w:val="auto"/>
          <w:highlight w:val="none"/>
        </w:rPr>
      </w:pPr>
    </w:p>
    <w:p>
      <w:pPr>
        <w:pStyle w:val="43"/>
        <w:shd w:val="clear"/>
        <w:spacing w:after="312" w:afterLines="100"/>
        <w:jc w:val="center"/>
        <w:rPr>
          <w:color w:val="auto"/>
          <w:highlight w:val="none"/>
        </w:rPr>
      </w:pPr>
    </w:p>
    <w:p>
      <w:pPr>
        <w:pStyle w:val="39"/>
        <w:shd w:val="clear"/>
        <w:outlineLvl w:val="1"/>
        <w:rPr>
          <w:rFonts w:hint="eastAsia" w:eastAsia="宋体"/>
          <w:color w:val="auto"/>
          <w:sz w:val="24"/>
          <w:highlight w:val="none"/>
          <w:lang w:eastAsia="zh-CN"/>
        </w:rPr>
      </w:pPr>
      <w:r>
        <w:rPr>
          <w:color w:val="auto"/>
          <w:highlight w:val="none"/>
        </w:rPr>
        <w:br w:type="page"/>
      </w:r>
      <w:bookmarkStart w:id="120" w:name="_Toc21455"/>
      <w:r>
        <w:rPr>
          <w:rFonts w:hint="eastAsia" w:ascii="宋体" w:hAnsi="宋体" w:eastAsia="宋体" w:cs="Times New Roman"/>
          <w:color w:val="auto"/>
          <w:sz w:val="24"/>
          <w:szCs w:val="24"/>
          <w:highlight w:val="none"/>
          <w:lang w:eastAsia="zh-CN"/>
        </w:rPr>
        <w:t>附表</w:t>
      </w:r>
      <w:r>
        <w:rPr>
          <w:rFonts w:hint="eastAsia" w:ascii="宋体" w:hAnsi="宋体" w:eastAsia="宋体" w:cs="Times New Roman"/>
          <w:color w:val="auto"/>
          <w:sz w:val="24"/>
          <w:szCs w:val="24"/>
          <w:highlight w:val="none"/>
          <w:lang w:val="en-US" w:eastAsia="zh-CN"/>
        </w:rPr>
        <w:t>八</w:t>
      </w:r>
      <w:r>
        <w:rPr>
          <w:rFonts w:hint="eastAsia" w:ascii="宋体" w:hAnsi="宋体" w:eastAsia="宋体" w:cs="Times New Roman"/>
          <w:color w:val="auto"/>
          <w:sz w:val="24"/>
          <w:szCs w:val="24"/>
          <w:highlight w:val="none"/>
          <w:lang w:eastAsia="zh-CN"/>
        </w:rPr>
        <w:t>：评分汇总、</w:t>
      </w:r>
      <w:r>
        <w:rPr>
          <w:rFonts w:hint="eastAsia" w:ascii="宋体" w:hAnsi="宋体" w:eastAsia="宋体" w:cs="宋体"/>
          <w:color w:val="auto"/>
          <w:sz w:val="21"/>
          <w:highlight w:val="none"/>
          <w:lang w:val="en-US" w:eastAsia="zh-CN"/>
        </w:rPr>
        <w:t>推荐</w:t>
      </w:r>
      <w:r>
        <w:rPr>
          <w:rFonts w:hint="eastAsia" w:ascii="宋体" w:hAnsi="宋体" w:eastAsia="宋体" w:cs="Times New Roman"/>
          <w:color w:val="auto"/>
          <w:sz w:val="24"/>
          <w:szCs w:val="24"/>
          <w:highlight w:val="none"/>
          <w:lang w:eastAsia="zh-CN"/>
        </w:rPr>
        <w:t>中标候选人排名次序表</w:t>
      </w:r>
      <w:bookmarkEnd w:id="120"/>
    </w:p>
    <w:p>
      <w:pPr>
        <w:pStyle w:val="43"/>
        <w:shd w:val="clear"/>
        <w:spacing w:after="312" w:afterLines="100"/>
        <w:jc w:val="center"/>
        <w:rPr>
          <w:rFonts w:hint="eastAsia" w:ascii="宋体" w:hAnsi="宋体"/>
          <w:color w:val="auto"/>
          <w:sz w:val="36"/>
          <w:szCs w:val="36"/>
          <w:highlight w:val="none"/>
        </w:rPr>
      </w:pPr>
      <w:r>
        <w:rPr>
          <w:rFonts w:hint="eastAsia"/>
          <w:color w:val="auto"/>
          <w:sz w:val="24"/>
          <w:highlight w:val="none"/>
        </w:rPr>
        <w:t xml:space="preserve"> </w:t>
      </w:r>
      <w:r>
        <w:rPr>
          <w:rFonts w:hint="eastAsia" w:ascii="宋体" w:hAnsi="宋体"/>
          <w:color w:val="auto"/>
          <w:sz w:val="36"/>
          <w:szCs w:val="36"/>
          <w:highlight w:val="none"/>
        </w:rPr>
        <w:t>评分汇总、推荐中标候选人排名次序表</w:t>
      </w:r>
    </w:p>
    <w:p>
      <w:pPr>
        <w:pStyle w:val="43"/>
        <w:shd w:val="clear"/>
        <w:spacing w:after="312" w:afterLines="100"/>
        <w:rPr>
          <w:rFonts w:hint="eastAsia" w:ascii="宋体" w:hAnsi="宋体"/>
          <w:color w:val="auto"/>
          <w:szCs w:val="44"/>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223"/>
        <w:gridCol w:w="1405"/>
        <w:gridCol w:w="1405"/>
        <w:gridCol w:w="1405"/>
        <w:gridCol w:w="1405"/>
        <w:gridCol w:w="1405"/>
        <w:gridCol w:w="140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dxa"/>
            <w:vMerge w:val="restart"/>
            <w:noWrap w:val="0"/>
            <w:vAlign w:val="center"/>
          </w:tcPr>
          <w:p>
            <w:pPr>
              <w:pStyle w:val="43"/>
              <w:shd w:val="clear"/>
              <w:jc w:val="center"/>
              <w:rPr>
                <w:rFonts w:hint="eastAsia"/>
                <w:color w:val="auto"/>
                <w:highlight w:val="none"/>
              </w:rPr>
            </w:pPr>
            <w:r>
              <w:rPr>
                <w:rFonts w:hint="eastAsia"/>
                <w:color w:val="auto"/>
                <w:highlight w:val="none"/>
              </w:rPr>
              <w:t>序号</w:t>
            </w:r>
          </w:p>
        </w:tc>
        <w:tc>
          <w:tcPr>
            <w:tcW w:w="3223" w:type="dxa"/>
            <w:vMerge w:val="restart"/>
            <w:noWrap w:val="0"/>
            <w:vAlign w:val="center"/>
          </w:tcPr>
          <w:p>
            <w:pPr>
              <w:pStyle w:val="43"/>
              <w:shd w:val="clear"/>
              <w:jc w:val="center"/>
              <w:rPr>
                <w:rFonts w:hint="eastAsia"/>
                <w:color w:val="auto"/>
                <w:highlight w:val="none"/>
              </w:rPr>
            </w:pPr>
            <w:r>
              <w:rPr>
                <w:rFonts w:hint="eastAsia"/>
                <w:color w:val="auto"/>
                <w:highlight w:val="none"/>
              </w:rPr>
              <w:t>评审项目</w:t>
            </w:r>
          </w:p>
        </w:tc>
        <w:tc>
          <w:tcPr>
            <w:tcW w:w="9835" w:type="dxa"/>
            <w:gridSpan w:val="7"/>
            <w:noWrap w:val="0"/>
            <w:vAlign w:val="center"/>
          </w:tcPr>
          <w:p>
            <w:pPr>
              <w:pStyle w:val="43"/>
              <w:shd w:val="clear"/>
              <w:jc w:val="center"/>
              <w:rPr>
                <w:rFonts w:hint="eastAsia"/>
                <w:color w:val="auto"/>
                <w:highlight w:val="none"/>
              </w:rPr>
            </w:pPr>
            <w:r>
              <w:rPr>
                <w:rFonts w:hint="eastAsia"/>
                <w:color w:val="auto"/>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dxa"/>
            <w:vMerge w:val="continue"/>
            <w:noWrap w:val="0"/>
            <w:vAlign w:val="center"/>
          </w:tcPr>
          <w:p>
            <w:pPr>
              <w:pStyle w:val="43"/>
              <w:shd w:val="clear"/>
              <w:jc w:val="center"/>
              <w:rPr>
                <w:rFonts w:hint="eastAsia"/>
                <w:color w:val="auto"/>
                <w:highlight w:val="none"/>
              </w:rPr>
            </w:pPr>
          </w:p>
        </w:tc>
        <w:tc>
          <w:tcPr>
            <w:tcW w:w="3223" w:type="dxa"/>
            <w:vMerge w:val="continue"/>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dxa"/>
            <w:noWrap w:val="0"/>
            <w:vAlign w:val="center"/>
          </w:tcPr>
          <w:p>
            <w:pPr>
              <w:pStyle w:val="43"/>
              <w:shd w:val="clear"/>
              <w:jc w:val="center"/>
              <w:rPr>
                <w:rFonts w:hint="eastAsia" w:eastAsia="宋体"/>
                <w:color w:val="auto"/>
                <w:highlight w:val="none"/>
                <w:lang w:eastAsia="zh-CN"/>
              </w:rPr>
            </w:pPr>
            <w:r>
              <w:rPr>
                <w:rFonts w:hint="eastAsia"/>
                <w:color w:val="auto"/>
                <w:highlight w:val="none"/>
                <w:lang w:val="en-US" w:eastAsia="zh-CN"/>
              </w:rPr>
              <w:t>1</w:t>
            </w:r>
          </w:p>
        </w:tc>
        <w:tc>
          <w:tcPr>
            <w:tcW w:w="3223" w:type="dxa"/>
            <w:noWrap w:val="0"/>
            <w:vAlign w:val="center"/>
          </w:tcPr>
          <w:p>
            <w:pPr>
              <w:pStyle w:val="43"/>
              <w:shd w:val="clear"/>
              <w:jc w:val="center"/>
              <w:rPr>
                <w:rFonts w:hint="eastAsia"/>
                <w:color w:val="auto"/>
                <w:highlight w:val="none"/>
              </w:rPr>
            </w:pPr>
            <w:r>
              <w:rPr>
                <w:rFonts w:hint="eastAsia"/>
                <w:color w:val="auto"/>
                <w:highlight w:val="none"/>
                <w:lang w:val="en-US" w:eastAsia="zh-CN"/>
              </w:rPr>
              <w:t>技术</w:t>
            </w:r>
            <w:r>
              <w:rPr>
                <w:rFonts w:hint="eastAsia"/>
                <w:color w:val="auto"/>
                <w:highlight w:val="none"/>
              </w:rPr>
              <w:t>标（满分</w:t>
            </w:r>
            <w:r>
              <w:rPr>
                <w:rFonts w:hint="eastAsia"/>
                <w:color w:val="auto"/>
                <w:highlight w:val="none"/>
                <w:u w:val="single"/>
              </w:rPr>
              <w:t xml:space="preserve">      </w:t>
            </w:r>
            <w:r>
              <w:rPr>
                <w:rFonts w:hint="eastAsia"/>
                <w:color w:val="auto"/>
                <w:highlight w:val="none"/>
              </w:rPr>
              <w:t>分）</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dxa"/>
            <w:noWrap w:val="0"/>
            <w:vAlign w:val="center"/>
          </w:tcPr>
          <w:p>
            <w:pPr>
              <w:pStyle w:val="43"/>
              <w:shd w:val="clear"/>
              <w:jc w:val="center"/>
              <w:rPr>
                <w:rFonts w:hint="eastAsia" w:eastAsia="宋体"/>
                <w:color w:val="auto"/>
                <w:highlight w:val="none"/>
                <w:lang w:eastAsia="zh-CN"/>
              </w:rPr>
            </w:pPr>
            <w:r>
              <w:rPr>
                <w:rFonts w:hint="eastAsia"/>
                <w:color w:val="auto"/>
                <w:highlight w:val="none"/>
                <w:lang w:val="en-US" w:eastAsia="zh-CN"/>
              </w:rPr>
              <w:t>2</w:t>
            </w:r>
          </w:p>
        </w:tc>
        <w:tc>
          <w:tcPr>
            <w:tcW w:w="3223" w:type="dxa"/>
            <w:noWrap w:val="0"/>
            <w:vAlign w:val="center"/>
          </w:tcPr>
          <w:p>
            <w:pPr>
              <w:pStyle w:val="43"/>
              <w:shd w:val="clear"/>
              <w:jc w:val="center"/>
              <w:rPr>
                <w:rFonts w:hint="eastAsia"/>
                <w:color w:val="auto"/>
                <w:highlight w:val="none"/>
              </w:rPr>
            </w:pPr>
            <w:r>
              <w:rPr>
                <w:rFonts w:hint="eastAsia"/>
                <w:color w:val="auto"/>
                <w:highlight w:val="none"/>
                <w:lang w:val="en-US" w:eastAsia="zh-CN"/>
              </w:rPr>
              <w:t>资信</w:t>
            </w:r>
            <w:r>
              <w:rPr>
                <w:rFonts w:hint="eastAsia"/>
                <w:color w:val="auto"/>
                <w:highlight w:val="none"/>
              </w:rPr>
              <w:t>标（满分</w:t>
            </w:r>
            <w:r>
              <w:rPr>
                <w:rFonts w:hint="eastAsia"/>
                <w:color w:val="auto"/>
                <w:highlight w:val="none"/>
                <w:u w:val="single"/>
              </w:rPr>
              <w:t xml:space="preserve">      </w:t>
            </w:r>
            <w:r>
              <w:rPr>
                <w:rFonts w:hint="eastAsia"/>
                <w:color w:val="auto"/>
                <w:highlight w:val="none"/>
              </w:rPr>
              <w:t>分）</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0" w:type="dxa"/>
            <w:noWrap w:val="0"/>
            <w:vAlign w:val="center"/>
          </w:tcPr>
          <w:p>
            <w:pPr>
              <w:pStyle w:val="43"/>
              <w:shd w:val="clear"/>
              <w:jc w:val="center"/>
              <w:rPr>
                <w:rFonts w:hint="eastAsia" w:eastAsia="宋体"/>
                <w:color w:val="auto"/>
                <w:highlight w:val="none"/>
                <w:lang w:eastAsia="zh-CN"/>
              </w:rPr>
            </w:pPr>
            <w:r>
              <w:rPr>
                <w:rFonts w:hint="eastAsia"/>
                <w:color w:val="auto"/>
                <w:highlight w:val="none"/>
                <w:lang w:val="en-US" w:eastAsia="zh-CN"/>
              </w:rPr>
              <w:t>3</w:t>
            </w:r>
          </w:p>
        </w:tc>
        <w:tc>
          <w:tcPr>
            <w:tcW w:w="3223" w:type="dxa"/>
            <w:noWrap w:val="0"/>
            <w:vAlign w:val="center"/>
          </w:tcPr>
          <w:p>
            <w:pPr>
              <w:pStyle w:val="43"/>
              <w:shd w:val="clear"/>
              <w:jc w:val="center"/>
              <w:rPr>
                <w:rFonts w:hint="eastAsia"/>
                <w:color w:val="auto"/>
                <w:highlight w:val="none"/>
              </w:rPr>
            </w:pPr>
            <w:r>
              <w:rPr>
                <w:rFonts w:hint="eastAsia"/>
                <w:color w:val="auto"/>
                <w:highlight w:val="none"/>
              </w:rPr>
              <w:t>投标报价（满分</w:t>
            </w:r>
            <w:r>
              <w:rPr>
                <w:rFonts w:hint="eastAsia"/>
                <w:color w:val="auto"/>
                <w:highlight w:val="none"/>
                <w:u w:val="single"/>
              </w:rPr>
              <w:t xml:space="preserve">      </w:t>
            </w:r>
            <w:r>
              <w:rPr>
                <w:rFonts w:hint="eastAsia"/>
                <w:color w:val="auto"/>
                <w:highlight w:val="none"/>
              </w:rPr>
              <w:t>分）</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3" w:type="dxa"/>
            <w:gridSpan w:val="2"/>
            <w:noWrap w:val="0"/>
            <w:vAlign w:val="center"/>
          </w:tcPr>
          <w:p>
            <w:pPr>
              <w:pStyle w:val="43"/>
              <w:shd w:val="clear"/>
              <w:jc w:val="center"/>
              <w:rPr>
                <w:rFonts w:hint="eastAsia"/>
                <w:color w:val="auto"/>
                <w:highlight w:val="none"/>
              </w:rPr>
            </w:pPr>
            <w:r>
              <w:rPr>
                <w:rFonts w:hint="eastAsia"/>
                <w:color w:val="auto"/>
                <w:highlight w:val="none"/>
              </w:rPr>
              <w:t>综合总得分（满分</w:t>
            </w:r>
            <w:r>
              <w:rPr>
                <w:rFonts w:hint="eastAsia"/>
                <w:color w:val="auto"/>
                <w:highlight w:val="none"/>
                <w:u w:val="single"/>
              </w:rPr>
              <w:t xml:space="preserve">      </w:t>
            </w:r>
            <w:r>
              <w:rPr>
                <w:rFonts w:hint="eastAsia"/>
                <w:color w:val="auto"/>
                <w:highlight w:val="none"/>
              </w:rPr>
              <w:t>分）</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3" w:type="dxa"/>
            <w:gridSpan w:val="2"/>
            <w:noWrap w:val="0"/>
            <w:vAlign w:val="center"/>
          </w:tcPr>
          <w:p>
            <w:pPr>
              <w:pStyle w:val="43"/>
              <w:shd w:val="clear"/>
              <w:jc w:val="center"/>
              <w:rPr>
                <w:rFonts w:hint="eastAsia"/>
                <w:color w:val="auto"/>
                <w:highlight w:val="none"/>
              </w:rPr>
            </w:pPr>
            <w:r>
              <w:rPr>
                <w:rFonts w:hint="eastAsia"/>
                <w:color w:val="auto"/>
                <w:highlight w:val="none"/>
              </w:rPr>
              <w:t>综合总得分排名</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3" w:type="dxa"/>
            <w:gridSpan w:val="2"/>
            <w:noWrap w:val="0"/>
            <w:vAlign w:val="center"/>
          </w:tcPr>
          <w:p>
            <w:pPr>
              <w:pStyle w:val="43"/>
              <w:shd w:val="clear"/>
              <w:jc w:val="center"/>
              <w:rPr>
                <w:rFonts w:hint="eastAsia"/>
                <w:color w:val="auto"/>
                <w:highlight w:val="none"/>
              </w:rPr>
            </w:pPr>
            <w:r>
              <w:rPr>
                <w:rFonts w:hint="eastAsia"/>
                <w:color w:val="auto"/>
                <w:highlight w:val="none"/>
              </w:rPr>
              <w:t>推荐中标候选人排名次序</w:t>
            </w: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c>
          <w:tcPr>
            <w:tcW w:w="1405" w:type="dxa"/>
            <w:noWrap w:val="0"/>
            <w:vAlign w:val="center"/>
          </w:tcPr>
          <w:p>
            <w:pPr>
              <w:pStyle w:val="43"/>
              <w:shd w:val="clear"/>
              <w:jc w:val="center"/>
              <w:rPr>
                <w:rFonts w:hint="eastAsia"/>
                <w:color w:val="auto"/>
                <w:highlight w:val="none"/>
              </w:rPr>
            </w:pPr>
          </w:p>
        </w:tc>
      </w:tr>
    </w:tbl>
    <w:p>
      <w:pPr>
        <w:pStyle w:val="43"/>
        <w:shd w:val="clear"/>
        <w:rPr>
          <w:rFonts w:hint="eastAsia"/>
          <w:color w:val="auto"/>
          <w:highlight w:val="none"/>
        </w:rPr>
      </w:pPr>
    </w:p>
    <w:p>
      <w:pPr>
        <w:pStyle w:val="43"/>
        <w:shd w:val="clear"/>
        <w:rPr>
          <w:rFonts w:hint="eastAsia"/>
          <w:color w:val="auto"/>
          <w:highlight w:val="none"/>
        </w:rPr>
      </w:pPr>
    </w:p>
    <w:p>
      <w:pPr>
        <w:pStyle w:val="43"/>
        <w:shd w:val="clear"/>
        <w:rPr>
          <w:rFonts w:hint="eastAsia"/>
          <w:color w:val="auto"/>
          <w:highlight w:val="none"/>
        </w:rPr>
      </w:pPr>
      <w:r>
        <w:rPr>
          <w:rFonts w:hint="eastAsia"/>
          <w:color w:val="auto"/>
          <w:highlight w:val="none"/>
        </w:rPr>
        <w:t>评委签名：                                                                                          日期：    年   月  日</w:t>
      </w:r>
    </w:p>
    <w:p>
      <w:pPr>
        <w:shd w:val="clear"/>
        <w:spacing w:line="360" w:lineRule="auto"/>
        <w:rPr>
          <w:rFonts w:hint="eastAsia" w:ascii="宋体" w:hAnsi="宋体" w:eastAsia="宋体"/>
          <w:b/>
          <w:color w:val="auto"/>
          <w:szCs w:val="21"/>
          <w:highlight w:val="none"/>
        </w:rPr>
      </w:pPr>
    </w:p>
    <w:p>
      <w:pPr>
        <w:shd w:val="clear"/>
        <w:spacing w:line="240" w:lineRule="exact"/>
        <w:rPr>
          <w:rFonts w:hint="eastAsia" w:ascii="宋体" w:hAnsi="宋体" w:eastAsia="宋体" w:cs="宋体"/>
          <w:color w:val="auto"/>
          <w:kern w:val="0"/>
          <w:szCs w:val="21"/>
          <w:highlight w:val="none"/>
        </w:rPr>
        <w:sectPr>
          <w:endnotePr>
            <w:numFmt w:val="decimal"/>
          </w:endnotePr>
          <w:pgSz w:w="16840" w:h="11907" w:orient="landscape"/>
          <w:pgMar w:top="850" w:right="1361" w:bottom="850" w:left="901" w:header="851" w:footer="907" w:gutter="283"/>
          <w:cols w:space="0" w:num="1"/>
          <w:rtlGutter w:val="0"/>
          <w:docGrid w:linePitch="0" w:charSpace="0"/>
        </w:sectPr>
      </w:pPr>
      <w:r>
        <w:rPr>
          <w:rFonts w:hint="eastAsia" w:ascii="宋体" w:hAnsi="宋体" w:eastAsia="宋体"/>
          <w:b/>
          <w:color w:val="auto"/>
          <w:sz w:val="24"/>
          <w:szCs w:val="24"/>
          <w:highlight w:val="none"/>
        </w:rPr>
        <w:t xml:space="preserve">                                 </w:t>
      </w:r>
    </w:p>
    <w:p>
      <w:pPr>
        <w:pStyle w:val="3"/>
        <w:shd w:val="clear"/>
        <w:jc w:val="center"/>
        <w:rPr>
          <w:rFonts w:ascii="宋体" w:eastAsia="宋体"/>
          <w:color w:val="auto"/>
          <w:highlight w:val="none"/>
        </w:rPr>
      </w:pPr>
      <w:bookmarkStart w:id="121" w:name="_Toc30908"/>
      <w:bookmarkStart w:id="122" w:name="_Toc27622"/>
      <w:r>
        <w:rPr>
          <w:rFonts w:hint="eastAsia" w:ascii="宋体" w:eastAsia="宋体"/>
          <w:color w:val="auto"/>
          <w:highlight w:val="none"/>
        </w:rPr>
        <w:t>第三章  合同条款</w:t>
      </w:r>
      <w:bookmarkEnd w:id="121"/>
      <w:bookmarkEnd w:id="122"/>
    </w:p>
    <w:p>
      <w:pPr>
        <w:shd w:val="clear"/>
        <w:rPr>
          <w:rFonts w:hint="eastAsia" w:ascii="宋体" w:hAnsi="宋体" w:eastAsia="宋体"/>
          <w:color w:val="auto"/>
          <w:sz w:val="24"/>
          <w:szCs w:val="24"/>
          <w:highlight w:val="none"/>
        </w:rPr>
      </w:pPr>
    </w:p>
    <w:p>
      <w:pPr>
        <w:shd w:val="clear"/>
        <w:jc w:val="center"/>
        <w:rPr>
          <w:rFonts w:hint="eastAsia"/>
          <w:color w:val="auto"/>
          <w:highlight w:val="none"/>
        </w:rPr>
      </w:pPr>
      <w:r>
        <w:rPr>
          <w:rFonts w:hint="eastAsia"/>
          <w:color w:val="auto"/>
          <w:highlight w:val="none"/>
        </w:rPr>
        <w:t>注：最终以实际签订为准。</w:t>
      </w:r>
    </w:p>
    <w:p>
      <w:pPr>
        <w:shd w:val="clear"/>
        <w:rPr>
          <w:rFonts w:ascii="宋体"/>
          <w:b/>
          <w:sz w:val="24"/>
          <w:szCs w:val="24"/>
          <w:highlight w:val="none"/>
        </w:rPr>
      </w:pPr>
      <w:bookmarkStart w:id="123" w:name="_Toc300"/>
      <w:bookmarkStart w:id="124" w:name="_Toc14752"/>
      <w:bookmarkStart w:id="125" w:name="_Toc14379"/>
      <w:bookmarkStart w:id="126" w:name="_Toc30214"/>
      <w:bookmarkStart w:id="127" w:name="_Toc4030"/>
      <w:bookmarkStart w:id="128" w:name="_Toc8261"/>
      <w:bookmarkStart w:id="129" w:name="_Toc24306"/>
      <w:bookmarkStart w:id="130" w:name="_Toc16851"/>
      <w:bookmarkStart w:id="131" w:name="_Toc19025"/>
      <w:bookmarkStart w:id="132" w:name="_Toc9231"/>
      <w:bookmarkStart w:id="133" w:name="_Toc17825"/>
      <w:bookmarkStart w:id="134" w:name="_Toc8708"/>
      <w:bookmarkStart w:id="135" w:name="_Toc10282"/>
      <w:bookmarkStart w:id="136" w:name="_Toc19118"/>
      <w:bookmarkStart w:id="137" w:name="_Toc2188"/>
      <w:bookmarkStart w:id="138" w:name="_Toc8299"/>
      <w:bookmarkStart w:id="139" w:name="_Toc9593"/>
      <w:bookmarkStart w:id="140" w:name="_Toc10118"/>
      <w:bookmarkStart w:id="141" w:name="_Toc4753"/>
      <w:bookmarkStart w:id="142" w:name="_Toc14298"/>
      <w:bookmarkStart w:id="143" w:name="_Toc30956"/>
      <w:r>
        <w:rPr>
          <w:rFonts w:hint="eastAsia" w:ascii="宋体" w:hAnsi="宋体" w:cs="宋体"/>
          <w:sz w:val="24"/>
          <w:szCs w:val="24"/>
          <w:highlight w:val="none"/>
        </w:rPr>
        <w:drawing>
          <wp:inline distT="0" distB="0" distL="114300" distR="114300">
            <wp:extent cx="1463040" cy="1463040"/>
            <wp:effectExtent l="0" t="0" r="3810" b="3810"/>
            <wp:docPr id="2" name="图片 2" descr="886EDA5933A7AD4CAFD90BBF81637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6EDA5933A7AD4CAFD90BBF81637ECD"/>
                    <pic:cNvPicPr>
                      <a:picLocks noChangeAspect="1"/>
                    </pic:cNvPicPr>
                  </pic:nvPicPr>
                  <pic:blipFill>
                    <a:blip r:embed="rId9"/>
                    <a:stretch>
                      <a:fillRect/>
                    </a:stretch>
                  </pic:blipFill>
                  <pic:spPr>
                    <a:xfrm>
                      <a:off x="0" y="0"/>
                      <a:ext cx="1463040" cy="1463040"/>
                    </a:xfrm>
                    <a:prstGeom prst="rect">
                      <a:avLst/>
                    </a:prstGeom>
                    <a:noFill/>
                    <a:ln>
                      <a:noFill/>
                    </a:ln>
                  </pic:spPr>
                </pic:pic>
              </a:graphicData>
            </a:graphic>
          </wp:inline>
        </w:drawing>
      </w:r>
    </w:p>
    <w:p>
      <w:pPr>
        <w:shd w:val="clear"/>
        <w:rPr>
          <w:sz w:val="24"/>
          <w:szCs w:val="24"/>
          <w:highlight w:val="none"/>
        </w:rPr>
      </w:pPr>
    </w:p>
    <w:p>
      <w:pPr>
        <w:shd w:val="clear"/>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合同编号：广清管函/广清发改批【20xx】xxx号（x）</w:t>
      </w:r>
    </w:p>
    <w:p>
      <w:pPr>
        <w:shd w:val="clear"/>
        <w:spacing w:line="360" w:lineRule="auto"/>
        <w:ind w:firstLine="6480" w:firstLineChars="2700"/>
        <w:rPr>
          <w:rFonts w:hint="eastAsia" w:ascii="宋体" w:hAnsi="宋体" w:cs="宋体"/>
          <w:sz w:val="24"/>
          <w:highlight w:val="none"/>
        </w:rPr>
      </w:pPr>
      <w:r>
        <w:rPr>
          <w:rFonts w:hint="eastAsia" w:ascii="宋体" w:hAnsi="宋体" w:cs="宋体"/>
          <w:sz w:val="24"/>
          <w:szCs w:val="24"/>
          <w:highlight w:val="none"/>
        </w:rPr>
        <w:t xml:space="preserve">        </w:t>
      </w:r>
      <w:r>
        <w:rPr>
          <w:rFonts w:hint="eastAsia" w:ascii="宋体" w:hAnsi="宋体" w:cs="宋体"/>
          <w:sz w:val="24"/>
          <w:highlight w:val="none"/>
        </w:rPr>
        <w:t xml:space="preserve">              </w:t>
      </w:r>
    </w:p>
    <w:p>
      <w:pPr>
        <w:shd w:val="clea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施工合同</w:t>
      </w:r>
    </w:p>
    <w:p>
      <w:pPr>
        <w:shd w:val="clear"/>
        <w:spacing w:line="360" w:lineRule="auto"/>
        <w:jc w:val="center"/>
        <w:rPr>
          <w:rFonts w:hint="eastAsia" w:ascii="宋体" w:hAnsi="宋体" w:cs="宋体"/>
          <w:sz w:val="32"/>
          <w:szCs w:val="32"/>
          <w:highlight w:val="none"/>
        </w:rPr>
      </w:pPr>
    </w:p>
    <w:p>
      <w:pPr>
        <w:widowControl/>
        <w:shd w:val="clear"/>
        <w:wordWrap w:val="0"/>
        <w:topLinePunct/>
        <w:adjustRightInd w:val="0"/>
        <w:snapToGrid w:val="0"/>
        <w:spacing w:line="360" w:lineRule="auto"/>
        <w:jc w:val="both"/>
        <w:rPr>
          <w:rFonts w:hint="eastAsia" w:ascii="宋体" w:hAnsi="宋体" w:cs="宋体"/>
          <w:sz w:val="32"/>
          <w:szCs w:val="32"/>
          <w:highlight w:val="none"/>
          <w:u w:val="single"/>
        </w:rPr>
      </w:pPr>
      <w:r>
        <w:rPr>
          <w:rFonts w:hint="eastAsia" w:ascii="宋体" w:hAnsi="宋体" w:cs="宋体"/>
          <w:sz w:val="32"/>
          <w:szCs w:val="32"/>
          <w:highlight w:val="none"/>
        </w:rPr>
        <w:t>项目名称：</w:t>
      </w:r>
      <w:r>
        <w:rPr>
          <w:rFonts w:hint="eastAsia" w:ascii="宋体" w:hAnsi="宋体" w:cs="宋体"/>
          <w:sz w:val="32"/>
          <w:szCs w:val="32"/>
          <w:highlight w:val="none"/>
          <w:u w:val="single"/>
        </w:rPr>
        <w:t xml:space="preserve">                                          </w:t>
      </w:r>
    </w:p>
    <w:p>
      <w:pPr>
        <w:shd w:val="clear"/>
        <w:spacing w:line="360" w:lineRule="auto"/>
        <w:ind w:left="1600" w:hanging="1600" w:hangingChars="500"/>
        <w:rPr>
          <w:rFonts w:hint="eastAsia" w:ascii="宋体" w:hAnsi="宋体" w:cs="宋体"/>
          <w:sz w:val="32"/>
          <w:szCs w:val="32"/>
          <w:highlight w:val="none"/>
          <w:u w:val="single"/>
        </w:rPr>
      </w:pPr>
      <w:r>
        <w:rPr>
          <w:rFonts w:hint="eastAsia" w:ascii="宋体" w:hAnsi="宋体" w:cs="宋体"/>
          <w:sz w:val="32"/>
          <w:szCs w:val="32"/>
          <w:highlight w:val="none"/>
        </w:rPr>
        <w:t>甲    方：</w:t>
      </w:r>
      <w:r>
        <w:rPr>
          <w:rFonts w:hint="eastAsia" w:ascii="宋体" w:hAnsi="宋体" w:cs="宋体"/>
          <w:sz w:val="32"/>
          <w:szCs w:val="32"/>
          <w:highlight w:val="none"/>
          <w:u w:val="single"/>
        </w:rPr>
        <w:t>广州（清远）产业转移工业园财政投资项目管理中心</w:t>
      </w:r>
    </w:p>
    <w:p>
      <w:pPr>
        <w:shd w:val="clear"/>
        <w:tabs>
          <w:tab w:val="left" w:pos="2340"/>
        </w:tabs>
        <w:spacing w:line="360" w:lineRule="auto"/>
        <w:ind w:left="1600" w:hanging="1600" w:hangingChars="500"/>
        <w:rPr>
          <w:rFonts w:hint="eastAsia" w:ascii="宋体" w:hAnsi="宋体" w:cs="宋体"/>
          <w:sz w:val="32"/>
          <w:szCs w:val="32"/>
          <w:highlight w:val="none"/>
          <w:u w:val="single"/>
        </w:rPr>
      </w:pPr>
      <w:r>
        <w:rPr>
          <w:rFonts w:hint="eastAsia" w:ascii="宋体" w:hAnsi="宋体" w:cs="宋体"/>
          <w:sz w:val="32"/>
          <w:szCs w:val="32"/>
          <w:highlight w:val="none"/>
        </w:rPr>
        <w:t>乙    方：</w:t>
      </w:r>
      <w:r>
        <w:rPr>
          <w:rFonts w:hint="eastAsia" w:ascii="宋体" w:hAnsi="宋体" w:cs="宋体"/>
          <w:sz w:val="32"/>
          <w:szCs w:val="32"/>
          <w:highlight w:val="none"/>
          <w:u w:val="single"/>
        </w:rPr>
        <w:t xml:space="preserve">                                           </w:t>
      </w:r>
    </w:p>
    <w:p>
      <w:pPr>
        <w:shd w:val="clear"/>
        <w:tabs>
          <w:tab w:val="left" w:pos="2340"/>
        </w:tabs>
        <w:spacing w:line="360" w:lineRule="auto"/>
        <w:ind w:left="1600" w:hanging="1600" w:hangingChars="500"/>
        <w:rPr>
          <w:rFonts w:hint="eastAsia" w:ascii="宋体" w:hAnsi="宋体" w:cs="宋体"/>
          <w:sz w:val="32"/>
          <w:szCs w:val="32"/>
          <w:highlight w:val="none"/>
          <w:u w:val="single"/>
        </w:rPr>
      </w:pPr>
      <w:r>
        <w:rPr>
          <w:rFonts w:hint="eastAsia" w:ascii="宋体" w:hAnsi="宋体" w:cs="宋体"/>
          <w:sz w:val="32"/>
          <w:szCs w:val="32"/>
          <w:highlight w:val="none"/>
          <w:u w:val="single"/>
        </w:rPr>
        <w:t xml:space="preserve">                                                    </w:t>
      </w:r>
    </w:p>
    <w:p>
      <w:pPr>
        <w:shd w:val="clear"/>
        <w:spacing w:line="360" w:lineRule="auto"/>
        <w:rPr>
          <w:rFonts w:hint="eastAsia" w:ascii="宋体" w:hAnsi="宋体" w:cs="宋体"/>
          <w:sz w:val="32"/>
          <w:szCs w:val="32"/>
          <w:highlight w:val="none"/>
          <w:u w:val="single"/>
        </w:rPr>
      </w:pPr>
      <w:r>
        <w:rPr>
          <w:rFonts w:hint="eastAsia" w:ascii="宋体" w:hAnsi="宋体" w:cs="宋体"/>
          <w:sz w:val="32"/>
          <w:szCs w:val="32"/>
          <w:highlight w:val="none"/>
        </w:rPr>
        <w:t>签订日期：</w:t>
      </w:r>
      <w:r>
        <w:rPr>
          <w:rFonts w:hint="eastAsia" w:ascii="宋体" w:hAnsi="宋体" w:cs="宋体"/>
          <w:sz w:val="32"/>
          <w:szCs w:val="32"/>
          <w:highlight w:val="none"/>
          <w:u w:val="single"/>
        </w:rPr>
        <w:t xml:space="preserve">202x年 xx 月 xx 日                       </w:t>
      </w:r>
    </w:p>
    <w:p>
      <w:pPr>
        <w:shd w:val="clear"/>
        <w:spacing w:line="360" w:lineRule="auto"/>
        <w:rPr>
          <w:rFonts w:hint="eastAsia" w:ascii="宋体" w:hAnsi="宋体" w:cs="宋体"/>
          <w:sz w:val="32"/>
          <w:szCs w:val="32"/>
          <w:highlight w:val="none"/>
          <w:u w:val="single"/>
        </w:rPr>
      </w:pPr>
      <w:r>
        <w:rPr>
          <w:rFonts w:hint="eastAsia" w:ascii="宋体" w:hAnsi="宋体" w:cs="宋体"/>
          <w:sz w:val="32"/>
          <w:szCs w:val="32"/>
          <w:highlight w:val="none"/>
        </w:rPr>
        <w:t>签订地点：</w:t>
      </w:r>
      <w:r>
        <w:rPr>
          <w:rFonts w:hint="eastAsia" w:ascii="宋体" w:hAnsi="宋体" w:cs="宋体"/>
          <w:sz w:val="32"/>
          <w:szCs w:val="32"/>
          <w:highlight w:val="none"/>
          <w:u w:val="single"/>
        </w:rPr>
        <w:t xml:space="preserve"> 广东省清远市清城区石角镇广清产业园       </w:t>
      </w:r>
    </w:p>
    <w:p>
      <w:pPr>
        <w:shd w:val="clear"/>
        <w:spacing w:line="360" w:lineRule="auto"/>
        <w:jc w:val="center"/>
        <w:outlineLvl w:val="1"/>
        <w:rPr>
          <w:rFonts w:hint="eastAsia" w:ascii="宋体" w:hAnsi="宋体" w:cs="宋体"/>
          <w:b/>
          <w:bCs/>
          <w:spacing w:val="110"/>
          <w:sz w:val="44"/>
          <w:szCs w:val="44"/>
          <w:highlight w:val="none"/>
        </w:rPr>
      </w:pPr>
      <w:bookmarkStart w:id="144" w:name="_Toc15379"/>
      <w:r>
        <w:rPr>
          <w:rFonts w:hint="eastAsia" w:ascii="宋体" w:hAnsi="宋体" w:cs="宋体"/>
          <w:sz w:val="32"/>
          <w:szCs w:val="32"/>
          <w:highlight w:val="none"/>
        </w:rPr>
        <w:drawing>
          <wp:anchor distT="0" distB="0" distL="114300" distR="114300" simplePos="0" relativeHeight="251659264" behindDoc="0" locked="0" layoutInCell="1" allowOverlap="0">
            <wp:simplePos x="0" y="0"/>
            <wp:positionH relativeFrom="column">
              <wp:posOffset>-941070</wp:posOffset>
            </wp:positionH>
            <wp:positionV relativeFrom="paragraph">
              <wp:posOffset>94615</wp:posOffset>
            </wp:positionV>
            <wp:extent cx="7585710" cy="2278380"/>
            <wp:effectExtent l="0" t="0" r="15240" b="7620"/>
            <wp:wrapSquare wrapText="bothSides"/>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0"/>
                    <a:stretch>
                      <a:fillRect/>
                    </a:stretch>
                  </pic:blipFill>
                  <pic:spPr>
                    <a:xfrm>
                      <a:off x="0" y="0"/>
                      <a:ext cx="7585710" cy="2278380"/>
                    </a:xfrm>
                    <a:prstGeom prst="rect">
                      <a:avLst/>
                    </a:prstGeom>
                    <a:noFill/>
                    <a:ln>
                      <a:noFill/>
                    </a:ln>
                  </pic:spPr>
                </pic:pic>
              </a:graphicData>
            </a:graphic>
          </wp:anchor>
        </w:drawing>
      </w:r>
      <w:r>
        <w:rPr>
          <w:rFonts w:hint="eastAsia" w:ascii="宋体" w:hAnsi="宋体" w:cs="宋体"/>
          <w:highlight w:val="none"/>
        </w:rPr>
        <w:br w:type="page"/>
      </w:r>
      <w:r>
        <w:rPr>
          <w:rFonts w:hint="eastAsia" w:ascii="宋体" w:hAnsi="宋体" w:cs="宋体"/>
          <w:b/>
          <w:bCs/>
          <w:spacing w:val="110"/>
          <w:sz w:val="44"/>
          <w:szCs w:val="44"/>
          <w:highlight w:val="none"/>
        </w:rPr>
        <w:t>一、协议书</w:t>
      </w:r>
      <w:bookmarkEnd w:id="144"/>
    </w:p>
    <w:p>
      <w:pPr>
        <w:widowControl/>
        <w:shd w:val="clear"/>
        <w:wordWrap w:val="0"/>
        <w:topLinePunct/>
        <w:adjustRightInd w:val="0"/>
        <w:snapToGrid w:val="0"/>
        <w:spacing w:line="360" w:lineRule="auto"/>
        <w:jc w:val="center"/>
        <w:rPr>
          <w:rFonts w:hint="eastAsia" w:ascii="宋体" w:hAnsi="宋体" w:cs="宋体"/>
          <w:highlight w:val="none"/>
        </w:rPr>
      </w:pPr>
    </w:p>
    <w:p>
      <w:pPr>
        <w:widowControl/>
        <w:shd w:val="clear"/>
        <w:topLinePunct/>
        <w:adjustRightInd w:val="0"/>
        <w:snapToGrid w:val="0"/>
        <w:spacing w:line="360" w:lineRule="auto"/>
        <w:ind w:firstLine="700" w:firstLineChars="2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发包人</w:t>
      </w:r>
      <w:r>
        <w:rPr>
          <w:rFonts w:hint="eastAsia" w:ascii="仿宋" w:hAnsi="仿宋" w:eastAsia="仿宋" w:cs="仿宋"/>
          <w:sz w:val="28"/>
          <w:szCs w:val="28"/>
          <w:highlight w:val="none"/>
          <w:u w:val="single"/>
        </w:rPr>
        <w:t>广州（清远）产业转移工业园财政投资项目管理中心</w:t>
      </w:r>
      <w:r>
        <w:rPr>
          <w:rFonts w:hint="eastAsia" w:ascii="仿宋" w:hAnsi="仿宋" w:eastAsia="仿宋" w:cs="仿宋"/>
          <w:sz w:val="28"/>
          <w:szCs w:val="28"/>
          <w:highlight w:val="none"/>
        </w:rPr>
        <w:t>与</w:t>
      </w:r>
      <w:r>
        <w:rPr>
          <w:rFonts w:hint="eastAsia" w:ascii="仿宋" w:hAnsi="仿宋" w:eastAsia="仿宋" w:cs="仿宋"/>
          <w:sz w:val="28"/>
          <w:szCs w:val="28"/>
          <w:highlight w:val="none"/>
          <w:u w:val="single"/>
        </w:rPr>
        <w:t xml:space="preserve">承包人     公司 </w:t>
      </w:r>
      <w:r>
        <w:rPr>
          <w:rFonts w:hint="eastAsia" w:ascii="仿宋" w:hAnsi="仿宋" w:eastAsia="仿宋" w:cs="仿宋"/>
          <w:sz w:val="28"/>
          <w:szCs w:val="28"/>
          <w:highlight w:val="none"/>
        </w:rPr>
        <w:t>经过双方协商一致，签订本合同。</w:t>
      </w:r>
    </w:p>
    <w:p>
      <w:pPr>
        <w:widowControl/>
        <w:shd w:val="clear"/>
        <w:wordWrap w:val="0"/>
        <w:topLinePunct/>
        <w:adjustRightInd w:val="0"/>
        <w:snapToGrid w:val="0"/>
        <w:spacing w:line="360" w:lineRule="auto"/>
        <w:ind w:firstLine="420" w:firstLineChars="15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一、下列文件均为本合同的组成部分。</w:t>
      </w:r>
    </w:p>
    <w:p>
      <w:pPr>
        <w:widowControl/>
        <w:shd w:val="clear"/>
        <w:wordWrap w:val="0"/>
        <w:topLinePunct/>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（1）中标通知书；</w:t>
      </w:r>
    </w:p>
    <w:p>
      <w:pPr>
        <w:widowControl/>
        <w:shd w:val="clear"/>
        <w:wordWrap w:val="0"/>
        <w:topLinePunct/>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（2）协议书；</w:t>
      </w:r>
    </w:p>
    <w:p>
      <w:pPr>
        <w:widowControl/>
        <w:shd w:val="clear"/>
        <w:wordWrap w:val="0"/>
        <w:topLinePunct/>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（3）在实施过程中双方共同签署的补充与修正文件。</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二、施工项目总投资为￥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），施工合同暂定价款￥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color w:val="FF0000"/>
          <w:sz w:val="28"/>
          <w:szCs w:val="28"/>
          <w:highlight w:val="none"/>
        </w:rPr>
        <w:t>发包方向承包方支付合同款项</w:t>
      </w:r>
      <w:r>
        <w:rPr>
          <w:rFonts w:hint="eastAsia" w:ascii="仿宋" w:hAnsi="仿宋" w:eastAsia="仿宋" w:cs="仿宋"/>
          <w:sz w:val="28"/>
          <w:szCs w:val="28"/>
          <w:highlight w:val="none"/>
        </w:rPr>
        <w:t>，最终价款以广州（清远）产业转移工业园财政投资评审中心或其授权的审</w:t>
      </w:r>
      <w:r>
        <w:rPr>
          <w:rFonts w:hint="eastAsia" w:ascii="仿宋" w:hAnsi="仿宋" w:eastAsia="仿宋" w:cs="仿宋"/>
          <w:sz w:val="28"/>
          <w:szCs w:val="28"/>
          <w:highlight w:val="none"/>
          <w:lang w:val="en-US" w:eastAsia="zh-CN"/>
        </w:rPr>
        <w:t>核</w:t>
      </w:r>
      <w:r>
        <w:rPr>
          <w:rFonts w:hint="eastAsia" w:ascii="仿宋" w:hAnsi="仿宋" w:eastAsia="仿宋" w:cs="仿宋"/>
          <w:sz w:val="28"/>
          <w:szCs w:val="28"/>
          <w:highlight w:val="none"/>
        </w:rPr>
        <w:t>单位审定的结算价为准。</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三、如该合同需缴纳合同印花税，承包人需在合同签订后七日内，缴纳合同双方需缴纳的印花税款，代缴后向发包人按代缴金额（规定属发包人缴纳的部分）实报实销。</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四、合同结算阶段的相关纳税事宜须参照《广州（清远）产业转移工业园管委会文件&lt;关于规范园区外企业缴纳税费事项的通知&gt;》(广清管[2017]4号）执行。</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五、如发生违约或其他赔偿责任时，承包方各公司对发包方承担连带责任。</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六、本合同自发包人及承包人签字盖章后生效，发包人及承包人履行完招标书及中标书约定的总承包义务后，本合同终止。</w:t>
      </w:r>
    </w:p>
    <w:p>
      <w:pPr>
        <w:widowControl/>
        <w:shd w:val="clear"/>
        <w:topLinePunct/>
        <w:adjustRightInd w:val="0"/>
        <w:snapToGrid w:val="0"/>
        <w:spacing w:line="360" w:lineRule="auto"/>
        <w:jc w:val="center"/>
        <w:outlineLvl w:val="1"/>
        <w:rPr>
          <w:rFonts w:hint="eastAsia" w:ascii="宋体" w:hAnsi="宋体" w:cs="宋体"/>
          <w:b/>
          <w:bCs/>
          <w:sz w:val="24"/>
          <w:highlight w:val="none"/>
        </w:rPr>
      </w:pPr>
      <w:r>
        <w:rPr>
          <w:rFonts w:hint="eastAsia" w:ascii="仿宋" w:hAnsi="仿宋" w:eastAsia="仿宋" w:cs="仿宋"/>
          <w:b/>
          <w:sz w:val="28"/>
          <w:szCs w:val="28"/>
          <w:highlight w:val="none"/>
        </w:rPr>
        <w:br w:type="page"/>
      </w:r>
      <w:bookmarkStart w:id="145" w:name="_Toc14057"/>
      <w:r>
        <w:rPr>
          <w:rFonts w:hint="eastAsia" w:ascii="宋体" w:hAnsi="宋体" w:cs="宋体"/>
          <w:b/>
          <w:sz w:val="32"/>
          <w:szCs w:val="32"/>
          <w:highlight w:val="none"/>
        </w:rPr>
        <w:t>第一部分</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合同书</w:t>
      </w:r>
      <w:bookmarkEnd w:id="145"/>
    </w:p>
    <w:p>
      <w:pPr>
        <w:shd w:val="clear"/>
        <w:snapToGrid w:val="0"/>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发包人（全称）：</w:t>
      </w:r>
      <w:r>
        <w:rPr>
          <w:rFonts w:hint="eastAsia" w:ascii="仿宋" w:hAnsi="仿宋" w:eastAsia="仿宋" w:cs="仿宋"/>
          <w:sz w:val="28"/>
          <w:szCs w:val="28"/>
          <w:highlight w:val="none"/>
          <w:u w:val="single"/>
        </w:rPr>
        <w:t>广州（清远）产业转移工业园财政投资项目管理中心</w:t>
      </w:r>
      <w:r>
        <w:rPr>
          <w:rFonts w:hint="eastAsia" w:ascii="仿宋" w:hAnsi="仿宋" w:eastAsia="仿宋" w:cs="仿宋"/>
          <w:sz w:val="28"/>
          <w:szCs w:val="28"/>
          <w:highlight w:val="none"/>
        </w:rPr>
        <w:t>。</w:t>
      </w:r>
    </w:p>
    <w:p>
      <w:pPr>
        <w:shd w:val="clear"/>
        <w:snapToGrid w:val="0"/>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pStyle w:val="59"/>
        <w:shd w:val="clea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依照《中华人民共和国民法典》、《中华人民共和国建筑法》及其他有关法律、行政法规，遵循平等、自愿、公平和诚实信用的原则，双方就本建设工程施工事项协商一致，订立本合同。</w:t>
      </w:r>
    </w:p>
    <w:p>
      <w:pPr>
        <w:shd w:val="clear"/>
        <w:snapToGrid w:val="0"/>
        <w:spacing w:line="360" w:lineRule="auto"/>
        <w:ind w:firstLine="562" w:firstLineChars="200"/>
        <w:outlineLvl w:val="2"/>
        <w:rPr>
          <w:rFonts w:hint="eastAsia" w:ascii="仿宋" w:hAnsi="仿宋" w:eastAsia="仿宋" w:cs="仿宋"/>
          <w:b/>
          <w:bCs/>
          <w:sz w:val="28"/>
          <w:szCs w:val="28"/>
          <w:highlight w:val="none"/>
        </w:rPr>
      </w:pPr>
      <w:bookmarkStart w:id="146" w:name="_Toc9804"/>
      <w:bookmarkStart w:id="147" w:name="_Toc6119"/>
      <w:r>
        <w:rPr>
          <w:rFonts w:hint="eastAsia" w:ascii="仿宋" w:hAnsi="仿宋" w:eastAsia="仿宋" w:cs="仿宋"/>
          <w:b/>
          <w:bCs/>
          <w:sz w:val="28"/>
          <w:szCs w:val="28"/>
          <w:highlight w:val="none"/>
        </w:rPr>
        <w:t>一、工程概况</w:t>
      </w:r>
      <w:bookmarkEnd w:id="146"/>
      <w:bookmarkEnd w:id="147"/>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工程名称：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bCs/>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工程地点：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bCs/>
          <w:sz w:val="28"/>
          <w:szCs w:val="28"/>
          <w:highlight w:val="none"/>
          <w:u w:val="single"/>
        </w:rPr>
        <w:t>。</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工程内容：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建设业主有权根据工程实施情况，对承包人的承包范围和承包工程量进行适当调整</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工程立项批准文号：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shd w:val="clear"/>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资金来源及落实情况：由财政资金统筹解决；资金已落实。</w:t>
      </w:r>
    </w:p>
    <w:p>
      <w:pPr>
        <w:shd w:val="clear"/>
        <w:snapToGrid w:val="0"/>
        <w:spacing w:line="360" w:lineRule="auto"/>
        <w:ind w:firstLine="562" w:firstLineChars="200"/>
        <w:outlineLvl w:val="2"/>
        <w:rPr>
          <w:rFonts w:hint="eastAsia" w:ascii="仿宋" w:hAnsi="仿宋" w:eastAsia="仿宋" w:cs="仿宋"/>
          <w:b/>
          <w:bCs/>
          <w:sz w:val="28"/>
          <w:szCs w:val="28"/>
          <w:highlight w:val="none"/>
        </w:rPr>
      </w:pPr>
      <w:bookmarkStart w:id="148" w:name="_Toc23140"/>
      <w:bookmarkStart w:id="149" w:name="_Toc27938"/>
      <w:r>
        <w:rPr>
          <w:rFonts w:hint="eastAsia" w:ascii="仿宋" w:hAnsi="仿宋" w:eastAsia="仿宋" w:cs="仿宋"/>
          <w:b/>
          <w:bCs/>
          <w:sz w:val="28"/>
          <w:szCs w:val="28"/>
          <w:highlight w:val="none"/>
        </w:rPr>
        <w:t>二、工程承包范围及承包方式</w:t>
      </w:r>
      <w:bookmarkEnd w:id="148"/>
      <w:bookmarkEnd w:id="149"/>
    </w:p>
    <w:p>
      <w:pPr>
        <w:shd w:val="clear"/>
        <w:snapToGrid w:val="0"/>
        <w:spacing w:line="360" w:lineRule="auto"/>
        <w:ind w:left="239" w:leftChars="114" w:firstLine="280" w:firstLineChars="1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（一）承包范围：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w:t>
      </w:r>
    </w:p>
    <w:p>
      <w:pPr>
        <w:shd w:val="clear"/>
        <w:snapToGrid w:val="0"/>
        <w:spacing w:line="360" w:lineRule="auto"/>
        <w:ind w:left="239" w:leftChars="114" w:firstLine="280" w:firstLineChars="1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（二）承包方式</w:t>
      </w:r>
      <w:r>
        <w:rPr>
          <w:rFonts w:hint="eastAsia" w:ascii="仿宋" w:hAnsi="仿宋" w:eastAsia="仿宋" w:cs="仿宋"/>
          <w:color w:val="auto"/>
          <w:sz w:val="28"/>
          <w:szCs w:val="28"/>
          <w:highlight w:val="none"/>
          <w:lang w:val="en-US" w:eastAsia="zh-CN"/>
        </w:rPr>
        <w:t>及结算原则</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承包方式为工程施工总承包，包括但不限于包工、包料、包工期、包质量、包安全生产、包文明施工、包验收通过、包移交、包结算、包保修等，结算原则为工程量按实结算，综合单价包干，措施项目费包干（综合单价</w:t>
      </w:r>
      <w:r>
        <w:rPr>
          <w:rFonts w:hint="eastAsia" w:ascii="仿宋" w:hAnsi="仿宋" w:eastAsia="仿宋" w:cs="仿宋"/>
          <w:color w:val="auto"/>
          <w:sz w:val="28"/>
          <w:szCs w:val="28"/>
          <w:highlight w:val="none"/>
          <w:u w:val="single"/>
          <w:lang w:val="en-US" w:eastAsia="zh-CN"/>
        </w:rPr>
        <w:t>及措施项目费</w:t>
      </w:r>
      <w:r>
        <w:rPr>
          <w:rFonts w:hint="eastAsia" w:ascii="仿宋" w:hAnsi="仿宋" w:eastAsia="仿宋" w:cs="仿宋"/>
          <w:color w:val="auto"/>
          <w:sz w:val="28"/>
          <w:szCs w:val="28"/>
          <w:highlight w:val="none"/>
          <w:u w:val="single"/>
        </w:rPr>
        <w:t>按</w:t>
      </w:r>
      <w:r>
        <w:rPr>
          <w:rFonts w:hint="eastAsia" w:ascii="仿宋" w:hAnsi="仿宋" w:eastAsia="仿宋" w:cs="仿宋"/>
          <w:color w:val="auto"/>
          <w:sz w:val="28"/>
          <w:szCs w:val="28"/>
          <w:highlight w:val="none"/>
          <w:u w:val="single"/>
          <w:lang w:eastAsia="zh-CN"/>
        </w:rPr>
        <w:t>广州（清远）产业转移工业园财政投资评审中心</w:t>
      </w:r>
      <w:r>
        <w:rPr>
          <w:rFonts w:hint="eastAsia" w:ascii="仿宋" w:hAnsi="仿宋" w:eastAsia="仿宋" w:cs="仿宋"/>
          <w:color w:val="auto"/>
          <w:sz w:val="28"/>
          <w:szCs w:val="28"/>
          <w:highlight w:val="none"/>
          <w:u w:val="single"/>
        </w:rPr>
        <w:t>或其授权的审核单位审定的施工图预算综合单价</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措施项目费包干）。</w:t>
      </w:r>
      <w:r>
        <w:rPr>
          <w:rFonts w:hint="eastAsia" w:ascii="仿宋" w:hAnsi="仿宋" w:eastAsia="仿宋" w:cs="仿宋"/>
          <w:sz w:val="28"/>
          <w:szCs w:val="28"/>
          <w:highlight w:val="none"/>
          <w:u w:val="single"/>
        </w:rPr>
        <w:t>最终结算总价以广州（清远）产业转移工业园财政投资评审中心或其授权的审核单位审定的价格乘以（1-中标下浮率）计算。</w:t>
      </w:r>
    </w:p>
    <w:p>
      <w:pPr>
        <w:shd w:val="clear"/>
        <w:snapToGrid w:val="0"/>
        <w:spacing w:line="360" w:lineRule="auto"/>
        <w:ind w:firstLine="562" w:firstLineChars="200"/>
        <w:outlineLvl w:val="2"/>
        <w:rPr>
          <w:rFonts w:hint="eastAsia" w:ascii="仿宋" w:hAnsi="仿宋" w:eastAsia="仿宋" w:cs="仿宋"/>
          <w:b/>
          <w:bCs/>
          <w:sz w:val="28"/>
          <w:szCs w:val="28"/>
          <w:highlight w:val="none"/>
          <w:u w:val="single"/>
        </w:rPr>
      </w:pPr>
      <w:bookmarkStart w:id="150" w:name="_Toc31634"/>
      <w:bookmarkStart w:id="151" w:name="_Toc32478"/>
      <w:r>
        <w:rPr>
          <w:rFonts w:hint="eastAsia" w:ascii="仿宋" w:hAnsi="仿宋" w:eastAsia="仿宋" w:cs="仿宋"/>
          <w:b/>
          <w:bCs/>
          <w:sz w:val="28"/>
          <w:szCs w:val="28"/>
          <w:highlight w:val="none"/>
        </w:rPr>
        <w:t>三、合同工期</w:t>
      </w:r>
      <w:bookmarkEnd w:id="150"/>
      <w:bookmarkEnd w:id="151"/>
    </w:p>
    <w:p>
      <w:pPr>
        <w:shd w:val="clear"/>
        <w:snapToGrid w:val="0"/>
        <w:spacing w:line="360" w:lineRule="auto"/>
        <w:ind w:left="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暂定开工日期：    年   月   日</w:t>
      </w:r>
    </w:p>
    <w:p>
      <w:pPr>
        <w:shd w:val="clear"/>
        <w:snapToGrid w:val="0"/>
        <w:spacing w:line="360" w:lineRule="auto"/>
        <w:ind w:left="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暂定竣工日期：    年   月   日</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施工工期：</w:t>
      </w:r>
      <w:r>
        <w:rPr>
          <w:rFonts w:hint="eastAsia" w:ascii="仿宋" w:hAnsi="仿宋" w:eastAsia="仿宋" w:cs="仿宋"/>
          <w:sz w:val="28"/>
          <w:szCs w:val="28"/>
          <w:highlight w:val="none"/>
          <w:u w:val="single"/>
        </w:rPr>
        <w:t xml:space="preserve"> xx </w:t>
      </w:r>
      <w:r>
        <w:rPr>
          <w:rFonts w:hint="eastAsia" w:ascii="仿宋" w:hAnsi="仿宋" w:eastAsia="仿宋" w:cs="仿宋"/>
          <w:sz w:val="28"/>
          <w:szCs w:val="28"/>
          <w:highlight w:val="none"/>
        </w:rPr>
        <w:t>日历天，具体工期以实际签订合同为准。</w:t>
      </w:r>
    </w:p>
    <w:p>
      <w:pPr>
        <w:shd w:val="clear"/>
        <w:snapToGrid w:val="0"/>
        <w:spacing w:line="360" w:lineRule="auto"/>
        <w:ind w:firstLine="562" w:firstLineChars="200"/>
        <w:outlineLvl w:val="2"/>
        <w:rPr>
          <w:rFonts w:hint="eastAsia" w:ascii="仿宋" w:hAnsi="仿宋" w:eastAsia="仿宋" w:cs="仿宋"/>
          <w:b/>
          <w:bCs/>
          <w:sz w:val="28"/>
          <w:szCs w:val="28"/>
          <w:highlight w:val="none"/>
        </w:rPr>
      </w:pPr>
      <w:bookmarkStart w:id="152" w:name="_Toc8847"/>
      <w:bookmarkStart w:id="153" w:name="_Toc415"/>
      <w:r>
        <w:rPr>
          <w:rFonts w:hint="eastAsia" w:ascii="仿宋" w:hAnsi="仿宋" w:eastAsia="仿宋" w:cs="仿宋"/>
          <w:b/>
          <w:bCs/>
          <w:sz w:val="28"/>
          <w:szCs w:val="28"/>
          <w:highlight w:val="none"/>
        </w:rPr>
        <w:t>四、质量标准</w:t>
      </w:r>
      <w:bookmarkEnd w:id="152"/>
      <w:bookmarkEnd w:id="153"/>
    </w:p>
    <w:p>
      <w:pPr>
        <w:pStyle w:val="60"/>
        <w:shd w:val="clear"/>
        <w:rPr>
          <w:rFonts w:hint="eastAsia" w:ascii="仿宋" w:hAnsi="仿宋" w:eastAsia="仿宋" w:cs="仿宋"/>
          <w:color w:val="FF0000"/>
          <w:sz w:val="28"/>
          <w:szCs w:val="28"/>
          <w:highlight w:val="none"/>
          <w:u w:val="single"/>
        </w:rPr>
      </w:pPr>
      <w:r>
        <w:rPr>
          <w:rFonts w:hint="eastAsia" w:ascii="仿宋" w:hAnsi="仿宋" w:eastAsia="仿宋" w:cs="仿宋"/>
          <w:sz w:val="28"/>
          <w:szCs w:val="28"/>
          <w:highlight w:val="none"/>
        </w:rPr>
        <w:t>工程质量标准：</w:t>
      </w:r>
      <w:r>
        <w:rPr>
          <w:rFonts w:hint="eastAsia" w:ascii="仿宋" w:hAnsi="仿宋" w:eastAsia="仿宋" w:cs="仿宋"/>
          <w:color w:val="FF0000"/>
          <w:sz w:val="28"/>
          <w:szCs w:val="28"/>
          <w:highlight w:val="none"/>
          <w:u w:val="single"/>
        </w:rPr>
        <w:t>符合国家（或地方）相关工程质量标准及工程施工验收规范，达到合格要求。</w:t>
      </w:r>
    </w:p>
    <w:p>
      <w:pPr>
        <w:shd w:val="clear"/>
        <w:snapToGrid w:val="0"/>
        <w:spacing w:line="360" w:lineRule="auto"/>
        <w:ind w:firstLine="495"/>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对涉及结构安全项目的抽样检测和对进入施工现场的建筑材料、构配件的见证取样检测，由发包方委托，检测费用由发包方单独支付。</w:t>
      </w:r>
    </w:p>
    <w:p>
      <w:pPr>
        <w:shd w:val="clear"/>
        <w:snapToGrid w:val="0"/>
        <w:spacing w:line="360" w:lineRule="auto"/>
        <w:ind w:firstLine="562" w:firstLineChars="200"/>
        <w:outlineLvl w:val="2"/>
        <w:rPr>
          <w:rFonts w:hint="eastAsia" w:ascii="仿宋" w:hAnsi="仿宋" w:eastAsia="仿宋" w:cs="仿宋"/>
          <w:b/>
          <w:bCs/>
          <w:sz w:val="28"/>
          <w:szCs w:val="28"/>
          <w:highlight w:val="none"/>
        </w:rPr>
      </w:pPr>
      <w:bookmarkStart w:id="154" w:name="_Toc3278"/>
      <w:bookmarkStart w:id="155" w:name="_Toc17744"/>
      <w:r>
        <w:rPr>
          <w:rFonts w:hint="eastAsia" w:ascii="仿宋" w:hAnsi="仿宋" w:eastAsia="仿宋" w:cs="仿宋"/>
          <w:b/>
          <w:bCs/>
          <w:sz w:val="28"/>
          <w:szCs w:val="28"/>
          <w:highlight w:val="none"/>
        </w:rPr>
        <w:t>五、合同价款</w:t>
      </w:r>
      <w:bookmarkEnd w:id="154"/>
      <w:bookmarkEnd w:id="155"/>
    </w:p>
    <w:p>
      <w:pPr>
        <w:shd w:val="clear"/>
        <w:spacing w:line="360" w:lineRule="auto"/>
        <w:ind w:firstLine="560" w:firstLineChars="200"/>
        <w:rPr>
          <w:rFonts w:hint="eastAsia" w:ascii="仿宋" w:hAnsi="仿宋" w:eastAsia="仿宋" w:cs="仿宋"/>
          <w:bCs/>
          <w:snapToGrid w:val="0"/>
          <w:color w:val="FF0000"/>
          <w:kern w:val="0"/>
          <w:sz w:val="28"/>
          <w:szCs w:val="28"/>
          <w:highlight w:val="none"/>
        </w:rPr>
      </w:pPr>
      <w:r>
        <w:rPr>
          <w:rFonts w:hint="eastAsia" w:ascii="仿宋" w:hAnsi="仿宋" w:eastAsia="仿宋" w:cs="仿宋"/>
          <w:bCs/>
          <w:snapToGrid w:val="0"/>
          <w:kern w:val="0"/>
          <w:sz w:val="28"/>
          <w:szCs w:val="28"/>
          <w:highlight w:val="none"/>
        </w:rPr>
        <w:t>结合中标下浮率</w:t>
      </w:r>
      <w:r>
        <w:rPr>
          <w:rFonts w:hint="eastAsia" w:ascii="仿宋" w:hAnsi="仿宋" w:eastAsia="仿宋" w:cs="仿宋"/>
          <w:bCs/>
          <w:snapToGrid w:val="0"/>
          <w:kern w:val="0"/>
          <w:sz w:val="28"/>
          <w:szCs w:val="28"/>
          <w:highlight w:val="none"/>
          <w:u w:val="single"/>
        </w:rPr>
        <w:t xml:space="preserve">         %</w:t>
      </w:r>
      <w:r>
        <w:rPr>
          <w:rFonts w:hint="eastAsia" w:ascii="仿宋" w:hAnsi="仿宋" w:eastAsia="仿宋" w:cs="仿宋"/>
          <w:bCs/>
          <w:snapToGrid w:val="0"/>
          <w:kern w:val="0"/>
          <w:sz w:val="28"/>
          <w:szCs w:val="28"/>
          <w:highlight w:val="none"/>
        </w:rPr>
        <w:t>，施工合同价款暂定为￥</w:t>
      </w:r>
      <w:r>
        <w:rPr>
          <w:rFonts w:hint="eastAsia" w:ascii="仿宋" w:hAnsi="仿宋" w:eastAsia="仿宋" w:cs="仿宋"/>
          <w:bCs/>
          <w:snapToGrid w:val="0"/>
          <w:kern w:val="0"/>
          <w:sz w:val="28"/>
          <w:szCs w:val="28"/>
          <w:highlight w:val="none"/>
          <w:u w:val="single"/>
        </w:rPr>
        <w:t xml:space="preserve">               </w:t>
      </w:r>
      <w:r>
        <w:rPr>
          <w:rFonts w:hint="eastAsia" w:ascii="仿宋" w:hAnsi="仿宋" w:eastAsia="仿宋" w:cs="仿宋"/>
          <w:bCs/>
          <w:snapToGrid w:val="0"/>
          <w:kern w:val="0"/>
          <w:sz w:val="28"/>
          <w:szCs w:val="28"/>
          <w:highlight w:val="none"/>
        </w:rPr>
        <w:t>元（大写：人民币</w:t>
      </w:r>
      <w:r>
        <w:rPr>
          <w:rFonts w:hint="eastAsia" w:ascii="仿宋" w:hAnsi="仿宋" w:eastAsia="仿宋" w:cs="仿宋"/>
          <w:bCs/>
          <w:snapToGrid w:val="0"/>
          <w:kern w:val="0"/>
          <w:sz w:val="28"/>
          <w:szCs w:val="28"/>
          <w:highlight w:val="none"/>
          <w:u w:val="single"/>
        </w:rPr>
        <w:t xml:space="preserve">                     </w:t>
      </w:r>
      <w:r>
        <w:rPr>
          <w:rFonts w:hint="eastAsia" w:ascii="仿宋" w:hAnsi="仿宋" w:eastAsia="仿宋" w:cs="仿宋"/>
          <w:bCs/>
          <w:snapToGrid w:val="0"/>
          <w:kern w:val="0"/>
          <w:sz w:val="28"/>
          <w:szCs w:val="28"/>
          <w:highlight w:val="none"/>
        </w:rPr>
        <w:t>）。</w:t>
      </w:r>
    </w:p>
    <w:p>
      <w:pPr>
        <w:shd w:val="clear"/>
        <w:spacing w:line="360" w:lineRule="auto"/>
        <w:ind w:firstLine="560" w:firstLineChars="200"/>
        <w:rPr>
          <w:rFonts w:hint="eastAsia" w:ascii="仿宋" w:hAnsi="仿宋" w:eastAsia="仿宋" w:cs="仿宋"/>
          <w:bCs/>
          <w:snapToGrid w:val="0"/>
          <w:kern w:val="0"/>
          <w:sz w:val="28"/>
          <w:szCs w:val="28"/>
          <w:highlight w:val="none"/>
        </w:rPr>
      </w:pPr>
      <w:r>
        <w:rPr>
          <w:rFonts w:hint="eastAsia" w:ascii="仿宋" w:hAnsi="仿宋" w:eastAsia="仿宋" w:cs="仿宋"/>
          <w:bCs/>
          <w:snapToGrid w:val="0"/>
          <w:kern w:val="0"/>
          <w:sz w:val="28"/>
          <w:szCs w:val="28"/>
          <w:highlight w:val="none"/>
        </w:rPr>
        <w:t>工程结算价款以广州（清远）产业转移工业园财政投资评审中心审定价再乘以(1-中标下浮率)计算，作为工程施工费计量及结算依据。</w:t>
      </w:r>
      <w:r>
        <w:rPr>
          <w:rFonts w:hint="eastAsia" w:ascii="仿宋" w:hAnsi="仿宋" w:eastAsia="仿宋" w:cs="仿宋"/>
          <w:bCs/>
          <w:snapToGrid w:val="0"/>
          <w:kern w:val="0"/>
          <w:sz w:val="28"/>
          <w:szCs w:val="28"/>
          <w:highlight w:val="none"/>
          <w:lang w:val="en-US" w:eastAsia="zh-CN"/>
        </w:rPr>
        <w:t>设计单位</w:t>
      </w:r>
      <w:r>
        <w:rPr>
          <w:rFonts w:hint="eastAsia" w:ascii="仿宋" w:hAnsi="仿宋" w:eastAsia="仿宋" w:cs="仿宋"/>
          <w:bCs/>
          <w:snapToGrid w:val="0"/>
          <w:kern w:val="0"/>
          <w:sz w:val="28"/>
          <w:szCs w:val="28"/>
          <w:highlight w:val="none"/>
        </w:rPr>
        <w:t>完成施工图后报送发包人，由发包人委托造价咨询单位按国家、省、市有关规定编制施工图预算报财政评审部门审核，最终以经审定的综合单价再乘以(1-中标下浮率)作为本工程合同价款的分部分项工程量清单固定综合单价。如遇审计部门审计，本工程最终结算价款以审计部门的审计结果为准。</w:t>
      </w:r>
    </w:p>
    <w:p>
      <w:pPr>
        <w:shd w:val="clear"/>
        <w:snapToGrid w:val="0"/>
        <w:spacing w:line="360" w:lineRule="auto"/>
        <w:ind w:firstLine="562" w:firstLineChars="200"/>
        <w:outlineLvl w:val="2"/>
        <w:rPr>
          <w:rFonts w:hint="eastAsia" w:ascii="仿宋" w:hAnsi="仿宋" w:eastAsia="仿宋" w:cs="仿宋"/>
          <w:b/>
          <w:bCs/>
          <w:sz w:val="28"/>
          <w:szCs w:val="28"/>
          <w:highlight w:val="none"/>
        </w:rPr>
      </w:pPr>
      <w:bookmarkStart w:id="156" w:name="_Toc16106"/>
      <w:bookmarkStart w:id="157" w:name="_Toc12289"/>
      <w:r>
        <w:rPr>
          <w:rFonts w:hint="eastAsia" w:ascii="仿宋" w:hAnsi="仿宋" w:eastAsia="仿宋" w:cs="仿宋"/>
          <w:b/>
          <w:bCs/>
          <w:sz w:val="28"/>
          <w:szCs w:val="28"/>
          <w:highlight w:val="none"/>
        </w:rPr>
        <w:t>六、组成合同的文件</w:t>
      </w:r>
      <w:bookmarkEnd w:id="156"/>
      <w:bookmarkEnd w:id="157"/>
    </w:p>
    <w:p>
      <w:pPr>
        <w:shd w:val="clear"/>
        <w:spacing w:line="360" w:lineRule="auto"/>
        <w:ind w:firstLine="518" w:firstLineChars="185"/>
        <w:rPr>
          <w:rFonts w:hint="eastAsia" w:ascii="仿宋" w:hAnsi="仿宋" w:eastAsia="仿宋" w:cs="仿宋"/>
          <w:sz w:val="28"/>
          <w:szCs w:val="28"/>
          <w:highlight w:val="none"/>
        </w:rPr>
      </w:pPr>
      <w:r>
        <w:rPr>
          <w:rFonts w:hint="eastAsia" w:ascii="仿宋" w:hAnsi="仿宋" w:eastAsia="仿宋" w:cs="仿宋"/>
          <w:sz w:val="28"/>
          <w:szCs w:val="28"/>
          <w:highlight w:val="none"/>
        </w:rPr>
        <w:t>组成本合同的文件包括：</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1.本合同履行期间发包人与承包人双方签订的补充合同（协议）或修正文件；</w:t>
      </w:r>
    </w:p>
    <w:p>
      <w:pPr>
        <w:pStyle w:val="61"/>
        <w:shd w:val="clear"/>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2.本合同协议书；</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3.国家、广东省、广州市、清远市、广州（清远）产业转移工业园管理委员会关于本工程施工的有关文件（发包人在收到后尽快通报给承包人）；</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4.建设业主针对本工程建设管理的各项制度、规定；</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5.中标通知书；</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6.本合同专用条款；</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7.招标文件及附件（包括补充、修改、澄清文件及答疑纪要等）；</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8.本合同通用条款；</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9.投标文件及附件；</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10.联合体投标协议书；</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11.标准、规范和其他有关技术文件；</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12.图纸；</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13.工程量清单；</w:t>
      </w:r>
    </w:p>
    <w:p>
      <w:pPr>
        <w:pStyle w:val="61"/>
        <w:shd w:val="clea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14.合同附件（工程质量保修责任书、项目负责人驻场承诺书等）；</w:t>
      </w:r>
    </w:p>
    <w:p>
      <w:pPr>
        <w:pStyle w:val="61"/>
        <w:shd w:val="clear"/>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双方有关工程的洽商、变更等书面协议或文件视为本合同的组成部分。</w:t>
      </w:r>
    </w:p>
    <w:p>
      <w:pPr>
        <w:pStyle w:val="61"/>
        <w:shd w:val="clear"/>
        <w:ind w:left="0"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七、如发生违约或其他赔偿责任时，承包方各公司对发包方承担连带责任。</w:t>
      </w:r>
    </w:p>
    <w:p>
      <w:pPr>
        <w:pStyle w:val="61"/>
        <w:shd w:val="clear"/>
        <w:ind w:left="0"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八、协议书中有关词语含义与本合同第二部分《通用条款》中分别赋予它们的定义相同。</w:t>
      </w:r>
    </w:p>
    <w:p>
      <w:pPr>
        <w:pStyle w:val="61"/>
        <w:shd w:val="clear"/>
        <w:ind w:left="0"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九、承包人向发包人承诺按照合同约定进行施工、竣工并在质量保修期内承担工程质量保修责任。</w:t>
      </w:r>
    </w:p>
    <w:p>
      <w:pPr>
        <w:pStyle w:val="61"/>
        <w:shd w:val="clear"/>
        <w:ind w:left="0"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十、发包人向承包人承诺按照合同约定的期限和方式支付合同价款及其他应当支付的款项。</w:t>
      </w:r>
    </w:p>
    <w:p>
      <w:pPr>
        <w:pStyle w:val="61"/>
        <w:shd w:val="clear"/>
        <w:ind w:left="0"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十一、合同生效</w:t>
      </w:r>
    </w:p>
    <w:p>
      <w:pPr>
        <w:shd w:val="clear"/>
        <w:snapToGrid w:val="0"/>
        <w:spacing w:line="360" w:lineRule="auto"/>
        <w:ind w:firstLine="482"/>
        <w:rPr>
          <w:rFonts w:hint="eastAsia" w:ascii="仿宋" w:hAnsi="仿宋" w:eastAsia="仿宋" w:cs="仿宋"/>
          <w:bCs/>
          <w:sz w:val="28"/>
          <w:szCs w:val="28"/>
          <w:highlight w:val="none"/>
        </w:rPr>
      </w:pPr>
      <w:r>
        <w:rPr>
          <w:rFonts w:hint="eastAsia" w:ascii="仿宋" w:hAnsi="仿宋" w:eastAsia="仿宋" w:cs="仿宋"/>
          <w:bCs/>
          <w:sz w:val="28"/>
          <w:szCs w:val="28"/>
          <w:highlight w:val="none"/>
        </w:rPr>
        <w:t>合同订立时间：</w:t>
      </w:r>
      <w:r>
        <w:rPr>
          <w:rFonts w:hint="eastAsia" w:ascii="仿宋" w:hAnsi="仿宋" w:eastAsia="仿宋" w:cs="仿宋"/>
          <w:bCs/>
          <w:sz w:val="28"/>
          <w:szCs w:val="28"/>
          <w:highlight w:val="none"/>
          <w:u w:val="single"/>
        </w:rPr>
        <w:t xml:space="preserve"> 202x</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xx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xx </w:t>
      </w:r>
      <w:r>
        <w:rPr>
          <w:rFonts w:hint="eastAsia" w:ascii="仿宋" w:hAnsi="仿宋" w:eastAsia="仿宋" w:cs="仿宋"/>
          <w:bCs/>
          <w:sz w:val="28"/>
          <w:szCs w:val="28"/>
          <w:highlight w:val="none"/>
        </w:rPr>
        <w:t>日</w:t>
      </w:r>
    </w:p>
    <w:p>
      <w:pPr>
        <w:shd w:val="clear"/>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合同订立地点：</w:t>
      </w:r>
      <w:r>
        <w:rPr>
          <w:rFonts w:hint="eastAsia" w:ascii="仿宋" w:hAnsi="仿宋" w:eastAsia="仿宋" w:cs="仿宋"/>
          <w:bCs/>
          <w:sz w:val="28"/>
          <w:szCs w:val="28"/>
          <w:highlight w:val="none"/>
          <w:u w:val="single"/>
        </w:rPr>
        <w:t xml:space="preserve"> 广东省清远市清城区石角镇广清产业园广州路一号企业服务中心</w:t>
      </w:r>
      <w:r>
        <w:rPr>
          <w:rFonts w:hint="eastAsia" w:ascii="仿宋" w:hAnsi="仿宋" w:eastAsia="仿宋" w:cs="仿宋"/>
          <w:bCs/>
          <w:sz w:val="28"/>
          <w:szCs w:val="28"/>
          <w:highlight w:val="none"/>
        </w:rPr>
        <w:t xml:space="preserve">。 </w:t>
      </w:r>
    </w:p>
    <w:p>
      <w:pPr>
        <w:shd w:val="clear"/>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本合同双方约定：</w:t>
      </w:r>
      <w:r>
        <w:rPr>
          <w:rFonts w:hint="eastAsia" w:ascii="仿宋" w:hAnsi="仿宋" w:eastAsia="仿宋" w:cs="仿宋"/>
          <w:bCs/>
          <w:sz w:val="28"/>
          <w:szCs w:val="28"/>
          <w:highlight w:val="none"/>
          <w:u w:val="single"/>
        </w:rPr>
        <w:t>双方签名、盖章</w:t>
      </w:r>
      <w:r>
        <w:rPr>
          <w:rFonts w:hint="eastAsia" w:ascii="仿宋" w:hAnsi="仿宋" w:eastAsia="仿宋" w:cs="仿宋"/>
          <w:bCs/>
          <w:sz w:val="28"/>
          <w:szCs w:val="28"/>
          <w:highlight w:val="none"/>
        </w:rPr>
        <w:t>后生效。</w:t>
      </w:r>
    </w:p>
    <w:p>
      <w:pPr>
        <w:shd w:val="clear"/>
        <w:snapToGrid w:val="0"/>
        <w:spacing w:line="360" w:lineRule="auto"/>
        <w:ind w:firstLine="480"/>
        <w:rPr>
          <w:rFonts w:hint="eastAsia" w:ascii="仿宋" w:hAnsi="仿宋" w:eastAsia="仿宋" w:cs="仿宋"/>
          <w:bCs/>
          <w:sz w:val="28"/>
          <w:szCs w:val="28"/>
          <w:highlight w:val="none"/>
        </w:rPr>
      </w:pPr>
    </w:p>
    <w:tbl>
      <w:tblPr>
        <w:tblStyle w:val="20"/>
        <w:tblW w:w="0" w:type="auto"/>
        <w:jc w:val="center"/>
        <w:tblLayout w:type="fixed"/>
        <w:tblCellMar>
          <w:top w:w="0" w:type="dxa"/>
          <w:left w:w="108" w:type="dxa"/>
          <w:bottom w:w="0" w:type="dxa"/>
          <w:right w:w="108" w:type="dxa"/>
        </w:tblCellMar>
      </w:tblPr>
      <w:tblGrid>
        <w:gridCol w:w="1395"/>
        <w:gridCol w:w="2600"/>
        <w:gridCol w:w="1450"/>
        <w:gridCol w:w="3100"/>
      </w:tblGrid>
      <w:tr>
        <w:tblPrEx>
          <w:tblCellMar>
            <w:top w:w="0" w:type="dxa"/>
            <w:left w:w="108" w:type="dxa"/>
            <w:bottom w:w="0" w:type="dxa"/>
            <w:right w:w="108" w:type="dxa"/>
          </w:tblCellMar>
        </w:tblPrEx>
        <w:trPr>
          <w:trHeight w:val="1021"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发包人：</w:t>
            </w:r>
          </w:p>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（公章）</w:t>
            </w: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广州（清远）产业转移工业园财政投资项目管理中心</w:t>
            </w: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color w:val="FF0000"/>
                <w:kern w:val="0"/>
                <w:sz w:val="28"/>
                <w:szCs w:val="28"/>
                <w:highlight w:val="none"/>
              </w:rPr>
              <w:t>承包人</w:t>
            </w:r>
            <w:r>
              <w:rPr>
                <w:rFonts w:hint="eastAsia" w:ascii="仿宋" w:hAnsi="仿宋" w:eastAsia="仿宋" w:cs="仿宋"/>
                <w:b/>
                <w:bCs/>
                <w:kern w:val="0"/>
                <w:sz w:val="28"/>
                <w:szCs w:val="28"/>
                <w:highlight w:val="none"/>
              </w:rPr>
              <w:t>：</w:t>
            </w:r>
          </w:p>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（公章）</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1021"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住 所：</w:t>
            </w: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清远市清城区石角镇广清产业园广州路一号企业服务中心</w:t>
            </w: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住 所：</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1021"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法定代表或</w:t>
            </w:r>
          </w:p>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委托代理人：</w:t>
            </w:r>
          </w:p>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（签字）</w:t>
            </w: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法定代表或</w:t>
            </w:r>
          </w:p>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委托代理人：</w:t>
            </w:r>
          </w:p>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（签字）</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896"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电    话：</w:t>
            </w: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0763-6979805</w:t>
            </w: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电    话：</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465" w:hRule="atLeast"/>
          <w:jc w:val="center"/>
        </w:trPr>
        <w:tc>
          <w:tcPr>
            <w:tcW w:w="1395" w:type="dxa"/>
            <w:noWrap w:val="0"/>
            <w:vAlign w:val="center"/>
          </w:tcPr>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邮政编码：</w:t>
            </w: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511500</w:t>
            </w: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开户银行：</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696"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账  号：</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r>
        <w:tblPrEx>
          <w:tblCellMar>
            <w:top w:w="0" w:type="dxa"/>
            <w:left w:w="108" w:type="dxa"/>
            <w:bottom w:w="0" w:type="dxa"/>
            <w:right w:w="108" w:type="dxa"/>
          </w:tblCellMar>
        </w:tblPrEx>
        <w:trPr>
          <w:trHeight w:val="446" w:hRule="atLeast"/>
          <w:jc w:val="center"/>
        </w:trPr>
        <w:tc>
          <w:tcPr>
            <w:tcW w:w="1395"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c>
          <w:tcPr>
            <w:tcW w:w="2600" w:type="dxa"/>
            <w:noWrap w:val="0"/>
            <w:vAlign w:val="center"/>
          </w:tcPr>
          <w:p>
            <w:pPr>
              <w:widowControl/>
              <w:shd w:val="clear"/>
              <w:wordWrap w:val="0"/>
              <w:topLinePunct/>
              <w:autoSpaceDN w:val="0"/>
              <w:snapToGrid w:val="0"/>
              <w:spacing w:line="360" w:lineRule="auto"/>
              <w:rPr>
                <w:rFonts w:hint="eastAsia" w:ascii="仿宋" w:hAnsi="仿宋" w:eastAsia="仿宋" w:cs="仿宋"/>
                <w:kern w:val="0"/>
                <w:sz w:val="28"/>
                <w:szCs w:val="28"/>
                <w:highlight w:val="none"/>
              </w:rPr>
            </w:pPr>
          </w:p>
        </w:tc>
        <w:tc>
          <w:tcPr>
            <w:tcW w:w="145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邮政编码：</w:t>
            </w:r>
          </w:p>
        </w:tc>
        <w:tc>
          <w:tcPr>
            <w:tcW w:w="3100" w:type="dxa"/>
            <w:noWrap w:val="0"/>
            <w:vAlign w:val="center"/>
          </w:tcPr>
          <w:p>
            <w:pPr>
              <w:widowControl/>
              <w:shd w:val="clear"/>
              <w:wordWrap w:val="0"/>
              <w:topLinePunct/>
              <w:autoSpaceDN w:val="0"/>
              <w:snapToGrid w:val="0"/>
              <w:spacing w:line="360" w:lineRule="auto"/>
              <w:rPr>
                <w:rFonts w:hint="eastAsia" w:ascii="仿宋" w:hAnsi="仿宋" w:eastAsia="仿宋" w:cs="仿宋"/>
                <w:b/>
                <w:bCs/>
                <w:kern w:val="0"/>
                <w:sz w:val="28"/>
                <w:szCs w:val="28"/>
                <w:highlight w:val="none"/>
              </w:rPr>
            </w:pPr>
          </w:p>
        </w:tc>
      </w:tr>
    </w:tbl>
    <w:p>
      <w:pPr>
        <w:shd w:val="clear"/>
        <w:snapToGrid w:val="0"/>
        <w:spacing w:line="360" w:lineRule="auto"/>
        <w:ind w:firstLine="140" w:firstLineChars="50"/>
        <w:jc w:val="center"/>
        <w:outlineLvl w:val="1"/>
        <w:rPr>
          <w:rFonts w:hint="eastAsia" w:ascii="宋体" w:hAnsi="宋体" w:cs="宋体"/>
          <w:sz w:val="32"/>
          <w:szCs w:val="32"/>
          <w:highlight w:val="none"/>
        </w:rPr>
      </w:pPr>
      <w:r>
        <w:rPr>
          <w:rFonts w:hint="eastAsia" w:ascii="仿宋" w:hAnsi="仿宋" w:eastAsia="仿宋" w:cs="仿宋"/>
          <w:bCs/>
          <w:sz w:val="28"/>
          <w:szCs w:val="28"/>
          <w:highlight w:val="none"/>
        </w:rPr>
        <w:br w:type="page"/>
      </w:r>
      <w:bookmarkStart w:id="158" w:name="_Toc27271"/>
      <w:r>
        <w:rPr>
          <w:rFonts w:hint="eastAsia" w:ascii="宋体" w:hAnsi="宋体" w:cs="宋体"/>
          <w:b/>
          <w:sz w:val="32"/>
          <w:szCs w:val="32"/>
          <w:highlight w:val="none"/>
        </w:rPr>
        <w:t>第二部分</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通用条款</w:t>
      </w:r>
      <w:bookmarkEnd w:id="158"/>
    </w:p>
    <w:p>
      <w:pPr>
        <w:shd w:val="clear"/>
        <w:spacing w:line="360" w:lineRule="auto"/>
        <w:jc w:val="center"/>
        <w:rPr>
          <w:rFonts w:hint="eastAsia" w:ascii="宋体" w:hAnsi="宋体" w:cs="宋体"/>
          <w:sz w:val="32"/>
          <w:szCs w:val="32"/>
          <w:highlight w:val="none"/>
        </w:rPr>
      </w:pP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一、词语定义及合同文件</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59" w:name="_Toc11022"/>
      <w:bookmarkStart w:id="160" w:name="_Toc30439"/>
      <w:r>
        <w:rPr>
          <w:rFonts w:hint="eastAsia" w:ascii="仿宋" w:hAnsi="仿宋" w:eastAsia="仿宋" w:cs="仿宋"/>
          <w:b/>
          <w:bCs/>
          <w:sz w:val="28"/>
          <w:szCs w:val="28"/>
          <w:highlight w:val="none"/>
        </w:rPr>
        <w:t>1.词语定义</w:t>
      </w:r>
      <w:bookmarkEnd w:id="159"/>
      <w:bookmarkEnd w:id="160"/>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下列词语除专用条款另有约定外，应具有本条所赋予的定义：</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 通用条款：是根据法律、行政法规规定及建设工程施工的需要订立，通用于建设工程施工的条款。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 专用条款：是发包人与承包人根据法律、行政法规规定，结合具体工程实际，经协商达成一致意见的条款，是对通用条款的具体化、补充或修改。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 发包人：指在协议书中约定，具有工程发包主体资格和支付工程价款能力的当事人以及取得该当事人资格的合法继承人。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1.4 承包人：指在协议书中约定，被发包人接受的具有工程施工承包主体资格的当事人以及取得该当事人资格的合法继承人。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1.5 项目负责人：指承包人在专用条款中指定的负责施工管理和合同履行的代表。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1.6 设计单位：指发包人委托的负责本工程设计并取得相应工程设计资质等级证书的单位。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1.7 监理单位：指发包人委托的负责本工程监理并取得相应在工程监理资质等级证书的单位。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1.8 工程师：指本工程监理单位委派的总监理工程师或发包人指定的履行本合同的代表，其具体身份和职权由发包人承包人在专用条款中约定。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 工程造价管理部门：指国务院有关部门、县级以上人民政府建设行政主管部门或其委托的工程造价管理机构。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1.10 工程：指发包人承包人在协议书中约定的承包范围内的工程。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1.11 合同价款：指发包人承包人在协议书中约定，发包人用以支付承包人按照合同约定完成承包范围内全部工程并承担质量保修责任的款项。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1.12 追加合同价款：指在合同履行中发生需要增加合同价款的情况，经发包人确认后按计算合同价款的方法增加的合同价款。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1.13 费用：指不包含在合同价款之内的应当由发包人或承包人承担的经济支出。</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1.14 工期：指发包人承包人在协议书中约定，按总日历天数（包括法定节假日）计算的承包天数。</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1.15 开工日期：指发包人承包人在协议书中约定，承包人开始施工的绝对或相对的日期。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1.16 竣工日期：指发包人承包人在协议书中约定，承包人完成承包范围内工程的绝对或相对的日期。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1.17 图纸：指由发包人提供或承包人提供并经发包人批准，满足承包人施工需要的所有图纸（包括配套说明和有关资料）。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1.18 施工场地：指由发包人提供的用于工程施工的场所以及发包人在图纸中具体指定的供施工使用的任何其他场所。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1.19 书面形式：指合同书、信件和数据电文（包括电报、电传、传真、电子数据交换和电子邮件）等可以有形地表现所载内容的形式。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1.20 违约责任：指合同一方不履行合同义务或履行合同义务不符合约定所应承担的责任。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1.21 索赔：指在合同履行过程中，对于并非自己的过错，而是应由对方承担责任的情况造成的实际损失，向对方提出经济补偿和（或）工期顺延的要求。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1.22 不可抗力：指不能预见、不能避免并不能克服的客观情况。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61" w:name="_Toc14445"/>
      <w:bookmarkStart w:id="162" w:name="_Toc17359"/>
      <w:r>
        <w:rPr>
          <w:rFonts w:hint="eastAsia" w:ascii="仿宋" w:hAnsi="仿宋" w:eastAsia="仿宋" w:cs="仿宋"/>
          <w:b/>
          <w:bCs/>
          <w:sz w:val="28"/>
          <w:szCs w:val="28"/>
          <w:highlight w:val="none"/>
        </w:rPr>
        <w:t>2、合同文件及解释顺序</w:t>
      </w:r>
      <w:bookmarkEnd w:id="161"/>
      <w:bookmarkEnd w:id="16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 合同文件应能相互解释，互为说明。除专用条款另有约定外，组成本合同的文件及优先解释顺序如下：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（1）本合同协议书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（2）中标通知书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（3）投标书及其附件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（4）本合同专用条款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（5）本合同通用条款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（6）标准、规范及有关技术文件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（7）图纸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（8）工程量清单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（9）工程报价单或预算书</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合同履行中，发包人承包人有关工程的洽商、变更等书面协议或文件视为本合同的组成部分。</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63" w:name="_Toc15679"/>
      <w:bookmarkStart w:id="164" w:name="_Toc12409"/>
      <w:r>
        <w:rPr>
          <w:rFonts w:hint="eastAsia" w:ascii="仿宋" w:hAnsi="仿宋" w:eastAsia="仿宋" w:cs="仿宋"/>
          <w:b/>
          <w:bCs/>
          <w:sz w:val="28"/>
          <w:szCs w:val="28"/>
          <w:highlight w:val="none"/>
        </w:rPr>
        <w:t>3、语言文字和适用法律、标准及规范</w:t>
      </w:r>
      <w:bookmarkEnd w:id="163"/>
      <w:bookmarkEnd w:id="164"/>
      <w:r>
        <w:rPr>
          <w:rFonts w:hint="eastAsia" w:ascii="仿宋" w:hAnsi="仿宋" w:eastAsia="仿宋" w:cs="仿宋"/>
          <w:b/>
          <w:bCs/>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 语言文字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本合同文件使用汉语语言文字书写、解释和说明。如专用条款约定使用两种以上（含两种）语言文字时，汉语应为解释和说明本合同的标准语言文字。</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在少数民族地区，双方可以约定使用少数民族语言文字书写和解释、说明本合同。</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 适用法律和法规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本合同文件适用国家的法律和行政法规。需要明示的法律、行政法规，由双方在专用条款中约定。</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3.3 适用标准、规范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国内没有相应标准、规范的，由发包人按专用条款约定的时间向承包人</w:t>
      </w:r>
      <w:r>
        <w:rPr>
          <w:rFonts w:hint="eastAsia" w:ascii="仿宋" w:hAnsi="仿宋" w:eastAsia="仿宋" w:cs="仿宋"/>
          <w:spacing w:val="4"/>
          <w:sz w:val="28"/>
          <w:szCs w:val="28"/>
          <w:highlight w:val="none"/>
        </w:rPr>
        <w:t>提出施工技术要求，承包人按约定的时间和要求提出施工工艺，经发包人认</w:t>
      </w:r>
      <w:r>
        <w:rPr>
          <w:rFonts w:hint="eastAsia" w:ascii="仿宋" w:hAnsi="仿宋" w:eastAsia="仿宋" w:cs="仿宋"/>
          <w:sz w:val="28"/>
          <w:szCs w:val="28"/>
          <w:highlight w:val="none"/>
        </w:rPr>
        <w:t>可后执行。发包人要求使用国外标准、规范的，应负责提供中文译本。</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本条所发生的购买、翻译标准、规范或制定施工工艺的费用，由发包人承担。</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65" w:name="_Toc13357"/>
      <w:bookmarkStart w:id="166" w:name="_Toc19915"/>
      <w:r>
        <w:rPr>
          <w:rFonts w:hint="eastAsia" w:ascii="仿宋" w:hAnsi="仿宋" w:eastAsia="仿宋" w:cs="仿宋"/>
          <w:b/>
          <w:bCs/>
          <w:sz w:val="28"/>
          <w:szCs w:val="28"/>
          <w:highlight w:val="none"/>
        </w:rPr>
        <w:t>4、图纸</w:t>
      </w:r>
      <w:bookmarkEnd w:id="165"/>
      <w:bookmarkEnd w:id="166"/>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4.2 承包人未经发包人同意，不得将本工程图纸转给第三人。工程质量保修期满后，除承包人存档需要的图纸外，应将全部图纸退还给发包人。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4.3 承包人应在施工现场保留一套完整图纸，供工程师及有关人员进行工程检查时使用。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二、双方一般权利和义务</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67" w:name="_Toc3522"/>
      <w:bookmarkStart w:id="168" w:name="_Toc16501"/>
      <w:r>
        <w:rPr>
          <w:rFonts w:hint="eastAsia" w:ascii="仿宋" w:hAnsi="仿宋" w:eastAsia="仿宋" w:cs="仿宋"/>
          <w:b/>
          <w:bCs/>
          <w:sz w:val="28"/>
          <w:szCs w:val="28"/>
          <w:highlight w:val="none"/>
        </w:rPr>
        <w:t>5、工程师</w:t>
      </w:r>
      <w:bookmarkEnd w:id="167"/>
      <w:bookmarkEnd w:id="168"/>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5.1实行工程监理的，发包人应在实施监理前将委托的监理单位名称、监理内容及监理权限以书面形式通知承包人。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5.3</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5.5 除合同内有明确约定或经发包人同意外，负责监理的工程师无权解除本合同约定的承包人的任何权利与义务。</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5.6</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 xml:space="preserve">不实行工程监理的，本合同中工程师专指发包人派驻施工现场履行合同的代表，其具体职权由发包人在专用条款中写明。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69" w:name="_Toc1192"/>
      <w:bookmarkStart w:id="170" w:name="_Toc124"/>
      <w:r>
        <w:rPr>
          <w:rFonts w:hint="eastAsia" w:ascii="仿宋" w:hAnsi="仿宋" w:eastAsia="仿宋" w:cs="仿宋"/>
          <w:b/>
          <w:bCs/>
          <w:sz w:val="28"/>
          <w:szCs w:val="28"/>
          <w:highlight w:val="none"/>
        </w:rPr>
        <w:t>6、工程师的委派和指令</w:t>
      </w:r>
      <w:bookmarkEnd w:id="169"/>
      <w:bookmarkEnd w:id="17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除工程师或工程师代表外，发包人派驻工地的其他人员均无权向承包人发出任何指令。</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本款规定同样适用于由工程师代表发出的指令、通知。</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6.3 工程师应按合同约定，及时向承包人提供所需指令、批准并履行约定的</w:t>
      </w:r>
      <w:r>
        <w:rPr>
          <w:rFonts w:hint="eastAsia" w:ascii="仿宋" w:hAnsi="仿宋" w:eastAsia="仿宋" w:cs="仿宋"/>
          <w:spacing w:val="4"/>
          <w:sz w:val="28"/>
          <w:szCs w:val="28"/>
          <w:highlight w:val="none"/>
        </w:rPr>
        <w:t>其他义务。由于工程师未能按合同约定履行义务造成工期延误，发包人应承</w:t>
      </w:r>
      <w:r>
        <w:rPr>
          <w:rFonts w:hint="eastAsia" w:ascii="仿宋" w:hAnsi="仿宋" w:eastAsia="仿宋" w:cs="仿宋"/>
          <w:sz w:val="28"/>
          <w:szCs w:val="28"/>
          <w:highlight w:val="none"/>
        </w:rPr>
        <w:t>担延误造成的追加合同价款，并赔偿承包人有关损失，顺延延误的工期。</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6.4 如需更换工程师，发包人应至少提前7天以书面形式通知承包人，后任继续行使合同文件约定的前任的职权，履行前任的义务。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71" w:name="_Toc12129"/>
      <w:bookmarkStart w:id="172" w:name="_Toc14882"/>
      <w:r>
        <w:rPr>
          <w:rFonts w:hint="eastAsia" w:ascii="仿宋" w:hAnsi="仿宋" w:eastAsia="仿宋" w:cs="仿宋"/>
          <w:b/>
          <w:bCs/>
          <w:sz w:val="28"/>
          <w:szCs w:val="28"/>
          <w:highlight w:val="none"/>
        </w:rPr>
        <w:t>7、项目负责人</w:t>
      </w:r>
      <w:bookmarkEnd w:id="171"/>
      <w:bookmarkEnd w:id="172"/>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7.1</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项目负责人的姓名、职务在专用条款内写明。</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7.2</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承包人依据合同发出的通知，以书面形式由项目负责人签字后送交工程师，工程师在回执上签署姓名和收到时间后生效。</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7.3</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 xml:space="preserve">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7.4 承包人如需更换项目负责人，应至少提前7天以书面形式通知发包人，并征得发包人同意。后任继续行使合同文件约定的前任的职权，履行前任的义务。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7.5</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发包人可以与承包人协商，建议更换其认为不称职的项目负责人。</w:t>
      </w:r>
    </w:p>
    <w:p>
      <w:pPr>
        <w:shd w:val="clear"/>
        <w:spacing w:line="360" w:lineRule="auto"/>
        <w:ind w:firstLine="481" w:firstLineChars="171"/>
        <w:outlineLvl w:val="2"/>
        <w:rPr>
          <w:rFonts w:hint="eastAsia" w:ascii="仿宋" w:hAnsi="仿宋" w:eastAsia="仿宋" w:cs="仿宋"/>
          <w:sz w:val="28"/>
          <w:szCs w:val="28"/>
          <w:highlight w:val="none"/>
        </w:rPr>
      </w:pPr>
      <w:bookmarkStart w:id="173" w:name="_Toc6820"/>
      <w:bookmarkStart w:id="174" w:name="_Toc29165"/>
      <w:r>
        <w:rPr>
          <w:rFonts w:hint="eastAsia" w:ascii="仿宋" w:hAnsi="仿宋" w:eastAsia="仿宋" w:cs="仿宋"/>
          <w:b/>
          <w:bCs/>
          <w:sz w:val="28"/>
          <w:szCs w:val="28"/>
          <w:highlight w:val="none"/>
        </w:rPr>
        <w:t>8、发包人工作</w:t>
      </w:r>
      <w:bookmarkEnd w:id="173"/>
      <w:bookmarkEnd w:id="174"/>
      <w:r>
        <w:rPr>
          <w:rFonts w:hint="eastAsia" w:ascii="仿宋" w:hAnsi="仿宋" w:eastAsia="仿宋" w:cs="仿宋"/>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8.1 发包人按专用条款约定的内容和时间完成以下工作: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办理土地征用、拆迁补偿、平整施工场地等工作，使施工场地具备施工条件，在开工后继续负责解决以上事项遗留问题；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将施工所需水、电、电讯线路从施工场地外部接至专用条款约定地点，保证施工期间的需要；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开通施工场地与城乡公共道路的通道，以及专用条款约定的施工场地内的主要道路，满足施工运输的需要，保证施工期间的畅通。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向承包人提供施工场地的工程地质和地下管线资料，对资料的真实准确性负责；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 确定水准点与坐标控制点，以书面形式交给承包人，进行现场交验；</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(6) 组织承包人和设计单位进行图纸会审和设计交底；</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 协调管理施工场地周围地下管线和邻近建筑物、构筑物（包括文物保护建筑）、古树名木的保护工作，承担有关费用；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(8) 发包人应做的其他工作，双方在专用条款内约定。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8.2 发包人未履行8.1款各项义务，导致工期延误或给承包人造成损失的，发包人未履行8.1款各项义务，导致工期延误或给承包人造成损失的，发包人顺延延误的工期。 </w:t>
      </w:r>
    </w:p>
    <w:p>
      <w:pPr>
        <w:shd w:val="clear"/>
        <w:spacing w:line="360" w:lineRule="auto"/>
        <w:ind w:firstLine="481" w:firstLineChars="171"/>
        <w:outlineLvl w:val="2"/>
        <w:rPr>
          <w:rFonts w:hint="eastAsia" w:ascii="仿宋" w:hAnsi="仿宋" w:eastAsia="仿宋" w:cs="仿宋"/>
          <w:sz w:val="28"/>
          <w:szCs w:val="28"/>
          <w:highlight w:val="none"/>
        </w:rPr>
      </w:pPr>
      <w:bookmarkStart w:id="175" w:name="_Toc18416"/>
      <w:bookmarkStart w:id="176" w:name="_Toc10254"/>
      <w:r>
        <w:rPr>
          <w:rFonts w:hint="eastAsia" w:ascii="仿宋" w:hAnsi="仿宋" w:eastAsia="仿宋" w:cs="仿宋"/>
          <w:b/>
          <w:bCs/>
          <w:sz w:val="28"/>
          <w:szCs w:val="28"/>
          <w:highlight w:val="none"/>
        </w:rPr>
        <w:t>9、承包人工作</w:t>
      </w:r>
      <w:bookmarkEnd w:id="175"/>
      <w:bookmarkEnd w:id="176"/>
      <w:r>
        <w:rPr>
          <w:rFonts w:hint="eastAsia" w:ascii="仿宋" w:hAnsi="仿宋" w:eastAsia="仿宋" w:cs="仿宋"/>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9.1 承包人按专用条款约定的内容和时间完成以下工作：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(1)根据发包人委托，在其设计资质等级和业务允许的范围内，完成施工图设计或与工程配套的设计，经工程师确认后使用，发包人承担由此发生的费用；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(2)向工程师提供年、季、月度工程进度计划及相应进度统计报表；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(3)根据工程需要，提供和维修非夜间施工使用的照明、围栏设施，并负责安全保卫；</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(4)按专用条款约定的数量和要求，向发包人提供施工场地办公和生活的房屋及设施，发包人承担由此发生的费用；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(5)遵守政府有关主管部门对施工场地交通、施工噪音以及环境保护和安全生产等的管理规定，按规定办理有关手续，并以书面形式通知发包人，发包人承担由此发生的费用，因承包人责任造成的罚款除外；</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(7)按专用条款约定做好施工场地地下管线和邻近建筑物、构筑物（包括文物保护建筑）、古树名木的保护工作；</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(8)保证施工场地清洁符合环境卫生管理的有关规定，交工前清理现场达到专用条款约定的要求，承担因自身原因违反有关规定造成的损失和罚款；</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pacing w:val="-6"/>
          <w:sz w:val="28"/>
          <w:szCs w:val="28"/>
          <w:highlight w:val="none"/>
        </w:rPr>
        <w:t>办理施工许可证及施工所需证件、批件和临时用地、停水、停电、中断</w:t>
      </w:r>
      <w:r>
        <w:rPr>
          <w:rFonts w:hint="eastAsia" w:ascii="仿宋" w:hAnsi="仿宋" w:eastAsia="仿宋" w:cs="仿宋"/>
          <w:sz w:val="28"/>
          <w:szCs w:val="28"/>
          <w:highlight w:val="none"/>
        </w:rPr>
        <w:t>道路交通、爆破作业等的申请批准手续（证明承包人自身资质的证件除外）；</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(10)承包人应做的其他工作，</w:t>
      </w:r>
      <w:r>
        <w:rPr>
          <w:rFonts w:hint="eastAsia" w:ascii="仿宋" w:hAnsi="仿宋" w:eastAsia="仿宋" w:cs="仿宋"/>
          <w:spacing w:val="-6"/>
          <w:sz w:val="28"/>
          <w:szCs w:val="28"/>
          <w:highlight w:val="none"/>
        </w:rPr>
        <w:t>双方</w:t>
      </w:r>
      <w:r>
        <w:rPr>
          <w:rFonts w:hint="eastAsia" w:ascii="仿宋" w:hAnsi="仿宋" w:eastAsia="仿宋" w:cs="仿宋"/>
          <w:sz w:val="28"/>
          <w:szCs w:val="28"/>
          <w:highlight w:val="none"/>
        </w:rPr>
        <w:t>在专用条款内约定。</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9.2承包人未能履行9.1款各项义务，造成发包人损失的，承包人赔偿发包人有关损失。</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三、施工组织设计和工期</w:t>
      </w:r>
    </w:p>
    <w:p>
      <w:pPr>
        <w:shd w:val="clear"/>
        <w:spacing w:line="360" w:lineRule="auto"/>
        <w:ind w:firstLine="481" w:firstLineChars="171"/>
        <w:outlineLvl w:val="2"/>
        <w:rPr>
          <w:rFonts w:hint="eastAsia" w:ascii="仿宋" w:hAnsi="仿宋" w:eastAsia="仿宋" w:cs="仿宋"/>
          <w:sz w:val="28"/>
          <w:szCs w:val="28"/>
          <w:highlight w:val="none"/>
        </w:rPr>
      </w:pPr>
      <w:bookmarkStart w:id="177" w:name="_Toc31370"/>
      <w:bookmarkStart w:id="178" w:name="_Toc11776"/>
      <w:r>
        <w:rPr>
          <w:rFonts w:hint="eastAsia" w:ascii="仿宋" w:hAnsi="仿宋" w:eastAsia="仿宋" w:cs="仿宋"/>
          <w:b/>
          <w:bCs/>
          <w:sz w:val="28"/>
          <w:szCs w:val="28"/>
          <w:highlight w:val="none"/>
        </w:rPr>
        <w:t>10、进度计划</w:t>
      </w:r>
      <w:bookmarkEnd w:id="177"/>
      <w:bookmarkEnd w:id="178"/>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10.2群体工程中单位工程分期进行施工的，承包人应按照发包人提供图纸及有关资料的时间，按单位工程编制进度计划，其具体内容双方在专用条款中约定。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79" w:name="_Toc25252"/>
      <w:bookmarkStart w:id="180" w:name="_Toc6636"/>
      <w:r>
        <w:rPr>
          <w:rFonts w:hint="eastAsia" w:ascii="仿宋" w:hAnsi="仿宋" w:eastAsia="仿宋" w:cs="仿宋"/>
          <w:b/>
          <w:bCs/>
          <w:sz w:val="28"/>
          <w:szCs w:val="28"/>
          <w:highlight w:val="none"/>
        </w:rPr>
        <w:t>11、开工及延期开工</w:t>
      </w:r>
      <w:bookmarkEnd w:id="179"/>
      <w:bookmarkEnd w:id="18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11.2因发包人原因不能按照协议书约定的开工日期开工，工程师应以书面形式通知承包人，推迟开工日期。发包人赔偿承包人因延期开工造成的损失，并相应顺延工期。</w:t>
      </w:r>
    </w:p>
    <w:p>
      <w:pPr>
        <w:shd w:val="clear"/>
        <w:spacing w:line="360" w:lineRule="auto"/>
        <w:ind w:firstLine="481" w:firstLineChars="171"/>
        <w:outlineLvl w:val="2"/>
        <w:rPr>
          <w:rFonts w:hint="eastAsia" w:ascii="仿宋" w:hAnsi="仿宋" w:eastAsia="仿宋" w:cs="仿宋"/>
          <w:sz w:val="28"/>
          <w:szCs w:val="28"/>
          <w:highlight w:val="none"/>
        </w:rPr>
      </w:pPr>
      <w:bookmarkStart w:id="181" w:name="_Toc22266"/>
      <w:bookmarkStart w:id="182" w:name="_Toc15921"/>
      <w:r>
        <w:rPr>
          <w:rFonts w:hint="eastAsia" w:ascii="仿宋" w:hAnsi="仿宋" w:eastAsia="仿宋" w:cs="仿宋"/>
          <w:b/>
          <w:bCs/>
          <w:sz w:val="28"/>
          <w:szCs w:val="28"/>
          <w:highlight w:val="none"/>
        </w:rPr>
        <w:t>12、暂停施工</w:t>
      </w:r>
      <w:bookmarkEnd w:id="181"/>
      <w:bookmarkEnd w:id="182"/>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hd w:val="clear"/>
        <w:spacing w:line="360" w:lineRule="auto"/>
        <w:ind w:firstLine="481" w:firstLineChars="171"/>
        <w:outlineLvl w:val="2"/>
        <w:rPr>
          <w:rFonts w:hint="eastAsia" w:ascii="仿宋" w:hAnsi="仿宋" w:eastAsia="仿宋" w:cs="仿宋"/>
          <w:sz w:val="28"/>
          <w:szCs w:val="28"/>
          <w:highlight w:val="none"/>
        </w:rPr>
      </w:pPr>
      <w:bookmarkStart w:id="183" w:name="_Toc28453"/>
      <w:bookmarkStart w:id="184" w:name="_Toc30034"/>
      <w:r>
        <w:rPr>
          <w:rFonts w:hint="eastAsia" w:ascii="仿宋" w:hAnsi="仿宋" w:eastAsia="仿宋" w:cs="仿宋"/>
          <w:b/>
          <w:bCs/>
          <w:sz w:val="28"/>
          <w:szCs w:val="28"/>
          <w:highlight w:val="none"/>
        </w:rPr>
        <w:t>13、工期延误</w:t>
      </w:r>
      <w:bookmarkEnd w:id="183"/>
      <w:bookmarkEnd w:id="184"/>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13.1因以下原因造成工期延误，经工程师确认工期相应顺延；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发包人未能按专用条款的约定提供图纸及开工条件；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 发包人未能按约定日期支付工程预付款、进度款，致使施工不能正常进行；</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 工程师未按合同约定提供所需指令、批准等，致使施工不能正常进行；</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设计变更和工程量增加；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(5) 一周内非承包人原因停水、停电、停气造成停工累计超过8小时；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(6) 不可抗力；</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(7) 专用条款中约定或工程师同意工期顺延的其他情况。</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13.2承包人在13.1款情况发生后14天内，就延误的工期以书面形式向工程师提出报告。工程师在收到报告后14天内予以确认，逾期不予确认也不提出修改意见，视为同意顺延工期。 </w:t>
      </w:r>
    </w:p>
    <w:p>
      <w:pPr>
        <w:shd w:val="clear"/>
        <w:spacing w:line="360" w:lineRule="auto"/>
        <w:ind w:firstLine="481" w:firstLineChars="171"/>
        <w:outlineLvl w:val="2"/>
        <w:rPr>
          <w:rFonts w:hint="eastAsia" w:ascii="仿宋" w:hAnsi="仿宋" w:eastAsia="仿宋" w:cs="仿宋"/>
          <w:sz w:val="28"/>
          <w:szCs w:val="28"/>
          <w:highlight w:val="none"/>
        </w:rPr>
      </w:pPr>
      <w:bookmarkStart w:id="185" w:name="_Toc5585"/>
      <w:bookmarkStart w:id="186" w:name="_Toc4101"/>
      <w:r>
        <w:rPr>
          <w:rFonts w:hint="eastAsia" w:ascii="仿宋" w:hAnsi="仿宋" w:eastAsia="仿宋" w:cs="仿宋"/>
          <w:b/>
          <w:bCs/>
          <w:sz w:val="28"/>
          <w:szCs w:val="28"/>
          <w:highlight w:val="none"/>
        </w:rPr>
        <w:t>14、工程竣工</w:t>
      </w:r>
      <w:bookmarkEnd w:id="185"/>
      <w:bookmarkEnd w:id="186"/>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14.1 承包人必须按照协议书约定的竣工日期或工程师同意顺延的工期竣工。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14.2 因承包人原因不能按照协议书约定的竣工日期或工程师同意顺延的工期竣工的，承包人承担违约责任。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四、质量与检验</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87" w:name="_Toc31920"/>
      <w:bookmarkStart w:id="188" w:name="_Toc26456"/>
      <w:r>
        <w:rPr>
          <w:rFonts w:hint="eastAsia" w:ascii="仿宋" w:hAnsi="仿宋" w:eastAsia="仿宋" w:cs="仿宋"/>
          <w:b/>
          <w:bCs/>
          <w:sz w:val="28"/>
          <w:szCs w:val="28"/>
          <w:highlight w:val="none"/>
        </w:rPr>
        <w:t>15、工程质量</w:t>
      </w:r>
      <w:bookmarkEnd w:id="187"/>
      <w:bookmarkEnd w:id="188"/>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pacing w:val="6"/>
          <w:sz w:val="28"/>
          <w:szCs w:val="28"/>
          <w:highlight w:val="none"/>
        </w:rPr>
        <w:t>5.1 工程质量应当达到协议书约定的质量标准，质量标准的评定以国家或</w:t>
      </w:r>
      <w:r>
        <w:rPr>
          <w:rFonts w:hint="eastAsia" w:ascii="仿宋" w:hAnsi="仿宋" w:eastAsia="仿宋" w:cs="仿宋"/>
          <w:sz w:val="28"/>
          <w:szCs w:val="28"/>
          <w:highlight w:val="none"/>
        </w:rPr>
        <w:t>行业的质量检验评定标准为依据。因承包人原因工程质量达不到约定的质量标准，承包人承担违约责任。</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15.2 双方对工程质量有争议，由双方同意的工程质量检测机构鉴定，所需费用及因此造成的损失，由责任方承担。双方均有责任，由双方根据其责任分别承担。 </w:t>
      </w:r>
    </w:p>
    <w:p>
      <w:pPr>
        <w:shd w:val="clear"/>
        <w:spacing w:line="360" w:lineRule="auto"/>
        <w:ind w:firstLine="481" w:firstLineChars="171"/>
        <w:outlineLvl w:val="2"/>
        <w:rPr>
          <w:rFonts w:hint="eastAsia" w:ascii="仿宋" w:hAnsi="仿宋" w:eastAsia="仿宋" w:cs="仿宋"/>
          <w:sz w:val="28"/>
          <w:szCs w:val="28"/>
          <w:highlight w:val="none"/>
        </w:rPr>
      </w:pPr>
      <w:bookmarkStart w:id="189" w:name="_Toc29704"/>
      <w:bookmarkStart w:id="190" w:name="_Toc32285"/>
      <w:r>
        <w:rPr>
          <w:rFonts w:hint="eastAsia" w:ascii="仿宋" w:hAnsi="仿宋" w:eastAsia="仿宋" w:cs="仿宋"/>
          <w:b/>
          <w:bCs/>
          <w:sz w:val="28"/>
          <w:szCs w:val="28"/>
          <w:highlight w:val="none"/>
        </w:rPr>
        <w:t>16、检查和返工</w:t>
      </w:r>
      <w:bookmarkEnd w:id="189"/>
      <w:bookmarkEnd w:id="190"/>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16.1 承包人应认真按照标准、规范和设计图纸要求以及工程师依据合同发出的指令施工，随时接受工程师的检查检验，为检查检验提供便利条件。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16.4 因工程师指令失误或其他非承包人原因发生的追加合同价款，由发包人承担。 </w:t>
      </w:r>
    </w:p>
    <w:p>
      <w:pPr>
        <w:shd w:val="clear"/>
        <w:spacing w:line="360" w:lineRule="auto"/>
        <w:ind w:firstLine="481" w:firstLineChars="171"/>
        <w:outlineLvl w:val="2"/>
        <w:rPr>
          <w:rFonts w:hint="eastAsia" w:ascii="仿宋" w:hAnsi="仿宋" w:eastAsia="仿宋" w:cs="仿宋"/>
          <w:sz w:val="28"/>
          <w:szCs w:val="28"/>
          <w:highlight w:val="none"/>
        </w:rPr>
      </w:pPr>
      <w:bookmarkStart w:id="191" w:name="_Toc17320"/>
      <w:bookmarkStart w:id="192" w:name="_Toc15153"/>
      <w:r>
        <w:rPr>
          <w:rFonts w:hint="eastAsia" w:ascii="仿宋" w:hAnsi="仿宋" w:eastAsia="仿宋" w:cs="仿宋"/>
          <w:b/>
          <w:bCs/>
          <w:sz w:val="28"/>
          <w:szCs w:val="28"/>
          <w:highlight w:val="none"/>
        </w:rPr>
        <w:t>17、隐蔽工程和中间验收</w:t>
      </w:r>
      <w:bookmarkEnd w:id="191"/>
      <w:bookmarkEnd w:id="192"/>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仿宋" w:hAnsi="仿宋" w:eastAsia="仿宋" w:cs="仿宋"/>
          <w:spacing w:val="4"/>
          <w:sz w:val="28"/>
          <w:szCs w:val="28"/>
          <w:highlight w:val="none"/>
        </w:rPr>
        <w:t>工程师在验收记录上签字后，承包人可进行隐蔽和继续施工。验收不合格</w:t>
      </w:r>
      <w:r>
        <w:rPr>
          <w:rFonts w:hint="eastAsia" w:ascii="仿宋" w:hAnsi="仿宋" w:eastAsia="仿宋" w:cs="仿宋"/>
          <w:sz w:val="28"/>
          <w:szCs w:val="28"/>
          <w:highlight w:val="none"/>
        </w:rPr>
        <w:t>，承包人在工程师限定的时间内修改后重新验收。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17.3 经工程师验收，工程质量符合标准、规范和设计图纸等要求，验收24</w:t>
      </w:r>
      <w:r>
        <w:rPr>
          <w:rFonts w:hint="eastAsia" w:ascii="仿宋" w:hAnsi="仿宋" w:eastAsia="仿宋" w:cs="仿宋"/>
          <w:spacing w:val="4"/>
          <w:sz w:val="28"/>
          <w:szCs w:val="28"/>
          <w:highlight w:val="none"/>
        </w:rPr>
        <w:t>小时后，工程师不在验收记录上签字，视为工程师已经认可验收记录，承包</w:t>
      </w:r>
      <w:r>
        <w:rPr>
          <w:rFonts w:hint="eastAsia" w:ascii="仿宋" w:hAnsi="仿宋" w:eastAsia="仿宋" w:cs="仿宋"/>
          <w:sz w:val="28"/>
          <w:szCs w:val="28"/>
          <w:highlight w:val="none"/>
        </w:rPr>
        <w:t>人可进行隐蔽或继续施工。</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93" w:name="_Toc4547"/>
      <w:bookmarkStart w:id="194" w:name="_Toc28280"/>
      <w:r>
        <w:rPr>
          <w:rFonts w:hint="eastAsia" w:ascii="仿宋" w:hAnsi="仿宋" w:eastAsia="仿宋" w:cs="仿宋"/>
          <w:b/>
          <w:bCs/>
          <w:sz w:val="28"/>
          <w:szCs w:val="28"/>
          <w:highlight w:val="none"/>
        </w:rPr>
        <w:t>18、重新检验</w:t>
      </w:r>
      <w:bookmarkEnd w:id="193"/>
      <w:bookmarkEnd w:id="194"/>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95" w:name="_Toc2312"/>
      <w:bookmarkStart w:id="196" w:name="_Toc5805"/>
      <w:r>
        <w:rPr>
          <w:rFonts w:hint="eastAsia" w:ascii="仿宋" w:hAnsi="仿宋" w:eastAsia="仿宋" w:cs="仿宋"/>
          <w:b/>
          <w:bCs/>
          <w:sz w:val="28"/>
          <w:szCs w:val="28"/>
          <w:highlight w:val="none"/>
        </w:rPr>
        <w:t>19、工程试车</w:t>
      </w:r>
      <w:bookmarkEnd w:id="195"/>
      <w:bookmarkEnd w:id="196"/>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19.1 双方约定需要试车的，试车内容应与承包人承包的安装范围相一致。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19.5双方责任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由于承包人施工原因试车达不到验收要求，承包人按工程师要求重新安装和试车，并承担重新安装和试车的费用，工期不予顺延。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 试车费用除已包括在合同价款之内或专用条款另有约定外，均由发包人承担。</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工程师在试车合格后不在试车记录上签字，试车结束24小时后，视为工程师已经认可试车记录，承包人可继续施工或办理竣工手续。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19.6 投料试车应在工程竣工验收后由发包人负责，如发包人要求在工程竣工验收前进行或需要承包人配合时，应征得承包人同意，另行签订补充协议。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五、安全施工</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97" w:name="_Toc28701"/>
      <w:bookmarkStart w:id="198" w:name="_Toc6125"/>
      <w:r>
        <w:rPr>
          <w:rFonts w:hint="eastAsia" w:ascii="仿宋" w:hAnsi="仿宋" w:eastAsia="仿宋" w:cs="仿宋"/>
          <w:b/>
          <w:bCs/>
          <w:sz w:val="28"/>
          <w:szCs w:val="28"/>
          <w:highlight w:val="none"/>
        </w:rPr>
        <w:t>20、安全施工与检查</w:t>
      </w:r>
      <w:bookmarkEnd w:id="197"/>
      <w:bookmarkEnd w:id="198"/>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199" w:name="_Toc23236"/>
      <w:bookmarkStart w:id="200" w:name="_Toc2853"/>
      <w:r>
        <w:rPr>
          <w:rFonts w:hint="eastAsia" w:ascii="仿宋" w:hAnsi="仿宋" w:eastAsia="仿宋" w:cs="仿宋"/>
          <w:b/>
          <w:bCs/>
          <w:sz w:val="28"/>
          <w:szCs w:val="28"/>
          <w:highlight w:val="none"/>
        </w:rPr>
        <w:t>21、安全防护</w:t>
      </w:r>
      <w:bookmarkEnd w:id="199"/>
      <w:bookmarkEnd w:id="20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21.2实施爆破作业，在放射、毒害性环境中施工（含储存、运输、使用）及使用毒害性、腐蚀性物品施工时，承包人应在施工前14天以书面形式通知工</w:t>
      </w:r>
      <w:r>
        <w:rPr>
          <w:rFonts w:hint="eastAsia" w:ascii="仿宋" w:hAnsi="仿宋" w:eastAsia="仿宋" w:cs="仿宋"/>
          <w:spacing w:val="2"/>
          <w:sz w:val="28"/>
          <w:szCs w:val="28"/>
          <w:highlight w:val="none"/>
        </w:rPr>
        <w:t>程师，并提出相应的安全防护措施，经工程师认可后实施,由发包人承担安全</w:t>
      </w:r>
      <w:r>
        <w:rPr>
          <w:rFonts w:hint="eastAsia" w:ascii="仿宋" w:hAnsi="仿宋" w:eastAsia="仿宋" w:cs="仿宋"/>
          <w:sz w:val="28"/>
          <w:szCs w:val="28"/>
          <w:highlight w:val="none"/>
        </w:rPr>
        <w:t>防护措施费用。</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01" w:name="_Toc11917"/>
      <w:bookmarkStart w:id="202" w:name="_Toc6083"/>
      <w:r>
        <w:rPr>
          <w:rFonts w:hint="eastAsia" w:ascii="仿宋" w:hAnsi="仿宋" w:eastAsia="仿宋" w:cs="仿宋"/>
          <w:b/>
          <w:bCs/>
          <w:sz w:val="28"/>
          <w:szCs w:val="28"/>
          <w:highlight w:val="none"/>
        </w:rPr>
        <w:t>22、事故处理</w:t>
      </w:r>
      <w:bookmarkEnd w:id="201"/>
      <w:bookmarkEnd w:id="20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22.1发生重大伤亡及其他安全事故，承包人应按有关规定立即上报有关部门并通知工程师，同时按政府有关部门要求处理，由事故责任方承担发生的费用。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22.2发包人承包人对事故责任有争议时，应按政府有关部门的认定处理。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六、合同价款与支付</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03" w:name="_Toc7563"/>
      <w:bookmarkStart w:id="204" w:name="_Toc23975"/>
      <w:r>
        <w:rPr>
          <w:rFonts w:hint="eastAsia" w:ascii="仿宋" w:hAnsi="仿宋" w:eastAsia="仿宋" w:cs="仿宋"/>
          <w:b/>
          <w:bCs/>
          <w:sz w:val="28"/>
          <w:szCs w:val="28"/>
          <w:highlight w:val="none"/>
        </w:rPr>
        <w:t>23、合同价款及调整</w:t>
      </w:r>
      <w:bookmarkEnd w:id="203"/>
      <w:bookmarkEnd w:id="204"/>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23.1招标工程的合同价款由发包人承包人依据中标通知书中的中标价格在协议书内约定。非招标工程的合同价款由发包人承包人依据工程预算书在协议书内约定。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23.2合同价款在协议书内约定后，任何一方不得擅自改变。下列三种确定合同价款的方式，双方可在专用条款内约定采用其中一种：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 可调价格合同。合同价款可根据双方的约定而调整，双方在专用条款内约定合同价款调整方法。</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成本加酬金合同。合同价款包括成本和酬金两部分，双方在专用条款内约定成本构成和酬金的计算方法。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23.3可调价格合同中合同价款的调整因素包括：</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法律、行政法规和国家有关政策变化影响合同价款；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工程造价管理部门公布的价格调整；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一周内非承包人原因停水、停电、停气造成的停工累计超过8小时；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双方约定的其他因素。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hd w:val="clear"/>
        <w:spacing w:line="360" w:lineRule="auto"/>
        <w:ind w:firstLine="481" w:firstLineChars="171"/>
        <w:outlineLvl w:val="2"/>
        <w:rPr>
          <w:rFonts w:hint="eastAsia" w:ascii="仿宋" w:hAnsi="仿宋" w:eastAsia="仿宋" w:cs="仿宋"/>
          <w:sz w:val="28"/>
          <w:szCs w:val="28"/>
          <w:highlight w:val="none"/>
        </w:rPr>
      </w:pPr>
      <w:bookmarkStart w:id="205" w:name="_Toc11774"/>
      <w:bookmarkStart w:id="206" w:name="_Toc24550"/>
      <w:r>
        <w:rPr>
          <w:rFonts w:hint="eastAsia" w:ascii="仿宋" w:hAnsi="仿宋" w:eastAsia="仿宋" w:cs="仿宋"/>
          <w:b/>
          <w:bCs/>
          <w:sz w:val="28"/>
          <w:szCs w:val="28"/>
          <w:highlight w:val="none"/>
        </w:rPr>
        <w:t>24、工程预付款</w:t>
      </w:r>
      <w:bookmarkEnd w:id="205"/>
      <w:bookmarkEnd w:id="206"/>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w:t>
      </w:r>
    </w:p>
    <w:p>
      <w:pPr>
        <w:shd w:val="clear"/>
        <w:spacing w:line="360" w:lineRule="auto"/>
        <w:ind w:firstLine="481" w:firstLineChars="171"/>
        <w:outlineLvl w:val="2"/>
        <w:rPr>
          <w:rFonts w:hint="eastAsia" w:ascii="仿宋" w:hAnsi="仿宋" w:eastAsia="仿宋" w:cs="仿宋"/>
          <w:sz w:val="28"/>
          <w:szCs w:val="28"/>
          <w:highlight w:val="none"/>
        </w:rPr>
      </w:pPr>
      <w:bookmarkStart w:id="207" w:name="_Toc26929"/>
      <w:bookmarkStart w:id="208" w:name="_Toc15800"/>
      <w:r>
        <w:rPr>
          <w:rFonts w:hint="eastAsia" w:ascii="仿宋" w:hAnsi="仿宋" w:eastAsia="仿宋" w:cs="仿宋"/>
          <w:b/>
          <w:bCs/>
          <w:sz w:val="28"/>
          <w:szCs w:val="28"/>
          <w:highlight w:val="none"/>
        </w:rPr>
        <w:t>25、工程量的确认</w:t>
      </w:r>
      <w:bookmarkEnd w:id="207"/>
      <w:bookmarkEnd w:id="208"/>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25.3对承包人超出设计图纸范围和因承包人原因造成返工的工程量，工程师不予计量。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09" w:name="_Toc32004"/>
      <w:bookmarkStart w:id="210" w:name="_Toc15394"/>
      <w:r>
        <w:rPr>
          <w:rFonts w:hint="eastAsia" w:ascii="仿宋" w:hAnsi="仿宋" w:eastAsia="仿宋" w:cs="仿宋"/>
          <w:b/>
          <w:bCs/>
          <w:sz w:val="28"/>
          <w:szCs w:val="28"/>
          <w:highlight w:val="none"/>
        </w:rPr>
        <w:t>26、工程款（进度款）支付</w:t>
      </w:r>
      <w:bookmarkEnd w:id="209"/>
      <w:bookmarkEnd w:id="210"/>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26.1 在确认计量结果后14天内，发包人应向承包人支付工程款（进度款）。与工程款（进度款）同期结算。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26.2 本通用条款第23条确定调整的合同价款，第31条工程变更调整的合同价款及其他条款中约定的追加合同价款，应与工程款（进度款）同期调整支付。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26.4 发包人不按合同约定支付工程款（进度款），双方又未达成延期付款协议，导致施工无法进行，承包人可停止施工，由发包人承担违约责任。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七、材料设备供应</w:t>
      </w:r>
    </w:p>
    <w:p>
      <w:pPr>
        <w:shd w:val="clear"/>
        <w:spacing w:line="360" w:lineRule="auto"/>
        <w:ind w:firstLine="481" w:firstLineChars="171"/>
        <w:outlineLvl w:val="2"/>
        <w:rPr>
          <w:rFonts w:hint="eastAsia" w:ascii="仿宋" w:hAnsi="仿宋" w:eastAsia="仿宋" w:cs="仿宋"/>
          <w:sz w:val="28"/>
          <w:szCs w:val="28"/>
          <w:highlight w:val="none"/>
        </w:rPr>
      </w:pPr>
      <w:bookmarkStart w:id="211" w:name="_Toc5923"/>
      <w:bookmarkStart w:id="212" w:name="_Toc24967"/>
      <w:r>
        <w:rPr>
          <w:rFonts w:hint="eastAsia" w:ascii="仿宋" w:hAnsi="仿宋" w:eastAsia="仿宋" w:cs="仿宋"/>
          <w:b/>
          <w:bCs/>
          <w:sz w:val="28"/>
          <w:szCs w:val="28"/>
          <w:highlight w:val="none"/>
        </w:rPr>
        <w:t>27、发包人供应材料设备</w:t>
      </w:r>
      <w:bookmarkEnd w:id="211"/>
      <w:bookmarkEnd w:id="212"/>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27.3 发包人供应的材料设备，承包人派人参加清点后由承包人妥善保管，发包人支付相应保管费用。因承包人原因发生丢失损坏，由承包人负责赔偿。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发包人未通知承包人清点，承包人不负责材料设备的保管，丢失损坏由发包人负责。</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27.4发包人供应的材料设备与一览表不符时，发包人承担有关责任。发包人应承担责任的具体内容，双方根据下列情况在专用条款内约定。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材料设备单价与一览表不符，由发包人承担所有价差；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材料设备的品种、规格、型号、质量等级与一览表不符，承包人可拒绝接收保管，由发包人运出施工场地并重新采购；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发包人供应的材料规格、型号与一览表不符，经发包人同意，承包人可代为调剂串换，由发包人承担相应费用；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到货地点与一览表不符，由发包人负责运至一览表指定地点：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供应数量少于一览表约定的数量时，由发包人补齐，多于一览表约定数量时，发包人负责将多出部分运出施工场地；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27.5发包人供应的材料设备使用前，由承包人负责检验或试验，不合格的不得使用，检验或试验费用由发包人承担。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27.6发包人供应材料设备的结算方法，双方在专用条款内约定。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13" w:name="_Toc1724"/>
      <w:bookmarkStart w:id="214" w:name="_Toc9814"/>
      <w:r>
        <w:rPr>
          <w:rFonts w:hint="eastAsia" w:ascii="仿宋" w:hAnsi="仿宋" w:eastAsia="仿宋" w:cs="仿宋"/>
          <w:b/>
          <w:bCs/>
          <w:sz w:val="28"/>
          <w:szCs w:val="28"/>
          <w:highlight w:val="none"/>
        </w:rPr>
        <w:t>28、承包人采购材料设备</w:t>
      </w:r>
      <w:bookmarkEnd w:id="213"/>
      <w:bookmarkEnd w:id="214"/>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28.1 承包人负责采购材料设备的，应按照专用条款约定及设计和有关标准要求采购，并提供产品合格证明，对材料设备质量负责。承包人在材料设备到货前24小时通知工程师清点。</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28.2</w:t>
      </w:r>
      <w:r>
        <w:rPr>
          <w:rFonts w:hint="eastAsia" w:ascii="仿宋" w:hAnsi="仿宋" w:eastAsia="仿宋" w:cs="仿宋"/>
          <w:spacing w:val="8"/>
          <w:sz w:val="28"/>
          <w:szCs w:val="28"/>
          <w:highlight w:val="none"/>
        </w:rPr>
        <w:t xml:space="preserve"> 承包人采购的材料设备与设计或标准要求不符时，承包人应按工程师要</w:t>
      </w:r>
      <w:r>
        <w:rPr>
          <w:rFonts w:hint="eastAsia" w:ascii="仿宋" w:hAnsi="仿宋" w:eastAsia="仿宋" w:cs="仿宋"/>
          <w:sz w:val="28"/>
          <w:szCs w:val="28"/>
          <w:highlight w:val="none"/>
        </w:rPr>
        <w:t>求的时间运出施工场地，重新采购符合要求的产品，承担由此发生的费用，由此延误的工期不予顺延。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28.3 承包人采购的材料设备在使用前，承包人应按工程师的要求进行检验或试验，不合格的不得使用，检验或试验费用由承包人承担。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28.4 工程师发现承包人采购并使用不符合设计或标准要求的材料设备时，应要求由承包人负责修复、拆除或重新采购，并承担发生的费用，由此延误的工期不予顺延。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28.5 承包人需要使用代用材料时，应经工程师认可后才能使用，由此增减的合同价款双方以书面形式议定。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28.6 由承包人采购的材料设备，发包人不得指定生产厂或供应商。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八、工程变更</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15" w:name="_Toc1290"/>
      <w:bookmarkStart w:id="216" w:name="_Toc12560"/>
      <w:r>
        <w:rPr>
          <w:rFonts w:hint="eastAsia" w:ascii="仿宋" w:hAnsi="仿宋" w:eastAsia="仿宋" w:cs="仿宋"/>
          <w:b/>
          <w:bCs/>
          <w:sz w:val="28"/>
          <w:szCs w:val="28"/>
          <w:highlight w:val="none"/>
        </w:rPr>
        <w:t>29、工程设计变更</w:t>
      </w:r>
      <w:bookmarkEnd w:id="215"/>
      <w:bookmarkEnd w:id="216"/>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更改工程有关部分的标高、基线、位置和尺寸；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增减合同中约定的工程量；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改变有关工程的施工时间和顺序；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其他有关工程变更需要的附加工作。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因变更导致合同价款的增减及造成的承包人损失，由发包人承担，延误的工期相应顺延。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29.2施工中承包人不得对原工程设计进行变更。因承包人擅自变更设计发生的费用和由此导致发包人的直接损失，由承包人承担，延误的工期不予顺延。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工程师同意采用承包人合理化建议，所发生的费用和获得的收益，发包人承包人另行约定分担或分享。</w:t>
      </w:r>
    </w:p>
    <w:p>
      <w:pPr>
        <w:shd w:val="clear"/>
        <w:spacing w:line="360" w:lineRule="auto"/>
        <w:ind w:firstLine="481" w:firstLineChars="171"/>
        <w:outlineLvl w:val="2"/>
        <w:rPr>
          <w:rFonts w:hint="eastAsia" w:ascii="仿宋" w:hAnsi="仿宋" w:eastAsia="仿宋" w:cs="仿宋"/>
          <w:sz w:val="28"/>
          <w:szCs w:val="28"/>
          <w:highlight w:val="none"/>
        </w:rPr>
      </w:pPr>
      <w:bookmarkStart w:id="217" w:name="_Toc28074"/>
      <w:bookmarkStart w:id="218" w:name="_Toc15671"/>
      <w:r>
        <w:rPr>
          <w:rFonts w:hint="eastAsia" w:ascii="仿宋" w:hAnsi="仿宋" w:eastAsia="仿宋" w:cs="仿宋"/>
          <w:b/>
          <w:bCs/>
          <w:sz w:val="28"/>
          <w:szCs w:val="28"/>
          <w:highlight w:val="none"/>
        </w:rPr>
        <w:t>30、其他变更</w:t>
      </w:r>
      <w:bookmarkEnd w:id="217"/>
      <w:bookmarkEnd w:id="218"/>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合同履行中发包人要求变更工程质量标准及发生其他实质性变更，由双方协商解决。</w:t>
      </w:r>
    </w:p>
    <w:p>
      <w:pPr>
        <w:shd w:val="clear"/>
        <w:spacing w:line="360" w:lineRule="auto"/>
        <w:ind w:firstLine="481" w:firstLineChars="171"/>
        <w:outlineLvl w:val="2"/>
        <w:rPr>
          <w:rFonts w:hint="eastAsia" w:ascii="仿宋" w:hAnsi="仿宋" w:eastAsia="仿宋" w:cs="仿宋"/>
          <w:sz w:val="28"/>
          <w:szCs w:val="28"/>
          <w:highlight w:val="none"/>
        </w:rPr>
      </w:pPr>
      <w:bookmarkStart w:id="219" w:name="_Toc10444"/>
      <w:bookmarkStart w:id="220" w:name="_Toc27713"/>
      <w:r>
        <w:rPr>
          <w:rFonts w:hint="eastAsia" w:ascii="仿宋" w:hAnsi="仿宋" w:eastAsia="仿宋" w:cs="仿宋"/>
          <w:b/>
          <w:bCs/>
          <w:sz w:val="28"/>
          <w:szCs w:val="28"/>
          <w:highlight w:val="none"/>
        </w:rPr>
        <w:t>31、确定变更价款</w:t>
      </w:r>
      <w:bookmarkEnd w:id="219"/>
      <w:bookmarkEnd w:id="220"/>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31.1承包人在工程变更确定后14天内，提出变更工程价款的报告，经工程师确认后调整合同价款。变更合同价款按下列方法进行：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合同中已有适用于变更工程的价格，按合同已有的价格变更合同价款；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合同中只有类似于变更工程的价格，可以参照类似价格变更合同价款；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合同中没有适用或类似于变更工程的价格，由承包人提出适当的变更价格，经工程师确认后执行。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31.2承包人在双方确定变更后14天内不向工程师提出变更工程价款报告时，视为该项变更不涉及合同价款的变更。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31.3工程师应在收到变更工程价款报告之日起14天内予以确认，工程师无正当理由不确认时，自变更工程价款报告送达之日起14天后视为变更工程价款报告已被确认。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31.4工程师不同意承包人提出的变更价款，按本通用条款第37条关于争议的约定处理。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31.5工程师确认增加的工程变更价款作为追加合同价款，与工程款同期支付。</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31.6因承包人自身原因导致的工程变更，承包人无权要求追加合同价款。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九、竣工验收与结算</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21" w:name="_Toc6944"/>
      <w:bookmarkStart w:id="222" w:name="_Toc31109"/>
      <w:r>
        <w:rPr>
          <w:rFonts w:hint="eastAsia" w:ascii="仿宋" w:hAnsi="仿宋" w:eastAsia="仿宋" w:cs="仿宋"/>
          <w:b/>
          <w:bCs/>
          <w:sz w:val="28"/>
          <w:szCs w:val="28"/>
          <w:highlight w:val="none"/>
        </w:rPr>
        <w:t>32、竣工验收</w:t>
      </w:r>
      <w:bookmarkEnd w:id="221"/>
      <w:bookmarkEnd w:id="22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32.1 工程具备竣工验收条件，承包人按国家工程竣工验收有关规定，向发包人提供完整竣工资料及竣工验收报告。双方约定由承包人提供竣工图的，应当在专用条款内约定提供的日期和份数。</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32.2 发包人收到竣工验收报告后28天内组织有关单位验收，并在验收后14天内给予认可或提出修改意见。承包人按要求修改，并承担由自身原因造成修改的费用。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32.3 发包人收到承包人送交的竣工验收报告后28天内不组织验收，或验收后14天内不提出修改意见，视为竣工验收报告已被认可。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32.4 工程竣工验收通过，承包人送交竣工验收报告的日期为实际竣工日期。工程按发包人要求修改后通过竣工验收的，实际竣工日期为承包人修改后提请发包人验收的日期。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32.5 发包人收到承包人竣工验收报告后28天内不组织验收，从第29天起承担工程保管及一切意外责任。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32.6 中间交工工程的范围和竣工时间，双方在专用条款内约定，其验收程序按本通用条款32.1款至32.4款办理。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32.7 因特殊原因，发包人要求部分单位工程或工程部位甩项竣工的，双方另行签订甩项竣工协议，明确双方责任和工程价款支付方法。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32.8 工程未经竣工验收或竣工验收未通过的，发包人不得使用。发包人强行使用时，由此发生的质量问题及其他问题，由发包人承担责任。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23" w:name="_Toc21115"/>
      <w:bookmarkStart w:id="224" w:name="_Toc16943"/>
      <w:r>
        <w:rPr>
          <w:rFonts w:hint="eastAsia" w:ascii="仿宋" w:hAnsi="仿宋" w:eastAsia="仿宋" w:cs="仿宋"/>
          <w:b/>
          <w:bCs/>
          <w:sz w:val="28"/>
          <w:szCs w:val="28"/>
          <w:highlight w:val="none"/>
        </w:rPr>
        <w:t>33、竣工结算</w:t>
      </w:r>
      <w:bookmarkEnd w:id="223"/>
      <w:bookmarkEnd w:id="224"/>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33.3 发包人收到竣工结算报告及结算资料后28天内无正当理由不支付工程竣工结算价款，从第29天起按承包人同期向银行贷款利率支付拖欠工程价款的利息，并承担违约责任。</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33.6 发包人承包人对工程竣工结算价款发生争议时，按本通用条款37条关于争议的约定处理。 </w:t>
      </w:r>
    </w:p>
    <w:p>
      <w:pPr>
        <w:shd w:val="clear"/>
        <w:spacing w:line="360" w:lineRule="auto"/>
        <w:ind w:firstLine="481" w:firstLineChars="171"/>
        <w:outlineLvl w:val="2"/>
        <w:rPr>
          <w:rFonts w:hint="eastAsia" w:ascii="仿宋" w:hAnsi="仿宋" w:eastAsia="仿宋" w:cs="仿宋"/>
          <w:sz w:val="28"/>
          <w:szCs w:val="28"/>
          <w:highlight w:val="none"/>
        </w:rPr>
      </w:pPr>
      <w:bookmarkStart w:id="225" w:name="_Toc14514"/>
      <w:bookmarkStart w:id="226" w:name="_Toc13346"/>
      <w:r>
        <w:rPr>
          <w:rFonts w:hint="eastAsia" w:ascii="仿宋" w:hAnsi="仿宋" w:eastAsia="仿宋" w:cs="仿宋"/>
          <w:b/>
          <w:bCs/>
          <w:sz w:val="28"/>
          <w:szCs w:val="28"/>
          <w:highlight w:val="none"/>
        </w:rPr>
        <w:t>34、质量保修</w:t>
      </w:r>
      <w:bookmarkEnd w:id="225"/>
      <w:bookmarkEnd w:id="226"/>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34.1 承包人应按法律、行政法规或国家关于工程质量保修的有关规定，对交付发包人使用的工程在质量保修期内承担质量保修责任。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34.2 质量保修工作的实施。承包人应在工程竣工验收之前，与发包人签订质量保修书，作为本合同附件（附件3）。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34.3 质量保修书的主要内容包括：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质量保修项目内容及范围；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质量保修期；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质量保修责任；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质量保修金的支付方法。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十、违约、索赔和争议</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27" w:name="_Toc6312"/>
      <w:bookmarkStart w:id="228" w:name="_Toc17697"/>
      <w:r>
        <w:rPr>
          <w:rFonts w:hint="eastAsia" w:ascii="仿宋" w:hAnsi="仿宋" w:eastAsia="仿宋" w:cs="仿宋"/>
          <w:b/>
          <w:bCs/>
          <w:sz w:val="28"/>
          <w:szCs w:val="28"/>
          <w:highlight w:val="none"/>
        </w:rPr>
        <w:t>35、违约</w:t>
      </w:r>
      <w:bookmarkEnd w:id="227"/>
      <w:bookmarkEnd w:id="228"/>
      <w:r>
        <w:rPr>
          <w:rFonts w:hint="eastAsia" w:ascii="仿宋" w:hAnsi="仿宋" w:eastAsia="仿宋" w:cs="仿宋"/>
          <w:b/>
          <w:bCs/>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35.1发包人违约。当发生下列情况时：</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本通用条款第24条提到的发包人不按时支付工程预付款；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本通用条款第26.4款提到的发包人不按合同约定支付工程款，导致施工无法进行；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 本通用条款第33.3款提到的发包人无正当理由不支付工程竣工结算价款；</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发包人不履行合同义务或不按合同约定履行义务的其他情况。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35.2承包人违约。当发生下列情况时：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本通用条款第14.2款提到的因承包人原因不能按照协议书约定的竣工日期或工程师同意顺延的工期竣工；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本通用条款第15.1款提到的因承包人原因工程质量达不到协议书约定的质量标准；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承包人不履行合同义务或不按合同约定履行义务的其他情况。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承包人承担违约责任，赔偿因其违约给发包人造成的损失。双方在专用条款内约定承包人赔偿发包人损失的计算方法或者承包人应当支付违约金的数额或计算方法。</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35.3一方违约后，另一方要求违约方继续履行合同时，违约方承担上述违约责任后仍应继续履行合同。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29" w:name="_Toc15760"/>
      <w:bookmarkStart w:id="230" w:name="_Toc23205"/>
      <w:r>
        <w:rPr>
          <w:rFonts w:hint="eastAsia" w:ascii="仿宋" w:hAnsi="仿宋" w:eastAsia="仿宋" w:cs="仿宋"/>
          <w:b/>
          <w:bCs/>
          <w:sz w:val="28"/>
          <w:szCs w:val="28"/>
          <w:highlight w:val="none"/>
        </w:rPr>
        <w:t>36、索赔</w:t>
      </w:r>
      <w:bookmarkEnd w:id="229"/>
      <w:bookmarkEnd w:id="23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36.1当一方向另一方提出索赔时，要有正当索赔理由，且有索赔事件发生时的有效证据。</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索赔事件发生后28天内，向工程师发出索赔意向通知；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发出索赔意向通知后28天内，向工程师提出延长工期和（或）补偿经济损失的索赔报告及有关资料；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工程师在收到承包人送交的索赔报告及有关资料后，于28天内给予答复，或要求承包人进一步补充索赔理由和证据；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工程师在收到承包人送交的索赔报告和有关资料后28天内未予答复或未对承包人作进一步要求，视为该项索赔已经认可；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36.3承包人未能按合同约定履行自己的各项义务或发生错误，给发包人造成经济损失，发包人可按36.2款确定的时限向承包人提出索赔。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31" w:name="_Toc25088"/>
      <w:bookmarkStart w:id="232" w:name="_Toc29235"/>
      <w:r>
        <w:rPr>
          <w:rFonts w:hint="eastAsia" w:ascii="仿宋" w:hAnsi="仿宋" w:eastAsia="仿宋" w:cs="仿宋"/>
          <w:b/>
          <w:bCs/>
          <w:sz w:val="28"/>
          <w:szCs w:val="28"/>
          <w:highlight w:val="none"/>
        </w:rPr>
        <w:t>37、争议</w:t>
      </w:r>
      <w:bookmarkEnd w:id="231"/>
      <w:bookmarkEnd w:id="23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第一种解决方式：双方达成仲裁协议，向约定的仲裁委员会申请仲裁；</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第二种解决方式：向有管辖权的人民法院起诉。</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37.2发生争议后，除非出现下列情况的，双方都应继续履行合同，保持施工连续，保护好已完工程：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单方违约导致合同确已无法履行，双方协议停止施工；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调解要求停止施工，且为双方接受；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仲裁机构要求停止施工；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法院要求停止施工。 </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十一、其他</w:t>
      </w:r>
    </w:p>
    <w:p>
      <w:pPr>
        <w:shd w:val="clear"/>
        <w:spacing w:line="360" w:lineRule="auto"/>
        <w:ind w:firstLine="481" w:firstLineChars="171"/>
        <w:outlineLvl w:val="2"/>
        <w:rPr>
          <w:rFonts w:hint="eastAsia" w:ascii="仿宋" w:hAnsi="仿宋" w:eastAsia="仿宋" w:cs="仿宋"/>
          <w:sz w:val="28"/>
          <w:szCs w:val="28"/>
          <w:highlight w:val="none"/>
        </w:rPr>
      </w:pPr>
      <w:bookmarkStart w:id="233" w:name="_Toc19245"/>
      <w:bookmarkStart w:id="234" w:name="_Toc23013"/>
      <w:r>
        <w:rPr>
          <w:rFonts w:hint="eastAsia" w:ascii="仿宋" w:hAnsi="仿宋" w:eastAsia="仿宋" w:cs="仿宋"/>
          <w:b/>
          <w:bCs/>
          <w:sz w:val="28"/>
          <w:szCs w:val="28"/>
          <w:highlight w:val="none"/>
        </w:rPr>
        <w:t>38、工程分包</w:t>
      </w:r>
      <w:bookmarkEnd w:id="233"/>
      <w:bookmarkEnd w:id="234"/>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38.1 承包人按专用条款的约定分包所承包的部分工程，并与分包单位签订分包合同。非经发包人同意，承包人不得将承包工程的任何部分分包。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38.2 承包人不得将其承包的全部工程转包给他人，也不得将其承包的全部工程肢解以后以分包的名义分别转包给他人。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38.4分包工程价款由承包人与分包单位结算。发包人未经承包人同意不得以任何形式向分包单位支付各种工程款项。 </w:t>
      </w:r>
    </w:p>
    <w:p>
      <w:pPr>
        <w:shd w:val="clear"/>
        <w:spacing w:line="360" w:lineRule="auto"/>
        <w:ind w:firstLine="481" w:firstLineChars="171"/>
        <w:outlineLvl w:val="2"/>
        <w:rPr>
          <w:rFonts w:hint="eastAsia" w:ascii="仿宋" w:hAnsi="仿宋" w:eastAsia="仿宋" w:cs="仿宋"/>
          <w:sz w:val="28"/>
          <w:szCs w:val="28"/>
          <w:highlight w:val="none"/>
        </w:rPr>
      </w:pPr>
      <w:bookmarkStart w:id="235" w:name="_Toc13225"/>
      <w:bookmarkStart w:id="236" w:name="_Toc7255"/>
      <w:r>
        <w:rPr>
          <w:rFonts w:hint="eastAsia" w:ascii="仿宋" w:hAnsi="仿宋" w:eastAsia="仿宋" w:cs="仿宋"/>
          <w:b/>
          <w:bCs/>
          <w:sz w:val="28"/>
          <w:szCs w:val="28"/>
          <w:highlight w:val="none"/>
        </w:rPr>
        <w:t>39、不可抗力</w:t>
      </w:r>
      <w:bookmarkEnd w:id="235"/>
      <w:bookmarkEnd w:id="236"/>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39.1 不可抗力包括因战争、动乱、空中飞行物体坠落或其他非发包人承包人责任造成的爆炸、火灾，以及专用条款约定的风、雨、雪、洪、震等自然灾害。</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39.3 因不可抗力事件导致的费用及延误的工期由双方按以下方法分别承担：</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(1) 工程本身的损害、因工程损害导致第三人人员伤亡和财产损失以及运至施工场地用于施工的材料和待安装的设备的损害，由发包人承担；</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发包人承包人人员伤亡由其所在单位负责，并承担相应费用；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 承包人机械设备损坏及停工损失，由承包人承担；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 停工期间，承包人应工程师要求留在施工场地的必要的管理人员及保卫人员的费用由发包人承担；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工程所需清理、修复费用，由发包人承担；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 延误的工期相应顺延。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39.4因合同一方迟延履行合同后发生不可抗力的，不能免除迟延履行方的相应责任。</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37" w:name="_Toc9079"/>
      <w:bookmarkStart w:id="238" w:name="_Toc20160"/>
      <w:r>
        <w:rPr>
          <w:rFonts w:hint="eastAsia" w:ascii="仿宋" w:hAnsi="仿宋" w:eastAsia="仿宋" w:cs="仿宋"/>
          <w:b/>
          <w:bCs/>
          <w:sz w:val="28"/>
          <w:szCs w:val="28"/>
          <w:highlight w:val="none"/>
        </w:rPr>
        <w:t>40、保险</w:t>
      </w:r>
      <w:bookmarkEnd w:id="237"/>
      <w:bookmarkEnd w:id="238"/>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40.1工程开工前，发包人为建设工程和施工场地内的自有人员及第三人人员生命财产办理保险，支付保险费用。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40.2运至施工场内用于工程的材料和待安装设备，由发包人办理保险，并支付保险费用。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40.3发包人可以将有关保险事项委托承包人办理，费用由发包人承担。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40.4承包人必须为从事危险作业的职工办理意外伤害保险，并为施工场地内自有人员生命财产和施工机械设备办理保险，支付保险费用。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40.5保险事故发生时，发包人承包人有责任尽力采取必要的措施，防止或者减少损失。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40.6具体投保内容和相关责任，发包人承包人在专用条款中约定。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39" w:name="_Toc31787"/>
      <w:bookmarkStart w:id="240" w:name="_Toc13189"/>
      <w:r>
        <w:rPr>
          <w:rFonts w:hint="eastAsia" w:ascii="仿宋" w:hAnsi="仿宋" w:eastAsia="仿宋" w:cs="仿宋"/>
          <w:b/>
          <w:bCs/>
          <w:sz w:val="28"/>
          <w:szCs w:val="28"/>
          <w:highlight w:val="none"/>
        </w:rPr>
        <w:t>41、担保</w:t>
      </w:r>
      <w:bookmarkEnd w:id="239"/>
      <w:bookmarkEnd w:id="24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41.1发包人、承包人为了全面履行合同，应互相提供以下担保：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发包人向承包人提供履约担保，按合同约定支付工程价款及履行合同约定的其他义务。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承包人向发包人提供履约担保，按合同约定履行自己的各项义务。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41.2 一方违约后，另一方可要求提供担保的第三人承担相应责任。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41.3 提供担保的内容、方式和相关责任，发包人承包人除在专用条款中约定外，被担保方与担保方还应签订担保合同，作为本合同附件。 </w:t>
      </w:r>
    </w:p>
    <w:p>
      <w:pPr>
        <w:shd w:val="clear"/>
        <w:spacing w:line="360" w:lineRule="auto"/>
        <w:ind w:firstLine="481" w:firstLineChars="171"/>
        <w:outlineLvl w:val="2"/>
        <w:rPr>
          <w:rFonts w:hint="eastAsia" w:ascii="仿宋" w:hAnsi="仿宋" w:eastAsia="仿宋" w:cs="仿宋"/>
          <w:sz w:val="28"/>
          <w:szCs w:val="28"/>
          <w:highlight w:val="none"/>
        </w:rPr>
      </w:pPr>
      <w:bookmarkStart w:id="241" w:name="_Toc5512"/>
      <w:bookmarkStart w:id="242" w:name="_Toc19972"/>
      <w:r>
        <w:rPr>
          <w:rFonts w:hint="eastAsia" w:ascii="仿宋" w:hAnsi="仿宋" w:eastAsia="仿宋" w:cs="仿宋"/>
          <w:b/>
          <w:bCs/>
          <w:sz w:val="28"/>
          <w:szCs w:val="28"/>
          <w:highlight w:val="none"/>
        </w:rPr>
        <w:t>42、专利技术及特殊工艺</w:t>
      </w:r>
      <w:bookmarkEnd w:id="241"/>
      <w:bookmarkEnd w:id="24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42.1 发包人要求使用专利技术或特殊工艺，应负责办理相应的申报手续，承担申报、试验、使用等费用；承包人提出使用专利技术或特殊工艺，应取得工程师认可，承包人负责办理申报手续并承担有关费用。</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42.2 擅自使用专利技术侵犯他人专利权的，责任者依法承担相应责任。 </w:t>
      </w:r>
    </w:p>
    <w:p>
      <w:pPr>
        <w:shd w:val="clear"/>
        <w:spacing w:line="360" w:lineRule="auto"/>
        <w:ind w:firstLine="481" w:firstLineChars="171"/>
        <w:outlineLvl w:val="2"/>
        <w:rPr>
          <w:rFonts w:hint="eastAsia" w:ascii="仿宋" w:hAnsi="仿宋" w:eastAsia="仿宋" w:cs="仿宋"/>
          <w:sz w:val="28"/>
          <w:szCs w:val="28"/>
          <w:highlight w:val="none"/>
        </w:rPr>
      </w:pPr>
      <w:bookmarkStart w:id="243" w:name="_Toc4619"/>
      <w:bookmarkStart w:id="244" w:name="_Toc26424"/>
      <w:r>
        <w:rPr>
          <w:rFonts w:hint="eastAsia" w:ascii="仿宋" w:hAnsi="仿宋" w:eastAsia="仿宋" w:cs="仿宋"/>
          <w:b/>
          <w:bCs/>
          <w:sz w:val="28"/>
          <w:szCs w:val="28"/>
          <w:highlight w:val="none"/>
        </w:rPr>
        <w:t>43、文物和地下障碍物</w:t>
      </w:r>
      <w:bookmarkEnd w:id="243"/>
      <w:bookmarkEnd w:id="244"/>
      <w:r>
        <w:rPr>
          <w:rFonts w:hint="eastAsia" w:ascii="仿宋" w:hAnsi="仿宋" w:eastAsia="仿宋" w:cs="仿宋"/>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如发现后隐瞒不报，致使文物遭受破坏，责任者依法承担相应责任。</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所发现的地下障碍物有归属单位时，发包人应报请有关部门协同处置。</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45" w:name="_Toc28911"/>
      <w:bookmarkStart w:id="246" w:name="_Toc20717"/>
      <w:r>
        <w:rPr>
          <w:rFonts w:hint="eastAsia" w:ascii="仿宋" w:hAnsi="仿宋" w:eastAsia="仿宋" w:cs="仿宋"/>
          <w:b/>
          <w:bCs/>
          <w:sz w:val="28"/>
          <w:szCs w:val="28"/>
          <w:highlight w:val="none"/>
        </w:rPr>
        <w:t>44、合同解除</w:t>
      </w:r>
      <w:bookmarkEnd w:id="245"/>
      <w:bookmarkEnd w:id="246"/>
      <w:r>
        <w:rPr>
          <w:rFonts w:hint="eastAsia" w:ascii="仿宋" w:hAnsi="仿宋" w:eastAsia="仿宋" w:cs="仿宋"/>
          <w:b/>
          <w:bCs/>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44.1 发包人承包人协商一致，可以解除合同。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44.2 发生本通用条款第26.4款情况，停止施工超过56天，发包人仍不支付工程款（进度款），承包人有权解除合同。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44.3 发生本通用条款第38.2款禁止的情况，承包人将其承包的全部工程转包给他人或者肢解以后以分包的名义分别转包给他人，发包人有权解除合同。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44.4 有下列情形之一的，发包人承包人可以解除合同：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因不可抗力致使合同无法履行；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(2) 因一方违约（包括因发包人原因或环境政策造成工程停建或缓建）致使合同无法履行。</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44.7合同解除后，不影响双方在合同中约定的结算和清理条款的效力。 </w:t>
      </w:r>
    </w:p>
    <w:p>
      <w:pPr>
        <w:shd w:val="clear"/>
        <w:spacing w:line="360" w:lineRule="auto"/>
        <w:ind w:firstLine="481" w:firstLineChars="171"/>
        <w:outlineLvl w:val="2"/>
        <w:rPr>
          <w:rFonts w:hint="eastAsia" w:ascii="仿宋" w:hAnsi="仿宋" w:eastAsia="仿宋" w:cs="仿宋"/>
          <w:sz w:val="28"/>
          <w:szCs w:val="28"/>
          <w:highlight w:val="none"/>
        </w:rPr>
      </w:pPr>
      <w:bookmarkStart w:id="247" w:name="_Toc26030"/>
      <w:bookmarkStart w:id="248" w:name="_Toc3142"/>
      <w:r>
        <w:rPr>
          <w:rFonts w:hint="eastAsia" w:ascii="仿宋" w:hAnsi="仿宋" w:eastAsia="仿宋" w:cs="仿宋"/>
          <w:b/>
          <w:bCs/>
          <w:sz w:val="28"/>
          <w:szCs w:val="28"/>
          <w:highlight w:val="none"/>
        </w:rPr>
        <w:t>45、合同生效与终止</w:t>
      </w:r>
      <w:bookmarkEnd w:id="247"/>
      <w:bookmarkEnd w:id="248"/>
      <w:r>
        <w:rPr>
          <w:rFonts w:hint="eastAsia" w:ascii="仿宋" w:hAnsi="仿宋" w:eastAsia="仿宋" w:cs="仿宋"/>
          <w:sz w:val="28"/>
          <w:szCs w:val="28"/>
          <w:highlight w:val="non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45.1双方在协议书中约定合同生效方式。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45.2除本通用条款第34条外，发包人承包人履行合同全部义务，竣工结算价款支付完毕，承包人向发包人交付竣工工程后，本合同即告终止。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45.3合同的权利义务终止后，发包人承包人应当遵循诚实信用原则，履行通知、协助、保密等义务。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49" w:name="_Toc10046"/>
      <w:bookmarkStart w:id="250" w:name="_Toc10087"/>
      <w:r>
        <w:rPr>
          <w:rFonts w:hint="eastAsia" w:ascii="仿宋" w:hAnsi="仿宋" w:eastAsia="仿宋" w:cs="仿宋"/>
          <w:b/>
          <w:bCs/>
          <w:sz w:val="28"/>
          <w:szCs w:val="28"/>
          <w:highlight w:val="none"/>
        </w:rPr>
        <w:t>46、合同份数</w:t>
      </w:r>
      <w:bookmarkEnd w:id="249"/>
      <w:bookmarkEnd w:id="250"/>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46.1本合同正本两份，具有同等效力，由发包人承包人分别保存一份。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46.2本合同副本份数，由双方根据需要在专用条款内约定。 </w:t>
      </w:r>
    </w:p>
    <w:p>
      <w:pPr>
        <w:shd w:val="clear"/>
        <w:spacing w:line="360" w:lineRule="auto"/>
        <w:ind w:firstLine="481" w:firstLineChars="171"/>
        <w:outlineLvl w:val="2"/>
        <w:rPr>
          <w:rFonts w:hint="eastAsia" w:ascii="仿宋" w:hAnsi="仿宋" w:eastAsia="仿宋" w:cs="仿宋"/>
          <w:b/>
          <w:bCs/>
          <w:sz w:val="28"/>
          <w:szCs w:val="28"/>
          <w:highlight w:val="none"/>
        </w:rPr>
      </w:pPr>
      <w:bookmarkStart w:id="251" w:name="_Toc3845"/>
      <w:bookmarkStart w:id="252" w:name="_Toc17092"/>
      <w:r>
        <w:rPr>
          <w:rFonts w:hint="eastAsia" w:ascii="仿宋" w:hAnsi="仿宋" w:eastAsia="仿宋" w:cs="仿宋"/>
          <w:b/>
          <w:bCs/>
          <w:sz w:val="28"/>
          <w:szCs w:val="28"/>
          <w:highlight w:val="none"/>
        </w:rPr>
        <w:t>47、补充条款</w:t>
      </w:r>
      <w:bookmarkEnd w:id="251"/>
      <w:bookmarkEnd w:id="252"/>
      <w:r>
        <w:rPr>
          <w:rFonts w:hint="eastAsia" w:ascii="仿宋" w:hAnsi="仿宋" w:eastAsia="仿宋" w:cs="仿宋"/>
          <w:b/>
          <w:bCs/>
          <w:sz w:val="28"/>
          <w:szCs w:val="28"/>
          <w:highlight w:val="none"/>
        </w:rPr>
        <w:t xml:space="preserve"> </w:t>
      </w:r>
    </w:p>
    <w:p>
      <w:pPr>
        <w:shd w:val="clear"/>
        <w:spacing w:line="360" w:lineRule="auto"/>
        <w:ind w:firstLine="478" w:firstLineChars="171"/>
        <w:rPr>
          <w:rFonts w:hint="eastAsia" w:ascii="仿宋" w:hAnsi="仿宋" w:eastAsia="仿宋" w:cs="仿宋"/>
          <w:sz w:val="28"/>
          <w:szCs w:val="28"/>
          <w:highlight w:val="none"/>
        </w:rPr>
      </w:pPr>
      <w:r>
        <w:rPr>
          <w:rFonts w:hint="eastAsia" w:ascii="仿宋" w:hAnsi="仿宋" w:eastAsia="仿宋" w:cs="仿宋"/>
          <w:sz w:val="28"/>
          <w:szCs w:val="28"/>
          <w:highlight w:val="none"/>
        </w:rPr>
        <w:t>双方根据有关法律、行政法规规定，结合工程实际，经协商一致后，可对本通用条款内容具体化，补充或修改，在专用条款内约定。</w:t>
      </w:r>
    </w:p>
    <w:p>
      <w:pPr>
        <w:shd w:val="clear"/>
        <w:spacing w:line="360" w:lineRule="auto"/>
        <w:ind w:firstLine="478" w:firstLineChars="171"/>
        <w:jc w:val="center"/>
        <w:outlineLvl w:val="1"/>
        <w:rPr>
          <w:rFonts w:hint="eastAsia" w:ascii="宋体" w:hAnsi="宋体" w:cs="宋体"/>
          <w:b/>
          <w:sz w:val="32"/>
          <w:szCs w:val="32"/>
          <w:highlight w:val="none"/>
        </w:rPr>
      </w:pPr>
      <w:r>
        <w:rPr>
          <w:rFonts w:hint="eastAsia" w:ascii="仿宋" w:hAnsi="仿宋" w:eastAsia="仿宋" w:cs="仿宋"/>
          <w:sz w:val="28"/>
          <w:szCs w:val="28"/>
          <w:highlight w:val="none"/>
        </w:rPr>
        <w:br w:type="page"/>
      </w:r>
      <w:bookmarkStart w:id="253" w:name="_Toc28807"/>
      <w:r>
        <w:rPr>
          <w:rFonts w:hint="eastAsia" w:ascii="宋体" w:hAnsi="宋体" w:cs="宋体"/>
          <w:b/>
          <w:sz w:val="32"/>
          <w:szCs w:val="32"/>
          <w:highlight w:val="none"/>
        </w:rPr>
        <w:t>第三部分专用条款</w:t>
      </w:r>
      <w:bookmarkEnd w:id="253"/>
    </w:p>
    <w:p>
      <w:pPr>
        <w:shd w:val="clear"/>
        <w:spacing w:line="360" w:lineRule="auto"/>
        <w:ind w:firstLine="549" w:firstLineChars="171"/>
        <w:jc w:val="center"/>
        <w:rPr>
          <w:rFonts w:hint="eastAsia" w:ascii="宋体" w:hAnsi="宋体" w:cs="宋体"/>
          <w:b/>
          <w:sz w:val="32"/>
          <w:szCs w:val="32"/>
          <w:highlight w:val="none"/>
        </w:rPr>
      </w:pP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（本部分条款的编号与通用条款的编号相对应，是根据本合同工程的实际情况对标准条件中相对应条款进行修改、补充或否定，其适用顺序优先于</w:t>
      </w:r>
      <w:r>
        <w:rPr>
          <w:rFonts w:hint="eastAsia" w:ascii="仿宋" w:hAnsi="仿宋" w:eastAsia="仿宋" w:cs="仿宋"/>
          <w:sz w:val="28"/>
          <w:szCs w:val="28"/>
          <w:highlight w:val="none"/>
          <w:lang w:val="en-US" w:eastAsia="zh-CN"/>
        </w:rPr>
        <w:t>通用条款</w:t>
      </w:r>
      <w:r>
        <w:rPr>
          <w:rFonts w:hint="eastAsia" w:ascii="仿宋" w:hAnsi="仿宋" w:eastAsia="仿宋" w:cs="仿宋"/>
          <w:sz w:val="28"/>
          <w:szCs w:val="28"/>
          <w:highlight w:val="none"/>
        </w:rPr>
        <w:t>。本部分条款未阐明的内容，则按标准条件的有关约定执行）</w:t>
      </w:r>
    </w:p>
    <w:p>
      <w:pPr>
        <w:shd w:val="clear"/>
        <w:snapToGrid w:val="0"/>
        <w:spacing w:line="360" w:lineRule="auto"/>
        <w:ind w:firstLine="397"/>
        <w:rPr>
          <w:rFonts w:hint="eastAsia" w:ascii="仿宋" w:hAnsi="仿宋" w:eastAsia="仿宋" w:cs="仿宋"/>
          <w:b/>
          <w:sz w:val="28"/>
          <w:szCs w:val="28"/>
          <w:highlight w:val="none"/>
        </w:rPr>
      </w:pP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一、词语定义及合同文件</w:t>
      </w:r>
    </w:p>
    <w:p>
      <w:pPr>
        <w:shd w:val="clear"/>
        <w:spacing w:line="360" w:lineRule="auto"/>
        <w:ind w:firstLine="481" w:firstLineChars="171"/>
        <w:outlineLvl w:val="2"/>
        <w:rPr>
          <w:rFonts w:hint="eastAsia" w:ascii="仿宋" w:hAnsi="仿宋" w:eastAsia="仿宋" w:cs="仿宋"/>
          <w:b/>
          <w:sz w:val="28"/>
          <w:szCs w:val="28"/>
          <w:highlight w:val="none"/>
        </w:rPr>
      </w:pPr>
      <w:bookmarkStart w:id="254" w:name="_Toc17261"/>
      <w:bookmarkStart w:id="255" w:name="_Toc7738"/>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词语定义</w:t>
      </w:r>
      <w:bookmarkEnd w:id="254"/>
      <w:bookmarkEnd w:id="255"/>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1.6设计单位</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本合同工程的设计单位是：</w:t>
      </w:r>
      <w:r>
        <w:rPr>
          <w:rFonts w:hint="eastAsia" w:ascii="仿宋" w:hAnsi="仿宋" w:eastAsia="仿宋" w:cs="仿宋"/>
          <w:sz w:val="28"/>
          <w:szCs w:val="28"/>
          <w:highlight w:val="none"/>
          <w:u w:val="single"/>
        </w:rPr>
        <w:t xml:space="preserve">                                         </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1.7监理单位</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本合同工程的监理单位是：</w:t>
      </w:r>
      <w:r>
        <w:rPr>
          <w:rFonts w:hint="eastAsia" w:ascii="仿宋" w:hAnsi="仿宋" w:eastAsia="仿宋" w:cs="仿宋"/>
          <w:sz w:val="28"/>
          <w:szCs w:val="28"/>
          <w:highlight w:val="none"/>
          <w:u w:val="single"/>
        </w:rPr>
        <w:t xml:space="preserve">            </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1.24招标控制价：</w:t>
      </w:r>
      <w:r>
        <w:rPr>
          <w:rFonts w:hint="eastAsia" w:ascii="仿宋" w:hAnsi="仿宋" w:eastAsia="仿宋" w:cs="仿宋"/>
          <w:sz w:val="28"/>
          <w:szCs w:val="28"/>
          <w:highlight w:val="none"/>
          <w:u w:val="single"/>
        </w:rPr>
        <w:t xml:space="preserve">                    万元 </w:t>
      </w:r>
      <w:r>
        <w:rPr>
          <w:rFonts w:hint="eastAsia" w:ascii="仿宋" w:hAnsi="仿宋" w:eastAsia="仿宋" w:cs="仿宋"/>
          <w:sz w:val="28"/>
          <w:szCs w:val="28"/>
          <w:highlight w:val="none"/>
        </w:rPr>
        <w:t>。</w:t>
      </w:r>
    </w:p>
    <w:p>
      <w:pPr>
        <w:shd w:val="clear"/>
        <w:spacing w:line="360" w:lineRule="auto"/>
        <w:ind w:firstLine="478" w:firstLineChars="171"/>
        <w:outlineLvl w:val="9"/>
        <w:rPr>
          <w:rFonts w:hint="eastAsia" w:ascii="仿宋" w:hAnsi="仿宋" w:eastAsia="仿宋" w:cs="仿宋"/>
          <w:b/>
          <w:sz w:val="28"/>
          <w:szCs w:val="28"/>
          <w:highlight w:val="none"/>
        </w:rPr>
      </w:pPr>
      <w:r>
        <w:rPr>
          <w:rFonts w:hint="eastAsia" w:ascii="仿宋" w:hAnsi="仿宋" w:eastAsia="仿宋" w:cs="仿宋"/>
          <w:sz w:val="28"/>
          <w:szCs w:val="28"/>
          <w:highlight w:val="none"/>
        </w:rPr>
        <w:t>1.25中标下浮率：</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56" w:name="_Toc24749"/>
      <w:bookmarkStart w:id="257" w:name="_Toc24221"/>
      <w:r>
        <w:rPr>
          <w:rFonts w:hint="eastAsia" w:ascii="仿宋" w:hAnsi="仿宋" w:eastAsia="仿宋" w:cs="仿宋"/>
          <w:b/>
          <w:sz w:val="28"/>
          <w:szCs w:val="28"/>
          <w:highlight w:val="none"/>
        </w:rPr>
        <w:t>2、合同文件及</w:t>
      </w:r>
      <w:r>
        <w:rPr>
          <w:rFonts w:hint="eastAsia" w:ascii="仿宋" w:hAnsi="仿宋" w:eastAsia="仿宋" w:cs="仿宋"/>
          <w:b/>
          <w:bCs/>
          <w:sz w:val="28"/>
          <w:szCs w:val="28"/>
          <w:highlight w:val="none"/>
        </w:rPr>
        <w:t>解释</w:t>
      </w:r>
      <w:r>
        <w:rPr>
          <w:rFonts w:hint="eastAsia" w:ascii="仿宋" w:hAnsi="仿宋" w:eastAsia="仿宋" w:cs="仿宋"/>
          <w:b/>
          <w:sz w:val="28"/>
          <w:szCs w:val="28"/>
          <w:highlight w:val="none"/>
        </w:rPr>
        <w:t>顺序</w:t>
      </w:r>
      <w:bookmarkEnd w:id="256"/>
      <w:bookmarkEnd w:id="257"/>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2.1合同文件组成及解释顺序：</w:t>
      </w:r>
      <w:r>
        <w:rPr>
          <w:rFonts w:hint="eastAsia" w:ascii="仿宋" w:hAnsi="仿宋" w:eastAsia="仿宋" w:cs="仿宋"/>
          <w:sz w:val="28"/>
          <w:szCs w:val="28"/>
          <w:highlight w:val="none"/>
          <w:u w:val="single"/>
        </w:rPr>
        <w:t>1.本合同履行期间发包人与承包人双方签订的补充合同（协议）或修正文件；2.本合同协议书；3.国家、广东省、广州市、清远市、广州（清远）产业转移工业园管理委员会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项目负责人驻场承诺书等）</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58" w:name="_Toc6166"/>
      <w:bookmarkStart w:id="259" w:name="_Toc12301"/>
      <w:r>
        <w:rPr>
          <w:rFonts w:hint="eastAsia" w:ascii="仿宋" w:hAnsi="仿宋" w:eastAsia="仿宋" w:cs="仿宋"/>
          <w:b/>
          <w:sz w:val="28"/>
          <w:szCs w:val="28"/>
          <w:highlight w:val="none"/>
        </w:rPr>
        <w:t>3、语言文字和适用法律、标准及规范</w:t>
      </w:r>
      <w:bookmarkEnd w:id="258"/>
      <w:bookmarkEnd w:id="259"/>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3.1本合同除使用汉语外，还使用</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语言文字。</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3.2适用法律和法规</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需要明示的法律、行政法规：</w:t>
      </w:r>
      <w:r>
        <w:rPr>
          <w:rFonts w:hint="eastAsia" w:ascii="仿宋" w:hAnsi="仿宋" w:eastAsia="仿宋" w:cs="仿宋"/>
          <w:sz w:val="28"/>
          <w:szCs w:val="28"/>
          <w:highlight w:val="none"/>
          <w:u w:val="single"/>
        </w:rPr>
        <w:t>按照现行的法律、法规</w:t>
      </w:r>
      <w:r>
        <w:rPr>
          <w:rFonts w:hint="eastAsia" w:ascii="仿宋" w:hAnsi="仿宋" w:eastAsia="仿宋" w:cs="仿宋"/>
          <w:sz w:val="28"/>
          <w:szCs w:val="28"/>
          <w:highlight w:val="none"/>
        </w:rPr>
        <w:t>。</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3.3适用标准、规范</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适用标准、规范的名称：</w:t>
      </w:r>
      <w:r>
        <w:rPr>
          <w:rFonts w:hint="eastAsia" w:ascii="仿宋" w:hAnsi="仿宋" w:eastAsia="仿宋" w:cs="仿宋"/>
          <w:sz w:val="28"/>
          <w:szCs w:val="28"/>
          <w:highlight w:val="none"/>
          <w:u w:val="single"/>
        </w:rPr>
        <w:t>相应工种现行施工规范</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发包人提供标准、规范的时间：</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国内没有相应标准、规范时的约定：</w:t>
      </w:r>
      <w:r>
        <w:rPr>
          <w:rFonts w:hint="eastAsia" w:ascii="仿宋" w:hAnsi="仿宋" w:eastAsia="仿宋" w:cs="仿宋"/>
          <w:sz w:val="28"/>
          <w:szCs w:val="28"/>
          <w:highlight w:val="none"/>
          <w:u w:val="single"/>
        </w:rPr>
        <w:t>按施工图纸，招标文件和广州（清远）产业转移工业园管理委员相关规定及答疑纪要的要求执行</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60" w:name="_Toc21360"/>
      <w:bookmarkStart w:id="261" w:name="_Toc13948"/>
      <w:r>
        <w:rPr>
          <w:rFonts w:hint="eastAsia" w:ascii="仿宋" w:hAnsi="仿宋" w:eastAsia="仿宋" w:cs="仿宋"/>
          <w:b/>
          <w:sz w:val="28"/>
          <w:szCs w:val="28"/>
          <w:highlight w:val="none"/>
        </w:rPr>
        <w:t>4、图纸</w:t>
      </w:r>
      <w:bookmarkEnd w:id="260"/>
      <w:bookmarkEnd w:id="261"/>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4.1发包人向承包人提供图纸日期和套数：</w:t>
      </w:r>
      <w:r>
        <w:rPr>
          <w:rFonts w:hint="eastAsia" w:ascii="仿宋" w:hAnsi="仿宋" w:eastAsia="仿宋" w:cs="仿宋"/>
          <w:sz w:val="28"/>
          <w:szCs w:val="28"/>
          <w:highlight w:val="none"/>
          <w:u w:val="single"/>
        </w:rPr>
        <w:t>开工前提供经发包人审定的肆套施工图纸</w:t>
      </w:r>
      <w:r>
        <w:rPr>
          <w:rFonts w:hint="eastAsia" w:ascii="仿宋" w:hAnsi="仿宋" w:eastAsia="仿宋" w:cs="仿宋"/>
          <w:sz w:val="28"/>
          <w:szCs w:val="28"/>
          <w:highlight w:val="none"/>
        </w:rPr>
        <w:t>。</w:t>
      </w:r>
    </w:p>
    <w:p>
      <w:pPr>
        <w:shd w:val="clear"/>
        <w:snapToGrid w:val="0"/>
        <w:spacing w:line="360" w:lineRule="auto"/>
        <w:ind w:left="1117" w:leftChars="132" w:hanging="840" w:hangingChars="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发包人对图纸的保密要求：</w:t>
      </w:r>
      <w:r>
        <w:rPr>
          <w:rFonts w:hint="eastAsia" w:ascii="仿宋" w:hAnsi="仿宋" w:eastAsia="仿宋" w:cs="仿宋"/>
          <w:sz w:val="28"/>
          <w:szCs w:val="28"/>
          <w:highlight w:val="none"/>
          <w:u w:val="single"/>
        </w:rPr>
        <w:t>按本合同通用条款</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使用国外图纸的要求及费用承担：</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二、双方一般权利和义务</w:t>
      </w:r>
    </w:p>
    <w:p>
      <w:pPr>
        <w:shd w:val="clear"/>
        <w:spacing w:line="360" w:lineRule="auto"/>
        <w:ind w:firstLine="481" w:firstLineChars="171"/>
        <w:outlineLvl w:val="2"/>
        <w:rPr>
          <w:rFonts w:hint="eastAsia" w:ascii="仿宋" w:hAnsi="仿宋" w:eastAsia="仿宋" w:cs="仿宋"/>
          <w:b/>
          <w:sz w:val="28"/>
          <w:szCs w:val="28"/>
          <w:highlight w:val="none"/>
        </w:rPr>
      </w:pPr>
      <w:bookmarkStart w:id="262" w:name="_Toc30470"/>
      <w:bookmarkStart w:id="263" w:name="_Toc29616"/>
      <w:r>
        <w:rPr>
          <w:rFonts w:hint="eastAsia" w:ascii="仿宋" w:hAnsi="仿宋" w:eastAsia="仿宋" w:cs="仿宋"/>
          <w:b/>
          <w:sz w:val="28"/>
          <w:szCs w:val="28"/>
          <w:highlight w:val="none"/>
        </w:rPr>
        <w:t>5、工程师</w:t>
      </w:r>
      <w:bookmarkEnd w:id="262"/>
      <w:bookmarkEnd w:id="263"/>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5.2监理单位委派的工程师</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总监理工程师</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发包人委托的职权：</w:t>
      </w:r>
      <w:r>
        <w:rPr>
          <w:rFonts w:hint="eastAsia" w:ascii="仿宋" w:hAnsi="仿宋" w:eastAsia="仿宋" w:cs="仿宋"/>
          <w:sz w:val="28"/>
          <w:szCs w:val="28"/>
          <w:highlight w:val="none"/>
          <w:u w:val="single"/>
        </w:rPr>
        <w:t>对本工程进行全过程的监理</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需要取得发包人批准才能行使的职权：</w:t>
      </w:r>
      <w:r>
        <w:rPr>
          <w:rFonts w:hint="eastAsia" w:ascii="仿宋" w:hAnsi="仿宋" w:eastAsia="仿宋" w:cs="仿宋"/>
          <w:sz w:val="28"/>
          <w:szCs w:val="28"/>
          <w:highlight w:val="none"/>
          <w:u w:val="single"/>
        </w:rPr>
        <w:t>按发包人与监理单位签订的监理合同有关规定执行，涉及变更签证或费用调整的，需经发包人书面认可</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义务：</w:t>
      </w:r>
      <w:r>
        <w:rPr>
          <w:rFonts w:hint="eastAsia" w:ascii="仿宋" w:hAnsi="仿宋" w:eastAsia="仿宋" w:cs="仿宋"/>
          <w:sz w:val="28"/>
          <w:szCs w:val="28"/>
          <w:highlight w:val="none"/>
          <w:u w:val="single"/>
        </w:rPr>
        <w:t>常驻现场，代表监理单位履行与发包人签订的监理合同</w:t>
      </w:r>
      <w:r>
        <w:rPr>
          <w:rFonts w:hint="eastAsia" w:ascii="仿宋" w:hAnsi="仿宋" w:eastAsia="仿宋" w:cs="仿宋"/>
          <w:sz w:val="28"/>
          <w:szCs w:val="28"/>
          <w:highlight w:val="none"/>
        </w:rPr>
        <w:t>。</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5.3发包人派驻的工程师</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工程师</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职权：</w:t>
      </w:r>
      <w:r>
        <w:rPr>
          <w:rFonts w:hint="eastAsia" w:ascii="仿宋" w:hAnsi="仿宋" w:eastAsia="仿宋" w:cs="仿宋"/>
          <w:sz w:val="28"/>
          <w:szCs w:val="28"/>
          <w:highlight w:val="none"/>
          <w:u w:val="single"/>
        </w:rPr>
        <w:t>发包人代表，行使发包人的权利</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pacing w:val="-8"/>
          <w:sz w:val="28"/>
          <w:szCs w:val="28"/>
          <w:highlight w:val="none"/>
          <w:u w:val="single"/>
        </w:rPr>
      </w:pPr>
      <w:r>
        <w:rPr>
          <w:rFonts w:hint="eastAsia" w:ascii="仿宋" w:hAnsi="仿宋" w:eastAsia="仿宋" w:cs="仿宋"/>
          <w:spacing w:val="-8"/>
          <w:sz w:val="28"/>
          <w:szCs w:val="28"/>
          <w:highlight w:val="none"/>
        </w:rPr>
        <w:t>义务：</w:t>
      </w:r>
      <w:r>
        <w:rPr>
          <w:rFonts w:hint="eastAsia" w:ascii="仿宋" w:hAnsi="仿宋" w:eastAsia="仿宋" w:cs="仿宋"/>
          <w:spacing w:val="-8"/>
          <w:sz w:val="28"/>
          <w:szCs w:val="28"/>
          <w:highlight w:val="none"/>
          <w:u w:val="single"/>
        </w:rPr>
        <w:t>常驻现场，代表发包人履行与承包人签订的本建设工程施工合同</w:t>
      </w:r>
      <w:r>
        <w:rPr>
          <w:rFonts w:hint="eastAsia" w:ascii="仿宋" w:hAnsi="仿宋" w:eastAsia="仿宋" w:cs="仿宋"/>
          <w:spacing w:val="-8"/>
          <w:sz w:val="28"/>
          <w:szCs w:val="28"/>
          <w:highlight w:val="none"/>
        </w:rPr>
        <w:t>。</w:t>
      </w:r>
    </w:p>
    <w:p>
      <w:pPr>
        <w:shd w:val="clear"/>
        <w:spacing w:line="360" w:lineRule="auto"/>
        <w:ind w:firstLine="478" w:firstLineChars="171"/>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5.6不实行监理的，工程师的职权：</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64" w:name="_Toc30443"/>
      <w:bookmarkStart w:id="265" w:name="_Toc11685"/>
      <w:r>
        <w:rPr>
          <w:rFonts w:hint="eastAsia" w:ascii="仿宋" w:hAnsi="仿宋" w:eastAsia="仿宋" w:cs="仿宋"/>
          <w:b/>
          <w:sz w:val="28"/>
          <w:szCs w:val="28"/>
          <w:highlight w:val="none"/>
        </w:rPr>
        <w:t>7、项目负责人</w:t>
      </w:r>
      <w:bookmarkEnd w:id="264"/>
      <w:bookmarkEnd w:id="265"/>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7.1（1）项目负责人</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职权：</w:t>
      </w:r>
      <w:r>
        <w:rPr>
          <w:rFonts w:hint="eastAsia" w:ascii="仿宋" w:hAnsi="仿宋" w:eastAsia="仿宋" w:cs="仿宋"/>
          <w:sz w:val="28"/>
          <w:szCs w:val="28"/>
          <w:highlight w:val="none"/>
          <w:u w:val="single"/>
        </w:rPr>
        <w:t>代表承包人全权处理本工程的一切事务</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义务：</w:t>
      </w:r>
      <w:r>
        <w:rPr>
          <w:rFonts w:hint="eastAsia" w:ascii="仿宋" w:hAnsi="仿宋" w:eastAsia="仿宋" w:cs="仿宋"/>
          <w:sz w:val="28"/>
          <w:szCs w:val="28"/>
          <w:highlight w:val="none"/>
          <w:u w:val="single"/>
        </w:rPr>
        <w:t>按照在投标文件中签署的（或在签订本合同前补充签署的）《项目负责人驻场承诺书》中的承诺常驻现场，代表承包人履行与发包人签订的本建设工程施工合同</w:t>
      </w:r>
      <w:r>
        <w:rPr>
          <w:rFonts w:hint="eastAsia" w:ascii="仿宋" w:hAnsi="仿宋" w:eastAsia="仿宋" w:cs="仿宋"/>
          <w:sz w:val="28"/>
          <w:szCs w:val="28"/>
          <w:highlight w:val="none"/>
        </w:rPr>
        <w:t>。</w:t>
      </w:r>
    </w:p>
    <w:p>
      <w:pPr>
        <w:shd w:val="clear"/>
        <w:adjustRightInd w:val="0"/>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7.4</w:t>
      </w:r>
      <w:r>
        <w:rPr>
          <w:rFonts w:hint="eastAsia" w:ascii="仿宋" w:hAnsi="仿宋" w:eastAsia="仿宋" w:cs="仿宋"/>
          <w:sz w:val="28"/>
          <w:szCs w:val="28"/>
          <w:highlight w:val="none"/>
          <w:u w:val="single"/>
        </w:rPr>
        <w:t>承包人如需更换项目负责人或技术负责人，按有关规定执行，后任继续行使合同文件约定的前任的职权，履行前任的义务。承包人必须严格按照投标书与承诺任用项目负责人，调换项目负责人必须提出书面报告并附上替代人员的所有证明资料，经发包人审核书面同意后才能调换，但承包人仍需按下表承担对应减半违约责任(被调换项目负责人因重大疾病不能胜任工作除外)。</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954"/>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68" w:type="dxa"/>
            <w:noWrap w:val="0"/>
            <w:vAlign w:val="center"/>
          </w:tcPr>
          <w:p>
            <w:pPr>
              <w:shd w:val="clear"/>
              <w:tabs>
                <w:tab w:val="left" w:pos="360"/>
              </w:tabs>
              <w:adjustRightInd w:val="0"/>
              <w:snapToGrid w:val="0"/>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序号</w:t>
            </w:r>
          </w:p>
        </w:tc>
        <w:tc>
          <w:tcPr>
            <w:tcW w:w="4954" w:type="dxa"/>
            <w:noWrap w:val="0"/>
            <w:vAlign w:val="center"/>
          </w:tcPr>
          <w:p>
            <w:pPr>
              <w:shd w:val="clear"/>
              <w:tabs>
                <w:tab w:val="left" w:pos="360"/>
              </w:tabs>
              <w:adjustRightInd w:val="0"/>
              <w:snapToGrid w:val="0"/>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违约项目</w:t>
            </w:r>
          </w:p>
        </w:tc>
        <w:tc>
          <w:tcPr>
            <w:tcW w:w="3238" w:type="dxa"/>
            <w:noWrap w:val="0"/>
            <w:vAlign w:val="center"/>
          </w:tcPr>
          <w:p>
            <w:pPr>
              <w:shd w:val="clear"/>
              <w:tabs>
                <w:tab w:val="left" w:pos="360"/>
              </w:tabs>
              <w:adjustRightInd w:val="0"/>
              <w:snapToGrid w:val="0"/>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违约金</w:t>
            </w:r>
          </w:p>
          <w:p>
            <w:pPr>
              <w:shd w:val="clear"/>
              <w:tabs>
                <w:tab w:val="left" w:pos="360"/>
              </w:tabs>
              <w:adjustRightInd w:val="0"/>
              <w:snapToGrid w:val="0"/>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shd w:val="clear"/>
              <w:tabs>
                <w:tab w:val="left" w:pos="360"/>
              </w:tabs>
              <w:adjustRightInd w:val="0"/>
              <w:snapToGrid w:val="0"/>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w:t>
            </w:r>
          </w:p>
        </w:tc>
        <w:tc>
          <w:tcPr>
            <w:tcW w:w="4954" w:type="dxa"/>
            <w:noWrap w:val="0"/>
            <w:vAlign w:val="center"/>
          </w:tcPr>
          <w:p>
            <w:pPr>
              <w:shd w:val="clear"/>
              <w:tabs>
                <w:tab w:val="left" w:pos="360"/>
              </w:tabs>
              <w:adjustRightInd w:val="0"/>
              <w:snapToGrid w:val="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承包人自行调换或未按照发包人要求及时更换项目负责人。</w:t>
            </w:r>
          </w:p>
        </w:tc>
        <w:tc>
          <w:tcPr>
            <w:tcW w:w="3238" w:type="dxa"/>
            <w:noWrap w:val="0"/>
            <w:vAlign w:val="center"/>
          </w:tcPr>
          <w:p>
            <w:pPr>
              <w:shd w:val="clear"/>
              <w:tabs>
                <w:tab w:val="left" w:pos="360"/>
              </w:tabs>
              <w:adjustRightInd w:val="0"/>
              <w:snapToGrid w:val="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本施工合同报酬总额的2%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pPr>
              <w:shd w:val="clear"/>
              <w:tabs>
                <w:tab w:val="left" w:pos="360"/>
              </w:tabs>
              <w:adjustRightInd w:val="0"/>
              <w:snapToGrid w:val="0"/>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w:t>
            </w:r>
          </w:p>
        </w:tc>
        <w:tc>
          <w:tcPr>
            <w:tcW w:w="4954" w:type="dxa"/>
            <w:noWrap w:val="0"/>
            <w:vAlign w:val="center"/>
          </w:tcPr>
          <w:p>
            <w:pPr>
              <w:shd w:val="clear"/>
              <w:tabs>
                <w:tab w:val="left" w:pos="360"/>
              </w:tabs>
              <w:adjustRightInd w:val="0"/>
              <w:snapToGrid w:val="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经委托人审核书面同意后调换项目负责人。</w:t>
            </w:r>
          </w:p>
        </w:tc>
        <w:tc>
          <w:tcPr>
            <w:tcW w:w="3238" w:type="dxa"/>
            <w:noWrap w:val="0"/>
            <w:vAlign w:val="center"/>
          </w:tcPr>
          <w:p>
            <w:pPr>
              <w:shd w:val="clear"/>
              <w:tabs>
                <w:tab w:val="left" w:pos="360"/>
              </w:tabs>
              <w:adjustRightInd w:val="0"/>
              <w:snapToGrid w:val="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承包人按1项对应调换人员承担减半违约金。</w:t>
            </w:r>
          </w:p>
        </w:tc>
      </w:tr>
    </w:tbl>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7.5</w:t>
      </w:r>
      <w:r>
        <w:rPr>
          <w:rFonts w:hint="eastAsia" w:ascii="仿宋" w:hAnsi="仿宋" w:eastAsia="仿宋" w:cs="仿宋"/>
          <w:sz w:val="28"/>
          <w:szCs w:val="28"/>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仿宋" w:hAnsi="仿宋" w:eastAsia="仿宋" w:cs="仿宋"/>
          <w:sz w:val="28"/>
          <w:szCs w:val="28"/>
          <w:highlight w:val="none"/>
        </w:rPr>
        <w:t>。</w:t>
      </w:r>
    </w:p>
    <w:p>
      <w:pPr>
        <w:shd w:val="clear"/>
        <w:adjustRightInd w:val="0"/>
        <w:snapToGrid w:val="0"/>
        <w:spacing w:line="440" w:lineRule="exact"/>
        <w:ind w:right="11"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7.6</w:t>
      </w:r>
      <w:r>
        <w:rPr>
          <w:rFonts w:hint="eastAsia" w:ascii="仿宋" w:hAnsi="仿宋" w:eastAsia="仿宋" w:cs="仿宋"/>
          <w:sz w:val="28"/>
          <w:szCs w:val="28"/>
          <w:highlight w:val="none"/>
          <w:u w:val="single"/>
        </w:rPr>
        <w:t>承包人项目负责人不得兼任其他工程项目负责人，否则发包人可按单方面终止合同处理</w:t>
      </w:r>
      <w:r>
        <w:rPr>
          <w:rFonts w:hint="eastAsia" w:ascii="仿宋" w:hAnsi="仿宋" w:eastAsia="仿宋" w:cs="仿宋"/>
          <w:sz w:val="28"/>
          <w:szCs w:val="28"/>
          <w:highlight w:val="none"/>
        </w:rPr>
        <w:t>。</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7.7现场管理机构</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（1）承包人必须按照投标文件的承诺建立现场管理机构，严格执行现行建设工程项目管理规范，并积极主动接受建设行政主管部门的监督和检查。</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hd w:val="clear"/>
        <w:adjustRightInd w:val="0"/>
        <w:snapToGrid w:val="0"/>
        <w:spacing w:line="440" w:lineRule="exact"/>
        <w:ind w:right="11" w:firstLine="420" w:firstLineChars="15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hd w:val="clear"/>
        <w:spacing w:line="360" w:lineRule="auto"/>
        <w:ind w:firstLine="481" w:firstLineChars="171"/>
        <w:outlineLvl w:val="2"/>
        <w:rPr>
          <w:rFonts w:hint="eastAsia" w:ascii="仿宋" w:hAnsi="仿宋" w:eastAsia="仿宋" w:cs="仿宋"/>
          <w:b/>
          <w:sz w:val="28"/>
          <w:szCs w:val="28"/>
          <w:highlight w:val="none"/>
        </w:rPr>
      </w:pPr>
      <w:bookmarkStart w:id="266" w:name="_Toc30647"/>
      <w:bookmarkStart w:id="267" w:name="_Toc32453"/>
      <w:r>
        <w:rPr>
          <w:rFonts w:hint="eastAsia" w:ascii="仿宋" w:hAnsi="仿宋" w:eastAsia="仿宋" w:cs="仿宋"/>
          <w:b/>
          <w:sz w:val="28"/>
          <w:szCs w:val="28"/>
          <w:highlight w:val="none"/>
        </w:rPr>
        <w:t>8、发包人工作</w:t>
      </w:r>
      <w:bookmarkEnd w:id="266"/>
      <w:bookmarkEnd w:id="267"/>
    </w:p>
    <w:p>
      <w:pPr>
        <w:shd w:val="clear"/>
        <w:snapToGrid w:val="0"/>
        <w:spacing w:line="360" w:lineRule="auto"/>
        <w:ind w:firstLine="397"/>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8.1发包人应按约定的时间和要求完成以下工作：</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（1）施工场地具备施工条件的要求及完成的时间：</w:t>
      </w:r>
      <w:r>
        <w:rPr>
          <w:rFonts w:hint="eastAsia" w:ascii="仿宋" w:hAnsi="仿宋" w:eastAsia="仿宋" w:cs="仿宋"/>
          <w:sz w:val="28"/>
          <w:szCs w:val="28"/>
          <w:highlight w:val="none"/>
          <w:u w:val="single"/>
        </w:rPr>
        <w:t>土地征收、拆迁补偿工作完成时间原则上在开工前；因土地征收和拆迁补偿进度原因不能按时移交场地的，可采取分段逐步方式移交施工场地</w:t>
      </w:r>
      <w:r>
        <w:rPr>
          <w:rFonts w:hint="eastAsia" w:ascii="仿宋" w:hAnsi="仿宋" w:eastAsia="仿宋" w:cs="仿宋"/>
          <w:sz w:val="28"/>
          <w:szCs w:val="28"/>
          <w:highlight w:val="none"/>
        </w:rPr>
        <w:t>。使得承包人能够连续不间断地施工，由于发包人未能按照本项规定办妥永久占地征用手续，影响承包人连续不间断施工的，造成的工期延误，总工期相应顺延，但不作费用补偿。</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（2）将施工所需的水、电、电讯线路接至施工场地的时间、地点和供应要求：</w:t>
      </w:r>
      <w:r>
        <w:rPr>
          <w:rFonts w:hint="eastAsia" w:ascii="仿宋" w:hAnsi="仿宋" w:eastAsia="仿宋" w:cs="仿宋"/>
          <w:sz w:val="28"/>
          <w:szCs w:val="28"/>
          <w:highlight w:val="none"/>
          <w:u w:val="single"/>
        </w:rPr>
        <w:t>由承包人自行解决，费用已包在本工程中标总造价中</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（3）施工场地与公共道路的通道开通时间和要求：</w:t>
      </w:r>
      <w:r>
        <w:rPr>
          <w:rFonts w:hint="eastAsia" w:ascii="仿宋" w:hAnsi="仿宋" w:eastAsia="仿宋" w:cs="仿宋"/>
          <w:sz w:val="28"/>
          <w:szCs w:val="28"/>
          <w:highlight w:val="none"/>
          <w:u w:val="single"/>
        </w:rPr>
        <w:t>通道按现状，不论满足施工要求与否，该通道及施工便道均由承包人自行解决，费用已包在本工程中标总造价中</w:t>
      </w:r>
      <w:r>
        <w:rPr>
          <w:rFonts w:hint="eastAsia" w:ascii="仿宋" w:hAnsi="仿宋" w:eastAsia="仿宋" w:cs="仿宋"/>
          <w:sz w:val="28"/>
          <w:szCs w:val="28"/>
          <w:highlight w:val="none"/>
        </w:rPr>
        <w:t>。</w:t>
      </w:r>
    </w:p>
    <w:p>
      <w:pPr>
        <w:shd w:val="clear"/>
        <w:snapToGrid w:val="0"/>
        <w:spacing w:line="360" w:lineRule="auto"/>
        <w:ind w:firstLine="397"/>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（4）工程地质和地下管线资料的提供时间：</w:t>
      </w:r>
      <w:r>
        <w:rPr>
          <w:rFonts w:hint="eastAsia" w:ascii="仿宋" w:hAnsi="仿宋" w:eastAsia="仿宋" w:cs="仿宋"/>
          <w:sz w:val="28"/>
          <w:szCs w:val="28"/>
          <w:highlight w:val="none"/>
          <w:u w:val="single"/>
        </w:rPr>
        <w:t>开工前交验。</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（5）由发包人办理的施工所需证件、批件的名称和完成时间：</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（6）水准点与坐标控制点交验要求：</w:t>
      </w:r>
      <w:r>
        <w:rPr>
          <w:rFonts w:hint="eastAsia" w:ascii="仿宋" w:hAnsi="仿宋" w:eastAsia="仿宋" w:cs="仿宋"/>
          <w:sz w:val="28"/>
          <w:szCs w:val="28"/>
          <w:highlight w:val="none"/>
          <w:u w:val="single"/>
        </w:rPr>
        <w:t>开工前交验</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（7）图纸会审和设计交底时间：</w:t>
      </w:r>
      <w:r>
        <w:rPr>
          <w:rFonts w:hint="eastAsia" w:ascii="仿宋" w:hAnsi="仿宋" w:eastAsia="仿宋" w:cs="仿宋"/>
          <w:sz w:val="28"/>
          <w:szCs w:val="28"/>
          <w:highlight w:val="none"/>
          <w:u w:val="single"/>
        </w:rPr>
        <w:t>工程施工前</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（8）协调处理施工场地周围地下管线和邻近建筑物、构筑物（含文物保护建筑）、古树名木的保护工作：</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（9）双方约定发包人应做的其他工作：</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8.2发包人委托承包人办理的工作：</w:t>
      </w:r>
      <w:r>
        <w:rPr>
          <w:rFonts w:hint="eastAsia" w:ascii="仿宋" w:hAnsi="仿宋" w:eastAsia="仿宋" w:cs="仿宋"/>
          <w:sz w:val="28"/>
          <w:szCs w:val="28"/>
          <w:highlight w:val="none"/>
          <w:u w:val="single"/>
        </w:rPr>
        <w:t>工程质监登记、合同鉴证、施工许可证、购买印花税等一切施工所需的审批，申领手续</w:t>
      </w:r>
      <w:r>
        <w:rPr>
          <w:rFonts w:hint="eastAsia" w:ascii="仿宋" w:hAnsi="仿宋" w:eastAsia="仿宋" w:cs="仿宋"/>
          <w:bCs/>
          <w:sz w:val="28"/>
          <w:szCs w:val="28"/>
          <w:highlight w:val="none"/>
          <w:u w:val="single"/>
        </w:rPr>
        <w:t>以及规划验收、环保验收等后期验收工作，</w:t>
      </w:r>
      <w:r>
        <w:rPr>
          <w:rFonts w:hint="eastAsia" w:ascii="仿宋" w:hAnsi="仿宋" w:eastAsia="仿宋" w:cs="仿宋"/>
          <w:sz w:val="28"/>
          <w:szCs w:val="28"/>
          <w:highlight w:val="none"/>
          <w:u w:val="single"/>
        </w:rPr>
        <w:t>费用按政策规定各自承担相应部分</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68" w:name="_Toc21340"/>
      <w:bookmarkStart w:id="269" w:name="_Toc29318"/>
      <w:r>
        <w:rPr>
          <w:rFonts w:hint="eastAsia" w:ascii="仿宋" w:hAnsi="仿宋" w:eastAsia="仿宋" w:cs="仿宋"/>
          <w:b/>
          <w:sz w:val="28"/>
          <w:szCs w:val="28"/>
          <w:highlight w:val="none"/>
        </w:rPr>
        <w:t>9、承包人工作</w:t>
      </w:r>
      <w:bookmarkEnd w:id="268"/>
      <w:bookmarkEnd w:id="269"/>
    </w:p>
    <w:p>
      <w:pPr>
        <w:shd w:val="clear"/>
        <w:snapToGrid w:val="0"/>
        <w:spacing w:line="360" w:lineRule="auto"/>
        <w:ind w:firstLine="397"/>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9.1承包人应按约定时间和要求，完成以下工作：</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（1）需由设计资质等级和业务范围允许的承包人完成的设计文件提交时间：</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（2）应提供计划、报表的名称及完成时间：</w:t>
      </w:r>
      <w:r>
        <w:rPr>
          <w:rFonts w:hint="eastAsia" w:ascii="仿宋" w:hAnsi="仿宋" w:eastAsia="仿宋" w:cs="仿宋"/>
          <w:sz w:val="28"/>
          <w:szCs w:val="28"/>
          <w:highlight w:val="none"/>
          <w:u w:val="single"/>
        </w:rPr>
        <w:t>施工组织设计、管理人员架构表，于开工前三天报。提交工程年、季、月度计划及进度统计报表</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（3）承担施工安全保卫工作及非夜间施工照明的责任和要求：</w:t>
      </w:r>
      <w:r>
        <w:rPr>
          <w:rFonts w:hint="eastAsia" w:ascii="仿宋" w:hAnsi="仿宋" w:eastAsia="仿宋" w:cs="仿宋"/>
          <w:sz w:val="28"/>
          <w:szCs w:val="28"/>
          <w:highlight w:val="none"/>
          <w:u w:val="single"/>
        </w:rPr>
        <w:t>按招标文件要求及国家、省、市、区相关规定执行，并满足本工程需要</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（4）向发包人或监理工程师提供的办公、交通和生活、通讯设施的要求：</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（5）需承包人办理有关施工场地交通、环卫和施工噪音管理等手续：</w:t>
      </w:r>
      <w:r>
        <w:rPr>
          <w:rFonts w:hint="eastAsia" w:ascii="仿宋" w:hAnsi="仿宋" w:eastAsia="仿宋" w:cs="仿宋"/>
          <w:sz w:val="28"/>
          <w:szCs w:val="28"/>
          <w:highlight w:val="none"/>
          <w:u w:val="single"/>
        </w:rPr>
        <w:t>承包人按本合同通用条款要求执行，并承担相关费用</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（6）已完工程成品保护的特殊要求及费用承担：</w:t>
      </w:r>
      <w:r>
        <w:rPr>
          <w:rFonts w:hint="eastAsia" w:ascii="仿宋" w:hAnsi="仿宋" w:eastAsia="仿宋" w:cs="仿宋"/>
          <w:sz w:val="28"/>
          <w:szCs w:val="28"/>
          <w:highlight w:val="none"/>
          <w:u w:val="single"/>
        </w:rPr>
        <w:t>按本合同通用条款执行</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（7）施工场地周围地下管线和邻近建筑物、构筑物（含文物保护建筑）、古树名木的保护要求及费用承担：</w:t>
      </w:r>
      <w:r>
        <w:rPr>
          <w:rFonts w:hint="eastAsia" w:ascii="仿宋" w:hAnsi="仿宋" w:eastAsia="仿宋" w:cs="仿宋"/>
          <w:sz w:val="28"/>
          <w:szCs w:val="28"/>
          <w:highlight w:val="none"/>
          <w:u w:val="single"/>
        </w:rPr>
        <w:t>除文物保护外的保护费全部由承包人承担</w:t>
      </w:r>
      <w:r>
        <w:rPr>
          <w:rFonts w:hint="eastAsia" w:ascii="仿宋" w:hAnsi="仿宋" w:eastAsia="仿宋" w:cs="仿宋"/>
          <w:sz w:val="28"/>
          <w:szCs w:val="28"/>
          <w:highlight w:val="none"/>
        </w:rPr>
        <w:t>。</w:t>
      </w:r>
    </w:p>
    <w:p>
      <w:pPr>
        <w:shd w:val="clear"/>
        <w:snapToGrid w:val="0"/>
        <w:spacing w:line="360" w:lineRule="auto"/>
        <w:ind w:left="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（8）施工场地清洁卫生的要求：</w:t>
      </w:r>
      <w:r>
        <w:rPr>
          <w:rFonts w:hint="eastAsia" w:ascii="仿宋" w:hAnsi="仿宋" w:eastAsia="仿宋" w:cs="仿宋"/>
          <w:sz w:val="28"/>
          <w:szCs w:val="28"/>
          <w:highlight w:val="none"/>
          <w:u w:val="single"/>
        </w:rPr>
        <w:t>满足</w:t>
      </w:r>
      <w:r>
        <w:rPr>
          <w:rFonts w:hint="eastAsia" w:ascii="仿宋" w:hAnsi="仿宋" w:eastAsia="仿宋" w:cs="仿宋"/>
          <w:spacing w:val="-10"/>
          <w:sz w:val="28"/>
          <w:szCs w:val="28"/>
          <w:highlight w:val="none"/>
          <w:u w:val="single"/>
        </w:rPr>
        <w:t>文明 施工要求</w:t>
      </w:r>
      <w:r>
        <w:rPr>
          <w:rFonts w:hint="eastAsia" w:ascii="仿宋" w:hAnsi="仿宋" w:eastAsia="仿宋" w:cs="仿宋"/>
          <w:spacing w:val="-10"/>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（9）双方约定承包人应做的其他工作：</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①承包人应当按照施工所在地政府相关部门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p>
    <w:p>
      <w:pPr>
        <w:shd w:val="clear"/>
        <w:snapToGrid w:val="0"/>
        <w:spacing w:line="360" w:lineRule="auto"/>
        <w:ind w:firstLine="397"/>
        <w:rPr>
          <w:rFonts w:hint="eastAsia" w:ascii="仿宋" w:hAnsi="仿宋" w:eastAsia="仿宋" w:cs="仿宋"/>
          <w:b/>
          <w:sz w:val="28"/>
          <w:szCs w:val="28"/>
          <w:highlight w:val="none"/>
          <w:u w:val="single"/>
        </w:rPr>
      </w:pPr>
      <w:r>
        <w:rPr>
          <w:rFonts w:hint="eastAsia" w:ascii="仿宋" w:hAnsi="仿宋" w:eastAsia="仿宋" w:cs="仿宋"/>
          <w:sz w:val="28"/>
          <w:szCs w:val="28"/>
          <w:highlight w:val="none"/>
          <w:u w:val="single"/>
        </w:rPr>
        <w:t>②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进一步加强建筑施工安全管理的通知》、《关于规范我市建设工程施工承包管理的通知》【穗建筑[2010]630号】的规定，承包人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承包人可按提供服务的工作内容经发包人核准同意后按相关规定向专业分包单位收取合理的费用。</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三、施工组织设计和工期</w:t>
      </w:r>
    </w:p>
    <w:p>
      <w:pPr>
        <w:shd w:val="clear"/>
        <w:spacing w:line="360" w:lineRule="auto"/>
        <w:ind w:firstLine="481" w:firstLineChars="171"/>
        <w:outlineLvl w:val="2"/>
        <w:rPr>
          <w:rFonts w:hint="eastAsia" w:ascii="仿宋" w:hAnsi="仿宋" w:eastAsia="仿宋" w:cs="仿宋"/>
          <w:b/>
          <w:sz w:val="28"/>
          <w:szCs w:val="28"/>
          <w:highlight w:val="none"/>
        </w:rPr>
      </w:pPr>
      <w:bookmarkStart w:id="270" w:name="_Toc18652"/>
      <w:bookmarkStart w:id="271" w:name="_Toc29813"/>
      <w:r>
        <w:rPr>
          <w:rFonts w:hint="eastAsia" w:ascii="仿宋" w:hAnsi="仿宋" w:eastAsia="仿宋" w:cs="仿宋"/>
          <w:b/>
          <w:sz w:val="28"/>
          <w:szCs w:val="28"/>
          <w:highlight w:val="none"/>
        </w:rPr>
        <w:t>10、进度计划</w:t>
      </w:r>
      <w:bookmarkEnd w:id="270"/>
      <w:bookmarkEnd w:id="271"/>
    </w:p>
    <w:p>
      <w:pPr>
        <w:shd w:val="clear"/>
        <w:snapToGrid w:val="0"/>
        <w:spacing w:line="360" w:lineRule="auto"/>
        <w:ind w:firstLine="397"/>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10.1承包人提供施工组织设计(施工方案)和进度计划时间：</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承包人应于接到中标通知书后4天内向发包人提交总体工程进度计划（网络计划），并于接到中标通知书3天内提交施工组织设计（施工方案）给发包人</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承包人提交的施工组织设计应当按监理工程师及国家、省、市及广州（清远）产业转移工业园管理委员会关于施工承包管理的要求编制</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总监理工程师在接到承包人提交的施工组织设计和工程进度计划后，予以确认或提出修改意见</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工程师确认的时间：</w:t>
      </w:r>
      <w:r>
        <w:rPr>
          <w:rFonts w:hint="eastAsia" w:ascii="仿宋" w:hAnsi="仿宋" w:eastAsia="仿宋" w:cs="仿宋"/>
          <w:sz w:val="28"/>
          <w:szCs w:val="28"/>
          <w:highlight w:val="none"/>
          <w:u w:val="single"/>
        </w:rPr>
        <w:t>开工前</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10.2</w:t>
      </w:r>
      <w:r>
        <w:rPr>
          <w:rFonts w:hint="eastAsia" w:ascii="仿宋" w:hAnsi="仿宋" w:eastAsia="仿宋" w:cs="仿宋"/>
          <w:sz w:val="28"/>
          <w:szCs w:val="28"/>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10.3</w:t>
      </w:r>
      <w:r>
        <w:rPr>
          <w:rFonts w:hint="eastAsia" w:ascii="仿宋" w:hAnsi="仿宋" w:eastAsia="仿宋" w:cs="仿宋"/>
          <w:sz w:val="28"/>
          <w:szCs w:val="28"/>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72" w:name="_Toc6598"/>
      <w:bookmarkStart w:id="273" w:name="_Toc27902"/>
      <w:r>
        <w:rPr>
          <w:rFonts w:hint="eastAsia" w:ascii="仿宋" w:hAnsi="仿宋" w:eastAsia="仿宋" w:cs="仿宋"/>
          <w:b/>
          <w:sz w:val="28"/>
          <w:szCs w:val="28"/>
          <w:highlight w:val="none"/>
        </w:rPr>
        <w:t>11、开工及延期开工</w:t>
      </w:r>
      <w:bookmarkEnd w:id="272"/>
      <w:bookmarkEnd w:id="273"/>
    </w:p>
    <w:p>
      <w:pPr>
        <w:shd w:val="clea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11.1开工日期和竣工日期</w:t>
      </w:r>
    </w:p>
    <w:p>
      <w:pPr>
        <w:shd w:val="clear"/>
        <w:snapToGrid w:val="0"/>
        <w:spacing w:line="36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11.1.1本合同工期为</w:t>
      </w:r>
      <w:r>
        <w:rPr>
          <w:rFonts w:hint="eastAsia" w:ascii="仿宋" w:hAnsi="仿宋" w:eastAsia="仿宋" w:cs="仿宋"/>
          <w:sz w:val="28"/>
          <w:szCs w:val="28"/>
          <w:highlight w:val="none"/>
          <w:u w:val="single"/>
        </w:rPr>
        <w:t xml:space="preserve"> xxx </w:t>
      </w:r>
      <w:r>
        <w:rPr>
          <w:rFonts w:hint="eastAsia" w:ascii="仿宋" w:hAnsi="仿宋" w:eastAsia="仿宋" w:cs="仿宋"/>
          <w:sz w:val="28"/>
          <w:szCs w:val="28"/>
          <w:highlight w:val="none"/>
        </w:rPr>
        <w:t>日历天,其中开工时间初定为xx年  xx 月 xx  日。（具体开工日期以发包人或监理单位开工令或批准的开工报告日期为准）</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11.1.2承包人必须采取一切有效措施保证竣工日期，不得延误。除非发生了以下情形：</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政府对本工程建设项目作出停建、缓建的决定</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重大设计变更导致本工程在规划、使用、功能方面有重大调整</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u w:val="single"/>
        </w:rPr>
        <w:t>不可抗力持续影响而延误工期超过12天以上</w:t>
      </w:r>
      <w:r>
        <w:rPr>
          <w:rFonts w:hint="eastAsia" w:ascii="仿宋" w:hAnsi="仿宋" w:eastAsia="仿宋" w:cs="仿宋"/>
          <w:sz w:val="28"/>
          <w:szCs w:val="28"/>
          <w:highlight w:val="none"/>
        </w:rPr>
        <w:t>；</w:t>
      </w:r>
    </w:p>
    <w:p>
      <w:pPr>
        <w:shd w:val="clear"/>
        <w:snapToGrid w:val="0"/>
        <w:spacing w:line="360" w:lineRule="auto"/>
        <w:ind w:firstLine="560" w:firstLineChars="2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w:t>
      </w:r>
      <w:r>
        <w:rPr>
          <w:rFonts w:hint="eastAsia" w:ascii="仿宋" w:hAnsi="仿宋" w:eastAsia="仿宋" w:cs="仿宋"/>
          <w:sz w:val="28"/>
          <w:szCs w:val="28"/>
          <w:highlight w:val="none"/>
          <w:u w:val="single"/>
        </w:rPr>
        <w:t>本合同专用条款约定的其他非承包人原因导致的工期延误</w:t>
      </w:r>
      <w:r>
        <w:rPr>
          <w:rFonts w:hint="eastAsia" w:ascii="仿宋" w:hAnsi="仿宋" w:eastAsia="仿宋" w:cs="仿宋"/>
          <w:sz w:val="28"/>
          <w:szCs w:val="28"/>
          <w:highlight w:val="none"/>
        </w:rPr>
        <w:t>。</w:t>
      </w:r>
    </w:p>
    <w:p>
      <w:pPr>
        <w:shd w:val="clear"/>
        <w:snapToGrid w:val="0"/>
        <w:spacing w:line="360" w:lineRule="auto"/>
        <w:ind w:firstLine="560" w:firstLineChars="200"/>
        <w:outlineLvl w:val="2"/>
        <w:rPr>
          <w:rFonts w:hint="eastAsia" w:ascii="仿宋" w:hAnsi="仿宋" w:eastAsia="仿宋" w:cs="仿宋"/>
          <w:sz w:val="28"/>
          <w:szCs w:val="28"/>
          <w:highlight w:val="none"/>
        </w:rPr>
      </w:pPr>
      <w:bookmarkStart w:id="274" w:name="_Toc5989"/>
      <w:bookmarkStart w:id="275" w:name="_Toc25061"/>
      <w:r>
        <w:rPr>
          <w:rFonts w:hint="eastAsia" w:ascii="仿宋" w:hAnsi="仿宋" w:eastAsia="仿宋" w:cs="仿宋"/>
          <w:sz w:val="28"/>
          <w:szCs w:val="28"/>
          <w:highlight w:val="none"/>
        </w:rPr>
        <w:t>11.2延期开工：</w:t>
      </w:r>
      <w:bookmarkEnd w:id="274"/>
      <w:bookmarkEnd w:id="275"/>
    </w:p>
    <w:p>
      <w:pPr>
        <w:shd w:val="clear"/>
        <w:adjustRightInd w:val="0"/>
        <w:snapToGrid w:val="0"/>
        <w:spacing w:line="360" w:lineRule="auto"/>
        <w:ind w:right="11" w:firstLine="490" w:firstLineChars="175"/>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11.2.1</w:t>
      </w:r>
      <w:r>
        <w:rPr>
          <w:rFonts w:hint="eastAsia" w:ascii="仿宋" w:hAnsi="仿宋" w:eastAsia="仿宋" w:cs="仿宋"/>
          <w:sz w:val="28"/>
          <w:szCs w:val="28"/>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11.2.2</w:t>
      </w:r>
      <w:r>
        <w:rPr>
          <w:rFonts w:hint="eastAsia" w:ascii="仿宋" w:hAnsi="仿宋" w:eastAsia="仿宋" w:cs="仿宋"/>
          <w:sz w:val="28"/>
          <w:szCs w:val="28"/>
          <w:highlight w:val="none"/>
          <w:u w:val="single"/>
        </w:rPr>
        <w:t>承包人未能主动及时地履行其协调、配合服务义务而造成专业承包单位无法开工，由此产生的工期延误等损失由承包人承担，并承担违约责任</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76" w:name="_Toc29956"/>
      <w:bookmarkStart w:id="277" w:name="_Toc9660"/>
      <w:r>
        <w:rPr>
          <w:rFonts w:hint="eastAsia" w:ascii="仿宋" w:hAnsi="仿宋" w:eastAsia="仿宋" w:cs="仿宋"/>
          <w:b/>
          <w:sz w:val="28"/>
          <w:szCs w:val="28"/>
          <w:highlight w:val="none"/>
        </w:rPr>
        <w:t>12、暂停施工</w:t>
      </w:r>
      <w:bookmarkEnd w:id="276"/>
      <w:bookmarkEnd w:id="277"/>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12.1因下列原因，总监理工程师报经发包人同意，可通知承包人暂停施工：</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（1）工程设计发生重大变更；</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（2）不可抗力；</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（3）质量事故；</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（4）安全生产事故；</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（5）因承包人管理不善，可能导致现场混乱；</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（6）承包人违规施工，经监理工程师通知改正但仍不执行。</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承包人不得以与发包人有争议为由或者以争议未解决为由而单方面停工。否则，应按约定承担工期延误的违约责任。</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因发生上述第（1）、（2）项原因而暂停施工的，工期可协商调整，因发生上述第（3）、（4）、（5）、（6）项原因而暂停施工的，工期不予顺延,承包人必须承担由此发生的费用并向发包人承担违约责任。</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(1)拒绝监理单位管理；</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(2)施工组织设计（方案）未获总监理工程师批准而进行施工；</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(3)未经监理单位检验而进行下一道工序作业者；</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(4)擅自采用未经监理单位及发包人认可或批准的材料的，或者使用的原材料、构配件不合格或未经检查确认的，或者擅自采用未经认可的代用材料的；</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(5)擅自变更设计图纸的要求；</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(6)转包工程；</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(7)擅自让未经总监理工程师批准的专业承包单位进场作业；</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(8)存在安全隐患，未按监理单位要求及时进行整改；</w:t>
      </w:r>
    </w:p>
    <w:p>
      <w:pPr>
        <w:shd w:val="clear"/>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(9)未按双方约定的资料上报要求上报所需资料的。</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12.3因不可抗力引起工程停工，工期按</w:t>
      </w:r>
      <w:r>
        <w:rPr>
          <w:rFonts w:hint="eastAsia" w:ascii="仿宋" w:hAnsi="仿宋" w:eastAsia="仿宋" w:cs="仿宋"/>
          <w:sz w:val="28"/>
          <w:szCs w:val="28"/>
          <w:highlight w:val="none"/>
          <w:u w:val="single"/>
        </w:rPr>
        <w:t>专用条款第12.1款</w:t>
      </w:r>
      <w:r>
        <w:rPr>
          <w:rFonts w:hint="eastAsia" w:ascii="仿宋" w:hAnsi="仿宋" w:eastAsia="仿宋" w:cs="仿宋"/>
          <w:sz w:val="28"/>
          <w:szCs w:val="28"/>
          <w:highlight w:val="none"/>
        </w:rPr>
        <w:t>约定执行，费用承担按以下原则：</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运至施工场地用于施工的材料和待安装的设备的损害，属发包人供应的由发包人承担；属承包人采购的由承包人承担</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u w:val="single"/>
        </w:rPr>
        <w:t>发包人承包人人员伤亡由其所在单位负责，并承担相应费用</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u w:val="single"/>
        </w:rPr>
        <w:t>承包人机械设备损坏及停工损失由承包人承担</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u w:val="single"/>
        </w:rPr>
        <w:t>停工期间，承包人应总监理工程师要求留在施工场地的必要的管理人员及保卫人员的费用由承包人承担</w:t>
      </w:r>
      <w:r>
        <w:rPr>
          <w:rFonts w:hint="eastAsia" w:ascii="仿宋" w:hAnsi="仿宋" w:eastAsia="仿宋" w:cs="仿宋"/>
          <w:sz w:val="28"/>
          <w:szCs w:val="28"/>
          <w:highlight w:val="none"/>
        </w:rPr>
        <w:t>。</w:t>
      </w:r>
    </w:p>
    <w:p>
      <w:pPr>
        <w:shd w:val="clear"/>
        <w:snapToGrid w:val="0"/>
        <w:spacing w:line="360" w:lineRule="auto"/>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u w:val="single"/>
        </w:rPr>
        <w:t>工程所需清理、修复费用由发包人承担</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12.4</w:t>
      </w:r>
      <w:r>
        <w:rPr>
          <w:rFonts w:hint="eastAsia" w:ascii="仿宋" w:hAnsi="仿宋" w:eastAsia="仿宋" w:cs="仿宋"/>
          <w:sz w:val="28"/>
          <w:szCs w:val="28"/>
          <w:highlight w:val="none"/>
          <w:u w:val="single"/>
        </w:rPr>
        <w:t>由于承包人自身原因或施工承包管理、配合及协调不力，而导致专业承包工程停工，产生的费用由承包人承担</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78" w:name="_Toc32291"/>
      <w:bookmarkStart w:id="279" w:name="_Toc7234"/>
      <w:r>
        <w:rPr>
          <w:rFonts w:hint="eastAsia" w:ascii="仿宋" w:hAnsi="仿宋" w:eastAsia="仿宋" w:cs="仿宋"/>
          <w:b/>
          <w:sz w:val="28"/>
          <w:szCs w:val="28"/>
          <w:highlight w:val="none"/>
        </w:rPr>
        <w:t>13、工期延误</w:t>
      </w:r>
      <w:bookmarkEnd w:id="278"/>
      <w:bookmarkEnd w:id="279"/>
    </w:p>
    <w:p>
      <w:pPr>
        <w:shd w:val="clear"/>
        <w:snapToGrid w:val="0"/>
        <w:spacing w:line="360" w:lineRule="auto"/>
        <w:ind w:firstLine="397"/>
        <w:rPr>
          <w:rFonts w:hint="eastAsia" w:ascii="仿宋" w:hAnsi="仿宋" w:eastAsia="仿宋" w:cs="仿宋"/>
          <w:sz w:val="28"/>
          <w:szCs w:val="28"/>
          <w:highlight w:val="none"/>
        </w:rPr>
      </w:pPr>
      <w:r>
        <w:rPr>
          <w:rFonts w:hint="eastAsia" w:ascii="仿宋" w:hAnsi="仿宋" w:eastAsia="仿宋" w:cs="仿宋"/>
          <w:sz w:val="28"/>
          <w:szCs w:val="28"/>
          <w:highlight w:val="none"/>
        </w:rPr>
        <w:t>13.2</w:t>
      </w:r>
      <w:r>
        <w:rPr>
          <w:rFonts w:hint="eastAsia" w:ascii="仿宋" w:hAnsi="仿宋" w:eastAsia="仿宋" w:cs="仿宋"/>
          <w:sz w:val="28"/>
          <w:szCs w:val="28"/>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仿宋" w:hAnsi="仿宋" w:eastAsia="仿宋" w:cs="仿宋"/>
          <w:sz w:val="28"/>
          <w:szCs w:val="28"/>
          <w:highlight w:val="none"/>
        </w:rPr>
        <w:t>。</w:t>
      </w:r>
    </w:p>
    <w:p>
      <w:pPr>
        <w:shd w:val="clear"/>
        <w:snapToGrid w:val="0"/>
        <w:spacing w:line="360" w:lineRule="auto"/>
        <w:ind w:firstLine="397"/>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四、质量与验收</w:t>
      </w:r>
    </w:p>
    <w:p>
      <w:pPr>
        <w:shd w:val="clear"/>
        <w:spacing w:line="360" w:lineRule="auto"/>
        <w:ind w:firstLine="481" w:firstLineChars="171"/>
        <w:outlineLvl w:val="2"/>
        <w:rPr>
          <w:rFonts w:hint="eastAsia" w:ascii="仿宋" w:hAnsi="仿宋" w:eastAsia="仿宋" w:cs="仿宋"/>
          <w:b/>
          <w:sz w:val="28"/>
          <w:szCs w:val="28"/>
          <w:highlight w:val="none"/>
        </w:rPr>
      </w:pPr>
      <w:bookmarkStart w:id="280" w:name="_Toc19589"/>
      <w:bookmarkStart w:id="281" w:name="_Toc13697"/>
      <w:r>
        <w:rPr>
          <w:rFonts w:hint="eastAsia" w:ascii="仿宋" w:hAnsi="仿宋" w:eastAsia="仿宋" w:cs="仿宋"/>
          <w:b/>
          <w:sz w:val="28"/>
          <w:szCs w:val="28"/>
          <w:highlight w:val="none"/>
        </w:rPr>
        <w:t>15、工程质量</w:t>
      </w:r>
      <w:bookmarkEnd w:id="280"/>
      <w:bookmarkEnd w:id="281"/>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15.3</w:t>
      </w:r>
      <w:r>
        <w:rPr>
          <w:rFonts w:hint="eastAsia" w:ascii="仿宋" w:hAnsi="仿宋" w:eastAsia="仿宋" w:cs="仿宋"/>
          <w:bCs/>
          <w:sz w:val="28"/>
          <w:szCs w:val="28"/>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hint="eastAsia" w:ascii="仿宋" w:hAnsi="仿宋" w:eastAsia="仿宋" w:cs="仿宋"/>
          <w:bCs/>
          <w:sz w:val="28"/>
          <w:szCs w:val="28"/>
          <w:highlight w:val="none"/>
        </w:rPr>
        <w:t>。</w:t>
      </w:r>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15.4</w:t>
      </w:r>
      <w:r>
        <w:rPr>
          <w:rFonts w:hint="eastAsia" w:ascii="仿宋" w:hAnsi="仿宋" w:eastAsia="仿宋" w:cs="仿宋"/>
          <w:bCs/>
          <w:sz w:val="28"/>
          <w:szCs w:val="28"/>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仿宋" w:hAnsi="仿宋" w:eastAsia="仿宋" w:cs="仿宋"/>
          <w:bCs/>
          <w:sz w:val="28"/>
          <w:szCs w:val="28"/>
          <w:highlight w:val="none"/>
        </w:rPr>
        <w:t>。</w:t>
      </w:r>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15.5</w:t>
      </w:r>
      <w:r>
        <w:rPr>
          <w:rFonts w:hint="eastAsia" w:ascii="仿宋" w:hAnsi="仿宋" w:eastAsia="仿宋" w:cs="仿宋"/>
          <w:bCs/>
          <w:sz w:val="28"/>
          <w:szCs w:val="28"/>
          <w:highlight w:val="none"/>
          <w:u w:val="single"/>
        </w:rPr>
        <w:t>工程质量不符合设计要求、质量不合格者，监理工程师可指令承包人停工或返工，返工费用由承包人承担，工期不予顺延</w:t>
      </w:r>
      <w:r>
        <w:rPr>
          <w:rFonts w:hint="eastAsia" w:ascii="仿宋" w:hAnsi="仿宋" w:eastAsia="仿宋" w:cs="仿宋"/>
          <w:bCs/>
          <w:sz w:val="28"/>
          <w:szCs w:val="28"/>
          <w:highlight w:val="none"/>
        </w:rPr>
        <w:t>。返工后仍不能达到约定条件的，承包方承担违约责任。</w:t>
      </w:r>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15.6</w:t>
      </w:r>
      <w:r>
        <w:rPr>
          <w:rFonts w:hint="eastAsia" w:ascii="仿宋" w:hAnsi="仿宋" w:eastAsia="仿宋" w:cs="仿宋"/>
          <w:bCs/>
          <w:sz w:val="28"/>
          <w:szCs w:val="28"/>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仿宋" w:hAnsi="仿宋" w:eastAsia="仿宋" w:cs="仿宋"/>
          <w:bCs/>
          <w:sz w:val="28"/>
          <w:szCs w:val="28"/>
          <w:highlight w:val="none"/>
        </w:rPr>
        <w:t>。</w:t>
      </w:r>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15.7</w:t>
      </w:r>
      <w:r>
        <w:rPr>
          <w:rFonts w:hint="eastAsia" w:ascii="仿宋" w:hAnsi="仿宋" w:eastAsia="仿宋" w:cs="仿宋"/>
          <w:bCs/>
          <w:sz w:val="28"/>
          <w:szCs w:val="28"/>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仿宋" w:hAnsi="仿宋" w:eastAsia="仿宋" w:cs="仿宋"/>
          <w:bCs/>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82" w:name="_Toc3836"/>
      <w:bookmarkStart w:id="283" w:name="_Toc20621"/>
      <w:r>
        <w:rPr>
          <w:rFonts w:hint="eastAsia" w:ascii="仿宋" w:hAnsi="仿宋" w:eastAsia="仿宋" w:cs="仿宋"/>
          <w:b/>
          <w:sz w:val="28"/>
          <w:szCs w:val="28"/>
          <w:highlight w:val="none"/>
        </w:rPr>
        <w:t>16、检查和返工</w:t>
      </w:r>
      <w:bookmarkEnd w:id="282"/>
      <w:bookmarkEnd w:id="283"/>
    </w:p>
    <w:p>
      <w:pPr>
        <w:shd w:val="clear"/>
        <w:snapToGrid w:val="0"/>
        <w:spacing w:line="360" w:lineRule="auto"/>
        <w:ind w:firstLine="397"/>
        <w:rPr>
          <w:rFonts w:hint="eastAsia" w:ascii="仿宋" w:hAnsi="仿宋" w:eastAsia="仿宋" w:cs="仿宋"/>
          <w:bCs/>
          <w:sz w:val="28"/>
          <w:szCs w:val="28"/>
          <w:highlight w:val="none"/>
        </w:rPr>
      </w:pPr>
      <w:r>
        <w:rPr>
          <w:rFonts w:hint="eastAsia" w:ascii="仿宋" w:hAnsi="仿宋" w:eastAsia="仿宋" w:cs="仿宋"/>
          <w:bCs/>
          <w:sz w:val="28"/>
          <w:szCs w:val="28"/>
          <w:highlight w:val="none"/>
        </w:rPr>
        <w:t>16.3工程师的检查检验：</w:t>
      </w:r>
      <w:r>
        <w:rPr>
          <w:rFonts w:hint="eastAsia" w:ascii="仿宋" w:hAnsi="仿宋" w:eastAsia="仿宋" w:cs="仿宋"/>
          <w:bCs/>
          <w:sz w:val="28"/>
          <w:szCs w:val="28"/>
          <w:highlight w:val="none"/>
          <w:u w:val="single"/>
        </w:rPr>
        <w:t>工程师按规范、标准、设计图纸要求和频率所进行的检查检测不应成为承包人工期顺延的理由</w:t>
      </w:r>
      <w:r>
        <w:rPr>
          <w:rFonts w:hint="eastAsia" w:ascii="仿宋" w:hAnsi="仿宋" w:eastAsia="仿宋" w:cs="仿宋"/>
          <w:bCs/>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84" w:name="_Toc32728"/>
      <w:bookmarkStart w:id="285" w:name="_Toc12696"/>
      <w:r>
        <w:rPr>
          <w:rFonts w:hint="eastAsia" w:ascii="仿宋" w:hAnsi="仿宋" w:eastAsia="仿宋" w:cs="仿宋"/>
          <w:b/>
          <w:sz w:val="28"/>
          <w:szCs w:val="28"/>
          <w:highlight w:val="none"/>
        </w:rPr>
        <w:t>17、隐蔽工程和中间验收</w:t>
      </w:r>
      <w:bookmarkEnd w:id="284"/>
      <w:bookmarkEnd w:id="285"/>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17.1双方约定中间验收部位：</w:t>
      </w:r>
      <w:r>
        <w:rPr>
          <w:rFonts w:hint="eastAsia" w:ascii="仿宋" w:hAnsi="仿宋" w:eastAsia="仿宋" w:cs="仿宋"/>
          <w:sz w:val="28"/>
          <w:szCs w:val="28"/>
          <w:highlight w:val="none"/>
          <w:u w:val="single"/>
        </w:rPr>
        <w:t>按相应工程施工及验收规范要求执行</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86" w:name="_Toc11919"/>
      <w:bookmarkStart w:id="287" w:name="_Toc22270"/>
      <w:r>
        <w:rPr>
          <w:rFonts w:hint="eastAsia" w:ascii="仿宋" w:hAnsi="仿宋" w:eastAsia="仿宋" w:cs="仿宋"/>
          <w:b/>
          <w:sz w:val="28"/>
          <w:szCs w:val="28"/>
          <w:highlight w:val="none"/>
        </w:rPr>
        <w:t>19、工程试车</w:t>
      </w:r>
      <w:bookmarkEnd w:id="286"/>
      <w:bookmarkEnd w:id="287"/>
    </w:p>
    <w:p>
      <w:pPr>
        <w:shd w:val="clear"/>
        <w:snapToGrid w:val="0"/>
        <w:spacing w:line="360" w:lineRule="auto"/>
        <w:ind w:firstLine="397"/>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19.5试车费用的承担：</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五、安全施工</w:t>
      </w:r>
    </w:p>
    <w:p>
      <w:pPr>
        <w:shd w:val="clear"/>
        <w:spacing w:line="360" w:lineRule="auto"/>
        <w:ind w:firstLine="481" w:firstLineChars="171"/>
        <w:outlineLvl w:val="2"/>
        <w:rPr>
          <w:rFonts w:hint="eastAsia" w:ascii="仿宋" w:hAnsi="仿宋" w:eastAsia="仿宋" w:cs="仿宋"/>
          <w:b/>
          <w:sz w:val="28"/>
          <w:szCs w:val="28"/>
          <w:highlight w:val="none"/>
        </w:rPr>
      </w:pPr>
      <w:bookmarkStart w:id="288" w:name="_Toc29434"/>
      <w:bookmarkStart w:id="289" w:name="_Toc7531"/>
      <w:r>
        <w:rPr>
          <w:rFonts w:hint="eastAsia" w:ascii="仿宋" w:hAnsi="仿宋" w:eastAsia="仿宋" w:cs="仿宋"/>
          <w:b/>
          <w:sz w:val="28"/>
          <w:szCs w:val="28"/>
          <w:highlight w:val="none"/>
        </w:rPr>
        <w:t>20、安全施工与检查</w:t>
      </w:r>
      <w:bookmarkEnd w:id="288"/>
      <w:bookmarkEnd w:id="289"/>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w:t>
      </w:r>
      <w:r>
        <w:rPr>
          <w:rFonts w:hint="eastAsia" w:ascii="仿宋" w:hAnsi="仿宋" w:eastAsia="仿宋" w:cs="仿宋"/>
          <w:sz w:val="28"/>
          <w:szCs w:val="28"/>
          <w:highlight w:val="none"/>
          <w:u w:val="single"/>
        </w:rPr>
        <w:t>承包人应建立安全责任制，明确各部门安全工作的岗位责任人，建立健全正常运转的各种安全工作保证体系和规章制度，将安全生产目标分解落实到实处</w:t>
      </w:r>
      <w:r>
        <w:rPr>
          <w:rFonts w:hint="eastAsia" w:ascii="仿宋" w:hAnsi="仿宋" w:eastAsia="仿宋" w:cs="仿宋"/>
          <w:sz w:val="28"/>
          <w:szCs w:val="28"/>
          <w:highlight w:val="none"/>
        </w:rPr>
        <w:t>。</w:t>
      </w:r>
    </w:p>
    <w:p>
      <w:pPr>
        <w:shd w:val="clear"/>
        <w:snapToGrid w:val="0"/>
        <w:spacing w:line="360" w:lineRule="auto"/>
        <w:ind w:firstLine="397"/>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20.4</w:t>
      </w:r>
      <w:r>
        <w:rPr>
          <w:rFonts w:hint="eastAsia" w:ascii="仿宋" w:hAnsi="仿宋" w:eastAsia="仿宋" w:cs="仿宋"/>
          <w:sz w:val="28"/>
          <w:szCs w:val="28"/>
          <w:highlight w:val="none"/>
          <w:u w:val="single"/>
        </w:rPr>
        <w:t>承包人按规定数量配置安全员</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20.5</w:t>
      </w:r>
      <w:r>
        <w:rPr>
          <w:rFonts w:hint="eastAsia" w:ascii="仿宋" w:hAnsi="仿宋" w:eastAsia="仿宋" w:cs="仿宋"/>
          <w:sz w:val="28"/>
          <w:szCs w:val="28"/>
          <w:highlight w:val="none"/>
          <w:u w:val="single"/>
        </w:rPr>
        <w:t>承包人在开工前须向质量安全监督机构提交备案的书面资料</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20.6</w:t>
      </w:r>
      <w:r>
        <w:rPr>
          <w:rFonts w:hint="eastAsia" w:ascii="仿宋" w:hAnsi="仿宋" w:eastAsia="仿宋" w:cs="仿宋"/>
          <w:sz w:val="28"/>
          <w:szCs w:val="28"/>
          <w:highlight w:val="none"/>
          <w:u w:val="single"/>
        </w:rPr>
        <w:t>承包人在编制施工组织设计时，应当根据工程的特点编制相应的安全技术措施</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20.7</w:t>
      </w:r>
      <w:r>
        <w:rPr>
          <w:rFonts w:hint="eastAsia" w:ascii="仿宋" w:hAnsi="仿宋" w:eastAsia="仿宋" w:cs="仿宋"/>
          <w:sz w:val="28"/>
          <w:szCs w:val="28"/>
          <w:highlight w:val="none"/>
          <w:u w:val="single"/>
        </w:rPr>
        <w:t>承包人按有关安全和防护的规定组织施工生产，不得使用不合标准的防护器材、机具和材料</w:t>
      </w:r>
      <w:r>
        <w:rPr>
          <w:rFonts w:hint="eastAsia" w:ascii="仿宋" w:hAnsi="仿宋" w:eastAsia="仿宋" w:cs="仿宋"/>
          <w:sz w:val="28"/>
          <w:szCs w:val="28"/>
          <w:highlight w:val="none"/>
        </w:rPr>
        <w:t>。</w:t>
      </w:r>
    </w:p>
    <w:p>
      <w:pPr>
        <w:shd w:val="clea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20.8</w:t>
      </w:r>
      <w:r>
        <w:rPr>
          <w:rFonts w:hint="eastAsia" w:ascii="仿宋" w:hAnsi="仿宋" w:eastAsia="仿宋" w:cs="仿宋"/>
          <w:sz w:val="28"/>
          <w:szCs w:val="28"/>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90" w:name="_Toc30389"/>
      <w:bookmarkStart w:id="291" w:name="_Toc13757"/>
      <w:r>
        <w:rPr>
          <w:rFonts w:hint="eastAsia" w:ascii="仿宋" w:hAnsi="仿宋" w:eastAsia="仿宋" w:cs="仿宋"/>
          <w:b/>
          <w:sz w:val="28"/>
          <w:szCs w:val="28"/>
          <w:highlight w:val="none"/>
        </w:rPr>
        <w:t>21、安全防护</w:t>
      </w:r>
      <w:bookmarkEnd w:id="290"/>
      <w:bookmarkEnd w:id="291"/>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21.3</w:t>
      </w:r>
      <w:r>
        <w:rPr>
          <w:rFonts w:hint="eastAsia" w:ascii="仿宋" w:hAnsi="仿宋" w:eastAsia="仿宋" w:cs="仿宋"/>
          <w:sz w:val="28"/>
          <w:szCs w:val="28"/>
          <w:highlight w:val="none"/>
          <w:u w:val="single"/>
        </w:rPr>
        <w:t>承包人应在施工现场采取维护安全、防范危险、预防火灾等措施，在特殊作业环境应对作业人员采取劳动保护措施</w:t>
      </w:r>
      <w:r>
        <w:rPr>
          <w:rFonts w:hint="eastAsia" w:ascii="仿宋" w:hAnsi="仿宋" w:eastAsia="仿宋" w:cs="仿宋"/>
          <w:sz w:val="28"/>
          <w:szCs w:val="28"/>
          <w:highlight w:val="none"/>
        </w:rPr>
        <w:t>。</w:t>
      </w:r>
    </w:p>
    <w:p>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21.4</w:t>
      </w:r>
      <w:r>
        <w:rPr>
          <w:rFonts w:hint="eastAsia" w:ascii="仿宋" w:hAnsi="仿宋" w:eastAsia="仿宋" w:cs="仿宋"/>
          <w:sz w:val="28"/>
          <w:szCs w:val="28"/>
          <w:highlight w:val="none"/>
          <w:u w:val="single"/>
        </w:rPr>
        <w:t>承包人应制定文明施工措施（包括防尘、防噪音、施工围蔽等），施工现场严格按照《广州市建设工程文明施工管理规定》（广州市人民政府令62号）、《广州市建设工程现场文明施工管理办法》（穗建质【2008】937号）实施，施工围蔽严格按照穗</w:t>
      </w:r>
      <w:r>
        <w:rPr>
          <w:rFonts w:hint="eastAsia" w:ascii="仿宋" w:hAnsi="仿宋" w:eastAsia="仿宋" w:cs="仿宋"/>
          <w:sz w:val="28"/>
          <w:szCs w:val="28"/>
          <w:highlight w:val="none"/>
          <w:u w:val="single"/>
          <w:lang w:val="en-US" w:eastAsia="zh-CN"/>
        </w:rPr>
        <w:t>埔</w:t>
      </w:r>
      <w:r>
        <w:rPr>
          <w:rFonts w:hint="eastAsia" w:ascii="仿宋" w:hAnsi="仿宋" w:eastAsia="仿宋" w:cs="仿宋"/>
          <w:sz w:val="28"/>
          <w:szCs w:val="28"/>
          <w:highlight w:val="none"/>
          <w:u w:val="single"/>
        </w:rPr>
        <w:t>建〔</w:t>
      </w:r>
      <w:r>
        <w:rPr>
          <w:rFonts w:hint="eastAsia" w:ascii="仿宋" w:hAnsi="仿宋" w:eastAsia="仿宋" w:cs="仿宋"/>
          <w:sz w:val="28"/>
          <w:szCs w:val="28"/>
          <w:highlight w:val="none"/>
          <w:u w:val="single"/>
          <w:lang w:val="en-US" w:eastAsia="zh-CN"/>
        </w:rPr>
        <w:t>2020</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183</w:t>
      </w:r>
      <w:r>
        <w:rPr>
          <w:rFonts w:hint="eastAsia" w:ascii="仿宋" w:hAnsi="仿宋" w:eastAsia="仿宋" w:cs="仿宋"/>
          <w:sz w:val="28"/>
          <w:szCs w:val="28"/>
          <w:highlight w:val="none"/>
          <w:u w:val="single"/>
        </w:rPr>
        <w:t>号文《关于进一步加强我区建设工地文明施工管理的通知》、《关于进一步规范建设工程施工现场围蔽的通知》（穗建质【2008】1008号）及广州市建委《关于印发广州市建设工程施工围蔽管理提升实施技术要求和标准图集的通知》（穗建质【2014】1335号）实施，相关费用在投标报价中考虑，不另行计价。如承包人未及时按要求做好围蔽等安全文明施工措施，发包人可另行委托单位实施，发包人按实际发生的费用在安全措施费中扣</w:t>
      </w:r>
      <w:r>
        <w:rPr>
          <w:rFonts w:hint="eastAsia" w:ascii="仿宋" w:hAnsi="仿宋" w:eastAsia="仿宋" w:cs="仿宋"/>
          <w:sz w:val="28"/>
          <w:szCs w:val="28"/>
          <w:highlight w:val="none"/>
        </w:rPr>
        <w:t>。</w:t>
      </w:r>
    </w:p>
    <w:p>
      <w:pPr>
        <w:shd w:val="clear"/>
        <w:snapToGrid w:val="0"/>
        <w:spacing w:line="360" w:lineRule="auto"/>
        <w:ind w:firstLine="397"/>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21.5</w:t>
      </w:r>
      <w:r>
        <w:rPr>
          <w:rFonts w:hint="eastAsia" w:ascii="仿宋" w:hAnsi="仿宋" w:eastAsia="仿宋" w:cs="仿宋"/>
          <w:sz w:val="28"/>
          <w:szCs w:val="28"/>
          <w:highlight w:val="none"/>
          <w:u w:val="single"/>
        </w:rPr>
        <w:t>承包人应按规定对工程施工人员进行安全教育和管理</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21.6</w:t>
      </w:r>
      <w:r>
        <w:rPr>
          <w:rFonts w:hint="eastAsia" w:ascii="仿宋" w:hAnsi="仿宋" w:eastAsia="仿宋" w:cs="仿宋"/>
          <w:sz w:val="28"/>
          <w:szCs w:val="28"/>
          <w:highlight w:val="none"/>
          <w:u w:val="single"/>
        </w:rPr>
        <w:t>承包人应书面记录专项安全施工组织设计方案审查、安全检查、安全技术交底、安全隐患整改、安全教育等重要安全管理活动</w:t>
      </w:r>
      <w:r>
        <w:rPr>
          <w:rFonts w:hint="eastAsia" w:ascii="仿宋" w:hAnsi="仿宋" w:eastAsia="仿宋" w:cs="仿宋"/>
          <w:sz w:val="28"/>
          <w:szCs w:val="28"/>
          <w:highlight w:val="none"/>
        </w:rPr>
        <w:t>。</w:t>
      </w:r>
    </w:p>
    <w:p>
      <w:pPr>
        <w:shd w:val="clear"/>
        <w:spacing w:line="360" w:lineRule="auto"/>
        <w:ind w:firstLine="481" w:firstLineChars="171"/>
        <w:outlineLvl w:val="2"/>
        <w:rPr>
          <w:rFonts w:hint="eastAsia" w:ascii="仿宋" w:hAnsi="仿宋" w:eastAsia="仿宋" w:cs="仿宋"/>
          <w:b/>
          <w:sz w:val="28"/>
          <w:szCs w:val="28"/>
          <w:highlight w:val="none"/>
        </w:rPr>
      </w:pPr>
      <w:bookmarkStart w:id="292" w:name="_Toc15276"/>
      <w:bookmarkStart w:id="293" w:name="_Toc28796"/>
      <w:r>
        <w:rPr>
          <w:rFonts w:hint="eastAsia" w:ascii="仿宋" w:hAnsi="仿宋" w:eastAsia="仿宋" w:cs="仿宋"/>
          <w:b/>
          <w:sz w:val="28"/>
          <w:szCs w:val="28"/>
          <w:highlight w:val="none"/>
        </w:rPr>
        <w:t>22、事故处理</w:t>
      </w:r>
      <w:bookmarkEnd w:id="292"/>
      <w:bookmarkEnd w:id="293"/>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22.3如发生安全事故，除按法定程序办理有关事宜外，还必须按以下程序进行处理：</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22.3.1</w:t>
      </w:r>
      <w:r>
        <w:rPr>
          <w:rFonts w:hint="eastAsia" w:ascii="仿宋" w:hAnsi="仿宋" w:eastAsia="仿宋" w:cs="仿宋"/>
          <w:sz w:val="28"/>
          <w:szCs w:val="28"/>
          <w:highlight w:val="none"/>
          <w:u w:val="single"/>
        </w:rPr>
        <w:t>报告安全事故：安全事故发生后，承包人应在1小时内用最快的信息传递手段，将发生事故的时间、地点、伤亡人数、事故原因等情况，报工程师和发包人</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22.3.2</w:t>
      </w:r>
      <w:r>
        <w:rPr>
          <w:rFonts w:hint="eastAsia" w:ascii="仿宋" w:hAnsi="仿宋" w:eastAsia="仿宋" w:cs="仿宋"/>
          <w:sz w:val="28"/>
          <w:szCs w:val="28"/>
          <w:highlight w:val="none"/>
          <w:u w:val="single"/>
        </w:rPr>
        <w:t>事故处理：承包人负责抢救伤员、排除险情，防止事故扩大蔓延，保护好现场，并做好标志，启动保险理赔程序</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22.3.3</w:t>
      </w:r>
      <w:r>
        <w:rPr>
          <w:rFonts w:hint="eastAsia" w:ascii="仿宋" w:hAnsi="仿宋" w:eastAsia="仿宋" w:cs="仿宋"/>
          <w:sz w:val="28"/>
          <w:szCs w:val="28"/>
          <w:highlight w:val="none"/>
          <w:u w:val="single"/>
        </w:rPr>
        <w:t>事故调查：承包人应组织内部技术安全、质量部门的人员组成调查组，开展调查，并配合做好发包人或政府有关部门组织的调查工作</w:t>
      </w:r>
      <w:r>
        <w:rPr>
          <w:rFonts w:hint="eastAsia" w:ascii="仿宋" w:hAnsi="仿宋" w:eastAsia="仿宋" w:cs="仿宋"/>
          <w:sz w:val="28"/>
          <w:szCs w:val="28"/>
          <w:highlight w:val="none"/>
        </w:rPr>
        <w:t>。</w:t>
      </w:r>
    </w:p>
    <w:p>
      <w:pPr>
        <w:shd w:val="clear"/>
        <w:snapToGrid w:val="0"/>
        <w:spacing w:line="360" w:lineRule="auto"/>
        <w:ind w:firstLine="397"/>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22.3.4</w:t>
      </w:r>
      <w:r>
        <w:rPr>
          <w:rFonts w:hint="eastAsia" w:ascii="仿宋" w:hAnsi="仿宋" w:eastAsia="仿宋" w:cs="仿宋"/>
          <w:sz w:val="28"/>
          <w:szCs w:val="28"/>
          <w:highlight w:val="none"/>
          <w:u w:val="single"/>
        </w:rPr>
        <w:t>调查报告：承包人应把事故发生经过、原因、性质、损失、责任、处理意见、纠正和预防措施撰写成调查报告，送工程师会审后报发包人</w:t>
      </w:r>
      <w:r>
        <w:rPr>
          <w:rFonts w:hint="eastAsia" w:ascii="仿宋" w:hAnsi="仿宋" w:eastAsia="仿宋" w:cs="仿宋"/>
          <w:sz w:val="28"/>
          <w:szCs w:val="28"/>
          <w:highlight w:val="none"/>
        </w:rPr>
        <w:t>。</w:t>
      </w:r>
    </w:p>
    <w:p>
      <w:pPr>
        <w:shd w:val="clear"/>
        <w:spacing w:line="360" w:lineRule="auto"/>
        <w:ind w:firstLine="481" w:firstLineChars="171"/>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六、合同价款与支付</w:t>
      </w:r>
    </w:p>
    <w:p>
      <w:pPr>
        <w:shd w:val="clear"/>
        <w:spacing w:line="360" w:lineRule="auto"/>
        <w:ind w:firstLine="481" w:firstLineChars="171"/>
        <w:outlineLvl w:val="2"/>
        <w:rPr>
          <w:rFonts w:hint="eastAsia" w:ascii="仿宋" w:hAnsi="仿宋" w:eastAsia="仿宋" w:cs="仿宋"/>
          <w:b/>
          <w:sz w:val="28"/>
          <w:szCs w:val="28"/>
          <w:highlight w:val="none"/>
        </w:rPr>
      </w:pPr>
      <w:bookmarkStart w:id="294" w:name="_Toc19568"/>
      <w:bookmarkStart w:id="295" w:name="_Toc18460"/>
      <w:r>
        <w:rPr>
          <w:rFonts w:hint="eastAsia" w:ascii="仿宋" w:hAnsi="仿宋" w:eastAsia="仿宋" w:cs="仿宋"/>
          <w:b/>
          <w:sz w:val="28"/>
          <w:szCs w:val="28"/>
          <w:highlight w:val="none"/>
        </w:rPr>
        <w:t>23、合同价款及调整</w:t>
      </w:r>
      <w:bookmarkEnd w:id="294"/>
      <w:bookmarkEnd w:id="295"/>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本合同价款按照</w:t>
      </w:r>
      <w:r>
        <w:rPr>
          <w:rFonts w:hint="eastAsia" w:ascii="仿宋" w:hAnsi="仿宋" w:eastAsia="仿宋" w:cs="仿宋"/>
          <w:kern w:val="0"/>
          <w:sz w:val="28"/>
          <w:szCs w:val="28"/>
          <w:highlight w:val="none"/>
          <w:u w:val="single"/>
        </w:rPr>
        <w:t>施工图预算编制时选用《广东省建设工程计价依据 (2018)</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rPr>
        <w:t>，并采用完成施工图审查时</w:t>
      </w:r>
      <w:r>
        <w:rPr>
          <w:rFonts w:hint="eastAsia" w:ascii="仿宋" w:hAnsi="仿宋" w:eastAsia="仿宋" w:cs="仿宋"/>
          <w:kern w:val="0"/>
          <w:sz w:val="28"/>
          <w:szCs w:val="28"/>
          <w:highlight w:val="none"/>
          <w:u w:val="single"/>
          <w:lang w:val="en-US" w:eastAsia="zh-CN"/>
        </w:rPr>
        <w:t>当地</w:t>
      </w:r>
      <w:r>
        <w:rPr>
          <w:rFonts w:hint="eastAsia" w:ascii="仿宋" w:hAnsi="仿宋" w:eastAsia="仿宋" w:cs="仿宋"/>
          <w:kern w:val="0"/>
          <w:sz w:val="28"/>
          <w:szCs w:val="28"/>
          <w:highlight w:val="none"/>
          <w:u w:val="single"/>
        </w:rPr>
        <w:t>建设行政主管部门发布的最新价格信息和有效文件为依据</w:t>
      </w:r>
      <w:r>
        <w:rPr>
          <w:rFonts w:hint="eastAsia" w:ascii="仿宋" w:hAnsi="仿宋" w:eastAsia="仿宋" w:cs="仿宋"/>
          <w:kern w:val="0"/>
          <w:sz w:val="28"/>
          <w:szCs w:val="28"/>
          <w:highlight w:val="none"/>
        </w:rPr>
        <w:t>约定执行，最终结算按终审部门审定价再乘以(1-中标下浮率)计算，作为工程施工费计量及结算依据。</w:t>
      </w:r>
    </w:p>
    <w:p>
      <w:pPr>
        <w:widowControl/>
        <w:shd w:val="clear"/>
        <w:autoSpaceDN w:val="0"/>
        <w:spacing w:line="360" w:lineRule="auto"/>
        <w:ind w:firstLine="2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注：</w:t>
      </w:r>
      <w:r>
        <w:rPr>
          <w:rFonts w:hint="eastAsia" w:ascii="仿宋" w:hAnsi="仿宋" w:eastAsia="仿宋" w:cs="仿宋"/>
          <w:kern w:val="0"/>
          <w:sz w:val="28"/>
          <w:szCs w:val="28"/>
          <w:highlight w:val="none"/>
          <w:lang w:val="en-US" w:eastAsia="zh-CN"/>
        </w:rPr>
        <w:t>设计单位</w:t>
      </w:r>
      <w:r>
        <w:rPr>
          <w:rFonts w:hint="eastAsia" w:ascii="仿宋" w:hAnsi="仿宋" w:eastAsia="仿宋" w:cs="仿宋"/>
          <w:kern w:val="0"/>
          <w:sz w:val="28"/>
          <w:szCs w:val="28"/>
          <w:highlight w:val="none"/>
        </w:rPr>
        <w:t>完成施工图后报送发包人，由发包人委托咨询单位按国家、省、市有关规定编制施工图预算报财政评审部门审核，最终以经审定的综合单价作为本工程合同价款的分部分项工程量清单固定综合单价</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以经审定的</w:t>
      </w:r>
      <w:r>
        <w:rPr>
          <w:rFonts w:hint="eastAsia" w:ascii="仿宋" w:hAnsi="仿宋" w:eastAsia="仿宋" w:cs="仿宋"/>
          <w:kern w:val="0"/>
          <w:sz w:val="28"/>
          <w:szCs w:val="28"/>
          <w:highlight w:val="none"/>
          <w:lang w:val="en-US" w:eastAsia="zh-CN"/>
        </w:rPr>
        <w:t>施工图预算措施项目费包干</w:t>
      </w:r>
      <w:r>
        <w:rPr>
          <w:rFonts w:hint="eastAsia" w:ascii="仿宋" w:hAnsi="仿宋" w:eastAsia="仿宋" w:cs="仿宋"/>
          <w:kern w:val="0"/>
          <w:sz w:val="28"/>
          <w:szCs w:val="28"/>
          <w:highlight w:val="none"/>
        </w:rPr>
        <w:t>。</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本合同价款采用分部分项工程量清单固定综合单价方式确定，具体办法如下：</w:t>
      </w:r>
    </w:p>
    <w:p>
      <w:pPr>
        <w:widowControl/>
        <w:shd w:val="clear"/>
        <w:autoSpaceDN w:val="0"/>
        <w:spacing w:line="360" w:lineRule="auto"/>
        <w:ind w:left="31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（1）分部分项工程量清单费：</w:t>
      </w:r>
      <w:r>
        <w:rPr>
          <w:rFonts w:hint="eastAsia" w:ascii="仿宋" w:hAnsi="仿宋" w:eastAsia="仿宋" w:cs="仿宋"/>
          <w:kern w:val="0"/>
          <w:sz w:val="28"/>
          <w:szCs w:val="28"/>
          <w:highlight w:val="none"/>
          <w:u w:val="single"/>
        </w:rPr>
        <w:t>除专用条款23.5.1及专用条款23.5.2规定情况外，分部分项工程量清单综合单价固定不变，工程量按实计量</w:t>
      </w:r>
      <w:r>
        <w:rPr>
          <w:rFonts w:hint="eastAsia" w:ascii="仿宋" w:hAnsi="仿宋" w:eastAsia="仿宋" w:cs="仿宋"/>
          <w:kern w:val="0"/>
          <w:sz w:val="28"/>
          <w:szCs w:val="28"/>
          <w:highlight w:val="none"/>
        </w:rPr>
        <w:t>。</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（2）措施项目费：</w:t>
      </w:r>
      <w:r>
        <w:rPr>
          <w:rFonts w:hint="eastAsia" w:ascii="仿宋" w:hAnsi="仿宋" w:eastAsia="仿宋" w:cs="仿宋"/>
          <w:kern w:val="0"/>
          <w:sz w:val="28"/>
          <w:szCs w:val="28"/>
          <w:highlight w:val="none"/>
          <w:u w:val="single"/>
        </w:rPr>
        <w:t>措施项目费固定不变，包干使用，结算时不予调整</w:t>
      </w:r>
      <w:r>
        <w:rPr>
          <w:rFonts w:hint="eastAsia" w:ascii="仿宋" w:hAnsi="仿宋" w:eastAsia="仿宋" w:cs="仿宋"/>
          <w:kern w:val="0"/>
          <w:sz w:val="28"/>
          <w:szCs w:val="28"/>
          <w:highlight w:val="none"/>
        </w:rPr>
        <w:t>。</w:t>
      </w:r>
    </w:p>
    <w:p>
      <w:pPr>
        <w:widowControl/>
        <w:shd w:val="clear"/>
        <w:autoSpaceDN w:val="0"/>
        <w:spacing w:line="360" w:lineRule="auto"/>
        <w:ind w:firstLine="36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（3）其他项目部分：</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u w:val="single"/>
        </w:rPr>
        <w:t>招标人部分为暂定价，按实际签订的专业承包合同或</w:t>
      </w:r>
      <w:r>
        <w:rPr>
          <w:rFonts w:hint="eastAsia" w:ascii="仿宋" w:hAnsi="仿宋" w:eastAsia="仿宋" w:cs="仿宋"/>
          <w:kern w:val="0"/>
          <w:sz w:val="28"/>
          <w:szCs w:val="28"/>
          <w:highlight w:val="none"/>
          <w:u w:val="single"/>
          <w:lang w:val="en-US" w:eastAsia="zh-CN"/>
        </w:rPr>
        <w:t>暂列金</w:t>
      </w:r>
      <w:r>
        <w:rPr>
          <w:rFonts w:hint="eastAsia" w:ascii="仿宋" w:hAnsi="仿宋" w:eastAsia="仿宋" w:cs="仿宋"/>
          <w:kern w:val="0"/>
          <w:sz w:val="28"/>
          <w:szCs w:val="28"/>
          <w:highlight w:val="none"/>
          <w:u w:val="single"/>
        </w:rPr>
        <w:t>使用情况进行调整和结算</w:t>
      </w:r>
      <w:r>
        <w:rPr>
          <w:rFonts w:hint="eastAsia" w:ascii="仿宋" w:hAnsi="仿宋" w:eastAsia="仿宋" w:cs="仿宋"/>
          <w:kern w:val="0"/>
          <w:sz w:val="28"/>
          <w:szCs w:val="28"/>
          <w:highlight w:val="none"/>
        </w:rPr>
        <w:t>；</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u w:val="single"/>
        </w:rPr>
        <w:t>投标人部分为固定价格，结算时不作调整。（若实际没有发生，在结算时扣除未发生项目的费用）</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u w:val="single"/>
        </w:rPr>
        <w:t>规费、税金：规费及税金按</w:t>
      </w:r>
      <w:r>
        <w:rPr>
          <w:rFonts w:hint="eastAsia" w:ascii="仿宋" w:hAnsi="仿宋" w:eastAsia="仿宋" w:cs="仿宋"/>
          <w:b/>
          <w:bCs/>
          <w:kern w:val="0"/>
          <w:sz w:val="28"/>
          <w:szCs w:val="28"/>
          <w:highlight w:val="none"/>
          <w:u w:val="single"/>
        </w:rPr>
        <w:t>《关于规范园区外企业缴纳税费事项的通知》广清管（2017）4号文</w:t>
      </w:r>
      <w:r>
        <w:rPr>
          <w:rFonts w:hint="eastAsia" w:ascii="仿宋" w:hAnsi="仿宋" w:eastAsia="仿宋" w:cs="仿宋"/>
          <w:kern w:val="0"/>
          <w:sz w:val="28"/>
          <w:szCs w:val="28"/>
          <w:highlight w:val="none"/>
          <w:u w:val="single"/>
        </w:rPr>
        <w:t>计取，费率依据相关政策文件调整</w:t>
      </w:r>
      <w:r>
        <w:rPr>
          <w:rFonts w:hint="eastAsia" w:ascii="仿宋" w:hAnsi="仿宋" w:eastAsia="仿宋" w:cs="仿宋"/>
          <w:kern w:val="0"/>
          <w:sz w:val="28"/>
          <w:szCs w:val="28"/>
          <w:highlight w:val="none"/>
        </w:rPr>
        <w:t>。</w:t>
      </w:r>
    </w:p>
    <w:p>
      <w:pPr>
        <w:widowControl/>
        <w:shd w:val="clear"/>
        <w:autoSpaceDN w:val="0"/>
        <w:spacing w:line="360" w:lineRule="auto"/>
        <w:ind w:firstLine="397"/>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23.3双方约定合同价款的调整因素：</w:t>
      </w:r>
    </w:p>
    <w:p>
      <w:pPr>
        <w:widowControl/>
        <w:numPr>
          <w:ilvl w:val="0"/>
          <w:numId w:val="5"/>
        </w:numPr>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发包人及监理单位共同确认工程量偏差</w:t>
      </w:r>
      <w:r>
        <w:rPr>
          <w:rFonts w:hint="eastAsia" w:ascii="仿宋" w:hAnsi="仿宋" w:eastAsia="仿宋" w:cs="仿宋"/>
          <w:kern w:val="0"/>
          <w:sz w:val="28"/>
          <w:szCs w:val="28"/>
          <w:highlight w:val="none"/>
        </w:rPr>
        <w:t>；</w:t>
      </w:r>
    </w:p>
    <w:p>
      <w:pPr>
        <w:widowControl/>
        <w:numPr>
          <w:ilvl w:val="0"/>
          <w:numId w:val="5"/>
        </w:numPr>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发包人及监理单位共同确认工程变更、签证和新增工程</w:t>
      </w:r>
      <w:r>
        <w:rPr>
          <w:rFonts w:hint="eastAsia" w:ascii="仿宋" w:hAnsi="仿宋" w:eastAsia="仿宋" w:cs="仿宋"/>
          <w:kern w:val="0"/>
          <w:sz w:val="28"/>
          <w:szCs w:val="28"/>
          <w:highlight w:val="none"/>
        </w:rPr>
        <w:t>；</w:t>
      </w:r>
    </w:p>
    <w:p>
      <w:pPr>
        <w:widowControl/>
        <w:numPr>
          <w:ilvl w:val="0"/>
          <w:numId w:val="5"/>
        </w:numPr>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物价变化</w:t>
      </w:r>
      <w:r>
        <w:rPr>
          <w:rFonts w:hint="eastAsia" w:ascii="仿宋" w:hAnsi="仿宋" w:eastAsia="仿宋" w:cs="仿宋"/>
          <w:kern w:val="0"/>
          <w:sz w:val="28"/>
          <w:szCs w:val="28"/>
          <w:highlight w:val="none"/>
        </w:rPr>
        <w:t>；</w:t>
      </w:r>
    </w:p>
    <w:p>
      <w:pPr>
        <w:widowControl/>
        <w:numPr>
          <w:ilvl w:val="0"/>
          <w:numId w:val="5"/>
        </w:numPr>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费用索赔事件或发包人负责的其他情况</w:t>
      </w:r>
      <w:r>
        <w:rPr>
          <w:rFonts w:hint="eastAsia" w:ascii="仿宋" w:hAnsi="仿宋" w:eastAsia="仿宋" w:cs="仿宋"/>
          <w:kern w:val="0"/>
          <w:sz w:val="28"/>
          <w:szCs w:val="28"/>
          <w:highlight w:val="none"/>
        </w:rPr>
        <w:t>。</w:t>
      </w:r>
    </w:p>
    <w:p>
      <w:pPr>
        <w:widowControl/>
        <w:shd w:val="clear"/>
        <w:autoSpaceDN w:val="0"/>
        <w:spacing w:line="360" w:lineRule="auto"/>
        <w:ind w:firstLine="3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以上调整事项涉及的价款计价原则按专用条款23.5款约定执行。</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23.4承包人应在专用条款23.3款情况发生后</w:t>
      </w:r>
      <w:r>
        <w:rPr>
          <w:rFonts w:hint="eastAsia" w:ascii="仿宋" w:hAnsi="仿宋" w:eastAsia="仿宋" w:cs="仿宋"/>
          <w:kern w:val="0"/>
          <w:sz w:val="28"/>
          <w:szCs w:val="28"/>
          <w:highlight w:val="none"/>
          <w:u w:val="single"/>
        </w:rPr>
        <w:t>3天</w:t>
      </w:r>
      <w:r>
        <w:rPr>
          <w:rFonts w:hint="eastAsia" w:ascii="仿宋" w:hAnsi="仿宋" w:eastAsia="仿宋" w:cs="仿宋"/>
          <w:kern w:val="0"/>
          <w:sz w:val="28"/>
          <w:szCs w:val="28"/>
          <w:highlight w:val="none"/>
        </w:rPr>
        <w:t>内，将调整原因、金额以书面形式通知监理单位，必须经监理单位和发包人书面批准后作为调整合同价款的依据。</w:t>
      </w:r>
    </w:p>
    <w:p>
      <w:pPr>
        <w:widowControl/>
        <w:shd w:val="clear"/>
        <w:autoSpaceDN w:val="0"/>
        <w:spacing w:line="360" w:lineRule="auto"/>
        <w:ind w:firstLine="338"/>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23.5合同价款调整原则</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23.5.1变更、签证工程和新增工程：工程项目实施期间和结算时，施工单位要对工程量清单进行核对，如清单存在漏项漏量，由施工单位无条件按图实施；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承包人原因造成而施工过程中实际发生且需支付工程费用的，并经监理单位和发包人现场签证确认工程实际内容。变更、签证工程和新增工程按以下办法确定价格。</w:t>
      </w:r>
    </w:p>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（1）施工图预算工程量清单中有相同适用项目的，则采用该项清单子目的综合单价；施工图预算工程量清单中相同适用项目有多个的，取最有利于发包人的相同适用该项清单子目的综合单价。</w:t>
      </w:r>
    </w:p>
    <w:p>
      <w:pPr>
        <w:widowControl/>
        <w:numPr>
          <w:ilvl w:val="0"/>
          <w:numId w:val="6"/>
        </w:numPr>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施工图预算工程量清单中无相同适用项目、只有类似适用项目的，则按类似项目的综合单价对相应子目、消耗量、材料设备价格等进行调整换算，原管理费、利润水平不变，仅调整主材和主要设备价格。如施工图预算工程量清单中类似项目的综合单价有两个以上，则由发包人按消耗量最少、管理费和利润取费最低的优先顺序选择类似项目综合单价进行换算。所换算主材及设备价格执行工程造价管理机构发布的实际施工季度《清远地区建设工程常用材料综合价格》（实际施工跨季度的，则按监理单位确认的各季度施工完成的工程量为基础分别进行计算）；《清远地区建设工程常用材料综合价格》没有的材料、设备单价，执行实际施工期《广州地区建设工程常用材料综合价格》（实际施工跨季度的，则按监理单位确认的各季度施工完成的工程量为基础分别进行计算）；《广州地区建设工程常用材料综合价格》没有的材料、设备单价，参考实际施工期《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材料、设备价格，由发包人、监理单位、承包人结合市场价共同协商确定。按上述原则调整后的换算综合单价</w:t>
      </w:r>
      <w:r>
        <w:rPr>
          <w:rFonts w:hint="eastAsia" w:ascii="仿宋" w:hAnsi="仿宋" w:eastAsia="仿宋" w:cs="仿宋"/>
          <w:kern w:val="0"/>
          <w:sz w:val="28"/>
          <w:szCs w:val="28"/>
          <w:highlight w:val="none"/>
          <w:lang w:val="en-US" w:eastAsia="zh-CN"/>
        </w:rPr>
        <w:t>所计算出的费用</w:t>
      </w:r>
      <w:r>
        <w:rPr>
          <w:rFonts w:hint="eastAsia" w:ascii="仿宋" w:hAnsi="仿宋" w:eastAsia="仿宋" w:cs="仿宋"/>
          <w:kern w:val="0"/>
          <w:sz w:val="28"/>
          <w:szCs w:val="28"/>
          <w:highlight w:val="none"/>
        </w:rPr>
        <w:t>最终均应</w:t>
      </w:r>
      <w:r>
        <w:rPr>
          <w:rFonts w:hint="eastAsia" w:ascii="仿宋" w:hAnsi="仿宋" w:eastAsia="仿宋" w:cs="仿宋"/>
          <w:kern w:val="0"/>
          <w:sz w:val="28"/>
          <w:szCs w:val="28"/>
          <w:highlight w:val="none"/>
          <w:lang w:val="en-US" w:eastAsia="zh-CN"/>
        </w:rPr>
        <w:t>列入结算总价后</w:t>
      </w:r>
      <w:r>
        <w:rPr>
          <w:rFonts w:hint="eastAsia" w:ascii="仿宋" w:hAnsi="仿宋" w:eastAsia="仿宋" w:cs="仿宋"/>
          <w:kern w:val="0"/>
          <w:sz w:val="28"/>
          <w:szCs w:val="28"/>
          <w:highlight w:val="none"/>
        </w:rPr>
        <w:t>乘以（1-中标下浮率）</w:t>
      </w:r>
      <w:r>
        <w:rPr>
          <w:rFonts w:hint="eastAsia" w:ascii="仿宋" w:hAnsi="仿宋" w:eastAsia="仿宋" w:cs="仿宋"/>
          <w:b/>
          <w:bCs/>
          <w:kern w:val="0"/>
          <w:sz w:val="28"/>
          <w:szCs w:val="28"/>
          <w:highlight w:val="none"/>
        </w:rPr>
        <w:t>。</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（3）施工图预算工程量清单中没有相同或类似适用项目的，按以下原则计价：</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① 由承包人依据变更工程资料，计量原则，按《广东省市政工程综合定额》（2018年）、《广东省建筑与装饰工程综合定额》（2018年）、《广东省安装工程综合定额》（2018年）、《广东省园林绿化工程综合定额》（2018年）等相关定额标准及工程实施期工程造价管理机构发布的材料设备参考价格编制综合单价。其中材料、设备价格执行工程造价管理机构发布的实际施工季度《清远地区建设工程常用材料综合价格》（实际施工跨季度的，则按监理单位确认的各季度施工完成的工程量为基础分别进行计算）；《清远地区建设工程常用材料综合价格》没有的材料、设备单价，参考实际施工期</w:t>
      </w:r>
      <w:r>
        <w:rPr>
          <w:rFonts w:hint="eastAsia" w:ascii="仿宋" w:hAnsi="仿宋" w:eastAsia="仿宋" w:cs="仿宋"/>
          <w:kern w:val="0"/>
          <w:sz w:val="28"/>
          <w:szCs w:val="28"/>
          <w:highlight w:val="none"/>
          <w:u w:val="single"/>
        </w:rPr>
        <w:t>增加：《广州地区建设工程常用材料综合价格》及</w:t>
      </w:r>
      <w:r>
        <w:rPr>
          <w:rFonts w:hint="eastAsia" w:ascii="仿宋" w:hAnsi="仿宋" w:eastAsia="仿宋" w:cs="仿宋"/>
          <w:kern w:val="0"/>
          <w:sz w:val="28"/>
          <w:szCs w:val="28"/>
          <w:highlight w:val="none"/>
        </w:rPr>
        <w:t>《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相关价格的，由发包人、监理单位、承包人结合市场价共同协商确定。按上述原则调整后的</w:t>
      </w:r>
      <w:r>
        <w:rPr>
          <w:rFonts w:hint="eastAsia" w:ascii="仿宋" w:hAnsi="仿宋" w:eastAsia="仿宋" w:cs="仿宋"/>
          <w:kern w:val="0"/>
          <w:sz w:val="28"/>
          <w:szCs w:val="28"/>
          <w:highlight w:val="none"/>
          <w:lang w:val="en-US" w:eastAsia="zh-CN"/>
        </w:rPr>
        <w:t>新增</w:t>
      </w:r>
      <w:r>
        <w:rPr>
          <w:rFonts w:hint="eastAsia" w:ascii="仿宋" w:hAnsi="仿宋" w:eastAsia="仿宋" w:cs="仿宋"/>
          <w:kern w:val="0"/>
          <w:sz w:val="28"/>
          <w:szCs w:val="28"/>
          <w:highlight w:val="none"/>
        </w:rPr>
        <w:t>综合单价所计算出的费用最终均应列入结算总价后</w:t>
      </w:r>
      <w:r>
        <w:rPr>
          <w:rFonts w:hint="eastAsia" w:ascii="仿宋" w:hAnsi="仿宋" w:eastAsia="仿宋" w:cs="仿宋"/>
          <w:kern w:val="0"/>
          <w:sz w:val="28"/>
          <w:szCs w:val="28"/>
          <w:highlight w:val="none"/>
          <w:lang w:val="en-US" w:eastAsia="zh-CN"/>
        </w:rPr>
        <w:t>乘以（1-中标下浮率）</w:t>
      </w:r>
      <w:r>
        <w:rPr>
          <w:rFonts w:hint="eastAsia" w:ascii="仿宋" w:hAnsi="仿宋" w:eastAsia="仿宋" w:cs="仿宋"/>
          <w:kern w:val="0"/>
          <w:sz w:val="28"/>
          <w:szCs w:val="28"/>
          <w:highlight w:val="none"/>
        </w:rPr>
        <w:t>。</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② 施工图预算工程量清单没有相同或相类似且无相关定额的项目，承包人参照《广东省市政工程综合定额》（2018年）、《广东省建筑与装饰工程综合定额》（2018年）、《广东省安装工程综合定额》（2018年）、《广东省园林绿化工程综合定额》（2018年）等相关定额编制原则（上述定额查找不到的可参考其它相关定额或由发包人与承包人协商确定）及工程实施期工程造价管理机构发布的材料设备参考价格编制综合单价。其中材料、设备价格执行工程造价管理机构发布的实际施工季度《清远地区建设工程常用材料综合价格》（实际施工跨季度的，则按监理单位确认的各季度施工完成的工程量为基础分别进行计算）；《清远地区建设工程常用材料综合价格》没有的材料、设备单价，参考实际施工期《广州地区建设工程常用材料综合价格》（实际施工跨季度的，则按监理单位确认的各季度施工完成的工程量为基础分别进行计算）；《广州地区建设工程常用材料综合价格》没有的材料、设备单价，参考实际施工期《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材料、设备价格，由发包人、监理单位、承包人结合市场价共同协商确定。按上述原则调整后的新增综合单价所计算出的费用最终均应列入结算总价后乘以（1-中标下浮率）。</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（4）承包人进场施工前，因第三方偷倒等原因导致增加需清运的土方工程量的，该增加部分土方工程量按如下办法确定综合单价：</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 新增的土方工程量弃土运距在3公里（含本数）以内的，按上述办法确定的综合单价（含开挖、临时堆放、回填、平整压实及场地清理、弃运等一切费用，下同）低于13.2元/立方米的，按上述办法确定的综合单价执行；按上述办法确定的综合单价高于13.2元/立方米的，按13.2元/立方米执行。</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 新增的土方工程量弃土运距超过3公里且在15公里（不含本数）以内的，按上述办法确定的综合单价低于【13.2+1.1×（实际运距-3）】元/立方米的，按上述办法确定的综合单价执行；按上述办法确定的综合单价高于【13.2+1.1×（实际运距-3）】元/立方米的，按【13.2+1.1×（实际运距-3）】元/立方米执行。</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 新增的土方工程量弃土运距在15公里（含本数）以上的，按上述办法确定的综合单价低于26.4元/立方米的，按上述办法确定的综合单价执行；按上述办法确定的综合单价高于26.4元/立方米的，按26.4元/立方米执行。</w:t>
      </w:r>
    </w:p>
    <w:p>
      <w:pPr>
        <w:widowControl/>
        <w:shd w:val="clear"/>
        <w:autoSpaceDN w:val="0"/>
        <w:spacing w:line="360" w:lineRule="auto"/>
        <w:ind w:firstLine="338"/>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（5）按上述原则确定价格时，措施项目费用不计取。</w:t>
      </w:r>
    </w:p>
    <w:p>
      <w:pPr>
        <w:widowControl/>
        <w:shd w:val="clear"/>
        <w:autoSpaceDN w:val="0"/>
        <w:spacing w:line="360" w:lineRule="auto"/>
        <w:ind w:firstLine="338"/>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23.5.3物价涨跌的价格调整</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合同履行期间，出现工程造价管理机构发布的人工、材料、工程设备和施工设备、机械台班单价涨跌超过本工程经广州（清远）产业转移工业园财政投资评审中心审定施工图预算相应单价且符合以下规定的，应调整合同价款。</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承担工料机价格涨跌幅度在10%以内（含10%）的风险，不予调整合同价款；工料机价格涨跌幅度超过10%时，可以调整合同价款,但调价的范围仅限于钢筋、砂石、水泥、商品砼、沥青商品砼、电线（铜材价格涨跌幅度超过10%时方可调整）、电缆（铜材价格涨跌幅度超过10%时方可调整），其他材料、设备及机械费用均不予调整。</w:t>
      </w:r>
    </w:p>
    <w:p>
      <w:pPr>
        <w:widowControl/>
        <w:shd w:val="clear"/>
        <w:autoSpaceDN w:val="0"/>
        <w:spacing w:line="360" w:lineRule="auto"/>
        <w:ind w:firstLine="338"/>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（3）价款调整的方法</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① 当钢筋、砂石、水泥、商品砼、沥青商品砼、电线（铜材价格上涨幅度超过10%时方可调整）、电缆（铜材价格上涨幅度超过10%时方可调整）的价格上涨幅度超过10%时，超出10%的部分由发包人承担；当钢筋、砂石、水泥、商品砼、沥青商品砼、电线（铜材价格下跌幅度超过10%时方可调整）、电缆（铜材价格下跌幅度超过10%时方可调整）价格下跌幅度超过10%时，超出10%的部分由承包人退回发包人。</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② 价款调整以各调价工料机的数量</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单价价差</w:t>
      </w:r>
      <w:r>
        <w:rPr>
          <w:rFonts w:hint="eastAsia" w:ascii="仿宋" w:hAnsi="仿宋" w:eastAsia="仿宋" w:cs="仿宋"/>
          <w:kern w:val="0"/>
          <w:sz w:val="28"/>
          <w:szCs w:val="28"/>
          <w:highlight w:val="none"/>
          <w:lang w:val="en-US" w:eastAsia="zh-CN"/>
        </w:rPr>
        <w:t>×税金所得出的</w:t>
      </w:r>
      <w:r>
        <w:rPr>
          <w:rFonts w:hint="eastAsia" w:ascii="仿宋" w:hAnsi="仿宋" w:eastAsia="仿宋" w:cs="仿宋"/>
          <w:kern w:val="0"/>
          <w:sz w:val="28"/>
          <w:szCs w:val="28"/>
          <w:highlight w:val="none"/>
        </w:rPr>
        <w:t>费用最终均应列入结算总价后乘以（1-中标下浮率）计算。各工料机的数量按该当期实际完成工程量，适用经广州（清远）产业转移工业园财政投资评审中心审定施工图预算开列的清单项，各调价工料机的单价价差以</w:t>
      </w:r>
      <w:r>
        <w:rPr>
          <w:rFonts w:hint="eastAsia" w:ascii="仿宋" w:hAnsi="仿宋" w:eastAsia="仿宋" w:cs="仿宋"/>
          <w:kern w:val="0"/>
          <w:sz w:val="28"/>
          <w:szCs w:val="28"/>
          <w:highlight w:val="none"/>
          <w:u w:val="single"/>
        </w:rPr>
        <w:t>清远市</w:t>
      </w:r>
      <w:r>
        <w:rPr>
          <w:rFonts w:hint="eastAsia" w:ascii="仿宋" w:hAnsi="仿宋" w:eastAsia="仿宋" w:cs="仿宋"/>
          <w:kern w:val="0"/>
          <w:sz w:val="28"/>
          <w:szCs w:val="28"/>
          <w:highlight w:val="none"/>
        </w:rPr>
        <w:t>建设工程造价管理部门发布的价格信息为依据，按施工当季信息价格与经广州（清远）产业转移工业园财政投资评审中心审定施工图预算中所采用的季度的信息价格差值计取。</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 价款调整以季度计算，按审定金额另行签订补充协议支付，或在工程结算中一并支付。</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④ 各调价工料机的信息价格按清远市建设工程造价管理部门发布的当季《清远地区建设工程常用材料综合价格》（以下简称“综合价格”）计取，综合价格中没有的材料、设备单价，参考《广州地区建设工程常用材料综合价格》及《广州地区建设工程材料（设备）厂商价格信息》，</w:t>
      </w:r>
      <w:r>
        <w:rPr>
          <w:rFonts w:hint="eastAsia" w:ascii="仿宋" w:hAnsi="仿宋" w:eastAsia="仿宋" w:cs="仿宋"/>
          <w:kern w:val="0"/>
          <w:sz w:val="28"/>
          <w:szCs w:val="28"/>
          <w:highlight w:val="none"/>
          <w:u w:val="single"/>
        </w:rPr>
        <w:t>以上</w:t>
      </w:r>
      <w:r>
        <w:rPr>
          <w:rFonts w:hint="eastAsia" w:ascii="仿宋" w:hAnsi="仿宋" w:eastAsia="仿宋" w:cs="仿宋"/>
          <w:kern w:val="0"/>
          <w:sz w:val="28"/>
          <w:szCs w:val="28"/>
          <w:highlight w:val="none"/>
        </w:rPr>
        <w:t>均没有的相关价格的，由发包人、监理单位、承包人结合市场价共同协商确定。</w:t>
      </w:r>
    </w:p>
    <w:p>
      <w:pPr>
        <w:widowControl/>
        <w:shd w:val="clear"/>
        <w:autoSpaceDN w:val="0"/>
        <w:spacing w:line="360" w:lineRule="auto"/>
        <w:ind w:firstLine="338"/>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（4）由于承包人原因导致工期延误的，所延误时段内物价上涨的风险全部由承包人承担，不予调整；如物价下跌，则仍按第（3）款约定计算及扣回相应价款。</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296" w:name="_Toc26435"/>
      <w:bookmarkStart w:id="297" w:name="_Toc5164"/>
      <w:r>
        <w:rPr>
          <w:rFonts w:hint="eastAsia" w:ascii="仿宋" w:hAnsi="仿宋" w:eastAsia="仿宋" w:cs="仿宋"/>
          <w:b/>
          <w:bCs/>
          <w:kern w:val="0"/>
          <w:sz w:val="28"/>
          <w:szCs w:val="28"/>
          <w:highlight w:val="none"/>
        </w:rPr>
        <w:t>24、工程</w:t>
      </w:r>
      <w:r>
        <w:rPr>
          <w:rFonts w:hint="eastAsia" w:ascii="仿宋" w:hAnsi="仿宋" w:eastAsia="仿宋" w:cs="仿宋"/>
          <w:b/>
          <w:sz w:val="28"/>
          <w:szCs w:val="28"/>
          <w:highlight w:val="none"/>
        </w:rPr>
        <w:t>预付款</w:t>
      </w:r>
      <w:bookmarkEnd w:id="296"/>
      <w:bookmarkEnd w:id="297"/>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24.1工程预付款</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24.1.1发包人向承包人预付工程款的时间和金额或占合同价款总额的比例：合同生效、满足26.</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款约定条件且财政拨款到位后，发包人预付合同价（扣除绿色施工安全防护措施费，若工程量清单中有暂定金则扣除暂定金部分）的</w:t>
      </w:r>
      <w:r>
        <w:rPr>
          <w:rFonts w:hint="eastAsia" w:ascii="仿宋" w:hAnsi="仿宋" w:eastAsia="仿宋" w:cs="仿宋"/>
          <w:color w:val="7030A0"/>
          <w:kern w:val="0"/>
          <w:sz w:val="28"/>
          <w:szCs w:val="28"/>
          <w:highlight w:val="none"/>
        </w:rPr>
        <w:t>10%</w:t>
      </w:r>
      <w:r>
        <w:rPr>
          <w:rFonts w:hint="eastAsia" w:ascii="仿宋" w:hAnsi="仿宋" w:eastAsia="仿宋" w:cs="仿宋"/>
          <w:kern w:val="0"/>
          <w:sz w:val="28"/>
          <w:szCs w:val="28"/>
          <w:highlight w:val="none"/>
        </w:rPr>
        <w:t>作为预付款。</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24.1.2承包人收取预付款后，应优先用于按有关规定缴纳工伤保险和办理建筑意外伤害险，专款专用。</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24.1.3扣回预付款的时间、比例：按本合同专用条款26条约定执行。</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298" w:name="_Toc7900"/>
      <w:bookmarkStart w:id="299" w:name="_Toc17369"/>
      <w:r>
        <w:rPr>
          <w:rFonts w:hint="eastAsia" w:ascii="仿宋" w:hAnsi="仿宋" w:eastAsia="仿宋" w:cs="仿宋"/>
          <w:b/>
          <w:bCs/>
          <w:kern w:val="0"/>
          <w:sz w:val="28"/>
          <w:szCs w:val="28"/>
          <w:highlight w:val="none"/>
        </w:rPr>
        <w:t>25、工程量确认</w:t>
      </w:r>
      <w:bookmarkEnd w:id="298"/>
      <w:bookmarkEnd w:id="299"/>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25.1承包人向工程师提交已完工程量报告的时间：</w:t>
      </w:r>
      <w:r>
        <w:rPr>
          <w:rFonts w:hint="eastAsia" w:ascii="仿宋" w:hAnsi="仿宋" w:eastAsia="仿宋" w:cs="仿宋"/>
          <w:kern w:val="0"/>
          <w:sz w:val="28"/>
          <w:szCs w:val="28"/>
          <w:highlight w:val="none"/>
          <w:u w:val="single"/>
        </w:rPr>
        <w:t>自开工之日起每周及每月报告已完成工程状况</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25.2双方一致同意不适用通用条款25.2款，承包人完成工程量必须经发包人书面确认。</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00" w:name="_Toc20886"/>
      <w:bookmarkStart w:id="301" w:name="_Toc4900"/>
      <w:r>
        <w:rPr>
          <w:rFonts w:hint="eastAsia" w:ascii="仿宋" w:hAnsi="仿宋" w:eastAsia="仿宋" w:cs="仿宋"/>
          <w:b/>
          <w:bCs/>
          <w:kern w:val="0"/>
          <w:sz w:val="28"/>
          <w:szCs w:val="28"/>
          <w:highlight w:val="none"/>
        </w:rPr>
        <w:t>26、工程款（</w:t>
      </w:r>
      <w:r>
        <w:rPr>
          <w:rFonts w:hint="eastAsia" w:ascii="仿宋" w:hAnsi="仿宋" w:eastAsia="仿宋" w:cs="仿宋"/>
          <w:b/>
          <w:sz w:val="28"/>
          <w:szCs w:val="28"/>
          <w:highlight w:val="none"/>
        </w:rPr>
        <w:t>进度</w:t>
      </w:r>
      <w:r>
        <w:rPr>
          <w:rFonts w:hint="eastAsia" w:ascii="仿宋" w:hAnsi="仿宋" w:eastAsia="仿宋" w:cs="仿宋"/>
          <w:b/>
          <w:bCs/>
          <w:kern w:val="0"/>
          <w:sz w:val="28"/>
          <w:szCs w:val="28"/>
          <w:highlight w:val="none"/>
        </w:rPr>
        <w:t>款）支付</w:t>
      </w:r>
      <w:bookmarkEnd w:id="300"/>
      <w:bookmarkEnd w:id="301"/>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26.1双方约定的工程款（进度款）支付采取如下的 </w:t>
      </w:r>
      <w:r>
        <w:rPr>
          <w:rFonts w:hint="eastAsia" w:ascii="仿宋" w:hAnsi="仿宋" w:eastAsia="仿宋" w:cs="仿宋"/>
          <w:kern w:val="0"/>
          <w:sz w:val="28"/>
          <w:szCs w:val="28"/>
          <w:highlight w:val="none"/>
          <w:u w:val="single"/>
        </w:rPr>
        <w:t xml:space="preserve"> 26.1.2</w:t>
      </w:r>
      <w:r>
        <w:rPr>
          <w:rFonts w:hint="eastAsia" w:ascii="仿宋" w:hAnsi="仿宋" w:eastAsia="仿宋" w:cs="仿宋"/>
          <w:kern w:val="0"/>
          <w:sz w:val="28"/>
          <w:szCs w:val="28"/>
          <w:highlight w:val="none"/>
        </w:rPr>
        <w:t>方式进行：</w:t>
      </w:r>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26.1.1 按累计完成工作量百分率支付工程款（进度款）方式：</w:t>
      </w:r>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（1）工程完工，并通过初验后支付合同价款80%；预算评审没有完成之前，需支付进度款的。可按合同支付进度款，但最高不得超过合同总价的50%。</w:t>
      </w:r>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（2）工程通过验收并经广州（清远）产业转移工业园财政局审定施工结算后支付工程款至结算价（扣除安全生产措施费）的97%；工程结算价款额度的3%作为保修金，待质量缺陷责任期结束后结清（不计利息）。</w:t>
      </w:r>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上述所有款项均在广州（清远）产业转移工业园财政局审定该专项资金并拨款到位后支付。办理工程款财政请款手续的时间不计入付款期限。</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26.1.2</w:t>
      </w:r>
    </w:p>
    <w:p>
      <w:pPr>
        <w:widowControl/>
        <w:numPr>
          <w:ilvl w:val="0"/>
          <w:numId w:val="7"/>
        </w:numPr>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预算审定后，经监理审核、发包人确认后，发包人按经审定预算单价和月度完成工程量的80%支付工程进度款。从本工程发生的第一次进度款支付起，发包人每次按审定月度完成工程量的80%中之50%扣回预付款，每次按审定月度完成工程量的80%扣除应扣回的预付款后支付承包人当次的工程进度款，直至预付款全部扣回完毕止。预付款扣回完毕后，发包人按审定月度完成工程量的80%支付工程进度款；工程完工，累计支付工程款（含绿色施工安全防护措施费）至合同价若有暂定金（含暂列金额及暂估价）则扣除未计量部分暂定金后的80%。</w:t>
      </w:r>
    </w:p>
    <w:p>
      <w:pPr>
        <w:widowControl/>
        <w:shd w:val="clear"/>
        <w:autoSpaceDN w:val="0"/>
        <w:spacing w:line="360" w:lineRule="auto"/>
        <w:ind w:firstLine="41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工程通过验收并经广州（清远）产业转移工业园财政投资评审中心审定施工结算后支付工程款（含绿色施工安全防护措施费）至结算价的97%；工程结算价款额度的3%作为质量保修金，待缺陷责任期结束后结清（不计利息）。</w:t>
      </w:r>
    </w:p>
    <w:p>
      <w:pPr>
        <w:widowControl/>
        <w:shd w:val="clear"/>
        <w:autoSpaceDN w:val="0"/>
        <w:spacing w:line="360" w:lineRule="auto"/>
        <w:ind w:firstLine="41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注：上述工程费的支付均以实际已实施阶段的工程量为计算依据。</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上述所有款项均在广州（清远）产业转移工业园财政投资评审中心审定该专项资金并拨款到位后支付。办理工程款财政请款手续的时间不计入付款期限。</w:t>
      </w:r>
    </w:p>
    <w:p>
      <w:pPr>
        <w:widowControl/>
        <w:shd w:val="clear"/>
        <w:autoSpaceDN w:val="0"/>
        <w:snapToGrid w:val="0"/>
        <w:spacing w:line="360" w:lineRule="auto"/>
        <w:ind w:right="11" w:firstLine="4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26.2所有因变更、签证及价格调整等原因所调整增加的工程价款均应由承包人按广清产业园及发包人相关规定程序，报监理初审，并经发包人审批同意后，价款调整以季度计算，按审定金额另行签订补充协议支付，或在工程结算中一并支付。</w:t>
      </w:r>
    </w:p>
    <w:p>
      <w:pPr>
        <w:widowControl/>
        <w:shd w:val="clear"/>
        <w:autoSpaceDN w:val="0"/>
        <w:snapToGrid w:val="0"/>
        <w:spacing w:line="360" w:lineRule="auto"/>
        <w:ind w:right="11" w:firstLine="42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26.3工程价款的支付条件：</w:t>
      </w:r>
    </w:p>
    <w:p>
      <w:pPr>
        <w:widowControl/>
        <w:shd w:val="clear"/>
        <w:autoSpaceDN w:val="0"/>
        <w:snapToGrid w:val="0"/>
        <w:spacing w:line="360" w:lineRule="auto"/>
        <w:ind w:right="11" w:firstLine="4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（1）支付预付款：承包人已与发包人签订工程施工合同，承包人承诺的项目管理人员、机械设备到位。已生效的履约担保已按发包人要求准时提交发包人，且财政拨款已到位。</w:t>
      </w:r>
    </w:p>
    <w:p>
      <w:pPr>
        <w:widowControl/>
        <w:shd w:val="clear"/>
        <w:autoSpaceDN w:val="0"/>
        <w:snapToGrid w:val="0"/>
        <w:spacing w:line="360" w:lineRule="auto"/>
        <w:ind w:right="11" w:firstLine="4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支付工程款（进度款）：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pPr>
        <w:widowControl/>
        <w:shd w:val="clear"/>
        <w:autoSpaceDN w:val="0"/>
        <w:spacing w:line="360" w:lineRule="auto"/>
        <w:ind w:firstLine="4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关于安全生产措施费支付的方式及时间：安全防护、文明施工措施费按工程清单所列金额专款专用，并从本施工合同价款中提取（安全生产措施费已包含在本工程施工合同价中）。该费用根据《关于加强安全文明施工管理及措施费支付管理的通知》（穗开建管〔2015〕7号）及“穗建筑【2008】967号”文规定，分阶段支付安全文明措施费：</w:t>
      </w:r>
    </w:p>
    <w:p>
      <w:pPr>
        <w:widowControl/>
        <w:shd w:val="clear"/>
        <w:autoSpaceDN w:val="0"/>
        <w:spacing w:line="360" w:lineRule="auto"/>
        <w:ind w:firstLine="42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1、本项目建设单位预付安全措施费为30%。建设单位应在开工后28日内预付给施工单位。</w:t>
      </w:r>
    </w:p>
    <w:p>
      <w:pPr>
        <w:widowControl/>
        <w:shd w:val="clear"/>
        <w:autoSpaceDN w:val="0"/>
        <w:spacing w:line="360" w:lineRule="auto"/>
        <w:ind w:firstLine="420"/>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rPr>
        <w:t>2.施工单位进场完成工地围墙、大门、临时设施、洗车槽、水枪、场内道路硬化、绿化等部位的建设或布置后，由建设业主、代建单位（如有）、监理单位根据《建设工程项目申办施工许可证安全文明施工现场查勘表》评为合格或以上且财政拨款到位后，</w:t>
      </w:r>
      <w:r>
        <w:rPr>
          <w:rFonts w:hint="eastAsia" w:ascii="仿宋" w:hAnsi="仿宋" w:eastAsia="仿宋" w:cs="仿宋"/>
          <w:b/>
          <w:bCs/>
          <w:kern w:val="0"/>
          <w:sz w:val="28"/>
          <w:szCs w:val="28"/>
          <w:highlight w:val="none"/>
          <w:lang w:val="en-US" w:eastAsia="zh-CN"/>
        </w:rPr>
        <w:t>累计</w:t>
      </w:r>
      <w:r>
        <w:rPr>
          <w:rFonts w:hint="eastAsia" w:ascii="仿宋" w:hAnsi="仿宋" w:eastAsia="仿宋" w:cs="仿宋"/>
          <w:b/>
          <w:bCs/>
          <w:kern w:val="0"/>
          <w:sz w:val="28"/>
          <w:szCs w:val="28"/>
          <w:highlight w:val="none"/>
        </w:rPr>
        <w:t>支付</w:t>
      </w:r>
      <w:r>
        <w:rPr>
          <w:rFonts w:hint="eastAsia" w:ascii="仿宋" w:hAnsi="仿宋" w:eastAsia="仿宋" w:cs="仿宋"/>
          <w:b/>
          <w:bCs/>
          <w:kern w:val="0"/>
          <w:sz w:val="28"/>
          <w:szCs w:val="28"/>
          <w:highlight w:val="none"/>
          <w:lang w:val="en-US" w:eastAsia="zh-CN"/>
        </w:rPr>
        <w:t>至</w:t>
      </w:r>
      <w:r>
        <w:rPr>
          <w:rFonts w:hint="eastAsia" w:ascii="仿宋" w:hAnsi="仿宋" w:eastAsia="仿宋" w:cs="仿宋"/>
          <w:b/>
          <w:bCs/>
          <w:kern w:val="0"/>
          <w:sz w:val="28"/>
          <w:szCs w:val="28"/>
          <w:highlight w:val="none"/>
        </w:rPr>
        <w:t>安全生产措施费的60%</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若遇项目无需报监报建或不满足报监报建条件， 施工单位进场完成工地围墙、大门、临时设施、洗车槽、水枪、场内道路硬化、绿化等部位的建设或布置后,由建设业主、代建单位(如有) 、监理单位确认通过且财政拨款到位后，累计支付至安全生产措施费的 60%。</w:t>
      </w:r>
    </w:p>
    <w:p>
      <w:pPr>
        <w:widowControl/>
        <w:shd w:val="clear"/>
        <w:autoSpaceDN w:val="0"/>
        <w:spacing w:line="360" w:lineRule="auto"/>
        <w:ind w:firstLine="42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3.工程竣工，经建设业主、代建单位 (如有)监理确认安全防护、文明施工措施评为合格或以上后，再支付相应安全生产措施费的40%。</w:t>
      </w:r>
      <w:r>
        <w:rPr>
          <w:rFonts w:hint="eastAsia" w:ascii="仿宋" w:hAnsi="仿宋" w:eastAsia="仿宋" w:cs="仿宋"/>
          <w:b/>
          <w:bCs/>
          <w:kern w:val="0"/>
          <w:sz w:val="28"/>
          <w:szCs w:val="28"/>
          <w:highlight w:val="none"/>
        </w:rPr>
        <w:t xml:space="preserve"> </w:t>
      </w:r>
    </w:p>
    <w:p>
      <w:pPr>
        <w:shd w:val="clear"/>
        <w:spacing w:line="360" w:lineRule="auto"/>
        <w:ind w:firstLine="481" w:firstLineChars="171"/>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七、</w:t>
      </w:r>
      <w:r>
        <w:rPr>
          <w:rFonts w:hint="eastAsia" w:ascii="仿宋" w:hAnsi="仿宋" w:eastAsia="仿宋" w:cs="仿宋"/>
          <w:b/>
          <w:bCs/>
          <w:sz w:val="28"/>
          <w:szCs w:val="28"/>
          <w:highlight w:val="none"/>
        </w:rPr>
        <w:t>材料</w:t>
      </w:r>
      <w:r>
        <w:rPr>
          <w:rFonts w:hint="eastAsia" w:ascii="仿宋" w:hAnsi="仿宋" w:eastAsia="仿宋" w:cs="仿宋"/>
          <w:b/>
          <w:bCs/>
          <w:kern w:val="0"/>
          <w:sz w:val="28"/>
          <w:szCs w:val="28"/>
          <w:highlight w:val="none"/>
        </w:rPr>
        <w:t>设备供应</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02" w:name="_Toc8905"/>
      <w:bookmarkStart w:id="303" w:name="_Toc29059"/>
      <w:r>
        <w:rPr>
          <w:rFonts w:hint="eastAsia" w:ascii="仿宋" w:hAnsi="仿宋" w:eastAsia="仿宋" w:cs="仿宋"/>
          <w:b/>
          <w:bCs/>
          <w:kern w:val="0"/>
          <w:sz w:val="28"/>
          <w:szCs w:val="28"/>
          <w:highlight w:val="none"/>
        </w:rPr>
        <w:t>27、发包人</w:t>
      </w:r>
      <w:r>
        <w:rPr>
          <w:rFonts w:hint="eastAsia" w:ascii="仿宋" w:hAnsi="仿宋" w:eastAsia="仿宋" w:cs="仿宋"/>
          <w:b/>
          <w:sz w:val="28"/>
          <w:szCs w:val="28"/>
          <w:highlight w:val="none"/>
        </w:rPr>
        <w:t>供应</w:t>
      </w:r>
      <w:r>
        <w:rPr>
          <w:rFonts w:hint="eastAsia" w:ascii="仿宋" w:hAnsi="仿宋" w:eastAsia="仿宋" w:cs="仿宋"/>
          <w:b/>
          <w:bCs/>
          <w:kern w:val="0"/>
          <w:sz w:val="28"/>
          <w:szCs w:val="28"/>
          <w:highlight w:val="none"/>
        </w:rPr>
        <w:t>材料设备</w:t>
      </w:r>
      <w:bookmarkEnd w:id="302"/>
      <w:bookmarkEnd w:id="303"/>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27.4发包人供应的材料设备与一览表不符时，双方约定发包人承担责任如下：</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（1）材料设备单价与一览表不符：</w:t>
      </w:r>
      <w:r>
        <w:rPr>
          <w:rFonts w:hint="eastAsia" w:ascii="仿宋" w:hAnsi="仿宋" w:eastAsia="仿宋" w:cs="仿宋"/>
          <w:kern w:val="0"/>
          <w:sz w:val="28"/>
          <w:szCs w:val="28"/>
          <w:highlight w:val="none"/>
        </w:rPr>
        <w:fldChar w:fldCharType="begin"/>
      </w:r>
      <w:r>
        <w:rPr>
          <w:rFonts w:hint="eastAsia" w:ascii="仿宋" w:hAnsi="仿宋" w:eastAsia="仿宋" w:cs="仿宋"/>
          <w:kern w:val="0"/>
          <w:sz w:val="28"/>
          <w:szCs w:val="28"/>
          <w:highlight w:val="none"/>
        </w:rPr>
        <w:instrText xml:space="preserve"> INCLUDEPICTURE "C:\\Users\\吴美娇\\AppData\\Local\\Temp\\ksohtml\\wpsE144.tmp.png" \* MERGEFORMATINET </w:instrText>
      </w:r>
      <w:r>
        <w:rPr>
          <w:rFonts w:hint="eastAsia" w:ascii="仿宋" w:hAnsi="仿宋" w:eastAsia="仿宋" w:cs="仿宋"/>
          <w:kern w:val="0"/>
          <w:sz w:val="28"/>
          <w:szCs w:val="28"/>
          <w:highlight w:val="none"/>
        </w:rPr>
        <w:fldChar w:fldCharType="separate"/>
      </w:r>
      <w:r>
        <w:rPr>
          <w:rFonts w:hint="eastAsia" w:ascii="仿宋" w:hAnsi="仿宋" w:eastAsia="仿宋" w:cs="仿宋"/>
          <w:kern w:val="0"/>
          <w:sz w:val="28"/>
          <w:szCs w:val="28"/>
          <w:highlight w:val="none"/>
        </w:rPr>
        <w:drawing>
          <wp:inline distT="0" distB="0" distL="114300" distR="114300">
            <wp:extent cx="19050" cy="19050"/>
            <wp:effectExtent l="0" t="0" r="0" b="0"/>
            <wp:docPr id="1" name="图片 3" descr="wpsE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E144"/>
                    <pic:cNvPicPr>
                      <a:picLocks noChangeAspect="1"/>
                    </pic:cNvPicPr>
                  </pic:nvPicPr>
                  <pic:blipFill>
                    <a:blip r:embed="rId11"/>
                    <a:stretch>
                      <a:fillRect/>
                    </a:stretch>
                  </pic:blipFill>
                  <pic:spPr>
                    <a:xfrm>
                      <a:off x="0" y="0"/>
                      <a:ext cx="19050" cy="19050"/>
                    </a:xfrm>
                    <a:prstGeom prst="rect">
                      <a:avLst/>
                    </a:prstGeom>
                    <a:noFill/>
                    <a:ln>
                      <a:noFill/>
                    </a:ln>
                  </pic:spPr>
                </pic:pic>
              </a:graphicData>
            </a:graphic>
          </wp:inline>
        </w:drawing>
      </w:r>
      <w:r>
        <w:rPr>
          <w:rFonts w:hint="eastAsia" w:ascii="仿宋" w:hAnsi="仿宋" w:eastAsia="仿宋" w:cs="仿宋"/>
          <w:kern w:val="0"/>
          <w:sz w:val="28"/>
          <w:szCs w:val="28"/>
          <w:highlight w:val="none"/>
        </w:rPr>
        <w:fldChar w:fldCharType="end"/>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（2）材料设备的品种、规格、型号、质量等级与一览表不符：</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（3）承包人可代为调剂串换的材料：</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（4）到货地点与一览表不符：</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（5）供应数量与一览表不符：</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（6）到货时间与一览表不符；</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shd w:val="clear"/>
        <w:snapToGrid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27.6发包人</w:t>
      </w:r>
      <w:r>
        <w:rPr>
          <w:rFonts w:hint="eastAsia" w:ascii="仿宋" w:hAnsi="仿宋" w:eastAsia="仿宋" w:cs="仿宋"/>
          <w:sz w:val="28"/>
          <w:szCs w:val="28"/>
          <w:highlight w:val="none"/>
        </w:rPr>
        <w:t>供应</w:t>
      </w:r>
      <w:r>
        <w:rPr>
          <w:rFonts w:hint="eastAsia" w:ascii="仿宋" w:hAnsi="仿宋" w:eastAsia="仿宋" w:cs="仿宋"/>
          <w:kern w:val="0"/>
          <w:sz w:val="28"/>
          <w:szCs w:val="28"/>
          <w:highlight w:val="none"/>
        </w:rPr>
        <w:t>材料设备的结算方法：</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04" w:name="_Toc31766"/>
      <w:bookmarkStart w:id="305" w:name="_Toc20796"/>
      <w:r>
        <w:rPr>
          <w:rFonts w:hint="eastAsia" w:ascii="仿宋" w:hAnsi="仿宋" w:eastAsia="仿宋" w:cs="仿宋"/>
          <w:b/>
          <w:bCs/>
          <w:kern w:val="0"/>
          <w:sz w:val="28"/>
          <w:szCs w:val="28"/>
          <w:highlight w:val="none"/>
        </w:rPr>
        <w:t>28、承包人采购</w:t>
      </w:r>
      <w:r>
        <w:rPr>
          <w:rFonts w:hint="eastAsia" w:ascii="仿宋" w:hAnsi="仿宋" w:eastAsia="仿宋" w:cs="仿宋"/>
          <w:b/>
          <w:sz w:val="28"/>
          <w:szCs w:val="28"/>
          <w:highlight w:val="none"/>
        </w:rPr>
        <w:t>材料</w:t>
      </w:r>
      <w:r>
        <w:rPr>
          <w:rFonts w:hint="eastAsia" w:ascii="仿宋" w:hAnsi="仿宋" w:eastAsia="仿宋" w:cs="仿宋"/>
          <w:b/>
          <w:bCs/>
          <w:kern w:val="0"/>
          <w:sz w:val="28"/>
          <w:szCs w:val="28"/>
          <w:highlight w:val="none"/>
        </w:rPr>
        <w:t>设备</w:t>
      </w:r>
      <w:bookmarkEnd w:id="304"/>
      <w:bookmarkEnd w:id="305"/>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28.1承包人采购材料设备的约定：</w:t>
      </w:r>
      <w:r>
        <w:rPr>
          <w:rFonts w:hint="eastAsia" w:ascii="仿宋" w:hAnsi="仿宋" w:eastAsia="仿宋" w:cs="仿宋"/>
          <w:kern w:val="0"/>
          <w:sz w:val="28"/>
          <w:szCs w:val="28"/>
          <w:highlight w:val="none"/>
          <w:u w:val="single"/>
        </w:rPr>
        <w:t>按招标文件规定，同时所有材料、设备报价必须报监理、业主同意后方可使用</w:t>
      </w:r>
      <w:r>
        <w:rPr>
          <w:rFonts w:hint="eastAsia" w:ascii="仿宋" w:hAnsi="仿宋" w:eastAsia="仿宋" w:cs="仿宋"/>
          <w:kern w:val="0"/>
          <w:sz w:val="28"/>
          <w:szCs w:val="28"/>
          <w:highlight w:val="none"/>
        </w:rPr>
        <w:t>。</w:t>
      </w:r>
    </w:p>
    <w:p>
      <w:pPr>
        <w:shd w:val="clear"/>
        <w:spacing w:line="360" w:lineRule="auto"/>
        <w:ind w:firstLine="481" w:firstLineChars="171"/>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八、工程变更</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06" w:name="_Toc1330"/>
      <w:bookmarkStart w:id="307" w:name="_Toc3066"/>
      <w:r>
        <w:rPr>
          <w:rFonts w:hint="eastAsia" w:ascii="仿宋" w:hAnsi="仿宋" w:eastAsia="仿宋" w:cs="仿宋"/>
          <w:b/>
          <w:bCs/>
          <w:kern w:val="0"/>
          <w:sz w:val="28"/>
          <w:szCs w:val="28"/>
          <w:highlight w:val="none"/>
        </w:rPr>
        <w:t>29、工程</w:t>
      </w:r>
      <w:r>
        <w:rPr>
          <w:rFonts w:hint="eastAsia" w:ascii="仿宋" w:hAnsi="仿宋" w:eastAsia="仿宋" w:cs="仿宋"/>
          <w:b/>
          <w:sz w:val="28"/>
          <w:szCs w:val="28"/>
          <w:highlight w:val="none"/>
        </w:rPr>
        <w:t>设计变</w:t>
      </w:r>
      <w:r>
        <w:rPr>
          <w:rFonts w:hint="eastAsia" w:ascii="仿宋" w:hAnsi="仿宋" w:eastAsia="仿宋" w:cs="仿宋"/>
          <w:b/>
          <w:bCs/>
          <w:kern w:val="0"/>
          <w:sz w:val="28"/>
          <w:szCs w:val="28"/>
          <w:highlight w:val="none"/>
        </w:rPr>
        <w:t>更</w:t>
      </w:r>
      <w:bookmarkEnd w:id="306"/>
      <w:bookmarkEnd w:id="307"/>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29.4</w:t>
      </w:r>
      <w:r>
        <w:rPr>
          <w:rFonts w:hint="eastAsia" w:ascii="仿宋" w:hAnsi="仿宋" w:eastAsia="仿宋" w:cs="仿宋"/>
          <w:kern w:val="0"/>
          <w:sz w:val="28"/>
          <w:szCs w:val="28"/>
          <w:highlight w:val="none"/>
          <w:u w:val="single"/>
        </w:rPr>
        <w:t>开工前，发包人组织承包人、监理单位、设计单位对施工图纸进行会审。如需实施工程变更签证，承包人需在实施相应变更签证七天前向发包人提出（确属不可预见因素除外），并经发包人书面认可。否则工程实施过程中每实施一项变更签证，承包人须按该变更签证工程价款的3%向发包人支付违约金，引起的工期延误不予顺延</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29.5</w:t>
      </w:r>
      <w:r>
        <w:rPr>
          <w:rFonts w:hint="eastAsia" w:ascii="仿宋" w:hAnsi="仿宋" w:eastAsia="仿宋" w:cs="仿宋"/>
          <w:kern w:val="0"/>
          <w:sz w:val="28"/>
          <w:szCs w:val="28"/>
          <w:highlight w:val="none"/>
          <w:u w:val="single"/>
        </w:rPr>
        <w:t>变更应由监理工程师发出变更指令，没有监理工程师的指令，承包人不得进行上述变更</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29.6</w:t>
      </w:r>
      <w:r>
        <w:rPr>
          <w:rFonts w:hint="eastAsia" w:ascii="仿宋" w:hAnsi="仿宋" w:eastAsia="仿宋" w:cs="仿宋"/>
          <w:kern w:val="0"/>
          <w:sz w:val="28"/>
          <w:szCs w:val="28"/>
          <w:highlight w:val="none"/>
          <w:u w:val="single"/>
        </w:rPr>
        <w:t>所有涉及工期和工程量的变更均应获得发包人书面批准才能生效</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29.7</w:t>
      </w:r>
      <w:r>
        <w:rPr>
          <w:rFonts w:hint="eastAsia" w:ascii="仿宋" w:hAnsi="仿宋" w:eastAsia="仿宋" w:cs="仿宋"/>
          <w:kern w:val="0"/>
          <w:sz w:val="28"/>
          <w:szCs w:val="28"/>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29.8</w:t>
      </w:r>
      <w:r>
        <w:rPr>
          <w:rFonts w:hint="eastAsia" w:ascii="仿宋" w:hAnsi="仿宋" w:eastAsia="仿宋" w:cs="仿宋"/>
          <w:kern w:val="0"/>
          <w:sz w:val="28"/>
          <w:szCs w:val="28"/>
          <w:highlight w:val="none"/>
          <w:u w:val="single"/>
        </w:rPr>
        <w:t>工程变更申报程序按建设业主的有关规定执行</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29.9</w:t>
      </w:r>
      <w:r>
        <w:rPr>
          <w:rFonts w:hint="eastAsia" w:ascii="仿宋" w:hAnsi="仿宋" w:eastAsia="仿宋" w:cs="仿宋"/>
          <w:kern w:val="0"/>
          <w:sz w:val="28"/>
          <w:szCs w:val="28"/>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29.10</w:t>
      </w:r>
      <w:r>
        <w:rPr>
          <w:rFonts w:hint="eastAsia" w:ascii="仿宋" w:hAnsi="仿宋" w:eastAsia="仿宋" w:cs="仿宋"/>
          <w:b/>
          <w:bCs/>
          <w:kern w:val="0"/>
          <w:sz w:val="28"/>
          <w:szCs w:val="28"/>
          <w:highlight w:val="none"/>
          <w:u w:val="single"/>
        </w:rPr>
        <w:t>按施工图纸实施使得工程量少于施工合同工程量清单中已确定或有规定的数量的，则该项工程量减少不需要任何指令。</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08" w:name="_Toc11106"/>
      <w:bookmarkStart w:id="309" w:name="_Toc31503"/>
      <w:r>
        <w:rPr>
          <w:rFonts w:hint="eastAsia" w:ascii="仿宋" w:hAnsi="仿宋" w:eastAsia="仿宋" w:cs="仿宋"/>
          <w:b/>
          <w:bCs/>
          <w:kern w:val="0"/>
          <w:sz w:val="28"/>
          <w:szCs w:val="28"/>
          <w:highlight w:val="none"/>
        </w:rPr>
        <w:t>30、其它变更</w:t>
      </w:r>
      <w:bookmarkEnd w:id="308"/>
      <w:bookmarkEnd w:id="309"/>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30.1工程现场签证：</w:t>
      </w:r>
      <w:r>
        <w:rPr>
          <w:rFonts w:hint="eastAsia" w:ascii="仿宋" w:hAnsi="仿宋" w:eastAsia="仿宋" w:cs="仿宋"/>
          <w:kern w:val="0"/>
          <w:sz w:val="28"/>
          <w:szCs w:val="28"/>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30.2签证的计价：</w:t>
      </w:r>
      <w:r>
        <w:rPr>
          <w:rFonts w:hint="eastAsia" w:ascii="仿宋" w:hAnsi="仿宋" w:eastAsia="仿宋" w:cs="仿宋"/>
          <w:kern w:val="0"/>
          <w:sz w:val="28"/>
          <w:szCs w:val="28"/>
          <w:highlight w:val="none"/>
          <w:u w:val="single"/>
        </w:rPr>
        <w:t>按招标文件及合同中关于工程变更的计价有关规定执行</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30.3签证实施前所需的施工方案：</w:t>
      </w:r>
      <w:r>
        <w:rPr>
          <w:rFonts w:hint="eastAsia" w:ascii="仿宋" w:hAnsi="仿宋" w:eastAsia="仿宋" w:cs="仿宋"/>
          <w:kern w:val="0"/>
          <w:sz w:val="28"/>
          <w:szCs w:val="28"/>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仿宋" w:hAnsi="仿宋" w:eastAsia="仿宋" w:cs="仿宋"/>
          <w:kern w:val="0"/>
          <w:sz w:val="28"/>
          <w:szCs w:val="28"/>
          <w:highlight w:val="none"/>
        </w:rPr>
        <w:t>。</w:t>
      </w:r>
    </w:p>
    <w:p>
      <w:pPr>
        <w:widowControl/>
        <w:shd w:val="clear"/>
        <w:autoSpaceDN w:val="0"/>
        <w:spacing w:line="360" w:lineRule="auto"/>
        <w:ind w:firstLine="397"/>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30.4</w:t>
      </w:r>
      <w:r>
        <w:rPr>
          <w:rFonts w:hint="eastAsia" w:ascii="仿宋" w:hAnsi="仿宋" w:eastAsia="仿宋" w:cs="仿宋"/>
          <w:kern w:val="0"/>
          <w:sz w:val="28"/>
          <w:szCs w:val="28"/>
          <w:highlight w:val="none"/>
          <w:u w:val="single"/>
        </w:rPr>
        <w:t>工程现场签证申报程序按建设业主的有关规定执行</w:t>
      </w:r>
      <w:r>
        <w:rPr>
          <w:rFonts w:hint="eastAsia" w:ascii="仿宋" w:hAnsi="仿宋" w:eastAsia="仿宋" w:cs="仿宋"/>
          <w:kern w:val="0"/>
          <w:sz w:val="28"/>
          <w:szCs w:val="28"/>
          <w:highlight w:val="none"/>
        </w:rPr>
        <w:t>。</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10" w:name="_Toc1569"/>
      <w:bookmarkStart w:id="311" w:name="_Toc13609"/>
      <w:r>
        <w:rPr>
          <w:rFonts w:hint="eastAsia" w:ascii="仿宋" w:hAnsi="仿宋" w:eastAsia="仿宋" w:cs="仿宋"/>
          <w:b/>
          <w:bCs/>
          <w:kern w:val="0"/>
          <w:sz w:val="28"/>
          <w:szCs w:val="28"/>
          <w:highlight w:val="none"/>
        </w:rPr>
        <w:t>31、确定变更价款</w:t>
      </w:r>
      <w:bookmarkEnd w:id="310"/>
      <w:bookmarkEnd w:id="311"/>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31.1</w:t>
      </w:r>
      <w:r>
        <w:rPr>
          <w:rFonts w:hint="eastAsia" w:ascii="仿宋" w:hAnsi="仿宋" w:eastAsia="仿宋" w:cs="仿宋"/>
          <w:kern w:val="0"/>
          <w:sz w:val="28"/>
          <w:szCs w:val="28"/>
          <w:highlight w:val="none"/>
          <w:u w:val="single"/>
        </w:rPr>
        <w:t>承包人在工程变更确定后14天内，提出变更工程价款的报告，经工程师确认及发包人同意后调整合同价款。变更合同价款确定原则按本合同相关约定执行</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w:t>
      </w:r>
      <w:r>
        <w:rPr>
          <w:rFonts w:hint="eastAsia" w:ascii="仿宋" w:hAnsi="仿宋" w:eastAsia="仿宋" w:cs="仿宋"/>
          <w:kern w:val="0"/>
          <w:sz w:val="28"/>
          <w:szCs w:val="28"/>
          <w:highlight w:val="none"/>
          <w:u w:val="single"/>
        </w:rPr>
        <w:t>所有变更工程价款的报告必须按规定程序报发包人审核确认</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31.5</w:t>
      </w:r>
      <w:r>
        <w:rPr>
          <w:rFonts w:hint="eastAsia" w:ascii="仿宋" w:hAnsi="仿宋" w:eastAsia="仿宋" w:cs="仿宋"/>
          <w:kern w:val="0"/>
          <w:sz w:val="28"/>
          <w:szCs w:val="28"/>
          <w:highlight w:val="none"/>
          <w:u w:val="single"/>
        </w:rPr>
        <w:t>工程变更价款的支付按本合同相关约定支付</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31.7</w:t>
      </w:r>
      <w:r>
        <w:rPr>
          <w:rFonts w:hint="eastAsia" w:ascii="仿宋" w:hAnsi="仿宋" w:eastAsia="仿宋" w:cs="仿宋"/>
          <w:kern w:val="0"/>
          <w:sz w:val="28"/>
          <w:szCs w:val="28"/>
          <w:highlight w:val="none"/>
          <w:u w:val="single"/>
        </w:rPr>
        <w:t>发生上述规定的变更后，承包人在收到发包人变更通知的7天内按合同文件规定的计价方式内容编出变更工程建议送交监理单位</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31.8</w:t>
      </w:r>
      <w:r>
        <w:rPr>
          <w:rFonts w:hint="eastAsia" w:ascii="仿宋" w:hAnsi="仿宋" w:eastAsia="仿宋" w:cs="仿宋"/>
          <w:kern w:val="0"/>
          <w:sz w:val="28"/>
          <w:szCs w:val="28"/>
          <w:highlight w:val="none"/>
          <w:u w:val="single"/>
        </w:rPr>
        <w:t>在工程变更价款计算时，承包人应按招标文件相关规定编制变更工程的预算，提供变更依据及详细的计算资料，报监理单位和发包人批准</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31.9</w:t>
      </w:r>
      <w:r>
        <w:rPr>
          <w:rFonts w:hint="eastAsia" w:ascii="仿宋" w:hAnsi="仿宋" w:eastAsia="仿宋" w:cs="仿宋"/>
          <w:kern w:val="0"/>
          <w:sz w:val="28"/>
          <w:szCs w:val="28"/>
          <w:highlight w:val="none"/>
          <w:u w:val="single"/>
        </w:rPr>
        <w:t>工程变更、签证申报程序按建设业主的有关规定执行</w:t>
      </w:r>
      <w:r>
        <w:rPr>
          <w:rFonts w:hint="eastAsia" w:ascii="仿宋" w:hAnsi="仿宋" w:eastAsia="仿宋" w:cs="仿宋"/>
          <w:kern w:val="0"/>
          <w:sz w:val="28"/>
          <w:szCs w:val="28"/>
          <w:highlight w:val="none"/>
        </w:rPr>
        <w:t>。</w:t>
      </w:r>
    </w:p>
    <w:p>
      <w:pPr>
        <w:shd w:val="clear"/>
        <w:spacing w:line="360" w:lineRule="auto"/>
        <w:ind w:firstLine="481" w:firstLineChars="171"/>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九、竣工验收与结算</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12" w:name="_Toc247"/>
      <w:bookmarkStart w:id="313" w:name="_Toc6261"/>
      <w:r>
        <w:rPr>
          <w:rFonts w:hint="eastAsia" w:ascii="仿宋" w:hAnsi="仿宋" w:eastAsia="仿宋" w:cs="仿宋"/>
          <w:b/>
          <w:bCs/>
          <w:kern w:val="0"/>
          <w:sz w:val="28"/>
          <w:szCs w:val="28"/>
          <w:highlight w:val="none"/>
        </w:rPr>
        <w:t>32、竣工验收</w:t>
      </w:r>
      <w:bookmarkEnd w:id="312"/>
      <w:bookmarkEnd w:id="313"/>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32.1承包人提供竣工图纸的约定：</w:t>
      </w:r>
      <w:r>
        <w:rPr>
          <w:rFonts w:hint="eastAsia" w:ascii="仿宋" w:hAnsi="仿宋" w:eastAsia="仿宋" w:cs="仿宋"/>
          <w:kern w:val="0"/>
          <w:sz w:val="28"/>
          <w:szCs w:val="28"/>
          <w:highlight w:val="none"/>
          <w:u w:val="single"/>
        </w:rPr>
        <w:t>承包人工程竣工资料必须按照国家及广州市、清远市、广州（清远）产业转移工业园管理委员会有关工程竣工资料档案管理的要求进行整理归档。承包人在工程竣工验收合格后四十五个日历天（不含各主管单位及参建单位审图签字盖章等申报程序所占用日历天数）内，向建设单位提供符合要求按规格编制成册的工程竣工图及有关的技术档案资料一式五份</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b/>
          <w:bCs/>
          <w:kern w:val="0"/>
          <w:sz w:val="28"/>
          <w:szCs w:val="28"/>
          <w:highlight w:val="none"/>
          <w:u w:val="single"/>
        </w:rPr>
      </w:pPr>
      <w:r>
        <w:rPr>
          <w:rFonts w:hint="eastAsia" w:ascii="仿宋" w:hAnsi="仿宋" w:eastAsia="仿宋" w:cs="仿宋"/>
          <w:b/>
          <w:bCs/>
          <w:kern w:val="0"/>
          <w:sz w:val="28"/>
          <w:szCs w:val="28"/>
          <w:highlight w:val="none"/>
        </w:rPr>
        <w:t>32.2</w:t>
      </w:r>
      <w:r>
        <w:rPr>
          <w:rFonts w:hint="eastAsia" w:ascii="仿宋" w:hAnsi="仿宋" w:eastAsia="仿宋" w:cs="仿宋"/>
          <w:b/>
          <w:bCs/>
          <w:kern w:val="0"/>
          <w:sz w:val="28"/>
          <w:szCs w:val="28"/>
          <w:highlight w:val="none"/>
          <w:u w:val="single"/>
        </w:rPr>
        <w:t>承包人在建设工程施工质量验收合格并获得质监站认可施工质量合格的《建设工程施工质量验收监督意见书》的项目整体移交给发包人。</w:t>
      </w:r>
    </w:p>
    <w:p>
      <w:pPr>
        <w:widowControl/>
        <w:shd w:val="clear"/>
        <w:autoSpaceDN w:val="0"/>
        <w:spacing w:line="360" w:lineRule="auto"/>
        <w:ind w:firstLine="397"/>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u w:val="single"/>
        </w:rPr>
        <w:t>32.3承包人按国家有关法律、法规、政策和本项目的要求，对项目的资金筹措、建设实施、移交及保修全过程负责，并在项目竣工验收后，将该项目的全部设施移交给发包人，包括竣工资料归档等。</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32.4中间交工工程的范围和竣工时间：</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14" w:name="_Toc1963"/>
      <w:bookmarkStart w:id="315" w:name="_Toc20850"/>
      <w:r>
        <w:rPr>
          <w:rFonts w:hint="eastAsia" w:ascii="仿宋" w:hAnsi="仿宋" w:eastAsia="仿宋" w:cs="仿宋"/>
          <w:b/>
          <w:bCs/>
          <w:kern w:val="0"/>
          <w:sz w:val="28"/>
          <w:szCs w:val="28"/>
          <w:highlight w:val="none"/>
        </w:rPr>
        <w:t>33、竣工结算</w:t>
      </w:r>
      <w:bookmarkEnd w:id="314"/>
      <w:bookmarkEnd w:id="315"/>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（1）承发包双方一致同意不适用</w:t>
      </w:r>
      <w:r>
        <w:rPr>
          <w:rFonts w:hint="eastAsia" w:ascii="仿宋" w:hAnsi="仿宋" w:eastAsia="仿宋" w:cs="仿宋"/>
          <w:kern w:val="0"/>
          <w:sz w:val="28"/>
          <w:szCs w:val="28"/>
          <w:highlight w:val="none"/>
          <w:u w:val="single"/>
        </w:rPr>
        <w:t>通用条款33.2款、33.3款、33.4款</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（2）竣工结算办法：</w:t>
      </w:r>
      <w:r>
        <w:rPr>
          <w:rFonts w:hint="eastAsia" w:ascii="仿宋" w:hAnsi="仿宋" w:eastAsia="仿宋" w:cs="仿宋"/>
          <w:kern w:val="0"/>
          <w:sz w:val="28"/>
          <w:szCs w:val="28"/>
          <w:highlight w:val="none"/>
          <w:u w:val="single"/>
        </w:rPr>
        <w:t>所有工程量（含暂定工程量的结算）的结算均以广州（清远）产业转移工业园财政投资评审中心审定的金额为准。如果遇审计部门审计，本工程最终结算价款以审计部门的审计结果为准。工程竣工后，承包人编制本工程的结算书送监理单位审核，经监理单位审核后送发包人复审，按规定送广州（清远）产业转移工业园财政投资评审中心审核，并以广州（清远）产业转移工业园财政投资评审中心审定本工程的结算为准</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（3）竣工结算提交时间：</w:t>
      </w:r>
      <w:r>
        <w:rPr>
          <w:rFonts w:hint="eastAsia" w:ascii="仿宋" w:hAnsi="仿宋" w:eastAsia="仿宋" w:cs="仿宋"/>
          <w:kern w:val="0"/>
          <w:sz w:val="28"/>
          <w:szCs w:val="28"/>
          <w:highlight w:val="none"/>
          <w:u w:val="single"/>
        </w:rPr>
        <w:t>承包人须按</w:t>
      </w:r>
      <w:r>
        <w:rPr>
          <w:rFonts w:hint="eastAsia" w:ascii="仿宋" w:hAnsi="仿宋" w:eastAsia="仿宋" w:cs="仿宋"/>
          <w:color w:val="7030A0"/>
          <w:kern w:val="0"/>
          <w:sz w:val="28"/>
          <w:szCs w:val="28"/>
          <w:highlight w:val="none"/>
          <w:u w:val="single"/>
        </w:rPr>
        <w:t>广清产业园管委会</w:t>
      </w:r>
      <w:r>
        <w:rPr>
          <w:rFonts w:hint="eastAsia" w:ascii="仿宋" w:hAnsi="仿宋" w:eastAsia="仿宋" w:cs="仿宋"/>
          <w:kern w:val="0"/>
          <w:sz w:val="28"/>
          <w:szCs w:val="28"/>
          <w:highlight w:val="none"/>
          <w:u w:val="single"/>
        </w:rPr>
        <w:t>有关规定编制及办理建设项目工程结算</w:t>
      </w:r>
      <w:r>
        <w:rPr>
          <w:rFonts w:hint="eastAsia" w:ascii="仿宋" w:hAnsi="仿宋" w:eastAsia="仿宋" w:cs="仿宋"/>
          <w:kern w:val="0"/>
          <w:sz w:val="28"/>
          <w:szCs w:val="28"/>
          <w:highlight w:val="none"/>
        </w:rPr>
        <w:t>。</w:t>
      </w:r>
    </w:p>
    <w:p>
      <w:pPr>
        <w:shd w:val="clear"/>
        <w:spacing w:line="360" w:lineRule="auto"/>
        <w:ind w:firstLine="481" w:firstLineChars="171"/>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十、违约、索赔和争议</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16" w:name="_Toc3968"/>
      <w:bookmarkStart w:id="317" w:name="_Toc27623"/>
      <w:r>
        <w:rPr>
          <w:rFonts w:hint="eastAsia" w:ascii="仿宋" w:hAnsi="仿宋" w:eastAsia="仿宋" w:cs="仿宋"/>
          <w:b/>
          <w:bCs/>
          <w:kern w:val="0"/>
          <w:sz w:val="28"/>
          <w:szCs w:val="28"/>
          <w:highlight w:val="none"/>
        </w:rPr>
        <w:t>35、</w:t>
      </w:r>
      <w:r>
        <w:rPr>
          <w:rFonts w:hint="eastAsia" w:ascii="仿宋" w:hAnsi="仿宋" w:eastAsia="仿宋" w:cs="仿宋"/>
          <w:b/>
          <w:sz w:val="28"/>
          <w:szCs w:val="28"/>
          <w:highlight w:val="none"/>
        </w:rPr>
        <w:t>违约</w:t>
      </w:r>
      <w:bookmarkEnd w:id="316"/>
      <w:bookmarkEnd w:id="317"/>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35.1本合同中关于发包人违约的具体责任如下：</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本合同通用条款第35.1条约定发包人违约应承担的责任：</w:t>
      </w:r>
      <w:r>
        <w:rPr>
          <w:rFonts w:hint="eastAsia" w:ascii="仿宋" w:hAnsi="仿宋" w:eastAsia="仿宋" w:cs="仿宋"/>
          <w:kern w:val="0"/>
          <w:sz w:val="28"/>
          <w:szCs w:val="28"/>
          <w:highlight w:val="none"/>
          <w:u w:val="single"/>
        </w:rPr>
        <w:t>顺延工期，但不作费用赔偿</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双方约定的发包人其他违约责任：</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35.2本合同中关于承包人违约的具体责任如下：</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35.2.1工期延误的违约责任：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由于承包人原因造成设计成果资料质量不合格，不能满足技术要求或使工期延误的，承包人除应按发包人要求期限返工外，其返工的设计费、施工费用均由承包人承担，并根据受损失程度向发包人支付相应赔偿金。</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（2）承包人未按发包人或监理单位开工令要求时间开工的，每迟延开工1天，应向发包人支付违约金5000元；迟延开工超过20天的，发包人有权根据实际情况单方面解除合同。</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因承包人的原因造成工期延误，其中属节点工期延误，从延误的第一天起，每天支付违约金5000元，如在下一个节点赶回工期，可免除上述违约金。属总工期延误，从总工期延误的第一天起，每天支付违约金20000元，但违约金总累计不超过合同金额的5%。</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承包人必须按期完成主要工序的施工任务，若属承包人原因逾期达10天未完成主要节点的施工任务时，除按第（1）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（7）承包人违反合同专用条款的约定和发包人的规定，逾期完成竣工档案的整理、移交、送审备案工作的，每逾期1天，承包人支付违约金5000元。</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35.2.2安全、文明施工要求及违约处理：</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严格遵守国家、省、市及产业园管委会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在本工程余泥渣土清运施工和建筑垃圾排放运输时，承包人必须严格执行《广州市余泥渣土管理条例》、《广州市市容环境卫生管理规定》、《清远市建设工程安全防护、文明施工措施费管理办法》的通知》（清建[2006]97号）等广州市、清远市、产业园管委会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（6）经发包人或监理单位抽查发现承包人违反合同专用条款的约定，其技术管理人员或施工作业人员没有佩带平安卡的，承包人按每人次1000元的标准向发包人支付违约金并立即改正。</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35.2.3工程质量方面的违约责任：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35.2.4关于农民工工资支付的违约责任：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拖欠农民工工资，被农民工投诉属实的，承包人必须在3天内发放拖欠的款项。若继续拖延被投诉2次及以上，经查实，承包人除应立即支付拖欠款项外，还应支付10000元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35.2.5项目管理机构人员、机械设备、劳动力到位方面的违约责任：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必须保证投标文件中确定的项目负责人及其项目技术负责人、主要施工管理人员能及时地、始终地参与本工程施工管理，在未征得发包人书面同意之前不得更换。如果擅自更换项目负责人或项目技术负责人，承包人每更换一人次，需支付10000元违约金给发包人，如果擅自更换主要施工管理人员，每更换一人次，承包人需支付5000元违约金给发包人。</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（2）如果承包人未按投标文件中的机械设备投入计划投入机械设备，经监理工程师或发包人代表检查发现的，将书面告知限期整改，未在限期内完成整改的，每延期一天，承包人需支付3000元违约金给发包人。</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（3）如果承包人未投标文件中的人力投入计划投入人力，经监理工程师和发包人代表检查发现的，每发现一次，承包人支付10000元违约金给发包人。</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发包人将发出书面警告，警告发出后15天内，主要工序的工期延误仍然超过10天，发包人将作为不良纪录报区建设行政主管部门备案。对此，承包人不得有异议。</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包人的项目负责人、技术负责人、安全负责人、质量负责人、防火负责人等必须常驻施工现场，且须无条件参加每周的工地例会以及双方约定的其它重要会议，如有缺席，则每人每缺席一次，承包人需支付2000元人民币违约金。</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35.2.6工程转包违约责任：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约定的工程项目承包人不得转包，必须分包的少量子项工程和专业工程，在保证分包人符合相关资质的前提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35.2.7解除合同的违约责任：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因承包人严重违约，发包人单方面解除合同或承包人违约擅自解除合同的，承包人应向发包人支付本合同价款10%的违约金，因解除合同导致发包人的损失超过违约金的部分，承包人还应承担赔偿责任。</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35.2.8办理结算的违约责任：</w:t>
      </w:r>
    </w:p>
    <w:p>
      <w:pPr>
        <w:widowControl/>
        <w:shd w:val="clear"/>
        <w:autoSpaceDN/>
        <w:spacing w:line="56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w:t>
      </w:r>
      <w:r>
        <w:rPr>
          <w:rFonts w:hint="eastAsia" w:ascii="仿宋" w:hAnsi="仿宋" w:eastAsia="仿宋" w:cs="仿宋"/>
          <w:kern w:val="0"/>
          <w:sz w:val="28"/>
          <w:szCs w:val="28"/>
          <w:highlight w:val="none"/>
          <w:lang w:val="en-US" w:eastAsia="zh-CN"/>
        </w:rPr>
        <w:t>不参照</w:t>
      </w:r>
      <w:r>
        <w:rPr>
          <w:rFonts w:hint="eastAsia" w:ascii="仿宋" w:hAnsi="仿宋" w:eastAsia="仿宋" w:cs="仿宋"/>
          <w:b w:val="0"/>
          <w:kern w:val="0"/>
          <w:sz w:val="28"/>
          <w:szCs w:val="28"/>
          <w:highlight w:val="none"/>
        </w:rPr>
        <w:t>《广州开发区政府投资建设项目管理中心施工类（含材料设备采购）合同结算编审指引（试行）》</w:t>
      </w:r>
      <w:r>
        <w:rPr>
          <w:rFonts w:hint="eastAsia" w:ascii="仿宋" w:hAnsi="仿宋" w:eastAsia="仿宋" w:cs="仿宋"/>
          <w:kern w:val="0"/>
          <w:sz w:val="28"/>
          <w:szCs w:val="28"/>
          <w:highlight w:val="none"/>
        </w:rPr>
        <w:t>有关规定的，须按广清产业园管委会相关程序办理</w:t>
      </w:r>
      <w:r>
        <w:rPr>
          <w:rFonts w:hint="eastAsia" w:ascii="仿宋" w:hAnsi="仿宋" w:eastAsia="仿宋" w:cs="仿宋"/>
          <w:kern w:val="0"/>
          <w:sz w:val="28"/>
          <w:szCs w:val="28"/>
          <w:highlight w:val="none"/>
          <w:lang w:val="en-US" w:eastAsia="zh-CN"/>
        </w:rPr>
        <w:t>并</w:t>
      </w:r>
      <w:r>
        <w:rPr>
          <w:rFonts w:hint="eastAsia" w:ascii="仿宋" w:hAnsi="仿宋" w:eastAsia="仿宋" w:cs="仿宋"/>
          <w:kern w:val="0"/>
          <w:sz w:val="28"/>
          <w:szCs w:val="28"/>
          <w:highlight w:val="none"/>
        </w:rPr>
        <w:t>承担违约责任。</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35.2.9除上述违约责任外，因承包人履行本合同不符合约定或相关规定，发包人可根据实际情况，给予承包人通报批评及作不良记录等处罚措施；情节严重的，可报请上级行政主管部门给予相应处罚。</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18" w:name="_Toc12155"/>
      <w:bookmarkStart w:id="319" w:name="_Toc29215"/>
      <w:r>
        <w:rPr>
          <w:rFonts w:hint="eastAsia" w:ascii="仿宋" w:hAnsi="仿宋" w:eastAsia="仿宋" w:cs="仿宋"/>
          <w:b/>
          <w:bCs/>
          <w:kern w:val="0"/>
          <w:sz w:val="28"/>
          <w:szCs w:val="28"/>
          <w:highlight w:val="none"/>
        </w:rPr>
        <w:t>37、</w:t>
      </w:r>
      <w:r>
        <w:rPr>
          <w:rFonts w:hint="eastAsia" w:ascii="仿宋" w:hAnsi="仿宋" w:eastAsia="仿宋" w:cs="仿宋"/>
          <w:b/>
          <w:sz w:val="28"/>
          <w:szCs w:val="28"/>
          <w:highlight w:val="none"/>
        </w:rPr>
        <w:t>争议</w:t>
      </w:r>
      <w:bookmarkEnd w:id="318"/>
      <w:bookmarkEnd w:id="319"/>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37.1双方约定，在履行合同过程中产生争议时：</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（1）由双方协商解决；</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（2）协商不成的，向</w:t>
      </w:r>
      <w:r>
        <w:rPr>
          <w:rFonts w:hint="eastAsia" w:ascii="仿宋" w:hAnsi="仿宋" w:eastAsia="仿宋" w:cs="仿宋"/>
          <w:kern w:val="0"/>
          <w:sz w:val="28"/>
          <w:szCs w:val="28"/>
          <w:highlight w:val="none"/>
          <w:u w:val="single"/>
        </w:rPr>
        <w:t>工程所在地</w:t>
      </w:r>
      <w:r>
        <w:rPr>
          <w:rFonts w:hint="eastAsia" w:ascii="仿宋" w:hAnsi="仿宋" w:eastAsia="仿宋" w:cs="仿宋"/>
          <w:kern w:val="0"/>
          <w:sz w:val="28"/>
          <w:szCs w:val="28"/>
          <w:highlight w:val="none"/>
        </w:rPr>
        <w:t>人民法院提起诉讼。</w:t>
      </w:r>
    </w:p>
    <w:p>
      <w:pPr>
        <w:shd w:val="clear"/>
        <w:spacing w:line="360" w:lineRule="auto"/>
        <w:ind w:firstLine="481" w:firstLineChars="171"/>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十一、</w:t>
      </w:r>
      <w:r>
        <w:rPr>
          <w:rFonts w:hint="eastAsia" w:ascii="仿宋" w:hAnsi="仿宋" w:eastAsia="仿宋" w:cs="仿宋"/>
          <w:b/>
          <w:bCs/>
          <w:sz w:val="28"/>
          <w:szCs w:val="28"/>
          <w:highlight w:val="none"/>
        </w:rPr>
        <w:t>其他</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20" w:name="_Toc16778"/>
      <w:bookmarkStart w:id="321" w:name="_Toc13023"/>
      <w:r>
        <w:rPr>
          <w:rFonts w:hint="eastAsia" w:ascii="仿宋" w:hAnsi="仿宋" w:eastAsia="仿宋" w:cs="仿宋"/>
          <w:b/>
          <w:bCs/>
          <w:kern w:val="0"/>
          <w:sz w:val="28"/>
          <w:szCs w:val="28"/>
          <w:highlight w:val="none"/>
        </w:rPr>
        <w:t>38、工程分包</w:t>
      </w:r>
      <w:bookmarkEnd w:id="320"/>
      <w:bookmarkEnd w:id="321"/>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38.1本工程发包人同意承包人分包的工程：</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分包施工单位为：</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22" w:name="_Toc29708"/>
      <w:bookmarkStart w:id="323" w:name="_Toc29143"/>
      <w:r>
        <w:rPr>
          <w:rFonts w:hint="eastAsia" w:ascii="仿宋" w:hAnsi="仿宋" w:eastAsia="仿宋" w:cs="仿宋"/>
          <w:b/>
          <w:bCs/>
          <w:kern w:val="0"/>
          <w:sz w:val="28"/>
          <w:szCs w:val="28"/>
          <w:highlight w:val="none"/>
        </w:rPr>
        <w:t>39、</w:t>
      </w:r>
      <w:r>
        <w:rPr>
          <w:rFonts w:hint="eastAsia" w:ascii="仿宋" w:hAnsi="仿宋" w:eastAsia="仿宋" w:cs="仿宋"/>
          <w:b/>
          <w:sz w:val="28"/>
          <w:szCs w:val="28"/>
          <w:highlight w:val="none"/>
        </w:rPr>
        <w:t>不可抗力</w:t>
      </w:r>
      <w:bookmarkEnd w:id="322"/>
      <w:bookmarkEnd w:id="323"/>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39.1双方关于不可抗力的约定：按本合同通用条款执行，自然灾害的范围及其认定方式，按下述约定执行：</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u w:val="single"/>
        </w:rPr>
        <w:t>里氏5级（含本数）以上地震</w:t>
      </w:r>
      <w:r>
        <w:rPr>
          <w:rFonts w:hint="eastAsia" w:ascii="仿宋" w:hAnsi="仿宋" w:eastAsia="仿宋" w:cs="仿宋"/>
          <w:kern w:val="0"/>
          <w:sz w:val="28"/>
          <w:szCs w:val="28"/>
          <w:highlight w:val="none"/>
        </w:rPr>
        <w:t>。</w:t>
      </w:r>
    </w:p>
    <w:p>
      <w:pPr>
        <w:widowControl/>
        <w:shd w:val="clear"/>
        <w:autoSpaceDN w:val="0"/>
        <w:spacing w:line="360" w:lineRule="auto"/>
        <w:ind w:firstLine="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39.3双方关于不可抗力事件导致的费用承担</w:t>
      </w:r>
      <w:r>
        <w:rPr>
          <w:rFonts w:hint="eastAsia" w:ascii="仿宋" w:hAnsi="仿宋" w:eastAsia="仿宋" w:cs="仿宋"/>
          <w:kern w:val="0"/>
          <w:sz w:val="28"/>
          <w:szCs w:val="28"/>
          <w:highlight w:val="none"/>
          <w:u w:val="single"/>
        </w:rPr>
        <w:t>按本专用条款12.3款约定</w:t>
      </w:r>
      <w:r>
        <w:rPr>
          <w:rFonts w:hint="eastAsia" w:ascii="仿宋" w:hAnsi="仿宋" w:eastAsia="仿宋" w:cs="仿宋"/>
          <w:kern w:val="0"/>
          <w:sz w:val="28"/>
          <w:szCs w:val="28"/>
          <w:highlight w:val="none"/>
        </w:rPr>
        <w:t>执行。</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24" w:name="_Toc9830"/>
      <w:bookmarkStart w:id="325" w:name="_Toc32503"/>
      <w:r>
        <w:rPr>
          <w:rFonts w:hint="eastAsia" w:ascii="仿宋" w:hAnsi="仿宋" w:eastAsia="仿宋" w:cs="仿宋"/>
          <w:b/>
          <w:bCs/>
          <w:kern w:val="0"/>
          <w:sz w:val="28"/>
          <w:szCs w:val="28"/>
          <w:highlight w:val="none"/>
        </w:rPr>
        <w:t>40、</w:t>
      </w:r>
      <w:r>
        <w:rPr>
          <w:rFonts w:hint="eastAsia" w:ascii="仿宋" w:hAnsi="仿宋" w:eastAsia="仿宋" w:cs="仿宋"/>
          <w:b/>
          <w:sz w:val="28"/>
          <w:szCs w:val="28"/>
          <w:highlight w:val="none"/>
        </w:rPr>
        <w:t>保险</w:t>
      </w:r>
      <w:bookmarkEnd w:id="324"/>
      <w:bookmarkEnd w:id="325"/>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40.2承包人对其运至施工场地内用于工程的材料和待安装设备办理保险并支付保险费用，相关保险费用包含于承包总价款。</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40.6本工程双方约定投保内容如下：</w:t>
      </w:r>
    </w:p>
    <w:p>
      <w:pPr>
        <w:widowControl/>
        <w:shd w:val="clear"/>
        <w:autoSpaceDN w:val="0"/>
        <w:spacing w:line="360" w:lineRule="auto"/>
        <w:ind w:left="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（1）发包人投保内容：</w:t>
      </w:r>
      <w:r>
        <w:rPr>
          <w:rFonts w:hint="eastAsia" w:ascii="仿宋" w:hAnsi="仿宋" w:eastAsia="仿宋" w:cs="仿宋"/>
          <w:kern w:val="0"/>
          <w:sz w:val="28"/>
          <w:szCs w:val="28"/>
          <w:highlight w:val="none"/>
          <w:u w:val="single"/>
        </w:rPr>
        <w:t>按清远市建设项目劳动保险相关规定投保</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发包人委托承包人办理的保险事项：</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pPr>
        <w:widowControl/>
        <w:shd w:val="clear"/>
        <w:autoSpaceDN w:val="0"/>
        <w:spacing w:line="360" w:lineRule="auto"/>
        <w:ind w:left="397"/>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（2）承包人投保内容：</w:t>
      </w:r>
      <w:r>
        <w:rPr>
          <w:rFonts w:hint="eastAsia" w:ascii="仿宋" w:hAnsi="仿宋" w:eastAsia="仿宋" w:cs="仿宋"/>
          <w:kern w:val="0"/>
          <w:sz w:val="28"/>
          <w:szCs w:val="28"/>
          <w:highlight w:val="none"/>
          <w:u w:val="single"/>
        </w:rPr>
        <w:t>按政府规定办理，其它保险项目由承包人自定</w:t>
      </w:r>
      <w:r>
        <w:rPr>
          <w:rFonts w:hint="eastAsia" w:ascii="仿宋" w:hAnsi="仿宋" w:eastAsia="仿宋" w:cs="仿宋"/>
          <w:kern w:val="0"/>
          <w:sz w:val="28"/>
          <w:szCs w:val="28"/>
          <w:highlight w:val="none"/>
        </w:rPr>
        <w:t>。</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26" w:name="_Toc26088"/>
      <w:bookmarkStart w:id="327" w:name="_Toc20590"/>
      <w:r>
        <w:rPr>
          <w:rFonts w:hint="eastAsia" w:ascii="仿宋" w:hAnsi="仿宋" w:eastAsia="仿宋" w:cs="仿宋"/>
          <w:b/>
          <w:bCs/>
          <w:kern w:val="0"/>
          <w:sz w:val="28"/>
          <w:szCs w:val="28"/>
          <w:highlight w:val="none"/>
        </w:rPr>
        <w:t>41、担保</w:t>
      </w:r>
      <w:bookmarkEnd w:id="326"/>
      <w:bookmarkEnd w:id="327"/>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41.1本工程双方约定担保事项如下：</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（1）承包人向发包人提供履约担保，担保方式为：</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，担保合同作为本合同附件。</w:t>
      </w:r>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（2）承包人按如下方式向发包人提供履约担保：</w:t>
      </w:r>
    </w:p>
    <w:p>
      <w:pPr>
        <w:widowControl/>
        <w:shd w:val="clear"/>
        <w:autoSpaceDN w:val="0"/>
        <w:spacing w:line="360" w:lineRule="auto"/>
        <w:ind w:firstLine="48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履约担保：承包人向发包人提交担保金额为中标价10%的履约担保，以银行保函/担保公司担保/建设工程履约保证保险提交。（履约担保在签定合同时提供，如采用担保公司担保时担保公司不得要求提供反担保，否则由中标人承担所有责任）</w:t>
      </w:r>
    </w:p>
    <w:p>
      <w:pPr>
        <w:widowControl/>
        <w:shd w:val="clear"/>
        <w:autoSpaceDN w:val="0"/>
        <w:spacing w:line="360" w:lineRule="auto"/>
        <w:ind w:firstLine="397"/>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履约担保为金融机构保的，须中华人民共和国境内的金融机构开具的无条件、不可撤销的保函，保函有效期至工程竣工验收合格之日。履约保函到期但工程尚未竣工的，承包人应自觉办理保函延期手续，确保担保期限不出现空缺，否则，发包人不予支付工程款。</w:t>
      </w:r>
    </w:p>
    <w:p>
      <w:pPr>
        <w:widowControl/>
        <w:shd w:val="clear"/>
        <w:autoSpaceDN w:val="0"/>
        <w:spacing w:line="360" w:lineRule="auto"/>
        <w:ind w:firstLine="397"/>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保函的管理和格式按《广州（清远）产业转移工业园政府投资建设项目管理中心建设工程保函管理细则》执行。履约保函格式详见《附件》。</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28" w:name="_Toc11449"/>
      <w:bookmarkStart w:id="329" w:name="_Toc18205"/>
      <w:r>
        <w:rPr>
          <w:rFonts w:hint="eastAsia" w:ascii="仿宋" w:hAnsi="仿宋" w:eastAsia="仿宋" w:cs="仿宋"/>
          <w:b/>
          <w:bCs/>
          <w:kern w:val="0"/>
          <w:sz w:val="28"/>
          <w:szCs w:val="28"/>
          <w:highlight w:val="none"/>
        </w:rPr>
        <w:t>46、合同份数</w:t>
      </w:r>
      <w:bookmarkEnd w:id="328"/>
      <w:bookmarkEnd w:id="329"/>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46.1按本合同第一部分协议书第七条规定的合同份数为准。</w:t>
      </w:r>
    </w:p>
    <w:p>
      <w:pPr>
        <w:shd w:val="clear"/>
        <w:spacing w:line="360" w:lineRule="auto"/>
        <w:ind w:firstLine="481" w:firstLineChars="171"/>
        <w:outlineLvl w:val="2"/>
        <w:rPr>
          <w:rFonts w:hint="eastAsia" w:ascii="仿宋" w:hAnsi="仿宋" w:eastAsia="仿宋" w:cs="仿宋"/>
          <w:b/>
          <w:bCs/>
          <w:kern w:val="0"/>
          <w:sz w:val="28"/>
          <w:szCs w:val="28"/>
          <w:highlight w:val="none"/>
        </w:rPr>
      </w:pPr>
      <w:bookmarkStart w:id="330" w:name="_Toc6656"/>
      <w:bookmarkStart w:id="331" w:name="_Toc13366"/>
      <w:r>
        <w:rPr>
          <w:rFonts w:hint="eastAsia" w:ascii="仿宋" w:hAnsi="仿宋" w:eastAsia="仿宋" w:cs="仿宋"/>
          <w:b/>
          <w:bCs/>
          <w:kern w:val="0"/>
          <w:sz w:val="28"/>
          <w:szCs w:val="28"/>
          <w:highlight w:val="none"/>
        </w:rPr>
        <w:t>47、</w:t>
      </w:r>
      <w:r>
        <w:rPr>
          <w:rFonts w:hint="eastAsia" w:ascii="仿宋" w:hAnsi="仿宋" w:eastAsia="仿宋" w:cs="仿宋"/>
          <w:b/>
          <w:sz w:val="28"/>
          <w:szCs w:val="28"/>
          <w:highlight w:val="none"/>
        </w:rPr>
        <w:t>补充</w:t>
      </w:r>
      <w:r>
        <w:rPr>
          <w:rFonts w:hint="eastAsia" w:ascii="仿宋" w:hAnsi="仿宋" w:eastAsia="仿宋" w:cs="仿宋"/>
          <w:b/>
          <w:bCs/>
          <w:kern w:val="0"/>
          <w:sz w:val="28"/>
          <w:szCs w:val="28"/>
          <w:highlight w:val="none"/>
        </w:rPr>
        <w:t>条款</w:t>
      </w:r>
      <w:bookmarkEnd w:id="330"/>
      <w:bookmarkEnd w:id="331"/>
    </w:p>
    <w:p>
      <w:pPr>
        <w:widowControl/>
        <w:shd w:val="clear"/>
        <w:autoSpaceDN w:val="0"/>
        <w:spacing w:line="360" w:lineRule="auto"/>
        <w:ind w:firstLine="397"/>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（安全、文明、科学、规范的施工要求）</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47.1</w:t>
      </w:r>
      <w:r>
        <w:rPr>
          <w:rFonts w:hint="eastAsia" w:ascii="仿宋" w:hAnsi="仿宋" w:eastAsia="仿宋" w:cs="仿宋"/>
          <w:kern w:val="0"/>
          <w:sz w:val="28"/>
          <w:szCs w:val="28"/>
          <w:highlight w:val="none"/>
          <w:u w:val="single"/>
        </w:rPr>
        <w:t>承包人在开工前，必须按照广州市、清远市、广州（清远）产业转移工业园管理委员会有关要求办理好相应的施工手续方可开工</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47.2</w:t>
      </w:r>
      <w:r>
        <w:rPr>
          <w:rFonts w:hint="eastAsia" w:ascii="仿宋" w:hAnsi="仿宋" w:eastAsia="仿宋" w:cs="仿宋"/>
          <w:kern w:val="0"/>
          <w:sz w:val="28"/>
          <w:szCs w:val="28"/>
          <w:highlight w:val="none"/>
          <w:u w:val="single"/>
        </w:rPr>
        <w:t>施工范围的具体位置及可交付承包人施工安排的用地范围，由承包人根据现场勘察情况报发包人同意确定，建筑轴线控制基点由承包人联系规划局提供</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47.3</w:t>
      </w:r>
      <w:r>
        <w:rPr>
          <w:rFonts w:hint="eastAsia" w:ascii="仿宋" w:hAnsi="仿宋" w:eastAsia="仿宋" w:cs="仿宋"/>
          <w:kern w:val="0"/>
          <w:sz w:val="28"/>
          <w:szCs w:val="28"/>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47.4</w:t>
      </w:r>
      <w:r>
        <w:rPr>
          <w:rFonts w:hint="eastAsia" w:ascii="仿宋" w:hAnsi="仿宋" w:eastAsia="仿宋" w:cs="仿宋"/>
          <w:kern w:val="0"/>
          <w:sz w:val="28"/>
          <w:szCs w:val="28"/>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47.5</w:t>
      </w:r>
      <w:r>
        <w:rPr>
          <w:rFonts w:hint="eastAsia" w:ascii="仿宋" w:hAnsi="仿宋" w:eastAsia="仿宋" w:cs="仿宋"/>
          <w:kern w:val="0"/>
          <w:sz w:val="28"/>
          <w:szCs w:val="28"/>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47.6</w:t>
      </w:r>
      <w:r>
        <w:rPr>
          <w:rFonts w:hint="eastAsia" w:ascii="仿宋" w:hAnsi="仿宋" w:eastAsia="仿宋" w:cs="仿宋"/>
          <w:kern w:val="0"/>
          <w:sz w:val="28"/>
          <w:szCs w:val="28"/>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47.7</w:t>
      </w:r>
      <w:r>
        <w:rPr>
          <w:rFonts w:hint="eastAsia" w:ascii="仿宋" w:hAnsi="仿宋" w:eastAsia="仿宋" w:cs="仿宋"/>
          <w:kern w:val="0"/>
          <w:sz w:val="28"/>
          <w:szCs w:val="28"/>
          <w:highlight w:val="none"/>
          <w:u w:val="single"/>
        </w:rPr>
        <w:t>场内土方开挖时，承包人向发包人书面申请，并按发包人的书面批复进行调配平衡，不得任意处置，多余土方需要依据当地政府相关规定处理，承包人无偿安排外运，竣工退场时必须清理施工现场，并达到发包人要求；若承包人未及时外运，则由发包人另行委托其他单位外运，所需费用从承包人工程款中扣付</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47.8</w:t>
      </w:r>
      <w:r>
        <w:rPr>
          <w:rFonts w:hint="eastAsia" w:ascii="仿宋" w:hAnsi="仿宋" w:eastAsia="仿宋" w:cs="仿宋"/>
          <w:kern w:val="0"/>
          <w:sz w:val="28"/>
          <w:szCs w:val="28"/>
          <w:highlight w:val="none"/>
          <w:u w:val="single"/>
        </w:rPr>
        <w:t>若遇阻碍施工需拆迁的旧建（构）筑物、地下孤石等障碍物，由承包人自行解决，所需清障费用经监理、发包人现场签证调整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47.9</w:t>
      </w:r>
      <w:r>
        <w:rPr>
          <w:rFonts w:hint="eastAsia" w:ascii="仿宋" w:hAnsi="仿宋" w:eastAsia="仿宋" w:cs="仿宋"/>
          <w:kern w:val="0"/>
          <w:sz w:val="28"/>
          <w:szCs w:val="28"/>
          <w:highlight w:val="none"/>
          <w:u w:val="single"/>
        </w:rPr>
        <w:t>在工程完成初验及工程实物移交给发包人有关的接收单位或部门后一个月内，承包人必须拆除本工程全部的施工临时设施，做到工完场清；否则，发包人有权安排清拆，由此所发生的一切费用在承包人的结算工程款中扣除</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47.10</w:t>
      </w:r>
      <w:r>
        <w:rPr>
          <w:rFonts w:hint="eastAsia" w:ascii="仿宋" w:hAnsi="仿宋" w:eastAsia="仿宋" w:cs="仿宋"/>
          <w:kern w:val="0"/>
          <w:sz w:val="28"/>
          <w:szCs w:val="28"/>
          <w:highlight w:val="none"/>
          <w:u w:val="single"/>
        </w:rPr>
        <w:t>双方根据国家有关规定，结合具体工程约定质量缺陷责任期如下</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u w:val="single"/>
        </w:rPr>
        <w:t>基础设施工程、房屋建筑的地基基础工程和主体结构工程为2年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u w:val="single"/>
        </w:rPr>
        <w:t>屋面防水工程为 2 年，室外装饰工程为 2 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w:t>
      </w:r>
      <w:r>
        <w:rPr>
          <w:rFonts w:hint="eastAsia" w:ascii="仿宋" w:hAnsi="仿宋" w:eastAsia="仿宋" w:cs="仿宋"/>
          <w:kern w:val="0"/>
          <w:sz w:val="28"/>
          <w:szCs w:val="28"/>
          <w:highlight w:val="none"/>
          <w:u w:val="single"/>
        </w:rPr>
        <w:t>电力管线、上下水管线安装工程为 2 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u w:val="single"/>
        </w:rPr>
        <w:t>供热及供冷为2个采暖期及供冷期</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5、</w:t>
      </w:r>
      <w:r>
        <w:rPr>
          <w:rFonts w:hint="eastAsia" w:ascii="仿宋" w:hAnsi="仿宋" w:eastAsia="仿宋" w:cs="仿宋"/>
          <w:kern w:val="0"/>
          <w:sz w:val="28"/>
          <w:szCs w:val="28"/>
          <w:highlight w:val="none"/>
          <w:u w:val="single"/>
        </w:rPr>
        <w:t>室外的上下水和小区道路等市政公用工程为2 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6、</w:t>
      </w:r>
      <w:r>
        <w:rPr>
          <w:rFonts w:hint="eastAsia" w:ascii="仿宋" w:hAnsi="仿宋" w:eastAsia="仿宋" w:cs="仿宋"/>
          <w:kern w:val="0"/>
          <w:sz w:val="28"/>
          <w:szCs w:val="28"/>
          <w:highlight w:val="none"/>
          <w:u w:val="single"/>
        </w:rPr>
        <w:t>市政道路排水工程为 2 年，市政供水工程为 2 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7、</w:t>
      </w:r>
      <w:r>
        <w:rPr>
          <w:rFonts w:hint="eastAsia" w:ascii="仿宋" w:hAnsi="仿宋" w:eastAsia="仿宋" w:cs="仿宋"/>
          <w:kern w:val="0"/>
          <w:sz w:val="28"/>
          <w:szCs w:val="28"/>
          <w:highlight w:val="none"/>
          <w:u w:val="single"/>
        </w:rPr>
        <w:t>市政供电工程为2 年，市政道路照明工程 2 年，市政交通设施工程为 2 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8、</w:t>
      </w:r>
      <w:r>
        <w:rPr>
          <w:rFonts w:hint="eastAsia" w:ascii="仿宋" w:hAnsi="仿宋" w:eastAsia="仿宋" w:cs="仿宋"/>
          <w:kern w:val="0"/>
          <w:sz w:val="28"/>
          <w:szCs w:val="28"/>
          <w:highlight w:val="none"/>
          <w:u w:val="single"/>
        </w:rPr>
        <w:t>园林建筑工程为1年，喷淋工程为2年，胸径15cm以内（含15cm）的苗木养护期为3个月，胸径15cm以上的苗木养护期为1年</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9、</w:t>
      </w:r>
      <w:r>
        <w:rPr>
          <w:rFonts w:hint="eastAsia" w:ascii="仿宋" w:hAnsi="仿宋" w:eastAsia="仿宋" w:cs="仿宋"/>
          <w:kern w:val="0"/>
          <w:sz w:val="28"/>
          <w:szCs w:val="28"/>
          <w:highlight w:val="none"/>
          <w:u w:val="single"/>
        </w:rPr>
        <w:t>除上述专业工程外其它工程的质量缺陷责任期按相关规定或经双方另行协商确定</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本工程质量缺陷责任期从产业园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47.11</w:t>
      </w:r>
      <w:r>
        <w:rPr>
          <w:rFonts w:hint="eastAsia" w:ascii="仿宋" w:hAnsi="仿宋" w:eastAsia="仿宋" w:cs="仿宋"/>
          <w:kern w:val="0"/>
          <w:sz w:val="28"/>
          <w:szCs w:val="28"/>
          <w:highlight w:val="none"/>
          <w:u w:val="single"/>
        </w:rPr>
        <w:t>本工程的保修期按本合同《工程质量保修责任书》规定的保修期限实行。在保修期内因施工质量而造成返修，其费用由承包人负责。工程质量按建筑工程现行验评标准组织验收认定</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w:t>
      </w:r>
      <w:r>
        <w:rPr>
          <w:rFonts w:hint="eastAsia" w:ascii="仿宋" w:hAnsi="仿宋" w:eastAsia="仿宋" w:cs="仿宋"/>
          <w:b/>
          <w:bCs/>
          <w:kern w:val="0"/>
          <w:sz w:val="28"/>
          <w:szCs w:val="28"/>
          <w:highlight w:val="none"/>
        </w:rPr>
        <w:t>农民工佣工要求</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47.13</w:t>
      </w:r>
      <w:r>
        <w:rPr>
          <w:rFonts w:hint="eastAsia" w:ascii="仿宋" w:hAnsi="仿宋" w:eastAsia="仿宋" w:cs="仿宋"/>
          <w:kern w:val="0"/>
          <w:sz w:val="28"/>
          <w:szCs w:val="28"/>
          <w:highlight w:val="none"/>
          <w:u w:val="single"/>
        </w:rPr>
        <w:t>承包人必须严格执行《清远市建设领域工人工资支付管理暂行办法》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47.14</w:t>
      </w:r>
      <w:r>
        <w:rPr>
          <w:rFonts w:hint="eastAsia" w:ascii="仿宋" w:hAnsi="仿宋" w:eastAsia="仿宋" w:cs="仿宋"/>
          <w:kern w:val="0"/>
          <w:sz w:val="28"/>
          <w:szCs w:val="28"/>
          <w:highlight w:val="none"/>
          <w:u w:val="single"/>
        </w:rPr>
        <w:t>承包人必须严格执行清远市人力资源和社会保障局《清远市建设领域工人工资支付管理暂行办法》的有关规定（包括但不限于）：必须向区劳动保障部门申报用工人数、工资支付制度、工程规模等情况</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47.15</w:t>
      </w:r>
      <w:r>
        <w:rPr>
          <w:rFonts w:hint="eastAsia" w:ascii="仿宋" w:hAnsi="仿宋" w:eastAsia="仿宋" w:cs="仿宋"/>
          <w:kern w:val="0"/>
          <w:sz w:val="28"/>
          <w:szCs w:val="28"/>
          <w:highlight w:val="none"/>
          <w:u w:val="single"/>
        </w:rPr>
        <w:t>若承包人在本工程内发生无故拖欠农民工工资现象，将被作不良记录，上报区建设行政主管部门</w:t>
      </w:r>
      <w:r>
        <w:rPr>
          <w:rFonts w:hint="eastAsia" w:ascii="仿宋" w:hAnsi="仿宋" w:eastAsia="仿宋" w:cs="仿宋"/>
          <w:kern w:val="0"/>
          <w:sz w:val="28"/>
          <w:szCs w:val="28"/>
          <w:highlight w:val="none"/>
        </w:rPr>
        <w:t>。</w:t>
      </w:r>
    </w:p>
    <w:p>
      <w:pPr>
        <w:widowControl/>
        <w:shd w:val="clear"/>
        <w:autoSpaceDN w:val="0"/>
        <w:snapToGrid w:val="0"/>
        <w:spacing w:line="360" w:lineRule="auto"/>
        <w:ind w:firstLine="420"/>
        <w:jc w:val="left"/>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47.16工人工资支付保证金按《关于广州（清远）产业转移工业园建设领域工人工资支付保证金管理办法（试行）》（广清管【2015】9号）规定执行。投标人如不按规定缴纳保证金，发包人有权不予支付工程款且不承担任何法律责任。</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b/>
          <w:bCs/>
          <w:kern w:val="0"/>
          <w:sz w:val="28"/>
          <w:szCs w:val="28"/>
          <w:highlight w:val="none"/>
        </w:rPr>
        <w:t>项目管理机构人员、机械设备、劳动力到位方面的要求</w:t>
      </w:r>
      <w:r>
        <w:rPr>
          <w:rFonts w:hint="eastAsia" w:ascii="仿宋" w:hAnsi="仿宋" w:eastAsia="仿宋" w:cs="仿宋"/>
          <w:kern w:val="0"/>
          <w:sz w:val="28"/>
          <w:szCs w:val="28"/>
          <w:highlight w:val="none"/>
        </w:rPr>
        <w:t>）</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47.17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47.18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47.19现场施工时，施工员（技术员）不在施工现场不得施工，否则发包人可随时要求停工，工期延误由承包人负责。</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47.20承包人派往现场的管理人员若因不负责任、或玩忽职守、或严重失职等给发包人造成经济损失，承包人承担相应的经济责任和连带法律责任。</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b/>
          <w:bCs/>
          <w:kern w:val="0"/>
          <w:sz w:val="28"/>
          <w:szCs w:val="28"/>
          <w:highlight w:val="none"/>
        </w:rPr>
        <w:t>投标报价及造价承包和变更结算方式的要求</w:t>
      </w:r>
      <w:r>
        <w:rPr>
          <w:rFonts w:hint="eastAsia" w:ascii="仿宋" w:hAnsi="仿宋" w:eastAsia="仿宋" w:cs="仿宋"/>
          <w:kern w:val="0"/>
          <w:sz w:val="28"/>
          <w:szCs w:val="28"/>
          <w:highlight w:val="none"/>
        </w:rPr>
        <w:t>）</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47.21工程量清单报价中有关问题的说明：</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① 工程量清单中的标志杆基础中的土方开挖、运输、外运等费用包含在相应项目中，不包含在土石方工程的相关项目中；</w:t>
      </w:r>
    </w:p>
    <w:p>
      <w:pPr>
        <w:widowControl/>
        <w:shd w:val="clear"/>
        <w:autoSpaceDN w:val="0"/>
        <w:spacing w:line="360" w:lineRule="auto"/>
        <w:ind w:firstLine="480"/>
        <w:rPr>
          <w:rFonts w:hint="eastAsia" w:ascii="仿宋" w:hAnsi="仿宋" w:eastAsia="仿宋" w:cs="仿宋"/>
          <w:i/>
          <w:iCs/>
          <w:kern w:val="0"/>
          <w:sz w:val="28"/>
          <w:szCs w:val="28"/>
          <w:highlight w:val="none"/>
        </w:rPr>
      </w:pPr>
      <w:r>
        <w:rPr>
          <w:rFonts w:hint="eastAsia" w:ascii="仿宋" w:hAnsi="仿宋" w:eastAsia="仿宋" w:cs="仿宋"/>
          <w:kern w:val="0"/>
          <w:sz w:val="28"/>
          <w:szCs w:val="28"/>
          <w:highlight w:val="none"/>
        </w:rPr>
        <w:t>② 投标时,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投标时，土方取土（借土）距离暂按15km考虑，超过15km按15km计算，并包含土方资源费、取土点土方开挖、取土点装土、运输、临时堆放、回填、平整压实等费用，结算时按招标人确认的实际运距计算,实际运距超过15公里时按15公里包干,取土（借土）的土方单价按定额计算。</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④</w:t>
      </w:r>
      <w:r>
        <w:rPr>
          <w:rFonts w:hint="eastAsia" w:ascii="仿宋" w:hAnsi="仿宋" w:eastAsia="仿宋" w:cs="仿宋"/>
          <w:kern w:val="0"/>
          <w:sz w:val="28"/>
          <w:szCs w:val="28"/>
          <w:highlight w:val="none"/>
        </w:rPr>
        <w:t>工程量清单中措施项目清单费计价表中的安全防护，文明施工措施费执行《清远市建设工程安全防护、文明施工措施费管理办法》的通知》（清建[2006]97号），安全防护，文明施工措施费</w:t>
      </w:r>
      <w:r>
        <w:rPr>
          <w:rFonts w:hint="eastAsia" w:ascii="仿宋" w:hAnsi="仿宋" w:eastAsia="仿宋" w:cs="仿宋"/>
          <w:kern w:val="0"/>
          <w:sz w:val="28"/>
          <w:szCs w:val="28"/>
          <w:highlight w:val="none"/>
          <w:lang w:val="en-US" w:eastAsia="zh-CN"/>
        </w:rPr>
        <w:t>按</w:t>
      </w:r>
      <w:r>
        <w:rPr>
          <w:rFonts w:hint="eastAsia" w:ascii="仿宋" w:hAnsi="仿宋" w:eastAsia="仿宋" w:cs="仿宋"/>
          <w:b/>
          <w:bCs/>
          <w:kern w:val="0"/>
          <w:sz w:val="28"/>
          <w:szCs w:val="28"/>
          <w:highlight w:val="none"/>
        </w:rPr>
        <w:t>广州（清远）产业转移工业园财政投资评审中心审定</w:t>
      </w:r>
      <w:r>
        <w:rPr>
          <w:rFonts w:hint="eastAsia" w:ascii="仿宋" w:hAnsi="仿宋" w:eastAsia="仿宋" w:cs="仿宋"/>
          <w:b/>
          <w:bCs/>
          <w:kern w:val="0"/>
          <w:sz w:val="28"/>
          <w:szCs w:val="28"/>
          <w:highlight w:val="none"/>
          <w:lang w:val="en-US" w:eastAsia="zh-CN"/>
        </w:rPr>
        <w:t>的施工图措施项目费包干</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专款专用。</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47.22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47.23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47.24在整个合同执行期间发包人如发现有不合理投标报价的，发包人有权按有关规定和合同约定进行调整，并将书面通知承包人，并以此作为结算依据。</w:t>
      </w:r>
    </w:p>
    <w:p>
      <w:pPr>
        <w:widowControl/>
        <w:shd w:val="clear"/>
        <w:autoSpaceDN w:val="0"/>
        <w:spacing w:line="360" w:lineRule="auto"/>
        <w:ind w:firstLine="480"/>
        <w:rPr>
          <w:rFonts w:hint="eastAsia" w:ascii="仿宋" w:hAnsi="仿宋" w:eastAsia="仿宋" w:cs="仿宋"/>
          <w:b/>
          <w:bCs/>
          <w:kern w:val="0"/>
          <w:sz w:val="28"/>
          <w:szCs w:val="28"/>
          <w:highlight w:val="none"/>
          <w:u w:val="single"/>
        </w:rPr>
      </w:pPr>
      <w:r>
        <w:rPr>
          <w:rFonts w:hint="eastAsia" w:ascii="仿宋" w:hAnsi="仿宋" w:eastAsia="仿宋" w:cs="仿宋"/>
          <w:kern w:val="0"/>
          <w:sz w:val="28"/>
          <w:szCs w:val="28"/>
          <w:highlight w:val="none"/>
        </w:rPr>
        <w:t>47.25</w:t>
      </w:r>
      <w:r>
        <w:rPr>
          <w:rFonts w:hint="eastAsia" w:ascii="仿宋" w:hAnsi="仿宋" w:eastAsia="仿宋" w:cs="仿宋"/>
          <w:b/>
          <w:bCs/>
          <w:kern w:val="0"/>
          <w:sz w:val="28"/>
          <w:szCs w:val="28"/>
          <w:highlight w:val="none"/>
        </w:rPr>
        <w:t>本工程采用的主要材料的档次根据设计需求在设计图纸中说明。所有材料品牌选择均须报发包人、监理工程师确认，且经检验合格后方能使用。</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47.26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47.27在承包人严重违约、不可抗力或政府政策性调整情况下或根据工程实施实际情况，发包人可对本合同承包范围和承包内容进行调整，发包人对承包人的损失不予补偿（本合同其他条款约定可进行造价调整的除外）。</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47.28承包人须按照发包人与监理人签订的委托监理合同接受监理人的全过程监理。</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47.29如广州（清远）产业转移工业园管理委员会对工程竣工验收及备案有相关规定，则本合同执行该规定。</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47.30如果审计机关依法对本工程实施审计，发包人、承包人及监理单位应积极配合，审计机关对本工程结算的认定，具有法定约束力。</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47.31本合同在实施过程中所发生的文件来往，双方不得拒绝签收。如果发生类似事件，发文一方可以监理工程师签收为准，视为送达。</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47.32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47.33在本合同实施过程中所发生的违约金、罚款、扣款等费用，经监理工程师核实并通知承包人后直接作为财务扣款依据（无需承包人签认或同意），可由发包人在履约担保中主张或在工程款中扣除，承包人对此无异议。</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47.34承包人施工过程中不得侵犯他人的专利权或者其他合法权益，否则由承包人承担相关责任，并保证不因该侵权行为影响工程建设。</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47.35承包人与发包人签订合同时所提供的开户银行名称及帐号不得擅自变更，如需变更必须征得发包人的书面同意，否则发包人有权停止工程款的拨付，所造成的一切后果由承包人承担。</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47.36如发包人为本工程的代建单位，则本工程建设业主同时享有本合同项下属发包人的权利，并且合同中约定需发包人审批的事项，必须经建设业主审批同意后方可实施。</w:t>
      </w:r>
    </w:p>
    <w:p>
      <w:pPr>
        <w:widowControl/>
        <w:shd w:val="clear"/>
        <w:autoSpaceDN w:val="0"/>
        <w:spacing w:line="360" w:lineRule="auto"/>
        <w:ind w:firstLine="480"/>
        <w:rPr>
          <w:rFonts w:hint="eastAsia" w:ascii="仿宋" w:hAnsi="仿宋" w:eastAsia="仿宋" w:cs="仿宋"/>
          <w:i/>
          <w:iCs/>
          <w:kern w:val="0"/>
          <w:sz w:val="28"/>
          <w:szCs w:val="28"/>
          <w:highlight w:val="none"/>
        </w:rPr>
      </w:pPr>
      <w:r>
        <w:rPr>
          <w:rFonts w:hint="eastAsia" w:ascii="仿宋" w:hAnsi="仿宋" w:eastAsia="仿宋" w:cs="仿宋"/>
          <w:kern w:val="0"/>
          <w:sz w:val="28"/>
          <w:szCs w:val="28"/>
          <w:highlight w:val="none"/>
        </w:rPr>
        <w:t>47.37《广州开发区政府投资建设项目管理中心绿化景观工程计量管理办法》将作为合同附件，各相关单位须遵照执行。</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47.38工程获得国家、省级、市级所发奖项的，可给予通报表彰，但不给予任何物质奖励。</w:t>
      </w:r>
    </w:p>
    <w:p>
      <w:pPr>
        <w:widowControl/>
        <w:shd w:val="clear"/>
        <w:autoSpaceDN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47.39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widowControl/>
        <w:shd w:val="clear"/>
        <w:autoSpaceDN w:val="0"/>
        <w:spacing w:line="360" w:lineRule="auto"/>
        <w:ind w:firstLine="397"/>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47.40未尽事宜，经双方友好协商解决。</w:t>
      </w:r>
    </w:p>
    <w:p>
      <w:pPr>
        <w:widowControl/>
        <w:shd w:val="clear"/>
        <w:autoSpaceDN w:val="0"/>
        <w:spacing w:line="360" w:lineRule="auto"/>
        <w:ind w:firstLine="480"/>
        <w:jc w:val="center"/>
        <w:outlineLvl w:val="1"/>
        <w:rPr>
          <w:rFonts w:hint="eastAsia" w:ascii="宋体" w:hAnsi="宋体"/>
          <w:b/>
          <w:bCs/>
          <w:kern w:val="0"/>
          <w:sz w:val="32"/>
          <w:szCs w:val="32"/>
          <w:highlight w:val="none"/>
        </w:rPr>
      </w:pPr>
      <w:r>
        <w:rPr>
          <w:rFonts w:hint="eastAsia" w:ascii="宋体" w:hAnsi="宋体"/>
          <w:kern w:val="0"/>
          <w:sz w:val="24"/>
          <w:szCs w:val="24"/>
          <w:highlight w:val="none"/>
        </w:rPr>
        <w:br w:type="page"/>
      </w:r>
      <w:bookmarkStart w:id="332" w:name="_Toc31935"/>
      <w:r>
        <w:rPr>
          <w:rFonts w:hint="eastAsia" w:ascii="宋体" w:hAnsi="宋体"/>
          <w:b/>
          <w:bCs/>
          <w:kern w:val="0"/>
          <w:sz w:val="32"/>
          <w:szCs w:val="32"/>
          <w:highlight w:val="none"/>
        </w:rPr>
        <w:t>第四部分</w:t>
      </w:r>
      <w:r>
        <w:rPr>
          <w:rFonts w:hint="eastAsia" w:ascii="宋体" w:hAnsi="宋体"/>
          <w:b/>
          <w:bCs/>
          <w:kern w:val="0"/>
          <w:sz w:val="32"/>
          <w:szCs w:val="32"/>
          <w:highlight w:val="none"/>
          <w:lang w:val="en-US" w:eastAsia="zh-CN"/>
        </w:rPr>
        <w:t xml:space="preserve"> </w:t>
      </w:r>
      <w:r>
        <w:rPr>
          <w:rFonts w:hint="eastAsia" w:ascii="宋体" w:hAnsi="宋体"/>
          <w:b/>
          <w:bCs/>
          <w:kern w:val="0"/>
          <w:sz w:val="32"/>
          <w:szCs w:val="32"/>
          <w:highlight w:val="none"/>
        </w:rPr>
        <w:t>工程质量保修责任书</w:t>
      </w:r>
      <w:bookmarkEnd w:id="332"/>
    </w:p>
    <w:p>
      <w:pPr>
        <w:widowControl/>
        <w:shd w:val="clear"/>
        <w:autoSpaceDN w:val="0"/>
        <w:spacing w:line="360" w:lineRule="auto"/>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发包人（全称）：</w:t>
      </w:r>
      <w:r>
        <w:rPr>
          <w:rFonts w:hint="eastAsia" w:ascii="仿宋" w:hAnsi="仿宋" w:eastAsia="仿宋" w:cs="仿宋"/>
          <w:kern w:val="0"/>
          <w:sz w:val="28"/>
          <w:szCs w:val="28"/>
          <w:highlight w:val="none"/>
          <w:u w:val="single"/>
        </w:rPr>
        <w:t>广州（清远）产业转移工业园财政投资项目管理中心</w:t>
      </w:r>
    </w:p>
    <w:p>
      <w:pPr>
        <w:widowControl/>
        <w:shd w:val="clear"/>
        <w:autoSpaceDN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承包人（全称）：</w:t>
      </w:r>
      <w:r>
        <w:rPr>
          <w:rFonts w:hint="eastAsia" w:ascii="仿宋" w:hAnsi="仿宋" w:eastAsia="仿宋" w:cs="仿宋"/>
          <w:kern w:val="0"/>
          <w:sz w:val="28"/>
          <w:szCs w:val="28"/>
          <w:highlight w:val="none"/>
          <w:u w:val="single"/>
        </w:rPr>
        <w:t xml:space="preserve">                                              </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为保证</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工程在合理使用期限内正常使用，发包人承包人根据《中华人民共和国建筑法》《建设工程质量管理条例》和《城市道路管理条例》，并参考《房屋建筑工程质量保修办法》，协商一致签订工程质量保修责任书。承包人在质量保修期内按照有关管理规定及双方约定承担本工程质量保修责任。</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工程质量保修范围和内容</w:t>
      </w:r>
    </w:p>
    <w:p>
      <w:pPr>
        <w:widowControl/>
        <w:shd w:val="clear"/>
        <w:autoSpaceDN w:val="0"/>
        <w:spacing w:line="360" w:lineRule="auto"/>
        <w:ind w:firstLine="720"/>
        <w:outlineLvl w:val="9"/>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质量保修范围包括</w:t>
      </w:r>
      <w:r>
        <w:rPr>
          <w:rFonts w:hint="eastAsia" w:ascii="仿宋" w:hAnsi="仿宋" w:eastAsia="仿宋" w:cs="仿宋"/>
          <w:kern w:val="0"/>
          <w:sz w:val="28"/>
          <w:szCs w:val="28"/>
          <w:highlight w:val="none"/>
          <w:u w:val="single"/>
        </w:rPr>
        <w:t xml:space="preserve">                    工程施工总承包工程的地基基础工程、主体结构工程、道路工程、排水工程、交通工程、照明工程、绿化工程等以及双方约定其他项目。</w:t>
      </w:r>
      <w:r>
        <w:rPr>
          <w:rFonts w:hint="eastAsia" w:ascii="仿宋" w:hAnsi="仿宋" w:eastAsia="仿宋" w:cs="仿宋"/>
          <w:kern w:val="0"/>
          <w:sz w:val="28"/>
          <w:szCs w:val="28"/>
          <w:highlight w:val="none"/>
        </w:rPr>
        <w:t>具体质量保修内容双方约定如下：</w:t>
      </w:r>
    </w:p>
    <w:p>
      <w:pPr>
        <w:widowControl/>
        <w:shd w:val="clear"/>
        <w:autoSpaceDN w:val="0"/>
        <w:spacing w:line="360" w:lineRule="auto"/>
        <w:ind w:firstLine="578"/>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按施工合同约定的承包范围内的全部工程内容</w:t>
      </w:r>
      <w:r>
        <w:rPr>
          <w:rFonts w:hint="eastAsia" w:ascii="仿宋" w:hAnsi="仿宋" w:eastAsia="仿宋" w:cs="仿宋"/>
          <w:kern w:val="0"/>
          <w:sz w:val="28"/>
          <w:szCs w:val="28"/>
          <w:highlight w:val="none"/>
        </w:rPr>
        <w:t>。</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质量保修期</w:t>
      </w:r>
    </w:p>
    <w:p>
      <w:pPr>
        <w:widowControl/>
        <w:shd w:val="clear"/>
        <w:autoSpaceDN w:val="0"/>
        <w:spacing w:line="360" w:lineRule="auto"/>
        <w:ind w:firstLine="72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质量保修期从广清产业园管委会或其相关职能部门批准的提前移交之日或者正式通过竣工验收之日（以先发生日期为准）算起。单项竣工验收的工程，按单项工程分别计算质量保修期。城市道路工程竣工，经验收合格后，方可交付使用。</w:t>
      </w:r>
    </w:p>
    <w:p>
      <w:pPr>
        <w:widowControl/>
        <w:shd w:val="clear"/>
        <w:autoSpaceDN w:val="0"/>
        <w:spacing w:line="360" w:lineRule="auto"/>
        <w:ind w:firstLine="578"/>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双方根据国家有关规定，结合具体工程约定质量保修期如下：</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1、基础设施工程、房屋建筑的地基基础和主体结构工程为设计文件规定的该工程合理使用年限；</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2、电力管线、上下水管线安装工程为</w:t>
      </w:r>
      <w:r>
        <w:rPr>
          <w:rFonts w:hint="eastAsia" w:ascii="仿宋" w:hAnsi="仿宋" w:eastAsia="仿宋" w:cs="仿宋"/>
          <w:b/>
          <w:bCs/>
          <w:kern w:val="0"/>
          <w:sz w:val="28"/>
          <w:szCs w:val="28"/>
          <w:highlight w:val="none"/>
          <w:u w:val="single"/>
        </w:rPr>
        <w:t xml:space="preserve"> 2 </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3、供热及供冷为</w:t>
      </w:r>
      <w:r>
        <w:rPr>
          <w:rFonts w:hint="eastAsia" w:ascii="仿宋" w:hAnsi="仿宋" w:eastAsia="仿宋" w:cs="仿宋"/>
          <w:b/>
          <w:bCs/>
          <w:kern w:val="0"/>
          <w:sz w:val="28"/>
          <w:szCs w:val="28"/>
          <w:highlight w:val="none"/>
          <w:u w:val="single"/>
        </w:rPr>
        <w:t>2</w:t>
      </w:r>
      <w:r>
        <w:rPr>
          <w:rFonts w:hint="eastAsia" w:ascii="仿宋" w:hAnsi="仿宋" w:eastAsia="仿宋" w:cs="仿宋"/>
          <w:b/>
          <w:bCs/>
          <w:kern w:val="0"/>
          <w:sz w:val="28"/>
          <w:szCs w:val="28"/>
          <w:highlight w:val="none"/>
        </w:rPr>
        <w:t>个采暖期及供冷期；</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4、室外的上下水和小区道路等市政公用工程为</w:t>
      </w:r>
      <w:r>
        <w:rPr>
          <w:rFonts w:hint="eastAsia" w:ascii="仿宋" w:hAnsi="仿宋" w:eastAsia="仿宋" w:cs="仿宋"/>
          <w:b/>
          <w:bCs/>
          <w:kern w:val="0"/>
          <w:sz w:val="28"/>
          <w:szCs w:val="28"/>
          <w:highlight w:val="none"/>
          <w:u w:val="single"/>
        </w:rPr>
        <w:t>2</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u w:val="single"/>
        </w:rPr>
      </w:pPr>
      <w:r>
        <w:rPr>
          <w:rFonts w:hint="eastAsia" w:ascii="仿宋" w:hAnsi="仿宋" w:eastAsia="仿宋" w:cs="仿宋"/>
          <w:b/>
          <w:bCs/>
          <w:kern w:val="0"/>
          <w:sz w:val="28"/>
          <w:szCs w:val="28"/>
          <w:highlight w:val="none"/>
        </w:rPr>
        <w:t>5、市政道路排水工程为</w:t>
      </w:r>
      <w:r>
        <w:rPr>
          <w:rFonts w:hint="eastAsia" w:ascii="仿宋" w:hAnsi="仿宋" w:eastAsia="仿宋" w:cs="仿宋"/>
          <w:b/>
          <w:bCs/>
          <w:kern w:val="0"/>
          <w:sz w:val="28"/>
          <w:szCs w:val="28"/>
          <w:highlight w:val="none"/>
          <w:u w:val="single"/>
        </w:rPr>
        <w:t xml:space="preserve"> 2 </w:t>
      </w:r>
      <w:r>
        <w:rPr>
          <w:rFonts w:hint="eastAsia" w:ascii="仿宋" w:hAnsi="仿宋" w:eastAsia="仿宋" w:cs="仿宋"/>
          <w:b/>
          <w:bCs/>
          <w:kern w:val="0"/>
          <w:sz w:val="28"/>
          <w:szCs w:val="28"/>
          <w:highlight w:val="none"/>
        </w:rPr>
        <w:t>年，市政供水工程为</w:t>
      </w:r>
      <w:r>
        <w:rPr>
          <w:rFonts w:hint="eastAsia" w:ascii="仿宋" w:hAnsi="仿宋" w:eastAsia="仿宋" w:cs="仿宋"/>
          <w:b/>
          <w:bCs/>
          <w:kern w:val="0"/>
          <w:sz w:val="28"/>
          <w:szCs w:val="28"/>
          <w:highlight w:val="none"/>
          <w:u w:val="single"/>
        </w:rPr>
        <w:t xml:space="preserve"> 2 </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6、市政供电工程为</w:t>
      </w:r>
      <w:r>
        <w:rPr>
          <w:rFonts w:hint="eastAsia" w:ascii="仿宋" w:hAnsi="仿宋" w:eastAsia="仿宋" w:cs="仿宋"/>
          <w:b/>
          <w:bCs/>
          <w:kern w:val="0"/>
          <w:sz w:val="28"/>
          <w:szCs w:val="28"/>
          <w:highlight w:val="none"/>
          <w:u w:val="single"/>
        </w:rPr>
        <w:t xml:space="preserve"> 2 </w:t>
      </w:r>
      <w:r>
        <w:rPr>
          <w:rFonts w:hint="eastAsia" w:ascii="仿宋" w:hAnsi="仿宋" w:eastAsia="仿宋" w:cs="仿宋"/>
          <w:b/>
          <w:bCs/>
          <w:kern w:val="0"/>
          <w:sz w:val="28"/>
          <w:szCs w:val="28"/>
          <w:highlight w:val="none"/>
        </w:rPr>
        <w:t>年，市政道路照明工程</w:t>
      </w:r>
      <w:r>
        <w:rPr>
          <w:rFonts w:hint="eastAsia" w:ascii="仿宋" w:hAnsi="仿宋" w:eastAsia="仿宋" w:cs="仿宋"/>
          <w:b/>
          <w:bCs/>
          <w:kern w:val="0"/>
          <w:sz w:val="28"/>
          <w:szCs w:val="28"/>
          <w:highlight w:val="none"/>
          <w:u w:val="single"/>
        </w:rPr>
        <w:t xml:space="preserve"> 2 </w:t>
      </w:r>
      <w:r>
        <w:rPr>
          <w:rFonts w:hint="eastAsia" w:ascii="仿宋" w:hAnsi="仿宋" w:eastAsia="仿宋" w:cs="仿宋"/>
          <w:b/>
          <w:bCs/>
          <w:kern w:val="0"/>
          <w:sz w:val="28"/>
          <w:szCs w:val="28"/>
          <w:highlight w:val="none"/>
        </w:rPr>
        <w:t>年，市政交通设施工程为年。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7、屋面防水工程、有防水要求的卫生间、房间和外墙面的防渗漏为</w:t>
      </w:r>
      <w:r>
        <w:rPr>
          <w:rFonts w:hint="eastAsia" w:ascii="仿宋" w:hAnsi="仿宋" w:eastAsia="仿宋" w:cs="仿宋"/>
          <w:b/>
          <w:bCs/>
          <w:kern w:val="0"/>
          <w:sz w:val="28"/>
          <w:szCs w:val="28"/>
          <w:highlight w:val="none"/>
          <w:u w:val="single"/>
        </w:rPr>
        <w:t xml:space="preserve">  </w:t>
      </w:r>
      <w:r>
        <w:rPr>
          <w:rFonts w:hint="eastAsia" w:ascii="仿宋" w:hAnsi="仿宋" w:eastAsia="仿宋" w:cs="仿宋"/>
          <w:b/>
          <w:bCs/>
          <w:color w:val="FF0000"/>
          <w:kern w:val="0"/>
          <w:sz w:val="28"/>
          <w:szCs w:val="28"/>
          <w:highlight w:val="none"/>
          <w:u w:val="single"/>
        </w:rPr>
        <w:t xml:space="preserve">5 </w:t>
      </w:r>
      <w:r>
        <w:rPr>
          <w:rFonts w:hint="eastAsia" w:ascii="仿宋" w:hAnsi="仿宋" w:eastAsia="仿宋" w:cs="仿宋"/>
          <w:b/>
          <w:bCs/>
          <w:kern w:val="0"/>
          <w:sz w:val="28"/>
          <w:szCs w:val="28"/>
          <w:highlight w:val="none"/>
          <w:u w:val="single"/>
        </w:rPr>
        <w:t xml:space="preserve"> </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8、园林建筑工程为</w:t>
      </w:r>
      <w:r>
        <w:rPr>
          <w:rFonts w:hint="eastAsia" w:ascii="仿宋" w:hAnsi="仿宋" w:eastAsia="仿宋" w:cs="仿宋"/>
          <w:b/>
          <w:bCs/>
          <w:kern w:val="0"/>
          <w:sz w:val="28"/>
          <w:szCs w:val="28"/>
          <w:highlight w:val="none"/>
          <w:u w:val="single"/>
        </w:rPr>
        <w:t xml:space="preserve"> 1 </w:t>
      </w:r>
      <w:r>
        <w:rPr>
          <w:rFonts w:hint="eastAsia" w:ascii="仿宋" w:hAnsi="仿宋" w:eastAsia="仿宋" w:cs="仿宋"/>
          <w:b/>
          <w:bCs/>
          <w:kern w:val="0"/>
          <w:sz w:val="28"/>
          <w:szCs w:val="28"/>
          <w:highlight w:val="none"/>
        </w:rPr>
        <w:t>年，喷淋工程为</w:t>
      </w:r>
      <w:r>
        <w:rPr>
          <w:rFonts w:hint="eastAsia" w:ascii="仿宋" w:hAnsi="仿宋" w:eastAsia="仿宋" w:cs="仿宋"/>
          <w:b/>
          <w:bCs/>
          <w:kern w:val="0"/>
          <w:sz w:val="28"/>
          <w:szCs w:val="28"/>
          <w:highlight w:val="none"/>
          <w:u w:val="single"/>
        </w:rPr>
        <w:t xml:space="preserve"> 2</w:t>
      </w:r>
      <w:r>
        <w:rPr>
          <w:rFonts w:hint="eastAsia" w:ascii="仿宋" w:hAnsi="仿宋" w:eastAsia="仿宋" w:cs="仿宋"/>
          <w:b/>
          <w:bCs/>
          <w:kern w:val="0"/>
          <w:sz w:val="28"/>
          <w:szCs w:val="28"/>
          <w:highlight w:val="none"/>
        </w:rPr>
        <w:t>年，胸径15cm以内（含15cm）的苗木养护期为</w:t>
      </w:r>
      <w:r>
        <w:rPr>
          <w:rFonts w:hint="eastAsia" w:ascii="仿宋" w:hAnsi="仿宋" w:eastAsia="仿宋" w:cs="仿宋"/>
          <w:b/>
          <w:bCs/>
          <w:kern w:val="0"/>
          <w:sz w:val="28"/>
          <w:szCs w:val="28"/>
          <w:highlight w:val="none"/>
          <w:u w:val="single"/>
        </w:rPr>
        <w:t xml:space="preserve"> 3</w:t>
      </w:r>
      <w:r>
        <w:rPr>
          <w:rFonts w:hint="eastAsia" w:ascii="仿宋" w:hAnsi="仿宋" w:eastAsia="仿宋" w:cs="仿宋"/>
          <w:b/>
          <w:bCs/>
          <w:kern w:val="0"/>
          <w:sz w:val="28"/>
          <w:szCs w:val="28"/>
          <w:highlight w:val="none"/>
        </w:rPr>
        <w:t>个月，胸径15cm以上的苗木养护期为</w:t>
      </w:r>
      <w:r>
        <w:rPr>
          <w:rFonts w:hint="eastAsia" w:ascii="仿宋" w:hAnsi="仿宋" w:eastAsia="仿宋" w:cs="仿宋"/>
          <w:b/>
          <w:bCs/>
          <w:kern w:val="0"/>
          <w:sz w:val="28"/>
          <w:szCs w:val="28"/>
          <w:highlight w:val="none"/>
          <w:u w:val="single"/>
        </w:rPr>
        <w:t xml:space="preserve"> 1</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9、边坡支护工程为</w:t>
      </w:r>
      <w:r>
        <w:rPr>
          <w:rFonts w:hint="eastAsia" w:ascii="仿宋" w:hAnsi="仿宋" w:eastAsia="仿宋" w:cs="仿宋"/>
          <w:b/>
          <w:bCs/>
          <w:kern w:val="0"/>
          <w:sz w:val="28"/>
          <w:szCs w:val="28"/>
          <w:highlight w:val="none"/>
          <w:u w:val="single"/>
        </w:rPr>
        <w:t>1</w:t>
      </w:r>
      <w:r>
        <w:rPr>
          <w:rFonts w:hint="eastAsia" w:ascii="仿宋" w:hAnsi="仿宋" w:eastAsia="仿宋" w:cs="仿宋"/>
          <w:b/>
          <w:bCs/>
          <w:kern w:val="0"/>
          <w:sz w:val="28"/>
          <w:szCs w:val="28"/>
          <w:highlight w:val="none"/>
        </w:rPr>
        <w:t>年。</w:t>
      </w:r>
    </w:p>
    <w:p>
      <w:pPr>
        <w:widowControl/>
        <w:shd w:val="clear"/>
        <w:autoSpaceDN w:val="0"/>
        <w:spacing w:line="360" w:lineRule="auto"/>
        <w:ind w:firstLine="578"/>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10、其他约定：</w:t>
      </w:r>
      <w:r>
        <w:rPr>
          <w:rFonts w:hint="eastAsia" w:ascii="仿宋" w:hAnsi="仿宋" w:eastAsia="仿宋" w:cs="仿宋"/>
          <w:b/>
          <w:bCs/>
          <w:kern w:val="0"/>
          <w:sz w:val="28"/>
          <w:szCs w:val="28"/>
          <w:highlight w:val="none"/>
          <w:u w:val="single"/>
        </w:rPr>
        <w:t>按相关规定执行</w:t>
      </w:r>
      <w:r>
        <w:rPr>
          <w:rFonts w:hint="eastAsia" w:ascii="仿宋" w:hAnsi="仿宋" w:eastAsia="仿宋" w:cs="仿宋"/>
          <w:b/>
          <w:bCs/>
          <w:kern w:val="0"/>
          <w:sz w:val="28"/>
          <w:szCs w:val="28"/>
          <w:highlight w:val="none"/>
        </w:rPr>
        <w:t>。</w:t>
      </w:r>
    </w:p>
    <w:p>
      <w:pPr>
        <w:widowControl/>
        <w:shd w:val="clear"/>
        <w:autoSpaceDN w:val="0"/>
        <w:spacing w:line="360" w:lineRule="auto"/>
        <w:ind w:firstLine="72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其他项目保修期限约定如下：本保修书未明确的，参照本项目施工总承包合同约定执行。</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质量保修责任</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属于保修范围的项目，承包人应在接到通知之日起，影响安全的包括但不限于照明工程、交通工程、排水工程应在2天内派人修复；其他工程应在7天内派人保修。承包人不在约定期限内派人保修，发包人或管养单位可自行或指派第三方保修，保修费用从质量保修金内扣除。属于保修范围的项目，对于在保修期间出现的质量问题，如保修期满时尚未完成修复，则保修期顺延至该质量问题修复完毕止。</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国家规定的工程合理使用期限内，承包人确保主体工程和桥涵构造物的质量和安全。凡出现其质量问题，应立即报告当地建设行政主管部门和有关部门，采取安全防范措施，由原设计人或者具有相应资质等级的设计单位提出保修方案，承包人应立即实施保修。因承包人原因致使工程在合理使用期限内造成人身和财产损害的，承包人应承担损害赔偿责任。</w:t>
      </w:r>
    </w:p>
    <w:p>
      <w:pPr>
        <w:widowControl/>
        <w:shd w:val="clear"/>
        <w:autoSpaceDN w:val="0"/>
        <w:spacing w:line="360" w:lineRule="auto"/>
        <w:ind w:firstLine="480"/>
        <w:outlineLvl w:val="9"/>
        <w:rPr>
          <w:rFonts w:hint="eastAsia" w:ascii="仿宋" w:hAnsi="仿宋" w:eastAsia="仿宋" w:cs="仿宋"/>
          <w:b/>
          <w:bCs/>
          <w:kern w:val="0"/>
          <w:sz w:val="28"/>
          <w:szCs w:val="28"/>
          <w:highlight w:val="none"/>
        </w:rPr>
      </w:pPr>
      <w:r>
        <w:rPr>
          <w:rFonts w:hint="eastAsia" w:ascii="仿宋" w:hAnsi="仿宋" w:eastAsia="仿宋" w:cs="仿宋"/>
          <w:kern w:val="0"/>
          <w:sz w:val="28"/>
          <w:szCs w:val="28"/>
          <w:highlight w:val="none"/>
        </w:rPr>
        <w:t>4、质量保修完成后，由发包人或管养单位组织验收。</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质量保修费用</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质量保修费用及相关的损害赔偿费，由造成质量缺陷的责任方承担。</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质量保证金</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5.1本工程约定的质量保修金为工程施工结算价款的3%，由承包人自行选择用现金缴纳还是银行保函或第三方担保机构出具的质保金担保函或建设工程质保金保证保险方式。如采用现金缴纳，则剩余3 %的工程款作为保质金，在缺陷责任期终止并经发包人检查合格颁发缺陷责任期终止证书后14天内一次性返还；如采用银行保函方式，则在承包人递交同等金额的质量保证金银行保函（该银行保函应由在中国注册的银行开具）后，发包人支付剩余的3%工程款，质量保证金银行保函在缺陷责任期终止并经发包人检查合格颁发缺陷责任期终止证书后14天内返还。</w:t>
      </w:r>
    </w:p>
    <w:p>
      <w:pPr>
        <w:widowControl/>
        <w:shd w:val="clear"/>
        <w:autoSpaceDN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5.2该质量保证金的返还，并不能免除承包人按《建设工程质量管理条例》以及合同约定应承担的质量保修责任和应履行的质量保修义务。</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缺陷责任期</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6.1工程缺陷责任期为</w:t>
      </w:r>
      <w:r>
        <w:rPr>
          <w:rFonts w:hint="eastAsia" w:ascii="仿宋" w:hAnsi="仿宋" w:eastAsia="仿宋" w:cs="仿宋"/>
          <w:kern w:val="0"/>
          <w:sz w:val="28"/>
          <w:szCs w:val="28"/>
          <w:highlight w:val="none"/>
          <w:u w:val="single"/>
        </w:rPr>
        <w:t xml:space="preserve"> 24 </w:t>
      </w:r>
      <w:r>
        <w:rPr>
          <w:rFonts w:hint="eastAsia" w:ascii="仿宋" w:hAnsi="仿宋" w:eastAsia="仿宋" w:cs="仿宋"/>
          <w:kern w:val="0"/>
          <w:sz w:val="28"/>
          <w:szCs w:val="28"/>
          <w:highlight w:val="none"/>
        </w:rPr>
        <w:t>个月，缺陷责任期自工程竣工验收之日起计算。单位工程先于全部工程进行验收，单位工程缺陷责任期自单位工程竣工验收之日起算。</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6.2缺陷责任期终止且发包人签发缺陷责任期满证书后，发包人应退还剩余的质量保证金。</w:t>
      </w:r>
    </w:p>
    <w:p>
      <w:pPr>
        <w:widowControl/>
        <w:numPr>
          <w:ilvl w:val="0"/>
          <w:numId w:val="8"/>
        </w:numPr>
        <w:shd w:val="clear"/>
        <w:autoSpaceDN w:val="0"/>
        <w:spacing w:line="360" w:lineRule="auto"/>
        <w:ind w:hanging="24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其它</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  双方约定的其它工程质量保修事项：。</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7.2  本工程质量保修书，由发包人承包人在工程竣工验收前签署，作为合同附件，其有效期限至保修期满。</w:t>
      </w:r>
    </w:p>
    <w:p>
      <w:pPr>
        <w:widowControl/>
        <w:shd w:val="clear"/>
        <w:autoSpaceDN w:val="0"/>
        <w:spacing w:line="360" w:lineRule="auto"/>
        <w:ind w:firstLine="397"/>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pacing w:line="360" w:lineRule="auto"/>
        <w:ind w:firstLine="397"/>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tbl>
      <w:tblPr>
        <w:tblStyle w:val="20"/>
        <w:tblW w:w="0" w:type="auto"/>
        <w:tblInd w:w="135" w:type="dxa"/>
        <w:tblLayout w:type="fixed"/>
        <w:tblCellMar>
          <w:top w:w="0" w:type="dxa"/>
          <w:left w:w="108" w:type="dxa"/>
          <w:bottom w:w="0" w:type="dxa"/>
          <w:right w:w="108" w:type="dxa"/>
        </w:tblCellMar>
      </w:tblPr>
      <w:tblGrid>
        <w:gridCol w:w="1819"/>
        <w:gridCol w:w="3156"/>
        <w:gridCol w:w="1575"/>
        <w:gridCol w:w="1972"/>
      </w:tblGrid>
      <w:tr>
        <w:tblPrEx>
          <w:tblCellMar>
            <w:top w:w="0" w:type="dxa"/>
            <w:left w:w="108" w:type="dxa"/>
            <w:bottom w:w="0" w:type="dxa"/>
            <w:right w:w="108" w:type="dxa"/>
          </w:tblCellMar>
        </w:tblPrEx>
        <w:trPr>
          <w:trHeight w:val="849" w:hRule="atLeast"/>
        </w:trPr>
        <w:tc>
          <w:tcPr>
            <w:tcW w:w="1819"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 托 人：</w:t>
            </w:r>
          </w:p>
        </w:tc>
        <w:tc>
          <w:tcPr>
            <w:tcW w:w="3156" w:type="dxa"/>
            <w:noWrap w:val="0"/>
            <w:vAlign w:val="top"/>
          </w:tcPr>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广清产业园财政投资</w:t>
            </w:r>
          </w:p>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项目管理中心 </w:t>
            </w:r>
          </w:p>
        </w:tc>
        <w:tc>
          <w:tcPr>
            <w:tcW w:w="1575"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 包 人：</w:t>
            </w:r>
          </w:p>
        </w:tc>
        <w:tc>
          <w:tcPr>
            <w:tcW w:w="1972"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r>
      <w:tr>
        <w:tc>
          <w:tcPr>
            <w:tcW w:w="1819"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法定代表人或委托代理人：  </w:t>
            </w:r>
          </w:p>
        </w:tc>
        <w:tc>
          <w:tcPr>
            <w:tcW w:w="3156"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c>
          <w:tcPr>
            <w:tcW w:w="1575"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法定代表人或委托代理人： </w:t>
            </w:r>
          </w:p>
        </w:tc>
        <w:tc>
          <w:tcPr>
            <w:tcW w:w="1972"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r>
    </w:tbl>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签约时间：</w:t>
      </w:r>
      <w:r>
        <w:rPr>
          <w:rFonts w:hint="eastAsia" w:ascii="仿宋" w:hAnsi="仿宋" w:eastAsia="仿宋" w:cs="仿宋"/>
          <w:kern w:val="0"/>
          <w:sz w:val="28"/>
          <w:szCs w:val="28"/>
          <w:highlight w:val="none"/>
          <w:u w:val="single"/>
        </w:rPr>
        <w:t>202x年xx月xx日</w:t>
      </w:r>
      <w:r>
        <w:rPr>
          <w:rFonts w:hint="eastAsia" w:ascii="仿宋" w:hAnsi="仿宋" w:eastAsia="仿宋" w:cs="仿宋"/>
          <w:kern w:val="0"/>
          <w:sz w:val="28"/>
          <w:szCs w:val="28"/>
          <w:highlight w:val="none"/>
        </w:rPr>
        <w:t>，签约地点：</w:t>
      </w:r>
      <w:r>
        <w:rPr>
          <w:rFonts w:hint="eastAsia" w:ascii="仿宋" w:hAnsi="仿宋" w:eastAsia="仿宋" w:cs="仿宋"/>
          <w:kern w:val="0"/>
          <w:sz w:val="28"/>
          <w:szCs w:val="28"/>
          <w:highlight w:val="none"/>
          <w:u w:val="single"/>
        </w:rPr>
        <w:t>广清产业园</w:t>
      </w:r>
    </w:p>
    <w:p>
      <w:pPr>
        <w:widowControl/>
        <w:shd w:val="clear"/>
        <w:autoSpaceDN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pacing w:line="360" w:lineRule="auto"/>
        <w:rPr>
          <w:rFonts w:hint="eastAsia" w:ascii="宋体" w:hAnsi="宋体" w:cs="Courier New"/>
          <w:kern w:val="0"/>
          <w:sz w:val="32"/>
          <w:szCs w:val="32"/>
          <w:highlight w:val="none"/>
        </w:rPr>
      </w:pPr>
      <w:r>
        <w:rPr>
          <w:rFonts w:hint="eastAsia" w:ascii="宋体" w:hAnsi="宋体" w:cs="Courier New"/>
          <w:kern w:val="0"/>
          <w:sz w:val="32"/>
          <w:szCs w:val="32"/>
          <w:highlight w:val="none"/>
        </w:rPr>
        <w:t xml:space="preserve"> </w:t>
      </w:r>
    </w:p>
    <w:p>
      <w:pPr>
        <w:widowControl/>
        <w:shd w:val="clear"/>
        <w:autoSpaceDN w:val="0"/>
        <w:spacing w:line="360" w:lineRule="auto"/>
        <w:rPr>
          <w:rFonts w:hint="eastAsia" w:ascii="宋体" w:hAnsi="宋体" w:cs="Courier New"/>
          <w:kern w:val="0"/>
          <w:sz w:val="32"/>
          <w:szCs w:val="32"/>
          <w:highlight w:val="none"/>
        </w:rPr>
      </w:pPr>
      <w:r>
        <w:rPr>
          <w:rFonts w:hint="eastAsia" w:ascii="宋体" w:hAnsi="宋体" w:cs="Courier New"/>
          <w:kern w:val="0"/>
          <w:sz w:val="32"/>
          <w:szCs w:val="32"/>
          <w:highlight w:val="none"/>
        </w:rPr>
        <w:t xml:space="preserve"> </w:t>
      </w:r>
    </w:p>
    <w:p>
      <w:pPr>
        <w:shd w:val="clear"/>
        <w:rPr>
          <w:rFonts w:hint="eastAsia" w:ascii="宋体" w:hAnsi="宋体"/>
          <w:kern w:val="0"/>
          <w:sz w:val="32"/>
          <w:szCs w:val="32"/>
          <w:highlight w:val="none"/>
        </w:rPr>
      </w:pPr>
      <w:r>
        <w:rPr>
          <w:rFonts w:hint="eastAsia" w:ascii="宋体" w:hAnsi="宋体"/>
          <w:kern w:val="0"/>
          <w:sz w:val="32"/>
          <w:szCs w:val="32"/>
          <w:highlight w:val="none"/>
        </w:rPr>
        <w:br w:type="page"/>
      </w:r>
    </w:p>
    <w:p>
      <w:pPr>
        <w:widowControl/>
        <w:shd w:val="clear"/>
        <w:autoSpaceDN w:val="0"/>
        <w:spacing w:line="360" w:lineRule="auto"/>
        <w:jc w:val="left"/>
        <w:outlineLvl w:val="1"/>
        <w:rPr>
          <w:rFonts w:hint="eastAsia" w:ascii="宋体" w:hAnsi="宋体"/>
          <w:kern w:val="0"/>
          <w:sz w:val="32"/>
          <w:szCs w:val="32"/>
          <w:highlight w:val="none"/>
        </w:rPr>
      </w:pPr>
      <w:bookmarkStart w:id="333" w:name="_Toc17789"/>
      <w:r>
        <w:rPr>
          <w:rFonts w:hint="eastAsia" w:ascii="宋体" w:hAnsi="宋体"/>
          <w:kern w:val="0"/>
          <w:sz w:val="32"/>
          <w:szCs w:val="32"/>
          <w:highlight w:val="none"/>
        </w:rPr>
        <w:t>附件一：工程建设项目廉政责任书</w:t>
      </w:r>
      <w:bookmarkEnd w:id="333"/>
    </w:p>
    <w:p>
      <w:pPr>
        <w:widowControl/>
        <w:shd w:val="clear"/>
        <w:autoSpaceDN w:val="0"/>
        <w:spacing w:line="360" w:lineRule="auto"/>
        <w:jc w:val="center"/>
        <w:outlineLvl w:val="9"/>
        <w:rPr>
          <w:rFonts w:hint="eastAsia" w:ascii="宋体" w:hAnsi="宋体" w:cs="Arial"/>
          <w:b/>
          <w:bCs/>
          <w:kern w:val="0"/>
          <w:sz w:val="32"/>
          <w:szCs w:val="32"/>
          <w:highlight w:val="none"/>
        </w:rPr>
      </w:pPr>
      <w:r>
        <w:rPr>
          <w:rFonts w:hint="eastAsia" w:ascii="宋体" w:hAnsi="宋体" w:cs="Arial"/>
          <w:b/>
          <w:bCs/>
          <w:kern w:val="0"/>
          <w:sz w:val="32"/>
          <w:szCs w:val="32"/>
          <w:highlight w:val="none"/>
        </w:rPr>
        <w:t>工程建设项目廉政责任书</w:t>
      </w:r>
    </w:p>
    <w:p>
      <w:pPr>
        <w:widowControl/>
        <w:shd w:val="clear"/>
        <w:autoSpaceDN w:val="0"/>
        <w:snapToGrid w:val="0"/>
        <w:spacing w:line="360" w:lineRule="auto"/>
        <w:ind w:left="495" w:hanging="495"/>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工程项目名称：</w:t>
      </w:r>
      <w:r>
        <w:rPr>
          <w:rFonts w:hint="eastAsia" w:ascii="仿宋" w:hAnsi="仿宋" w:eastAsia="仿宋" w:cs="仿宋"/>
          <w:kern w:val="0"/>
          <w:sz w:val="28"/>
          <w:szCs w:val="28"/>
          <w:highlight w:val="none"/>
          <w:u w:val="single"/>
        </w:rPr>
        <w:t xml:space="preserve">                                           </w:t>
      </w:r>
    </w:p>
    <w:p>
      <w:pPr>
        <w:widowControl/>
        <w:shd w:val="clear"/>
        <w:autoSpaceDN w:val="0"/>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工程项目地址：</w:t>
      </w:r>
      <w:r>
        <w:rPr>
          <w:rFonts w:hint="eastAsia" w:ascii="仿宋" w:hAnsi="仿宋" w:eastAsia="仿宋" w:cs="仿宋"/>
          <w:kern w:val="0"/>
          <w:sz w:val="28"/>
          <w:szCs w:val="28"/>
          <w:highlight w:val="none"/>
          <w:u w:val="single"/>
        </w:rPr>
        <w:t xml:space="preserve">                                           </w:t>
      </w:r>
    </w:p>
    <w:p>
      <w:pPr>
        <w:widowControl/>
        <w:shd w:val="clear"/>
        <w:autoSpaceDN w:val="0"/>
        <w:snapToGrid w:val="0"/>
        <w:spacing w:line="360" w:lineRule="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委托人（甲方）：</w:t>
      </w:r>
      <w:r>
        <w:rPr>
          <w:rFonts w:hint="eastAsia" w:ascii="仿宋" w:hAnsi="仿宋" w:eastAsia="仿宋" w:cs="仿宋"/>
          <w:kern w:val="0"/>
          <w:sz w:val="28"/>
          <w:szCs w:val="28"/>
          <w:highlight w:val="none"/>
          <w:u w:val="single"/>
        </w:rPr>
        <w:t>广州（清远）产业转移工业园财政投资项目管理中心</w:t>
      </w:r>
    </w:p>
    <w:p>
      <w:pPr>
        <w:widowControl/>
        <w:shd w:val="clear"/>
        <w:autoSpaceDN w:val="0"/>
        <w:snapToGrid w:val="0"/>
        <w:spacing w:line="360" w:lineRule="auto"/>
        <w:outlineLvl w:val="9"/>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承包人（乙方）：</w:t>
      </w:r>
      <w:r>
        <w:rPr>
          <w:rFonts w:hint="eastAsia" w:ascii="仿宋" w:hAnsi="仿宋" w:eastAsia="仿宋" w:cs="仿宋"/>
          <w:kern w:val="0"/>
          <w:sz w:val="28"/>
          <w:szCs w:val="28"/>
          <w:highlight w:val="none"/>
          <w:u w:val="single"/>
        </w:rPr>
        <w:t xml:space="preserve">                                                   </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widowControl/>
        <w:shd w:val="clear"/>
        <w:autoSpaceDN w:val="0"/>
        <w:snapToGrid w:val="0"/>
        <w:spacing w:line="360" w:lineRule="auto"/>
        <w:ind w:firstLine="482"/>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第一条 </w:t>
      </w:r>
      <w:r>
        <w:rPr>
          <w:rFonts w:hint="eastAsia" w:ascii="仿宋" w:hAnsi="仿宋" w:eastAsia="仿宋" w:cs="仿宋"/>
          <w:kern w:val="0"/>
          <w:sz w:val="28"/>
          <w:szCs w:val="28"/>
          <w:highlight w:val="none"/>
        </w:rPr>
        <w:t>甲、乙双方的责任</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（一）应严格遵守国家关于市场准入、项目招标投标、工程建设、施工安装和市场活动等有关法律、法规、相关政策，以及廉政建设的各项规定。</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（二）严格执行建设工程项目承发包合同文件，自觉按合同办事。</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（三）业务活动必须坚持公开、公平、公正、诚信、透明的原则（除法律法规另有规定者外），不得为获取不正当的利益，损害国家、集体和对方利益，不得违反工程建设管理、施工安装和监理的规章制度。</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（四）发现对方在业务活动中有违规、违纪、违法行为的，应及时提醒对方，情节严重的，应向其上级主管部门或纪检监察、司法等有关机关举报。</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 xml:space="preserve">第二条 </w:t>
      </w:r>
      <w:r>
        <w:rPr>
          <w:rFonts w:hint="eastAsia" w:ascii="仿宋" w:hAnsi="仿宋" w:eastAsia="仿宋" w:cs="仿宋"/>
          <w:kern w:val="0"/>
          <w:sz w:val="28"/>
          <w:szCs w:val="28"/>
          <w:highlight w:val="none"/>
        </w:rPr>
        <w:t>甲方的责任</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甲方的领导和从事本建设工程项目的工作人员，在工程建设的事前、事中、事后应遵守以下规定：</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（一）不准向乙方和相关单位索要或接受回扣、礼金、有价证券、贵重物品和好处费、感谢费等。</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（二）不准在乙方和相关单位报销任何应由甲方或个人支付的费用。</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（三）不准要求、暗示或接受乙方和相关单位为个人装修住房、婚丧嫁娶、配偶子女的工作安排以及出国（境）、旅游等提供方便。</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（四）不准参加有可能影响公正执行公务的乙方及相关单位的宴请、健身、娱乐等活动。</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（五）不准向乙方介绍或为配偶、子女、亲属参与同甲方项目工程合同有关的设备、材料、工程分包、劳务等经济活动。不得以任何理由向乙方和相关单位推荐分包单位。</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 xml:space="preserve">第三条 </w:t>
      </w:r>
      <w:r>
        <w:rPr>
          <w:rFonts w:hint="eastAsia" w:ascii="仿宋" w:hAnsi="仿宋" w:eastAsia="仿宋" w:cs="仿宋"/>
          <w:kern w:val="0"/>
          <w:sz w:val="28"/>
          <w:szCs w:val="28"/>
          <w:highlight w:val="none"/>
        </w:rPr>
        <w:t>乙方的责任</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（一）不准以任何理由向甲方、相关单位及其工作人员索要、接受或赠送礼金、有价证券、贵重物品及回扣、好处费、感谢费等。</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（二）不准以任何理由为甲方和相关单位报销应由对方或个人支付的费用。</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（三）不准接受或暗示为甲方、相关单位或个人装修住房、婚丧嫁娶、配偶子女的工作安排以及出国（境）、旅游等提供方便。</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（四）不准以任何理由为甲方、相关单位或个人组织有可能影响公正执行公务的宴请、健身、娱乐等活动。</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 xml:space="preserve">第四条 </w:t>
      </w:r>
      <w:r>
        <w:rPr>
          <w:rFonts w:hint="eastAsia" w:ascii="仿宋" w:hAnsi="仿宋" w:eastAsia="仿宋" w:cs="仿宋"/>
          <w:kern w:val="0"/>
          <w:sz w:val="28"/>
          <w:szCs w:val="28"/>
          <w:highlight w:val="none"/>
        </w:rPr>
        <w:t>违约责任</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widowControl/>
        <w:shd w:val="clear"/>
        <w:autoSpaceDN w:val="0"/>
        <w:snapToGrid w:val="0"/>
        <w:spacing w:line="360" w:lineRule="auto"/>
        <w:ind w:firstLine="482"/>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widowControl/>
        <w:shd w:val="clear"/>
        <w:autoSpaceDN w:val="0"/>
        <w:snapToGrid w:val="0"/>
        <w:spacing w:line="360" w:lineRule="auto"/>
        <w:ind w:firstLine="482"/>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第五条 </w:t>
      </w:r>
      <w:r>
        <w:rPr>
          <w:rFonts w:hint="eastAsia" w:ascii="仿宋" w:hAnsi="仿宋" w:eastAsia="仿宋" w:cs="仿宋"/>
          <w:kern w:val="0"/>
          <w:sz w:val="28"/>
          <w:szCs w:val="28"/>
          <w:highlight w:val="none"/>
        </w:rPr>
        <w:t>本廉政责任书作为工程监理合同的附件，与工程监理合同具有同等法律效力。经双方签署后立即生效。</w:t>
      </w:r>
    </w:p>
    <w:p>
      <w:pPr>
        <w:widowControl/>
        <w:shd w:val="clear"/>
        <w:autoSpaceDN w:val="0"/>
        <w:snapToGrid w:val="0"/>
        <w:spacing w:line="360" w:lineRule="auto"/>
        <w:ind w:firstLine="482"/>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第六条 </w:t>
      </w:r>
      <w:r>
        <w:rPr>
          <w:rFonts w:hint="eastAsia" w:ascii="仿宋" w:hAnsi="仿宋" w:eastAsia="仿宋" w:cs="仿宋"/>
          <w:kern w:val="0"/>
          <w:sz w:val="28"/>
          <w:szCs w:val="28"/>
          <w:highlight w:val="none"/>
        </w:rPr>
        <w:t>本廉政责任书的有效期与监理合同的有效期相同。</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第七条</w:t>
      </w:r>
      <w:r>
        <w:rPr>
          <w:rFonts w:hint="eastAsia" w:ascii="仿宋" w:hAnsi="仿宋" w:eastAsia="仿宋" w:cs="仿宋"/>
          <w:kern w:val="0"/>
          <w:sz w:val="28"/>
          <w:szCs w:val="28"/>
          <w:highlight w:val="none"/>
        </w:rPr>
        <w:t xml:space="preserve"> 本廉政责任书一式四份，甲方执四份，乙方执四份。</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以下无正文</w:t>
      </w:r>
    </w:p>
    <w:p>
      <w:pPr>
        <w:widowControl/>
        <w:shd w:val="clear"/>
        <w:autoSpaceDN w:val="0"/>
        <w:snapToGrid w:val="0"/>
        <w:spacing w:line="360" w:lineRule="auto"/>
        <w:ind w:firstLine="480"/>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napToGrid w:val="0"/>
        <w:spacing w:line="360" w:lineRule="auto"/>
        <w:ind w:firstLine="48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tbl>
      <w:tblPr>
        <w:tblStyle w:val="20"/>
        <w:tblW w:w="0" w:type="auto"/>
        <w:tblInd w:w="135" w:type="dxa"/>
        <w:tblLayout w:type="fixed"/>
        <w:tblCellMar>
          <w:top w:w="0" w:type="dxa"/>
          <w:left w:w="108" w:type="dxa"/>
          <w:bottom w:w="0" w:type="dxa"/>
          <w:right w:w="108" w:type="dxa"/>
        </w:tblCellMar>
      </w:tblPr>
      <w:tblGrid>
        <w:gridCol w:w="1819"/>
        <w:gridCol w:w="2826"/>
        <w:gridCol w:w="1391"/>
        <w:gridCol w:w="2486"/>
      </w:tblGrid>
      <w:tr>
        <w:tblPrEx>
          <w:tblCellMar>
            <w:top w:w="0" w:type="dxa"/>
            <w:left w:w="108" w:type="dxa"/>
            <w:bottom w:w="0" w:type="dxa"/>
            <w:right w:w="108" w:type="dxa"/>
          </w:tblCellMar>
        </w:tblPrEx>
        <w:trPr>
          <w:trHeight w:val="849" w:hRule="atLeast"/>
        </w:trPr>
        <w:tc>
          <w:tcPr>
            <w:tcW w:w="1819"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 托 人：</w:t>
            </w:r>
          </w:p>
        </w:tc>
        <w:tc>
          <w:tcPr>
            <w:tcW w:w="2826" w:type="dxa"/>
            <w:noWrap w:val="0"/>
            <w:vAlign w:val="top"/>
          </w:tcPr>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广清产业园财政投资</w:t>
            </w:r>
          </w:p>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项目管理中心 </w:t>
            </w:r>
          </w:p>
        </w:tc>
        <w:tc>
          <w:tcPr>
            <w:tcW w:w="1391"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 包 人：</w:t>
            </w:r>
          </w:p>
        </w:tc>
        <w:tc>
          <w:tcPr>
            <w:tcW w:w="2486"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r>
      <w:tr>
        <w:tblPrEx>
          <w:tblCellMar>
            <w:top w:w="0" w:type="dxa"/>
            <w:left w:w="108" w:type="dxa"/>
            <w:bottom w:w="0" w:type="dxa"/>
            <w:right w:w="108" w:type="dxa"/>
          </w:tblCellMar>
        </w:tblPrEx>
        <w:tc>
          <w:tcPr>
            <w:tcW w:w="1819"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法定代表人或委托代理人：  </w:t>
            </w:r>
          </w:p>
        </w:tc>
        <w:tc>
          <w:tcPr>
            <w:tcW w:w="2826"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c>
          <w:tcPr>
            <w:tcW w:w="1391"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法定代表人或委托代理人： </w:t>
            </w:r>
          </w:p>
        </w:tc>
        <w:tc>
          <w:tcPr>
            <w:tcW w:w="2486" w:type="dxa"/>
            <w:noWrap w:val="0"/>
            <w:vAlign w:val="top"/>
          </w:tcPr>
          <w:p>
            <w:pPr>
              <w:widowControl/>
              <w:shd w:val="clear"/>
              <w:autoSpaceDN w:val="0"/>
              <w:snapToGrid w:val="0"/>
              <w:spacing w:line="360" w:lineRule="auto"/>
              <w:ind w:right="11"/>
              <w:rPr>
                <w:rFonts w:hint="eastAsia" w:ascii="仿宋" w:hAnsi="仿宋" w:eastAsia="仿宋" w:cs="仿宋"/>
                <w:kern w:val="0"/>
                <w:sz w:val="28"/>
                <w:szCs w:val="28"/>
                <w:highlight w:val="none"/>
              </w:rPr>
            </w:pPr>
          </w:p>
        </w:tc>
      </w:tr>
    </w:tbl>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napToGrid w:val="0"/>
        <w:spacing w:line="360" w:lineRule="auto"/>
        <w:ind w:left="1920" w:right="11" w:hanging="192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pPr>
        <w:widowControl/>
        <w:shd w:val="clear"/>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签约时间：</w:t>
      </w:r>
      <w:r>
        <w:rPr>
          <w:rFonts w:hint="eastAsia" w:ascii="仿宋" w:hAnsi="仿宋" w:eastAsia="仿宋" w:cs="仿宋"/>
          <w:kern w:val="0"/>
          <w:sz w:val="28"/>
          <w:szCs w:val="28"/>
          <w:highlight w:val="none"/>
          <w:u w:val="single"/>
        </w:rPr>
        <w:t>202x年xx月xx日</w:t>
      </w:r>
      <w:r>
        <w:rPr>
          <w:rFonts w:hint="eastAsia" w:ascii="仿宋" w:hAnsi="仿宋" w:eastAsia="仿宋" w:cs="仿宋"/>
          <w:kern w:val="0"/>
          <w:sz w:val="28"/>
          <w:szCs w:val="28"/>
          <w:highlight w:val="none"/>
        </w:rPr>
        <w:t>，签约地点：</w:t>
      </w:r>
      <w:r>
        <w:rPr>
          <w:rFonts w:hint="eastAsia" w:ascii="仿宋" w:hAnsi="仿宋" w:eastAsia="仿宋" w:cs="仿宋"/>
          <w:kern w:val="0"/>
          <w:sz w:val="28"/>
          <w:szCs w:val="28"/>
          <w:highlight w:val="none"/>
          <w:u w:val="single"/>
        </w:rPr>
        <w:t>广清产业园</w:t>
      </w:r>
    </w:p>
    <w:p>
      <w:pPr>
        <w:widowControl/>
        <w:shd w:val="clear"/>
        <w:snapToGrid w:val="0"/>
        <w:spacing w:line="360" w:lineRule="auto"/>
        <w:ind w:left="315"/>
        <w:rPr>
          <w:rFonts w:hint="eastAsia" w:ascii="仿宋" w:hAnsi="仿宋" w:eastAsia="仿宋" w:cs="仿宋"/>
          <w:sz w:val="28"/>
          <w:szCs w:val="28"/>
          <w:highlight w:val="none"/>
        </w:rPr>
      </w:pPr>
    </w:p>
    <w:p>
      <w:pPr>
        <w:widowControl/>
        <w:shd w:val="clear"/>
        <w:snapToGrid w:val="0"/>
        <w:spacing w:line="360" w:lineRule="auto"/>
        <w:ind w:left="315"/>
        <w:rPr>
          <w:rFonts w:hint="eastAsia" w:ascii="仿宋" w:hAnsi="仿宋" w:eastAsia="仿宋" w:cs="仿宋"/>
          <w:sz w:val="28"/>
          <w:szCs w:val="28"/>
          <w:highlight w:val="none"/>
        </w:rPr>
      </w:pP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shd w:val="clear"/>
        <w:tabs>
          <w:tab w:val="left" w:pos="4990"/>
        </w:tabs>
        <w:jc w:val="both"/>
        <w:rPr>
          <w:rFonts w:hint="eastAsia" w:ascii="仿宋" w:hAnsi="仿宋" w:eastAsia="仿宋" w:cs="仿宋"/>
          <w:b/>
          <w:sz w:val="28"/>
          <w:szCs w:val="28"/>
          <w:highlight w:val="none"/>
        </w:rPr>
      </w:pPr>
    </w:p>
    <w:p>
      <w:pPr>
        <w:shd w:val="clear"/>
        <w:rPr>
          <w:rFonts w:hint="eastAsia" w:ascii="仿宋" w:hAnsi="仿宋" w:eastAsia="仿宋" w:cs="仿宋"/>
          <w:sz w:val="28"/>
          <w:szCs w:val="28"/>
          <w:highlight w:val="none"/>
        </w:rPr>
      </w:pPr>
    </w:p>
    <w:p>
      <w:pPr>
        <w:pStyle w:val="2"/>
        <w:shd w:val="clear"/>
        <w:ind w:left="0" w:leftChars="0" w:firstLine="0" w:firstLineChars="0"/>
        <w:rPr>
          <w:rFonts w:hint="eastAsia" w:ascii="仿宋" w:hAnsi="仿宋" w:eastAsia="仿宋" w:cs="仿宋"/>
          <w:color w:val="auto"/>
          <w:sz w:val="28"/>
          <w:szCs w:val="28"/>
          <w:highlight w:val="none"/>
        </w:rPr>
      </w:pPr>
    </w:p>
    <w:p>
      <w:pPr>
        <w:shd w:val="clear"/>
        <w:rPr>
          <w:rFonts w:hint="eastAsia" w:ascii="仿宋" w:hAnsi="仿宋" w:eastAsia="仿宋" w:cs="仿宋"/>
          <w:color w:val="auto"/>
          <w:sz w:val="28"/>
          <w:szCs w:val="28"/>
          <w:highlight w:val="none"/>
        </w:rPr>
      </w:pPr>
    </w:p>
    <w:p>
      <w:pPr>
        <w:pStyle w:val="2"/>
        <w:shd w:val="clear"/>
        <w:rPr>
          <w:rFonts w:hint="eastAsia" w:ascii="仿宋" w:hAnsi="仿宋" w:eastAsia="仿宋" w:cs="仿宋"/>
          <w:sz w:val="28"/>
          <w:szCs w:val="28"/>
          <w:highlight w:val="none"/>
        </w:rPr>
      </w:pPr>
    </w:p>
    <w:p>
      <w:pPr>
        <w:shd w:val="clear"/>
        <w:rPr>
          <w:rFonts w:hint="eastAsia" w:ascii="仿宋" w:hAnsi="仿宋" w:eastAsia="仿宋" w:cs="仿宋"/>
          <w:color w:val="auto"/>
          <w:sz w:val="28"/>
          <w:szCs w:val="28"/>
          <w:highlight w:val="none"/>
        </w:rPr>
      </w:pPr>
      <w:bookmarkStart w:id="334" w:name="_Toc21918"/>
      <w:bookmarkStart w:id="335" w:name="_Toc101777645"/>
      <w:bookmarkStart w:id="336" w:name="_Toc85854822"/>
      <w:r>
        <w:rPr>
          <w:rFonts w:hint="eastAsia" w:ascii="仿宋" w:hAnsi="仿宋" w:eastAsia="仿宋" w:cs="仿宋"/>
          <w:color w:val="auto"/>
          <w:sz w:val="28"/>
          <w:szCs w:val="28"/>
          <w:highlight w:val="none"/>
        </w:rPr>
        <w:br w:type="page"/>
      </w:r>
    </w:p>
    <w:p>
      <w:pPr>
        <w:pStyle w:val="3"/>
        <w:shd w:val="clear"/>
        <w:jc w:val="center"/>
        <w:rPr>
          <w:rFonts w:hint="eastAsia" w:ascii="宋体" w:eastAsia="宋体"/>
          <w:color w:val="auto"/>
          <w:highlight w:val="none"/>
        </w:rPr>
      </w:pPr>
      <w:bookmarkStart w:id="337" w:name="_Toc20162"/>
      <w:r>
        <w:rPr>
          <w:rFonts w:hint="eastAsia" w:ascii="宋体" w:eastAsia="宋体"/>
          <w:color w:val="auto"/>
          <w:highlight w:val="none"/>
        </w:rPr>
        <w:t>第四章  投标文件格式</w:t>
      </w:r>
      <w:bookmarkEnd w:id="334"/>
      <w:bookmarkEnd w:id="337"/>
    </w:p>
    <w:p>
      <w:pPr>
        <w:pStyle w:val="19"/>
        <w:shd w:val="clear"/>
        <w:spacing w:after="0" w:afterLines="0" w:line="360" w:lineRule="auto"/>
        <w:ind w:firstLine="560" w:firstLineChars="200"/>
        <w:rPr>
          <w:rFonts w:hint="eastAsia" w:ascii="宋体" w:hAnsi="宋体" w:eastAsia="宋体"/>
          <w:color w:val="auto"/>
          <w:sz w:val="28"/>
          <w:szCs w:val="28"/>
          <w:highlight w:val="none"/>
        </w:rPr>
      </w:pPr>
    </w:p>
    <w:p>
      <w:pPr>
        <w:pStyle w:val="19"/>
        <w:shd w:val="clear"/>
        <w:spacing w:after="0" w:afterLines="0" w:line="360" w:lineRule="auto"/>
        <w:ind w:firstLine="482" w:firstLineChars="200"/>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t>47．</w:t>
      </w:r>
      <w:r>
        <w:rPr>
          <w:rFonts w:hint="eastAsia" w:ascii="宋体" w:hAnsi="宋体" w:eastAsia="宋体"/>
          <w:color w:val="auto"/>
          <w:sz w:val="24"/>
          <w:szCs w:val="24"/>
          <w:highlight w:val="none"/>
        </w:rPr>
        <w:t>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pPr>
        <w:pStyle w:val="19"/>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47.1 投标书内容按以下表述填写。</w:t>
      </w:r>
    </w:p>
    <w:p>
      <w:pPr>
        <w:pStyle w:val="19"/>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投标总工期：“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日历天”或“按招标文件的要求”；</w:t>
      </w:r>
    </w:p>
    <w:p>
      <w:pPr>
        <w:pStyle w:val="19"/>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工程质量标准：“按招标文件的要求”；</w:t>
      </w:r>
    </w:p>
    <w:p>
      <w:pPr>
        <w:pStyle w:val="19"/>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保修期限：“按《建设工程质量管理条例》规定”。</w:t>
      </w:r>
    </w:p>
    <w:p>
      <w:pPr>
        <w:pStyle w:val="19"/>
        <w:shd w:val="clear"/>
        <w:spacing w:line="360" w:lineRule="auto"/>
        <w:ind w:firstLine="0"/>
        <w:rPr>
          <w:rFonts w:hint="eastAsia" w:ascii="宋体" w:hAnsi="宋体" w:eastAsia="宋体"/>
          <w:color w:val="auto"/>
          <w:highlight w:val="none"/>
        </w:rPr>
      </w:pPr>
    </w:p>
    <w:p>
      <w:pPr>
        <w:pStyle w:val="19"/>
        <w:shd w:val="clear"/>
        <w:spacing w:line="360" w:lineRule="auto"/>
        <w:ind w:firstLine="0"/>
        <w:rPr>
          <w:rFonts w:hint="eastAsia" w:ascii="宋体" w:hAnsi="宋体" w:eastAsia="宋体"/>
          <w:color w:val="auto"/>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pStyle w:val="19"/>
        <w:shd w:val="clear"/>
        <w:spacing w:line="360" w:lineRule="auto"/>
        <w:ind w:firstLine="0"/>
        <w:rPr>
          <w:rFonts w:hint="eastAsia" w:ascii="宋体" w:hAnsi="宋体" w:eastAsia="宋体"/>
          <w:color w:val="auto"/>
          <w:sz w:val="36"/>
          <w:szCs w:val="36"/>
          <w:highlight w:val="none"/>
        </w:rPr>
      </w:pPr>
    </w:p>
    <w:p>
      <w:pPr>
        <w:shd w:val="clear"/>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pPr>
        <w:shd w:val="clear"/>
        <w:jc w:val="center"/>
        <w:rPr>
          <w:rFonts w:hint="eastAsia" w:ascii="宋体" w:hAnsi="宋体" w:eastAsia="宋体" w:cs="宋体"/>
          <w:b/>
          <w:bCs/>
          <w:color w:val="000000"/>
          <w:sz w:val="32"/>
          <w:highlight w:val="none"/>
        </w:rPr>
      </w:pPr>
      <w:bookmarkStart w:id="338" w:name="_Toc5768"/>
      <w:bookmarkStart w:id="339" w:name="_Toc3030"/>
      <w:bookmarkStart w:id="340" w:name="_Toc5070"/>
      <w:bookmarkStart w:id="341" w:name="_Toc26675"/>
      <w:bookmarkStart w:id="342" w:name="_Toc31944"/>
      <w:bookmarkStart w:id="343" w:name="_Toc11234"/>
      <w:bookmarkStart w:id="344" w:name="_Toc24765"/>
      <w:bookmarkStart w:id="345" w:name="_Toc13431"/>
      <w:bookmarkStart w:id="346" w:name="_Toc28195"/>
      <w:bookmarkStart w:id="347" w:name="_Toc35509658"/>
      <w:bookmarkStart w:id="348" w:name="_Toc20198"/>
      <w:bookmarkStart w:id="349" w:name="_Toc296"/>
      <w:bookmarkStart w:id="350" w:name="_Toc357"/>
      <w:bookmarkStart w:id="351" w:name="_Toc7293"/>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Pr>
        <w:shd w:val="clear"/>
        <w:jc w:val="center"/>
        <w:rPr>
          <w:rFonts w:hint="eastAsia" w:ascii="宋体" w:hAnsi="宋体"/>
          <w:color w:val="auto"/>
          <w:sz w:val="24"/>
          <w:highlight w:val="none"/>
          <w:u w:val="single"/>
        </w:rPr>
      </w:pPr>
    </w:p>
    <w:p>
      <w:pPr>
        <w:shd w:val="clear"/>
        <w:jc w:val="center"/>
        <w:rPr>
          <w:rFonts w:hint="eastAsia" w:ascii="宋体" w:hAnsi="宋体"/>
          <w:color w:val="auto"/>
          <w:sz w:val="48"/>
          <w:szCs w:val="48"/>
          <w:highlight w:val="none"/>
          <w:u w:val="single"/>
        </w:rPr>
      </w:pPr>
    </w:p>
    <w:p>
      <w:pPr>
        <w:shd w:val="clear"/>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广清产业园华清产业大道北侧收储地块新建纵路工程施工总承包</w:t>
      </w: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30"/>
          <w:szCs w:val="30"/>
          <w:highlight w:val="none"/>
        </w:rPr>
      </w:pPr>
    </w:p>
    <w:p>
      <w:pPr>
        <w:pStyle w:val="2"/>
        <w:shd w:val="clear"/>
        <w:rPr>
          <w:rFonts w:hint="eastAsia"/>
          <w:highlight w:val="none"/>
        </w:rPr>
      </w:pPr>
    </w:p>
    <w:p>
      <w:pPr>
        <w:shd w:val="clear"/>
        <w:jc w:val="center"/>
        <w:rPr>
          <w:rFonts w:hint="eastAsia" w:ascii="宋体" w:hAnsi="宋体" w:eastAsia="宋体" w:cs="宋体"/>
          <w:color w:val="auto"/>
          <w:sz w:val="52"/>
          <w:szCs w:val="52"/>
          <w:highlight w:val="none"/>
        </w:rPr>
      </w:pPr>
      <w:r>
        <w:rPr>
          <w:rFonts w:hint="eastAsia" w:ascii="宋体" w:hAnsi="宋体" w:eastAsia="宋体" w:cs="宋体"/>
          <w:color w:val="auto"/>
          <w:sz w:val="56"/>
          <w:szCs w:val="56"/>
          <w:highlight w:val="none"/>
        </w:rPr>
        <w:t>投  标  文  件</w:t>
      </w: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pStyle w:val="2"/>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pStyle w:val="2"/>
        <w:shd w:val="clear"/>
        <w:rPr>
          <w:rFonts w:hint="eastAsia" w:ascii="宋体" w:hAnsi="宋体" w:eastAsia="宋体" w:cs="宋体"/>
          <w:color w:val="auto"/>
          <w:sz w:val="24"/>
          <w:highlight w:val="none"/>
        </w:rPr>
      </w:pPr>
    </w:p>
    <w:p>
      <w:pPr>
        <w:shd w:val="clear"/>
        <w:rPr>
          <w:rFonts w:hint="eastAsia"/>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rPr>
          <w:rFonts w:hint="eastAsia" w:ascii="宋体" w:hAnsi="宋体" w:eastAsia="宋体" w:cs="宋体"/>
          <w:color w:val="auto"/>
          <w:sz w:val="24"/>
          <w:highlight w:val="none"/>
        </w:rPr>
      </w:pPr>
    </w:p>
    <w:p>
      <w:pPr>
        <w:shd w:val="clear"/>
        <w:spacing w:line="48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shd w:val="clea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p>
    <w:p>
      <w:pPr>
        <w:shd w:val="clea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hd w:val="clear"/>
        <w:spacing w:line="440" w:lineRule="exact"/>
        <w:rPr>
          <w:rFonts w:hint="eastAsia" w:ascii="宋体" w:hAnsi="宋体" w:eastAsia="宋体" w:cs="宋体"/>
          <w:color w:val="auto"/>
          <w:sz w:val="24"/>
          <w:highlight w:val="none"/>
        </w:rPr>
      </w:pPr>
    </w:p>
    <w:p>
      <w:pPr>
        <w:shd w:val="clear"/>
        <w:rPr>
          <w:highlight w:val="none"/>
        </w:rPr>
      </w:pPr>
    </w:p>
    <w:p>
      <w:pPr>
        <w:pStyle w:val="19"/>
        <w:shd w:val="clear"/>
        <w:spacing w:line="360" w:lineRule="auto"/>
        <w:ind w:firstLine="0"/>
        <w:rPr>
          <w:rFonts w:hint="eastAsia" w:ascii="宋体" w:hAnsi="宋体" w:eastAsia="宋体"/>
          <w:color w:val="auto"/>
          <w:sz w:val="36"/>
          <w:szCs w:val="36"/>
          <w:highlight w:val="none"/>
        </w:rPr>
      </w:pPr>
    </w:p>
    <w:p>
      <w:pPr>
        <w:shd w:val="clea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br w:type="page"/>
      </w:r>
    </w:p>
    <w:p>
      <w:pPr>
        <w:shd w:val="clear"/>
        <w:jc w:val="center"/>
        <w:outlineLvl w:val="1"/>
        <w:rPr>
          <w:rFonts w:hint="eastAsia" w:ascii="宋体" w:hAnsi="宋体" w:eastAsia="宋体"/>
          <w:b/>
          <w:color w:val="auto"/>
          <w:sz w:val="36"/>
          <w:szCs w:val="36"/>
          <w:highlight w:val="none"/>
        </w:rPr>
      </w:pPr>
      <w:bookmarkStart w:id="352" w:name="_Toc9509"/>
      <w:r>
        <w:rPr>
          <w:rFonts w:hint="eastAsia" w:ascii="宋体" w:hAnsi="宋体" w:eastAsia="宋体"/>
          <w:b/>
          <w:color w:val="auto"/>
          <w:sz w:val="36"/>
          <w:szCs w:val="36"/>
          <w:highlight w:val="none"/>
        </w:rPr>
        <w:t xml:space="preserve">投  </w:t>
      </w:r>
      <w:r>
        <w:rPr>
          <w:rFonts w:hint="eastAsia" w:ascii="宋体" w:hAnsi="宋体" w:eastAsia="宋体" w:cs="宋体"/>
          <w:b/>
          <w:color w:val="auto"/>
          <w:sz w:val="36"/>
          <w:szCs w:val="36"/>
          <w:highlight w:val="none"/>
        </w:rPr>
        <w:t>标</w:t>
      </w:r>
      <w:r>
        <w:rPr>
          <w:rFonts w:hint="eastAsia" w:ascii="宋体" w:hAnsi="宋体" w:eastAsia="宋体"/>
          <w:b/>
          <w:color w:val="auto"/>
          <w:sz w:val="36"/>
          <w:szCs w:val="36"/>
          <w:highlight w:val="none"/>
        </w:rPr>
        <w:t xml:space="preserve">  函</w:t>
      </w:r>
      <w:bookmarkEnd w:id="352"/>
    </w:p>
    <w:p>
      <w:pPr>
        <w:shd w:val="clear"/>
        <w:ind w:firstLine="3235" w:firstLineChars="895"/>
        <w:rPr>
          <w:rFonts w:hint="eastAsia" w:ascii="宋体" w:hAnsi="宋体" w:eastAsia="宋体"/>
          <w:b/>
          <w:color w:val="auto"/>
          <w:sz w:val="36"/>
          <w:szCs w:val="36"/>
          <w:highlight w:val="none"/>
        </w:rPr>
      </w:pPr>
    </w:p>
    <w:p>
      <w:pPr>
        <w:shd w:val="clear"/>
        <w:spacing w:line="360" w:lineRule="auto"/>
        <w:ind w:firstLine="482"/>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致：</w:t>
      </w:r>
      <w:r>
        <w:rPr>
          <w:rFonts w:hint="eastAsia" w:ascii="宋体" w:hAnsi="宋体" w:eastAsia="宋体" w:cs="Times New Roman"/>
          <w:b/>
          <w:color w:val="auto"/>
          <w:szCs w:val="24"/>
          <w:highlight w:val="none"/>
          <w:u w:val="single"/>
        </w:rPr>
        <w:t xml:space="preserve">(招标人名称)                              </w:t>
      </w:r>
    </w:p>
    <w:p>
      <w:pPr>
        <w:shd w:val="clear"/>
        <w:snapToGrid w:val="0"/>
        <w:spacing w:line="360" w:lineRule="auto"/>
        <w:ind w:firstLine="457" w:firstLineChars="218"/>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1.我方已仔细研究了贵方项目编号为</w:t>
      </w:r>
      <w:r>
        <w:rPr>
          <w:rFonts w:hint="eastAsia" w:ascii="宋体" w:hAnsi="宋体" w:eastAsia="宋体" w:cs="Times New Roman"/>
          <w:color w:val="auto"/>
          <w:szCs w:val="24"/>
          <w:highlight w:val="none"/>
          <w:u w:val="single"/>
        </w:rPr>
        <w:t xml:space="preserve">           </w:t>
      </w:r>
      <w:r>
        <w:rPr>
          <w:rFonts w:hint="eastAsia" w:ascii="宋体" w:hAnsi="宋体" w:eastAsia="宋体" w:cs="Times New Roman"/>
          <w:color w:val="auto"/>
          <w:szCs w:val="24"/>
          <w:highlight w:val="none"/>
        </w:rPr>
        <w:t>的</w:t>
      </w:r>
      <w:r>
        <w:rPr>
          <w:rFonts w:hint="eastAsia"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none"/>
        </w:rPr>
        <w:t>工程</w:t>
      </w:r>
      <w:r>
        <w:rPr>
          <w:rFonts w:hint="eastAsia" w:ascii="Calibri" w:hAnsi="Calibri" w:eastAsia="宋体" w:cs="Times New Roman"/>
          <w:color w:val="auto"/>
          <w:szCs w:val="21"/>
          <w:highlight w:val="none"/>
        </w:rPr>
        <w:t>的</w:t>
      </w:r>
      <w:r>
        <w:rPr>
          <w:rFonts w:ascii="Calibri" w:hAnsi="Calibri" w:eastAsia="宋体" w:cs="Times New Roman"/>
          <w:color w:val="auto"/>
          <w:szCs w:val="21"/>
          <w:highlight w:val="none"/>
        </w:rPr>
        <w:t>施工招标文件</w:t>
      </w:r>
      <w:r>
        <w:rPr>
          <w:rFonts w:hint="eastAsia" w:ascii="宋体" w:hAnsi="宋体" w:eastAsia="宋体" w:cs="Times New Roman"/>
          <w:color w:val="auto"/>
          <w:szCs w:val="24"/>
          <w:highlight w:val="none"/>
        </w:rPr>
        <w:t>，并已详细审核了全部招标文件及有关附件。</w:t>
      </w:r>
    </w:p>
    <w:p>
      <w:pPr>
        <w:shd w:val="clear"/>
        <w:snapToGrid w:val="0"/>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2.遵照《中华人民共和国招标投标法》、《中华人民共和国招标投标法实施条例》、《广东省实施〈中华人民共和国招标投标法〉办法》等有关规定，经考察现场</w:t>
      </w:r>
      <w:r>
        <w:rPr>
          <w:rFonts w:hint="eastAsia" w:ascii="宋体" w:hAnsi="宋体" w:eastAsia="宋体" w:cs="Times New Roman"/>
          <w:color w:val="auto"/>
          <w:szCs w:val="24"/>
          <w:highlight w:val="none"/>
          <w:lang w:eastAsia="zh-CN"/>
        </w:rPr>
        <w:t>并充分</w:t>
      </w:r>
      <w:r>
        <w:rPr>
          <w:rFonts w:hint="eastAsia" w:ascii="宋体" w:hAnsi="宋体" w:eastAsia="宋体" w:cs="Times New Roman"/>
          <w:color w:val="auto"/>
          <w:szCs w:val="24"/>
          <w:highlight w:val="none"/>
        </w:rPr>
        <w:t>研究上述招标文件的投标人须知、合同条款、标准和技术规范、图纸、工程量清单及其他有关文件后，我方承诺：</w:t>
      </w:r>
    </w:p>
    <w:p>
      <w:pPr>
        <w:shd w:val="clear"/>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愿以</w:t>
      </w:r>
      <w:r>
        <w:rPr>
          <w:rFonts w:hint="eastAsia" w:ascii="宋体" w:hAnsi="宋体" w:eastAsia="宋体" w:cs="Times New Roman"/>
          <w:b w:val="0"/>
          <w:bCs w:val="0"/>
          <w:color w:val="auto"/>
          <w:szCs w:val="24"/>
          <w:highlight w:val="none"/>
        </w:rPr>
        <w:t>《</w:t>
      </w:r>
      <w:r>
        <w:rPr>
          <w:rFonts w:hint="eastAsia" w:ascii="宋体" w:hAnsi="宋体" w:eastAsia="宋体" w:cs="宋体"/>
          <w:b w:val="0"/>
          <w:bCs w:val="0"/>
          <w:color w:val="auto"/>
          <w:szCs w:val="36"/>
          <w:highlight w:val="none"/>
          <w:lang w:val="zh-CN"/>
        </w:rPr>
        <w:t>清远市房屋建筑和市政工程施工招标投标书》</w:t>
      </w:r>
      <w:r>
        <w:rPr>
          <w:rFonts w:hint="eastAsia" w:ascii="宋体" w:hAnsi="宋体" w:eastAsia="宋体" w:cs="Times New Roman"/>
          <w:color w:val="auto"/>
          <w:szCs w:val="24"/>
          <w:highlight w:val="none"/>
        </w:rPr>
        <w:t>中的投标报价并按上述合同条款、标准和技术规范、图纸、工程量清单等的要求承包上述工程的施工、竣工并修补其任何缺陷。</w:t>
      </w:r>
    </w:p>
    <w:p>
      <w:pPr>
        <w:shd w:val="clear"/>
        <w:spacing w:line="360" w:lineRule="auto"/>
        <w:ind w:firstLine="420" w:firstLineChars="200"/>
        <w:rPr>
          <w:rFonts w:hint="eastAsia" w:ascii="宋体" w:hAnsi="宋体" w:eastAsia="宋体" w:cs="Times New Roman"/>
          <w:strike/>
          <w:color w:val="auto"/>
          <w:szCs w:val="24"/>
          <w:highlight w:val="none"/>
        </w:rPr>
      </w:pPr>
      <w:r>
        <w:rPr>
          <w:rFonts w:hint="eastAsia" w:ascii="宋体" w:hAnsi="宋体" w:eastAsia="宋体" w:cs="Times New Roman"/>
          <w:color w:val="auto"/>
          <w:szCs w:val="24"/>
          <w:highlight w:val="none"/>
        </w:rPr>
        <w:t>3.我方同意所递交的投标文件在投标人须知规定的投标有效期</w:t>
      </w:r>
      <w:r>
        <w:rPr>
          <w:rFonts w:hint="eastAsia" w:ascii="宋体" w:hAnsi="宋体" w:eastAsia="宋体" w:cs="Times New Roman"/>
          <w:color w:val="auto"/>
          <w:szCs w:val="24"/>
          <w:highlight w:val="none"/>
          <w:lang w:eastAsia="zh-CN"/>
        </w:rPr>
        <w:t>（</w:t>
      </w:r>
      <w:r>
        <w:rPr>
          <w:rFonts w:hint="eastAsia" w:ascii="宋体" w:hAnsi="宋体" w:eastAsia="宋体"/>
          <w:color w:val="auto"/>
          <w:highlight w:val="none"/>
          <w:u w:val="single"/>
          <w:lang w:val="en-US" w:eastAsia="zh-CN"/>
        </w:rPr>
        <w:t>90</w:t>
      </w:r>
      <w:r>
        <w:rPr>
          <w:rFonts w:hint="eastAsia" w:ascii="宋体" w:hAnsi="宋体" w:eastAsia="宋体"/>
          <w:color w:val="auto"/>
          <w:highlight w:val="none"/>
        </w:rPr>
        <w:t>日历天</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内有效，在此期间内我方的投标有可能中标，我方将受此约束。</w:t>
      </w:r>
    </w:p>
    <w:p>
      <w:pPr>
        <w:shd w:val="clear"/>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4.如果我方中标，我方保证按招标文件中规定的工期内完成并移交本工程，质量标准达到招标文件中的要求。</w:t>
      </w:r>
    </w:p>
    <w:p>
      <w:pPr>
        <w:shd w:val="clear"/>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5.如果我方中标，我方将按照规定递交由招标人认可，并在招标文件中规定金额的</w:t>
      </w:r>
      <w:r>
        <w:rPr>
          <w:rFonts w:hint="eastAsia" w:ascii="宋体" w:hAnsi="宋体" w:eastAsia="宋体" w:cs="Times New Roman"/>
          <w:color w:val="auto"/>
          <w:szCs w:val="24"/>
          <w:highlight w:val="none"/>
          <w:lang w:eastAsia="zh-CN"/>
        </w:rPr>
        <w:t>履约担保</w:t>
      </w:r>
      <w:r>
        <w:rPr>
          <w:rFonts w:hint="eastAsia" w:ascii="宋体" w:hAnsi="宋体" w:eastAsia="宋体" w:cs="Times New Roman"/>
          <w:color w:val="auto"/>
          <w:szCs w:val="24"/>
          <w:highlight w:val="none"/>
        </w:rPr>
        <w:t>。</w:t>
      </w:r>
    </w:p>
    <w:p>
      <w:pPr>
        <w:shd w:val="clear"/>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6.除非另外达成协议并生效，贵方的中标通知书和本投标文件将成为约束双方的合同文件的组成部分。</w:t>
      </w:r>
    </w:p>
    <w:p>
      <w:pPr>
        <w:shd w:val="clear"/>
        <w:spacing w:line="360" w:lineRule="auto"/>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如果我方中标，我方将实行项目经理负责制，并按投标文件配备项目管理班子。如未经招标人同意更换项目班子成员，招标人有权取消我公司的中标资格或单方面终止合同，由此造成的违约责任由我公司承担。</w:t>
      </w:r>
    </w:p>
    <w:p>
      <w:pPr>
        <w:shd w:val="clear"/>
        <w:spacing w:line="360" w:lineRule="auto"/>
        <w:ind w:firstLine="480"/>
        <w:rPr>
          <w:rFonts w:hint="eastAsia" w:ascii="宋体" w:hAnsi="宋体" w:eastAsia="宋体"/>
          <w:color w:val="auto"/>
          <w:sz w:val="24"/>
          <w:szCs w:val="24"/>
          <w:highlight w:val="none"/>
        </w:rPr>
      </w:pPr>
    </w:p>
    <w:p>
      <w:pPr>
        <w:shd w:val="clear"/>
        <w:spacing w:line="360" w:lineRule="auto"/>
        <w:ind w:firstLine="480"/>
        <w:rPr>
          <w:rFonts w:hint="eastAsia" w:ascii="宋体" w:hAnsi="宋体" w:eastAsia="宋体"/>
          <w:color w:val="auto"/>
          <w:sz w:val="24"/>
          <w:szCs w:val="24"/>
          <w:highlight w:val="none"/>
        </w:rPr>
      </w:pPr>
    </w:p>
    <w:p>
      <w:pPr>
        <w:shd w:val="clear"/>
        <w:spacing w:line="360" w:lineRule="auto"/>
        <w:ind w:firstLine="480"/>
        <w:rPr>
          <w:rFonts w:hint="eastAsia" w:ascii="宋体" w:hAnsi="宋体" w:eastAsia="宋体"/>
          <w:color w:val="auto"/>
          <w:sz w:val="24"/>
          <w:szCs w:val="24"/>
          <w:highlight w:val="none"/>
        </w:rPr>
      </w:pPr>
    </w:p>
    <w:p>
      <w:pPr>
        <w:shd w:val="clear"/>
        <w:spacing w:line="360" w:lineRule="auto"/>
        <w:ind w:firstLine="48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投标人：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（盖单位公章）</w:t>
      </w:r>
    </w:p>
    <w:p>
      <w:p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w:t>
      </w:r>
      <w:r>
        <w:rPr>
          <w:rFonts w:hint="eastAsia" w:ascii="宋体" w:hAnsi="宋体" w:eastAsia="宋体"/>
          <w:color w:val="auto"/>
          <w:sz w:val="24"/>
          <w:highlight w:val="none"/>
        </w:rPr>
        <w:t>或其委托代理人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（签名或盖章 ） </w:t>
      </w:r>
    </w:p>
    <w:p>
      <w:pPr>
        <w:shd w:val="clear"/>
        <w:spacing w:line="360" w:lineRule="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日期：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pStyle w:val="47"/>
        <w:shd w:val="clear"/>
        <w:spacing w:before="312" w:beforeLines="100" w:after="156" w:afterLines="50"/>
        <w:jc w:val="center"/>
        <w:outlineLvl w:val="1"/>
        <w:rPr>
          <w:rFonts w:hint="eastAsia" w:ascii="宋体" w:hAnsi="宋体"/>
          <w:color w:val="auto"/>
          <w:sz w:val="36"/>
          <w:szCs w:val="28"/>
          <w:highlight w:val="none"/>
        </w:rPr>
      </w:pPr>
      <w:r>
        <w:rPr>
          <w:rFonts w:hint="eastAsia" w:ascii="宋体" w:hAnsi="宋体"/>
          <w:color w:val="auto"/>
          <w:sz w:val="36"/>
          <w:szCs w:val="28"/>
          <w:highlight w:val="none"/>
        </w:rPr>
        <w:br w:type="page"/>
      </w:r>
      <w:bookmarkStart w:id="353" w:name="_Toc13656"/>
      <w:r>
        <w:rPr>
          <w:rFonts w:hint="eastAsia" w:ascii="宋体" w:hAnsi="宋体" w:eastAsia="宋体" w:cs="宋体"/>
          <w:b/>
          <w:color w:val="auto"/>
          <w:kern w:val="2"/>
          <w:sz w:val="36"/>
          <w:szCs w:val="36"/>
          <w:highlight w:val="none"/>
          <w:lang w:val="en-US" w:eastAsia="zh-CN" w:bidi="ar-SA"/>
        </w:rPr>
        <w:t>法定代表人身份证明</w:t>
      </w:r>
      <w:bookmarkEnd w:id="353"/>
    </w:p>
    <w:p>
      <w:pPr>
        <w:pStyle w:val="47"/>
        <w:shd w:val="clear"/>
        <w:spacing w:before="312" w:beforeLines="100" w:after="156" w:afterLines="50"/>
        <w:jc w:val="center"/>
        <w:rPr>
          <w:rFonts w:hint="eastAsia" w:ascii="黑体" w:hAnsi="宋体" w:eastAsia="黑体"/>
          <w:color w:val="auto"/>
          <w:sz w:val="28"/>
          <w:szCs w:val="28"/>
          <w:highlight w:val="none"/>
        </w:rPr>
      </w:pP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投 标 人：</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单位性质：</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地    址：</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成立时间：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经营期限：</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姓    名：</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            性     别：</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年    龄：</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            职     务：</w:t>
      </w:r>
      <w:r>
        <w:rPr>
          <w:rFonts w:hint="eastAsia" w:ascii="宋体" w:hAnsi="宋体"/>
          <w:color w:val="auto"/>
          <w:sz w:val="24"/>
          <w:szCs w:val="21"/>
          <w:highlight w:val="none"/>
          <w:u w:val="single"/>
        </w:rPr>
        <w:t xml:space="preserve">                </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系</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（投标人名称）的法定代表人。</w:t>
      </w:r>
    </w:p>
    <w:p>
      <w:pPr>
        <w:pStyle w:val="47"/>
        <w:shd w:val="clear"/>
        <w:spacing w:line="480" w:lineRule="auto"/>
        <w:rPr>
          <w:rFonts w:hint="eastAsia" w:ascii="宋体" w:hAnsi="宋体"/>
          <w:color w:val="auto"/>
          <w:sz w:val="24"/>
          <w:szCs w:val="21"/>
          <w:highlight w:val="none"/>
        </w:rPr>
      </w:pPr>
      <w:r>
        <w:rPr>
          <w:rFonts w:hint="eastAsia" w:ascii="宋体" w:hAnsi="宋体"/>
          <w:color w:val="auto"/>
          <w:sz w:val="24"/>
          <w:szCs w:val="21"/>
          <w:highlight w:val="none"/>
        </w:rPr>
        <w:t xml:space="preserve">  特此证明。</w:t>
      </w:r>
    </w:p>
    <w:p>
      <w:pPr>
        <w:pStyle w:val="47"/>
        <w:shd w:val="clear"/>
        <w:spacing w:line="480" w:lineRule="auto"/>
        <w:rPr>
          <w:rFonts w:hint="eastAsia" w:ascii="宋体" w:hAnsi="宋体"/>
          <w:color w:val="auto"/>
          <w:sz w:val="24"/>
          <w:szCs w:val="21"/>
          <w:highlight w:val="none"/>
        </w:rPr>
      </w:pPr>
    </w:p>
    <w:p>
      <w:pPr>
        <w:pStyle w:val="47"/>
        <w:shd w:val="clear"/>
        <w:spacing w:line="480" w:lineRule="auto"/>
        <w:rPr>
          <w:rFonts w:hint="eastAsia" w:ascii="宋体" w:hAnsi="宋体"/>
          <w:color w:val="auto"/>
          <w:sz w:val="24"/>
          <w:szCs w:val="21"/>
          <w:highlight w:val="none"/>
        </w:rPr>
      </w:pPr>
    </w:p>
    <w:p>
      <w:pPr>
        <w:pStyle w:val="47"/>
        <w:shd w:val="clear"/>
        <w:spacing w:line="480" w:lineRule="auto"/>
        <w:rPr>
          <w:rFonts w:hint="eastAsia" w:ascii="宋体" w:hAnsi="宋体"/>
          <w:color w:val="auto"/>
          <w:sz w:val="24"/>
          <w:szCs w:val="21"/>
          <w:highlight w:val="none"/>
        </w:rPr>
      </w:pPr>
    </w:p>
    <w:p>
      <w:pPr>
        <w:pStyle w:val="47"/>
        <w:shd w:val="clear"/>
        <w:wordWrap w:val="0"/>
        <w:spacing w:line="480" w:lineRule="auto"/>
        <w:jc w:val="center"/>
        <w:rPr>
          <w:rFonts w:hint="eastAsia" w:ascii="宋体" w:hAnsi="宋体"/>
          <w:color w:val="auto"/>
          <w:sz w:val="24"/>
          <w:szCs w:val="21"/>
          <w:highlight w:val="none"/>
        </w:rPr>
      </w:pPr>
      <w:r>
        <w:rPr>
          <w:rFonts w:hint="eastAsia" w:ascii="宋体" w:hAnsi="宋体"/>
          <w:color w:val="auto"/>
          <w:sz w:val="24"/>
          <w:szCs w:val="21"/>
          <w:highlight w:val="none"/>
        </w:rPr>
        <w:t xml:space="preserve">               投标人：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（盖单位公章）</w:t>
      </w:r>
    </w:p>
    <w:p>
      <w:pPr>
        <w:shd w:val="clear"/>
        <w:autoSpaceDE w:val="0"/>
        <w:autoSpaceDN w:val="0"/>
        <w:adjustRightInd w:val="0"/>
        <w:spacing w:line="480" w:lineRule="auto"/>
        <w:rPr>
          <w:rFonts w:hint="eastAsia" w:ascii="宋体" w:hAnsi="宋体" w:eastAsia="宋体" w:cs="宋体"/>
          <w:b/>
          <w:bCs/>
          <w:color w:val="auto"/>
          <w:sz w:val="24"/>
          <w:szCs w:val="24"/>
          <w:highlight w:val="none"/>
          <w:lang w:val="zh-CN"/>
        </w:rPr>
      </w:pPr>
      <w:r>
        <w:rPr>
          <w:rFonts w:hint="eastAsia" w:ascii="宋体" w:hAnsi="宋体" w:eastAsia="宋体"/>
          <w:color w:val="auto"/>
          <w:sz w:val="24"/>
          <w:szCs w:val="21"/>
          <w:highlight w:val="none"/>
        </w:rPr>
        <w:t xml:space="preserve">                                  </w:t>
      </w:r>
      <w:r>
        <w:rPr>
          <w:rFonts w:hint="eastAsia" w:ascii="宋体" w:hAnsi="宋体" w:eastAsia="宋体"/>
          <w:color w:val="auto"/>
          <w:sz w:val="24"/>
          <w:szCs w:val="21"/>
          <w:highlight w:val="none"/>
          <w:u w:val="single"/>
        </w:rPr>
        <w:t xml:space="preserve">          </w:t>
      </w:r>
      <w:r>
        <w:rPr>
          <w:rFonts w:hint="eastAsia" w:ascii="宋体" w:hAnsi="宋体" w:eastAsia="宋体"/>
          <w:color w:val="auto"/>
          <w:sz w:val="24"/>
          <w:szCs w:val="21"/>
          <w:highlight w:val="none"/>
        </w:rPr>
        <w:t>年</w:t>
      </w:r>
      <w:r>
        <w:rPr>
          <w:rFonts w:hint="eastAsia" w:ascii="宋体" w:hAnsi="宋体" w:eastAsia="宋体"/>
          <w:color w:val="auto"/>
          <w:sz w:val="24"/>
          <w:szCs w:val="21"/>
          <w:highlight w:val="none"/>
          <w:u w:val="single"/>
        </w:rPr>
        <w:t xml:space="preserve">     </w:t>
      </w:r>
      <w:r>
        <w:rPr>
          <w:rFonts w:hint="eastAsia" w:ascii="宋体" w:hAnsi="宋体" w:eastAsia="宋体"/>
          <w:color w:val="auto"/>
          <w:sz w:val="24"/>
          <w:szCs w:val="21"/>
          <w:highlight w:val="none"/>
        </w:rPr>
        <w:t>月</w:t>
      </w:r>
      <w:r>
        <w:rPr>
          <w:rFonts w:hint="eastAsia" w:ascii="宋体" w:hAnsi="宋体" w:eastAsia="宋体"/>
          <w:color w:val="auto"/>
          <w:sz w:val="24"/>
          <w:szCs w:val="21"/>
          <w:highlight w:val="none"/>
          <w:u w:val="single"/>
        </w:rPr>
        <w:t xml:space="preserve">     </w:t>
      </w:r>
      <w:r>
        <w:rPr>
          <w:rFonts w:hint="eastAsia" w:ascii="宋体" w:hAnsi="宋体" w:eastAsia="宋体"/>
          <w:color w:val="auto"/>
          <w:sz w:val="24"/>
          <w:szCs w:val="21"/>
          <w:highlight w:val="none"/>
        </w:rPr>
        <w:t xml:space="preserve">日    </w:t>
      </w:r>
    </w:p>
    <w:p>
      <w:pPr>
        <w:shd w:val="clear"/>
        <w:autoSpaceDE w:val="0"/>
        <w:autoSpaceDN w:val="0"/>
        <w:adjustRightInd w:val="0"/>
        <w:spacing w:line="360" w:lineRule="auto"/>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jc w:val="center"/>
        <w:outlineLvl w:val="1"/>
        <w:rPr>
          <w:rFonts w:hint="eastAsia" w:ascii="宋体" w:hAnsi="宋体" w:eastAsia="宋体" w:cs="宋体"/>
          <w:b/>
          <w:color w:val="auto"/>
          <w:sz w:val="36"/>
          <w:szCs w:val="36"/>
          <w:highlight w:val="none"/>
        </w:rPr>
      </w:pPr>
      <w:bookmarkStart w:id="354" w:name="_Toc19679"/>
      <w:r>
        <w:rPr>
          <w:rFonts w:hint="eastAsia" w:ascii="宋体" w:hAnsi="宋体" w:eastAsia="宋体" w:cs="宋体"/>
          <w:b/>
          <w:color w:val="auto"/>
          <w:sz w:val="36"/>
          <w:szCs w:val="36"/>
          <w:highlight w:val="none"/>
        </w:rPr>
        <w:t>授权委托书</w:t>
      </w:r>
      <w:bookmarkEnd w:id="354"/>
    </w:p>
    <w:p>
      <w:pPr>
        <w:pStyle w:val="48"/>
        <w:shd w:val="clear"/>
        <w:spacing w:line="500" w:lineRule="exact"/>
        <w:ind w:firstLine="420" w:firstLineChars="200"/>
        <w:rPr>
          <w:rFonts w:hint="eastAsia" w:ascii="宋体" w:hAnsi="宋体"/>
          <w:color w:val="auto"/>
          <w:szCs w:val="21"/>
          <w:highlight w:val="none"/>
        </w:rPr>
      </w:pPr>
    </w:p>
    <w:p>
      <w:pPr>
        <w:pStyle w:val="48"/>
        <w:shd w:val="clear"/>
        <w:spacing w:line="500" w:lineRule="exact"/>
        <w:ind w:firstLine="420" w:firstLineChars="200"/>
        <w:rPr>
          <w:rFonts w:hint="eastAsia" w:ascii="宋体" w:hAnsi="宋体"/>
          <w:color w:val="auto"/>
          <w:szCs w:val="21"/>
          <w:highlight w:val="none"/>
        </w:rPr>
      </w:pPr>
    </w:p>
    <w:p>
      <w:pPr>
        <w:pStyle w:val="48"/>
        <w:shd w:val="clear"/>
        <w:spacing w:line="48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本人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（姓名）系</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（投标人名称）的法定代表人，现委托</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（姓名）为我方代理人。代理人根据授权，以我方名义签署、澄清、说明、补正、递交、撤回、修改</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（项目名称）施工投标文件、签订合同和处理有关事宜，其法律后果由我方承担。</w:t>
      </w:r>
    </w:p>
    <w:p>
      <w:pPr>
        <w:pStyle w:val="48"/>
        <w:shd w:val="clear"/>
        <w:spacing w:before="156" w:beforeLines="50" w:line="48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委托期限：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pStyle w:val="48"/>
        <w:shd w:val="clear"/>
        <w:spacing w:before="312" w:beforeLines="100" w:after="312" w:afterLines="100" w:line="48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代理人无转委托权。</w:t>
      </w:r>
    </w:p>
    <w:p>
      <w:pPr>
        <w:pStyle w:val="48"/>
        <w:shd w:val="clear"/>
        <w:spacing w:after="312" w:afterLines="100" w:line="480" w:lineRule="auto"/>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附：法定代表人身份证明原件及代理人身份证原件扫描件</w:t>
      </w:r>
    </w:p>
    <w:p>
      <w:pPr>
        <w:pStyle w:val="48"/>
        <w:shd w:val="clear"/>
        <w:spacing w:line="480" w:lineRule="auto"/>
        <w:rPr>
          <w:rFonts w:hint="eastAsia" w:ascii="宋体" w:hAnsi="宋体"/>
          <w:color w:val="auto"/>
          <w:sz w:val="24"/>
          <w:szCs w:val="21"/>
          <w:highlight w:val="none"/>
        </w:rPr>
      </w:pPr>
    </w:p>
    <w:p>
      <w:pPr>
        <w:pStyle w:val="48"/>
        <w:shd w:val="clear"/>
        <w:spacing w:line="360" w:lineRule="auto"/>
        <w:ind w:firstLine="4080" w:firstLineChars="1700"/>
        <w:rPr>
          <w:rFonts w:hint="eastAsia" w:ascii="宋体" w:hAnsi="宋体"/>
          <w:color w:val="auto"/>
          <w:sz w:val="24"/>
          <w:szCs w:val="21"/>
          <w:highlight w:val="none"/>
        </w:rPr>
      </w:pPr>
      <w:r>
        <w:rPr>
          <w:rFonts w:hint="eastAsia" w:ascii="宋体" w:hAnsi="宋体"/>
          <w:color w:val="auto"/>
          <w:sz w:val="24"/>
          <w:szCs w:val="21"/>
          <w:highlight w:val="none"/>
        </w:rPr>
        <w:t>投  标  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（盖单位公章）</w:t>
      </w:r>
    </w:p>
    <w:p>
      <w:pPr>
        <w:pStyle w:val="48"/>
        <w:shd w:val="clear"/>
        <w:spacing w:line="360" w:lineRule="auto"/>
        <w:rPr>
          <w:rFonts w:hint="eastAsia" w:ascii="宋体" w:hAnsi="宋体"/>
          <w:color w:val="auto"/>
          <w:sz w:val="24"/>
          <w:szCs w:val="21"/>
          <w:highlight w:val="none"/>
        </w:rPr>
      </w:pPr>
    </w:p>
    <w:p>
      <w:pPr>
        <w:pStyle w:val="48"/>
        <w:shd w:val="clear"/>
        <w:spacing w:line="360" w:lineRule="auto"/>
        <w:ind w:firstLine="4080" w:firstLineChars="1700"/>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r>
        <w:rPr>
          <w:rFonts w:hint="eastAsia" w:ascii="宋体" w:hAnsi="宋体"/>
          <w:color w:val="auto"/>
          <w:sz w:val="24"/>
          <w:szCs w:val="21"/>
          <w:highlight w:val="none"/>
          <w:lang w:val="en-US" w:eastAsia="zh-CN"/>
        </w:rPr>
        <w:t>或盖章</w:t>
      </w:r>
      <w:r>
        <w:rPr>
          <w:rFonts w:hint="eastAsia" w:ascii="宋体" w:hAnsi="宋体"/>
          <w:color w:val="auto"/>
          <w:sz w:val="24"/>
          <w:szCs w:val="21"/>
          <w:highlight w:val="none"/>
        </w:rPr>
        <w:t>）</w:t>
      </w:r>
    </w:p>
    <w:p>
      <w:pPr>
        <w:pStyle w:val="48"/>
        <w:shd w:val="clear"/>
        <w:spacing w:line="360" w:lineRule="auto"/>
        <w:ind w:firstLine="4080" w:firstLineChars="1700"/>
        <w:rPr>
          <w:rFonts w:hint="eastAsia" w:ascii="宋体" w:hAnsi="宋体"/>
          <w:color w:val="auto"/>
          <w:sz w:val="24"/>
          <w:szCs w:val="21"/>
          <w:highlight w:val="none"/>
        </w:rPr>
      </w:pPr>
    </w:p>
    <w:p>
      <w:pPr>
        <w:pStyle w:val="48"/>
        <w:shd w:val="clear"/>
        <w:spacing w:line="360" w:lineRule="auto"/>
        <w:ind w:firstLine="4080" w:firstLineChars="1700"/>
        <w:rPr>
          <w:rFonts w:hint="eastAsia" w:ascii="宋体" w:hAnsi="宋体"/>
          <w:color w:val="auto"/>
          <w:sz w:val="24"/>
          <w:szCs w:val="21"/>
          <w:highlight w:val="none"/>
          <w:u w:val="single"/>
        </w:rPr>
      </w:pPr>
      <w:r>
        <w:rPr>
          <w:rFonts w:hint="eastAsia" w:ascii="宋体" w:hAnsi="宋体"/>
          <w:color w:val="auto"/>
          <w:sz w:val="24"/>
          <w:szCs w:val="21"/>
          <w:highlight w:val="none"/>
        </w:rPr>
        <w:t>身份证号码：</w:t>
      </w:r>
      <w:r>
        <w:rPr>
          <w:rFonts w:hint="eastAsia" w:ascii="宋体" w:hAnsi="宋体"/>
          <w:color w:val="auto"/>
          <w:sz w:val="24"/>
          <w:szCs w:val="21"/>
          <w:highlight w:val="none"/>
          <w:u w:val="single"/>
        </w:rPr>
        <w:t xml:space="preserve">                               </w:t>
      </w:r>
    </w:p>
    <w:p>
      <w:pPr>
        <w:pStyle w:val="48"/>
        <w:shd w:val="clear"/>
        <w:spacing w:line="360" w:lineRule="auto"/>
        <w:ind w:firstLine="4080" w:firstLineChars="1700"/>
        <w:rPr>
          <w:rFonts w:hint="eastAsia" w:ascii="宋体" w:hAnsi="宋体"/>
          <w:color w:val="auto"/>
          <w:sz w:val="24"/>
          <w:szCs w:val="21"/>
          <w:highlight w:val="none"/>
          <w:u w:val="single"/>
        </w:rPr>
      </w:pPr>
    </w:p>
    <w:p>
      <w:pPr>
        <w:pStyle w:val="48"/>
        <w:shd w:val="clear"/>
        <w:spacing w:line="360" w:lineRule="auto"/>
        <w:ind w:firstLine="4080" w:firstLineChars="1700"/>
        <w:rPr>
          <w:rFonts w:hint="eastAsia" w:ascii="宋体" w:hAnsi="宋体"/>
          <w:color w:val="auto"/>
          <w:sz w:val="24"/>
          <w:szCs w:val="21"/>
          <w:highlight w:val="none"/>
        </w:rPr>
      </w:pPr>
      <w:r>
        <w:rPr>
          <w:rFonts w:hint="eastAsia" w:ascii="宋体" w:hAnsi="宋体"/>
          <w:color w:val="auto"/>
          <w:sz w:val="24"/>
          <w:szCs w:val="21"/>
          <w:highlight w:val="none"/>
        </w:rPr>
        <w:t>委托代理人：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pStyle w:val="48"/>
        <w:shd w:val="clear"/>
        <w:spacing w:line="360" w:lineRule="auto"/>
        <w:ind w:firstLine="4080" w:firstLineChars="1700"/>
        <w:rPr>
          <w:rFonts w:hint="eastAsia" w:ascii="宋体" w:hAnsi="宋体"/>
          <w:color w:val="auto"/>
          <w:sz w:val="24"/>
          <w:szCs w:val="21"/>
          <w:highlight w:val="none"/>
        </w:rPr>
      </w:pPr>
    </w:p>
    <w:p>
      <w:pPr>
        <w:pStyle w:val="48"/>
        <w:shd w:val="clear"/>
        <w:spacing w:line="360" w:lineRule="auto"/>
        <w:ind w:firstLine="4080" w:firstLineChars="1700"/>
        <w:rPr>
          <w:rFonts w:hint="eastAsia" w:ascii="宋体" w:hAnsi="宋体"/>
          <w:color w:val="auto"/>
          <w:sz w:val="24"/>
          <w:szCs w:val="21"/>
          <w:highlight w:val="none"/>
          <w:u w:val="single"/>
        </w:rPr>
      </w:pPr>
      <w:r>
        <w:rPr>
          <w:rFonts w:hint="eastAsia" w:ascii="宋体" w:hAnsi="宋体"/>
          <w:color w:val="auto"/>
          <w:sz w:val="24"/>
          <w:szCs w:val="21"/>
          <w:highlight w:val="none"/>
        </w:rPr>
        <w:t>身份证号码：</w:t>
      </w:r>
      <w:r>
        <w:rPr>
          <w:rFonts w:hint="eastAsia" w:ascii="宋体" w:hAnsi="宋体"/>
          <w:color w:val="auto"/>
          <w:sz w:val="24"/>
          <w:szCs w:val="21"/>
          <w:highlight w:val="none"/>
          <w:u w:val="single"/>
        </w:rPr>
        <w:t xml:space="preserve">                                </w:t>
      </w:r>
    </w:p>
    <w:p>
      <w:pPr>
        <w:pStyle w:val="48"/>
        <w:shd w:val="clear"/>
        <w:spacing w:line="360" w:lineRule="auto"/>
        <w:ind w:firstLine="4080" w:firstLineChars="1700"/>
        <w:rPr>
          <w:rFonts w:hint="eastAsia" w:ascii="宋体" w:hAnsi="宋体"/>
          <w:color w:val="auto"/>
          <w:sz w:val="24"/>
          <w:szCs w:val="21"/>
          <w:highlight w:val="none"/>
        </w:rPr>
      </w:pPr>
    </w:p>
    <w:p>
      <w:pPr>
        <w:pStyle w:val="48"/>
        <w:shd w:val="clear"/>
        <w:spacing w:line="360" w:lineRule="auto"/>
        <w:ind w:firstLine="5520" w:firstLineChars="2300"/>
        <w:rPr>
          <w:rFonts w:hint="eastAsia" w:ascii="宋体" w:hAnsi="宋体"/>
          <w:color w:val="auto"/>
          <w:sz w:val="24"/>
          <w:szCs w:val="21"/>
          <w:highlight w:val="none"/>
        </w:rPr>
      </w:pP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pPr>
        <w:shd w:val="clear"/>
        <w:autoSpaceDE w:val="0"/>
        <w:autoSpaceDN w:val="0"/>
        <w:adjustRightInd w:val="0"/>
        <w:spacing w:line="360" w:lineRule="auto"/>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autoSpaceDE w:val="0"/>
        <w:autoSpaceDN w:val="0"/>
        <w:adjustRightIn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shd w:val="clear"/>
        <w:autoSpaceDE w:val="0"/>
        <w:autoSpaceDN w:val="0"/>
        <w:adjustRightInd w:val="0"/>
        <w:rPr>
          <w:rFonts w:hint="eastAsia" w:ascii="宋体" w:hAnsi="宋体" w:eastAsia="宋体" w:cs="宋体"/>
          <w:b/>
          <w:bCs/>
          <w:color w:val="auto"/>
          <w:sz w:val="24"/>
          <w:szCs w:val="24"/>
          <w:highlight w:val="none"/>
          <w:lang w:val="zh-CN"/>
        </w:rPr>
      </w:pPr>
    </w:p>
    <w:p>
      <w:pPr>
        <w:shd w:val="clear"/>
        <w:jc w:val="center"/>
        <w:outlineLvl w:val="1"/>
        <w:rPr>
          <w:rFonts w:hint="eastAsia" w:ascii="宋体" w:hAnsi="宋体" w:eastAsia="宋体" w:cs="宋体"/>
          <w:b/>
          <w:color w:val="auto"/>
          <w:sz w:val="36"/>
          <w:szCs w:val="36"/>
          <w:highlight w:val="none"/>
          <w:lang w:val="zh-CN"/>
        </w:rPr>
      </w:pPr>
      <w:bookmarkStart w:id="355" w:name="_Toc26459"/>
      <w:r>
        <w:rPr>
          <w:rFonts w:hint="eastAsia" w:ascii="宋体" w:hAnsi="宋体" w:eastAsia="宋体" w:cs="宋体"/>
          <w:b/>
          <w:color w:val="auto"/>
          <w:sz w:val="36"/>
          <w:szCs w:val="36"/>
          <w:highlight w:val="none"/>
          <w:lang w:val="zh-CN"/>
        </w:rPr>
        <w:t>清远市建设工程施工招标投标书</w:t>
      </w:r>
      <w:bookmarkEnd w:id="355"/>
    </w:p>
    <w:tbl>
      <w:tblPr>
        <w:tblStyle w:val="20"/>
        <w:tblpPr w:leftFromText="180" w:rightFromText="180" w:vertAnchor="text" w:horzAnchor="margin" w:tblpXSpec="center" w:tblpY="2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20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工 程 名 称</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48" w:type="dxa"/>
            <w:vMerge w:val="restart"/>
            <w:tcBorders>
              <w:top w:val="single" w:color="auto" w:sz="4" w:space="0"/>
              <w:left w:val="single" w:color="auto" w:sz="4" w:space="0"/>
              <w:right w:val="single" w:color="auto" w:sz="4" w:space="0"/>
            </w:tcBorders>
            <w:noWrap w:val="0"/>
            <w:vAlign w:val="center"/>
          </w:tcPr>
          <w:p>
            <w:pPr>
              <w:pStyle w:val="62"/>
              <w:shd w:val="clear"/>
              <w:ind w:left="0" w:leftChars="0"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投标</w:t>
            </w:r>
            <w:r>
              <w:rPr>
                <w:rFonts w:hint="eastAsia" w:ascii="宋体" w:hAnsi="宋体" w:eastAsia="宋体" w:cs="宋体"/>
                <w:color w:val="auto"/>
                <w:kern w:val="2"/>
                <w:sz w:val="24"/>
                <w:szCs w:val="24"/>
                <w:highlight w:val="none"/>
                <w:lang w:val="en-US" w:eastAsia="zh-CN" w:bidi="ar-SA"/>
              </w:rPr>
              <w:t>下浮率</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pStyle w:val="62"/>
              <w:shd w:val="clear"/>
              <w:ind w:left="0" w:leftChars="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val="en-US" w:eastAsia="zh-CN"/>
              </w:rPr>
              <w:t>百分之</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48" w:type="dxa"/>
            <w:vMerge w:val="continue"/>
            <w:tcBorders>
              <w:left w:val="single" w:color="auto" w:sz="4" w:space="0"/>
              <w:bottom w:val="single" w:color="auto" w:sz="4" w:space="0"/>
              <w:right w:val="single" w:color="auto" w:sz="4" w:space="0"/>
            </w:tcBorders>
            <w:noWrap w:val="0"/>
            <w:vAlign w:val="center"/>
          </w:tcPr>
          <w:p>
            <w:pPr>
              <w:pStyle w:val="62"/>
              <w:shd w:val="clear"/>
              <w:ind w:firstLine="420" w:firstLineChars="0"/>
              <w:rPr>
                <w:rFonts w:hint="eastAsia" w:ascii="宋体" w:hAnsi="宋体" w:eastAsia="宋体" w:cs="宋体"/>
                <w:color w:val="auto"/>
                <w:sz w:val="24"/>
                <w:szCs w:val="24"/>
                <w:highlight w:val="none"/>
                <w:lang w:val="zh-CN"/>
              </w:rPr>
            </w:pP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pStyle w:val="62"/>
              <w:shd w:val="clear"/>
              <w:ind w:left="0" w:leftChars="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348"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投标总报价（元）</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rPr>
                <w:rFonts w:ascii="宋体" w:hAnsi="宋体" w:eastAsia="宋体" w:cs="宋体"/>
                <w:bCs/>
                <w:color w:val="auto"/>
                <w:sz w:val="24"/>
                <w:szCs w:val="24"/>
                <w:highlight w:val="none"/>
                <w:lang w:val="zh-CN"/>
              </w:rPr>
            </w:pPr>
            <w:r>
              <w:rPr>
                <w:rFonts w:hint="eastAsia" w:ascii="宋体" w:hAnsi="宋体" w:eastAsia="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jc w:val="left"/>
              <w:rPr>
                <w:rFonts w:ascii="宋体" w:hAnsi="宋体" w:eastAsia="宋体" w:cs="宋体"/>
                <w:bCs/>
                <w:color w:val="auto"/>
                <w:sz w:val="24"/>
                <w:szCs w:val="24"/>
                <w:highlight w:val="none"/>
                <w:lang w:val="zh-CN"/>
              </w:rPr>
            </w:pP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rPr>
                <w:rFonts w:ascii="宋体" w:hAnsi="宋体" w:eastAsia="宋体" w:cs="宋体"/>
                <w:bCs/>
                <w:color w:val="auto"/>
                <w:sz w:val="24"/>
                <w:szCs w:val="24"/>
                <w:highlight w:val="none"/>
                <w:lang w:val="zh-CN"/>
              </w:rPr>
            </w:pPr>
            <w:r>
              <w:rPr>
                <w:rFonts w:hint="eastAsia" w:ascii="宋体" w:hAnsi="宋体" w:eastAsia="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 标 总工期</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lang w:val="zh-CN"/>
              </w:rPr>
              <w:t>工程质量标准</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348"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ind w:firstLine="710" w:firstLineChars="296"/>
              <w:jc w:val="both"/>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保 修 期 限</w:t>
            </w:r>
          </w:p>
        </w:tc>
        <w:tc>
          <w:tcPr>
            <w:tcW w:w="6031" w:type="dxa"/>
            <w:gridSpan w:val="2"/>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348"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委派的项目负责人</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shd w:val="clea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ascii="宋体" w:hAnsi="宋体" w:eastAsia="宋体" w:cs="宋体"/>
                <w:bCs/>
                <w:color w:val="auto"/>
                <w:sz w:val="24"/>
                <w:szCs w:val="24"/>
                <w:highlight w:val="none"/>
                <w:lang w:val="zh-CN"/>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shd w:val="clea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48"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ind w:firstLine="235" w:firstLineChars="98"/>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委派的安全员</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ind w:firstLine="352" w:firstLineChars="147"/>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shd w:val="clear"/>
              <w:rPr>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jc w:val="left"/>
              <w:rPr>
                <w:rFonts w:ascii="宋体" w:hAnsi="宋体" w:eastAsia="宋体" w:cs="宋体"/>
                <w:bCs/>
                <w:color w:val="auto"/>
                <w:sz w:val="24"/>
                <w:szCs w:val="24"/>
                <w:highlight w:val="none"/>
                <w:lang w:val="zh-CN"/>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安全生产考核</w:t>
            </w:r>
          </w:p>
          <w:p>
            <w:pPr>
              <w:shd w:val="clear"/>
              <w:autoSpaceDE w:val="0"/>
              <w:autoSpaceDN w:val="0"/>
              <w:adjustRightInd w:val="0"/>
              <w:jc w:val="center"/>
              <w:rPr>
                <w:rFonts w:ascii="宋体" w:hAnsi="宋体" w:eastAsia="宋体" w:cs="宋体"/>
                <w:bCs/>
                <w:color w:val="auto"/>
                <w:sz w:val="24"/>
                <w:szCs w:val="24"/>
                <w:highlight w:val="none"/>
                <w:lang w:val="zh-CN"/>
              </w:rPr>
            </w:pPr>
            <w:r>
              <w:rPr>
                <w:rFonts w:hint="eastAsia" w:ascii="宋体" w:hAnsi="宋体" w:eastAsia="宋体"/>
                <w:color w:val="auto"/>
                <w:sz w:val="24"/>
                <w:szCs w:val="24"/>
                <w:highlight w:val="none"/>
              </w:rPr>
              <w:t>合格证（C类）编号</w:t>
            </w:r>
          </w:p>
        </w:tc>
        <w:tc>
          <w:tcPr>
            <w:tcW w:w="3823" w:type="dxa"/>
            <w:tcBorders>
              <w:top w:val="single" w:color="auto" w:sz="4" w:space="0"/>
              <w:left w:val="single" w:color="auto" w:sz="4" w:space="0"/>
              <w:bottom w:val="single" w:color="auto" w:sz="4" w:space="0"/>
              <w:right w:val="single" w:color="auto" w:sz="4" w:space="0"/>
            </w:tcBorders>
            <w:noWrap w:val="0"/>
            <w:vAlign w:val="center"/>
          </w:tcPr>
          <w:p>
            <w:pPr>
              <w:shd w:val="clear"/>
              <w:rPr>
                <w:color w:val="auto"/>
                <w:highlight w:val="none"/>
                <w:lang w:val="zh-CN"/>
              </w:rPr>
            </w:pPr>
          </w:p>
        </w:tc>
      </w:tr>
    </w:tbl>
    <w:p>
      <w:pPr>
        <w:shd w:val="clear"/>
        <w:autoSpaceDE w:val="0"/>
        <w:autoSpaceDN w:val="0"/>
        <w:adjustRightInd w:val="0"/>
        <w:rPr>
          <w:rFonts w:hint="eastAsia" w:ascii="宋体" w:hAnsi="宋体" w:eastAsia="宋体" w:cs="宋体"/>
          <w:color w:val="auto"/>
          <w:szCs w:val="21"/>
          <w:highlight w:val="none"/>
          <w:lang w:val="zh-CN"/>
        </w:rPr>
      </w:pPr>
    </w:p>
    <w:p>
      <w:pPr>
        <w:shd w:val="clear"/>
        <w:autoSpaceDE w:val="0"/>
        <w:autoSpaceDN w:val="0"/>
        <w:adjustRightInd w:val="0"/>
        <w:rPr>
          <w:rFonts w:hint="eastAsia" w:ascii="宋体" w:hAnsi="宋体" w:eastAsia="宋体" w:cs="宋体"/>
          <w:color w:val="auto"/>
          <w:szCs w:val="21"/>
          <w:highlight w:val="none"/>
          <w:lang w:val="zh-CN"/>
        </w:rPr>
      </w:pPr>
    </w:p>
    <w:p>
      <w:pPr>
        <w:shd w:val="clear"/>
        <w:spacing w:line="360" w:lineRule="auto"/>
        <w:rPr>
          <w:rFonts w:hint="eastAsia" w:ascii="宋体" w:hAnsi="宋体" w:eastAsia="宋体" w:cs="宋体"/>
          <w:color w:val="FF0000"/>
          <w:sz w:val="24"/>
          <w:szCs w:val="24"/>
          <w:highlight w:val="none"/>
          <w:lang w:val="zh-CN"/>
        </w:rPr>
      </w:pPr>
    </w:p>
    <w:p>
      <w:pPr>
        <w:pStyle w:val="51"/>
        <w:shd w:val="clear"/>
        <w:autoSpaceDE w:val="0"/>
        <w:autoSpaceDN w:val="0"/>
        <w:spacing w:line="420" w:lineRule="auto"/>
        <w:jc w:val="right"/>
        <w:rPr>
          <w:rFonts w:hint="eastAsia" w:ascii="宋体" w:hAnsi="宋体"/>
          <w:color w:val="auto"/>
          <w:sz w:val="24"/>
          <w:szCs w:val="21"/>
          <w:highlight w:val="none"/>
        </w:rPr>
      </w:pPr>
      <w:r>
        <w:rPr>
          <w:rFonts w:hint="eastAsia" w:ascii="宋体" w:hAnsi="宋体" w:eastAsia="宋体" w:cs="宋体"/>
          <w:color w:val="auto"/>
          <w:szCs w:val="21"/>
          <w:highlight w:val="none"/>
        </w:rPr>
        <w:t xml:space="preserve"> </w:t>
      </w:r>
      <w:r>
        <w:rPr>
          <w:rFonts w:hint="eastAsia" w:ascii="宋体" w:hAnsi="宋体"/>
          <w:color w:val="auto"/>
          <w:sz w:val="24"/>
          <w:szCs w:val="21"/>
          <w:highlight w:val="none"/>
        </w:rPr>
        <w:t>投  标  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（盖单位公章）</w:t>
      </w:r>
    </w:p>
    <w:p>
      <w:pPr>
        <w:pStyle w:val="51"/>
        <w:shd w:val="clear"/>
        <w:autoSpaceDE w:val="0"/>
        <w:autoSpaceDN w:val="0"/>
        <w:spacing w:line="420" w:lineRule="auto"/>
        <w:jc w:val="right"/>
        <w:rPr>
          <w:rFonts w:hint="eastAsia" w:ascii="宋体" w:hAnsi="宋体"/>
          <w:color w:val="auto"/>
          <w:sz w:val="24"/>
          <w:szCs w:val="21"/>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投标日期：   年  月  日</w:t>
      </w:r>
    </w:p>
    <w:p>
      <w:pPr>
        <w:shd w:val="clea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br w:type="page"/>
      </w:r>
    </w:p>
    <w:p>
      <w:pPr>
        <w:shd w:val="clear"/>
        <w:jc w:val="center"/>
        <w:outlineLvl w:val="1"/>
        <w:rPr>
          <w:rFonts w:hint="eastAsia" w:ascii="宋体" w:hAnsi="宋体" w:eastAsia="宋体" w:cs="宋体"/>
          <w:b/>
          <w:color w:val="auto"/>
          <w:sz w:val="36"/>
          <w:szCs w:val="36"/>
          <w:highlight w:val="none"/>
        </w:rPr>
      </w:pPr>
      <w:bookmarkStart w:id="356" w:name="_Toc2146"/>
      <w:r>
        <w:rPr>
          <w:rFonts w:hint="eastAsia" w:ascii="宋体" w:hAnsi="宋体" w:eastAsia="宋体" w:cs="宋体"/>
          <w:b/>
          <w:color w:val="auto"/>
          <w:sz w:val="36"/>
          <w:szCs w:val="36"/>
          <w:highlight w:val="none"/>
        </w:rPr>
        <w:t>投标申请人声明</w:t>
      </w:r>
      <w:bookmarkEnd w:id="356"/>
    </w:p>
    <w:p>
      <w:pPr>
        <w:pStyle w:val="52"/>
        <w:shd w:val="clear"/>
        <w:spacing w:line="480" w:lineRule="auto"/>
        <w:ind w:firstLine="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本招标项目招标人及招标监管机构：</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本公司就参加</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none"/>
        </w:rPr>
        <w:t>（下称本项目）</w:t>
      </w:r>
      <w:r>
        <w:rPr>
          <w:rFonts w:hint="eastAsia" w:ascii="宋体" w:hAnsi="宋体" w:eastAsia="宋体" w:cs="Times New Roman"/>
          <w:color w:val="auto"/>
          <w:sz w:val="21"/>
          <w:szCs w:val="21"/>
          <w:highlight w:val="none"/>
        </w:rPr>
        <w:t>投标工作，作出郑重声明：</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一、本公司保证本次投标提供的一切材料都是真实的。如我司成为本项目中标候选人，我司同意并授权招标人将我司投标文件商务部分的人员、业绩、奖项等资料进行公开。</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二、本公司保证在本项目投标中不与其他单位围标、串标，不出让投标资格，不向招标人、招标代理或评标委员会成员行贿。</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rPr>
        <w:t>、本公司不存在下列情形之一：</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（1）为招标人不具有独立法人资格的附属机构（单位）；</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（2）为本招标项目前期准备提供设计或咨询服务的；</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（3）与本招标项目的其他投标人为同一个单位负责人；</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（4）与本招标项目的其他投标人存在控股、管理关系；</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（5）为本招标项目的监理人；</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（6）为本招标项目的代建人；</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（7）为本招标项目的招标代理机构；</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（8）与本招标项目的监理人或代建人或招标代理机构同为一个法定代表人；</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（9）与本招标项目的监理人或代建人或招标代理机构存在控股或参股关系；</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（10）与本招标项目的监理人或代建人或招标代理机构存在相互任职或工作关系；</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（11）被本市各级住建部门依法暂停或者取消投标资格；</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（12）被责令停产停业、暂扣或者吊销许可证、暂扣或者吊销执照；</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（13）进入清算程序，或被宣告破产，或其他丧失履约能力的情形；</w:t>
      </w:r>
    </w:p>
    <w:p>
      <w:pPr>
        <w:pStyle w:val="52"/>
        <w:shd w:val="clear"/>
        <w:spacing w:line="48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（14）最近三年内投标人在“信用中国”网站（https://www.creditchina.gov.cn）中被列入拖欠农民工工资失信联合惩戒对象名单；在“信用清远”网站（</w:t>
      </w:r>
      <w:r>
        <w:rPr>
          <w:rFonts w:hint="eastAsia" w:ascii="宋体" w:hAnsi="宋体" w:eastAsia="宋体" w:cs="Times New Roman"/>
          <w:color w:val="auto"/>
          <w:sz w:val="21"/>
          <w:szCs w:val="21"/>
          <w:highlight w:val="none"/>
          <w:lang w:eastAsia="zh-CN"/>
        </w:rPr>
        <w:t>https://xyqy.gdqy.gov.cn/</w:t>
      </w:r>
      <w:r>
        <w:rPr>
          <w:rFonts w:hint="eastAsia" w:ascii="宋体" w:hAnsi="宋体" w:eastAsia="宋体" w:cs="Times New Roman"/>
          <w:color w:val="auto"/>
          <w:sz w:val="21"/>
          <w:szCs w:val="21"/>
          <w:highlight w:val="none"/>
        </w:rPr>
        <w:t>）的“失信黑名单”中被列入”拖欠农民工工资'黑名单'（清远市）”。</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）法律法规规定的其他情形。</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五</w:t>
      </w:r>
      <w:r>
        <w:rPr>
          <w:rFonts w:hint="eastAsia" w:ascii="宋体" w:hAnsi="宋体" w:eastAsia="宋体" w:cs="Times New Roman"/>
          <w:color w:val="auto"/>
          <w:sz w:val="21"/>
          <w:szCs w:val="21"/>
          <w:highlight w:val="none"/>
        </w:rPr>
        <w:t>、本公司保证本项目拟派的项目负责人没有在其他在建项目中任职</w:t>
      </w:r>
      <w:r>
        <w:rPr>
          <w:rFonts w:hint="eastAsia" w:ascii="宋体" w:hAnsi="宋体" w:eastAsia="宋体" w:cs="Times New Roman"/>
          <w:color w:val="auto"/>
          <w:sz w:val="21"/>
          <w:szCs w:val="21"/>
          <w:highlight w:val="none"/>
          <w:lang w:eastAsia="zh-CN"/>
        </w:rPr>
        <w:t>。没有在其他在建项目中任职，是指:自本《投标人声明》载明的盖章落款日期之日起，至本公司收到招标人退还的投标担保之日止，本项目拟派的项目负责人未</w:t>
      </w:r>
      <w:r>
        <w:rPr>
          <w:rFonts w:hint="eastAsia" w:ascii="宋体" w:hAnsi="宋体" w:eastAsia="宋体" w:cs="Times New Roman"/>
          <w:color w:val="auto"/>
          <w:sz w:val="21"/>
          <w:szCs w:val="21"/>
          <w:highlight w:val="none"/>
        </w:rPr>
        <w:t>在其他项目中任职所有岗位</w:t>
      </w:r>
      <w:r>
        <w:rPr>
          <w:rFonts w:hint="eastAsia" w:ascii="宋体" w:hAnsi="宋体" w:eastAsia="宋体" w:cs="Times New Roman"/>
          <w:color w:val="auto"/>
          <w:sz w:val="21"/>
          <w:szCs w:val="21"/>
          <w:highlight w:val="none"/>
          <w:lang w:eastAsia="zh-CN"/>
        </w:rPr>
        <w:t>，包括但不限于</w:t>
      </w:r>
      <w:r>
        <w:rPr>
          <w:rFonts w:hint="eastAsia" w:ascii="宋体" w:hAnsi="宋体" w:eastAsia="宋体" w:cs="Times New Roman"/>
          <w:color w:val="auto"/>
          <w:sz w:val="21"/>
          <w:szCs w:val="21"/>
          <w:highlight w:val="none"/>
        </w:rPr>
        <w:t>任职项目负责人。</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六</w:t>
      </w:r>
      <w:r>
        <w:rPr>
          <w:rFonts w:hint="eastAsia" w:ascii="宋体" w:hAnsi="宋体" w:eastAsia="宋体" w:cs="Times New Roman"/>
          <w:color w:val="auto"/>
          <w:sz w:val="21"/>
          <w:szCs w:val="21"/>
          <w:highlight w:val="none"/>
        </w:rPr>
        <w:t>、本公司承诺，中标后不转包或违法分包，在施工过程中，严格执行安全生产相关管理规定；</w:t>
      </w:r>
      <w:r>
        <w:rPr>
          <w:rFonts w:hint="eastAsia" w:ascii="宋体" w:hAnsi="宋体" w:eastAsia="宋体" w:cs="Times New Roman"/>
          <w:color w:val="auto"/>
          <w:sz w:val="21"/>
          <w:szCs w:val="21"/>
          <w:highlight w:val="none"/>
          <w:lang w:eastAsia="zh-CN"/>
        </w:rPr>
        <w:t>严格落实《保障农民工工资支付条例》和省、市的规章制度要求，通过工资专户直接发放农民工工资，按要求缴交工人工资保证金、设立维权信息告示牌</w:t>
      </w:r>
      <w:r>
        <w:rPr>
          <w:rFonts w:hint="eastAsia" w:ascii="宋体" w:hAnsi="宋体" w:eastAsia="宋体" w:cs="Times New Roman"/>
          <w:color w:val="auto"/>
          <w:sz w:val="21"/>
          <w:szCs w:val="21"/>
          <w:highlight w:val="none"/>
        </w:rPr>
        <w:t>。</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七</w:t>
      </w:r>
      <w:r>
        <w:rPr>
          <w:rFonts w:hint="eastAsia" w:ascii="宋体" w:hAnsi="宋体" w:eastAsia="宋体" w:cs="Times New Roman"/>
          <w:color w:val="auto"/>
          <w:sz w:val="21"/>
          <w:szCs w:val="21"/>
          <w:highlight w:val="none"/>
        </w:rPr>
        <w:t>、本公司承诺，中标后将利用信息技术手段，采用人脸、指纹、虹膜等生物识别技术进行电子打卡，实施考勤管理，对施工现场人员建立基本信息档案、实行实名制管理的制度并完成工资支付，切实落实国家、省、市等关于用工实名制和工人工资支付分账管理的各项规定。我公司对实名制管理负总责。若本项目在经招标人认可后，部分专业工程依法分包或实行劳务分包的，我公司对专业分包企业和劳务分包企业实施统一管理，监督</w:t>
      </w:r>
      <w:r>
        <w:rPr>
          <w:rFonts w:hint="eastAsia" w:ascii="宋体" w:hAnsi="宋体" w:eastAsia="宋体" w:cs="Times New Roman"/>
          <w:color w:val="auto"/>
          <w:sz w:val="21"/>
          <w:szCs w:val="21"/>
          <w:highlight w:val="none"/>
          <w:lang w:val="en-US" w:eastAsia="zh-CN"/>
        </w:rPr>
        <w:t>该</w:t>
      </w:r>
      <w:r>
        <w:rPr>
          <w:rFonts w:hint="eastAsia" w:ascii="宋体" w:hAnsi="宋体" w:eastAsia="宋体" w:cs="Times New Roman"/>
          <w:color w:val="auto"/>
          <w:sz w:val="21"/>
          <w:szCs w:val="21"/>
          <w:highlight w:val="none"/>
        </w:rPr>
        <w:t>用工企业按时足额支付作业工人工资，督促落实实名制管理制度。本公司接受招标人及建设行政主管部门的监督、检查。（适用于施工总承包招标项目）。</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八</w:t>
      </w:r>
      <w:r>
        <w:rPr>
          <w:rFonts w:hint="eastAsia" w:ascii="宋体" w:hAnsi="宋体" w:eastAsia="宋体" w:cs="Times New Roman"/>
          <w:color w:val="auto"/>
          <w:sz w:val="21"/>
          <w:szCs w:val="21"/>
          <w:highlight w:val="none"/>
        </w:rPr>
        <w:t>、与本公司单位负责人为同一人或者与本公司存在控股、管理关系的其他单位包括：</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。（注：本条由投标人如实填写，如有，应列出全部满足招标公告资质要求的相关单位的名称；如无，则填写“无”。）</w:t>
      </w:r>
    </w:p>
    <w:p>
      <w:pPr>
        <w:pStyle w:val="52"/>
        <w:shd w:val="clear"/>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九</w:t>
      </w:r>
      <w:r>
        <w:rPr>
          <w:rFonts w:hint="eastAsia" w:ascii="宋体" w:hAnsi="宋体" w:eastAsia="宋体" w:cs="Times New Roman"/>
          <w:color w:val="auto"/>
          <w:sz w:val="21"/>
          <w:szCs w:val="21"/>
          <w:highlight w:val="none"/>
        </w:rPr>
        <w:t>、本公司承诺，中标后，拟派专职安全员能满足施工报建及到岗要求。</w:t>
      </w:r>
    </w:p>
    <w:p>
      <w:pPr>
        <w:pStyle w:val="52"/>
        <w:shd w:val="clear"/>
        <w:spacing w:line="480" w:lineRule="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十、</w:t>
      </w:r>
      <w:r>
        <w:rPr>
          <w:rFonts w:hint="eastAsia" w:ascii="宋体" w:hAnsi="宋体" w:eastAsia="宋体" w:cs="Times New Roman"/>
          <w:color w:val="auto"/>
          <w:sz w:val="21"/>
          <w:szCs w:val="21"/>
          <w:highlight w:val="none"/>
        </w:rPr>
        <w:t>本公司违反上述保证，或本声明陈述与事实不符，经查实，本公司愿意接受公开通报，承担由此带来的法律后果，并愿意停止参加</w:t>
      </w:r>
      <w:r>
        <w:rPr>
          <w:rFonts w:hint="eastAsia" w:ascii="宋体" w:hAnsi="宋体" w:eastAsia="宋体" w:cs="Times New Roman"/>
          <w:color w:val="auto"/>
          <w:sz w:val="21"/>
          <w:szCs w:val="21"/>
          <w:highlight w:val="none"/>
          <w:lang w:eastAsia="zh-CN"/>
        </w:rPr>
        <w:t>清远</w:t>
      </w:r>
      <w:r>
        <w:rPr>
          <w:rFonts w:hint="eastAsia" w:ascii="宋体" w:hAnsi="宋体" w:eastAsia="宋体" w:cs="Times New Roman"/>
          <w:color w:val="auto"/>
          <w:sz w:val="21"/>
          <w:szCs w:val="21"/>
          <w:highlight w:val="none"/>
        </w:rPr>
        <w:t>市行政区域内的招标投标活动三个月。其中，本声明陈述与事实不符的，</w:t>
      </w:r>
      <w:r>
        <w:rPr>
          <w:rFonts w:hint="eastAsia" w:ascii="宋体" w:hAnsi="宋体" w:eastAsia="宋体" w:cs="Times New Roman"/>
          <w:color w:val="auto"/>
          <w:sz w:val="21"/>
          <w:szCs w:val="21"/>
          <w:highlight w:val="none"/>
          <w:lang w:eastAsia="zh-CN"/>
        </w:rPr>
        <w:t>本公司愿意接受被取消中标候选</w:t>
      </w:r>
      <w:r>
        <w:rPr>
          <w:rFonts w:hint="eastAsia" w:ascii="宋体" w:hAnsi="宋体" w:eastAsia="宋体" w:cs="Times New Roman"/>
          <w:color w:val="auto"/>
          <w:sz w:val="21"/>
          <w:szCs w:val="21"/>
          <w:highlight w:val="none"/>
          <w:lang w:val="en-US" w:eastAsia="zh-CN"/>
        </w:rPr>
        <w:t>人</w:t>
      </w:r>
      <w:r>
        <w:rPr>
          <w:rFonts w:hint="eastAsia" w:ascii="宋体" w:hAnsi="宋体" w:eastAsia="宋体" w:cs="Times New Roman"/>
          <w:color w:val="auto"/>
          <w:sz w:val="21"/>
          <w:szCs w:val="21"/>
          <w:highlight w:val="none"/>
          <w:lang w:eastAsia="zh-CN"/>
        </w:rPr>
        <w:t>资格，接受投标担保不予退还，涉及违法的还</w:t>
      </w:r>
      <w:r>
        <w:rPr>
          <w:rFonts w:hint="eastAsia" w:ascii="宋体" w:hAnsi="宋体" w:eastAsia="宋体" w:cs="Times New Roman"/>
          <w:color w:val="auto"/>
          <w:sz w:val="21"/>
          <w:szCs w:val="21"/>
          <w:highlight w:val="none"/>
        </w:rPr>
        <w:t>将依法接受监管部门的处罚。</w:t>
      </w:r>
    </w:p>
    <w:p>
      <w:pPr>
        <w:pStyle w:val="52"/>
        <w:shd w:val="clear"/>
        <w:spacing w:line="48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特此声明</w:t>
      </w:r>
      <w:r>
        <w:rPr>
          <w:rFonts w:hint="eastAsia" w:ascii="宋体" w:hAnsi="宋体" w:eastAsia="宋体" w:cs="Times New Roman"/>
          <w:color w:val="auto"/>
          <w:sz w:val="21"/>
          <w:szCs w:val="21"/>
          <w:highlight w:val="none"/>
          <w:lang w:eastAsia="zh-CN"/>
        </w:rPr>
        <w:t>！</w:t>
      </w:r>
    </w:p>
    <w:p>
      <w:pPr>
        <w:pStyle w:val="53"/>
        <w:shd w:val="clear"/>
        <w:spacing w:line="480" w:lineRule="auto"/>
        <w:ind w:left="629" w:right="1449"/>
        <w:jc w:val="both"/>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 xml:space="preserve">           声明企业（</w:t>
      </w:r>
      <w:r>
        <w:rPr>
          <w:rFonts w:hint="eastAsia" w:ascii="宋体" w:hAnsi="宋体" w:eastAsia="宋体" w:cs="Times New Roman"/>
          <w:color w:val="auto"/>
          <w:sz w:val="21"/>
          <w:szCs w:val="21"/>
          <w:highlight w:val="none"/>
          <w:lang w:val="en-US" w:eastAsia="zh-CN"/>
        </w:rPr>
        <w:t>加盖</w:t>
      </w:r>
      <w:r>
        <w:rPr>
          <w:rFonts w:hint="eastAsia" w:ascii="宋体" w:hAnsi="宋体" w:eastAsia="宋体" w:cs="Times New Roman"/>
          <w:color w:val="auto"/>
          <w:sz w:val="21"/>
          <w:szCs w:val="21"/>
          <w:highlight w:val="none"/>
        </w:rPr>
        <w:t>企业公章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w:t>
      </w:r>
    </w:p>
    <w:p>
      <w:pPr>
        <w:pStyle w:val="52"/>
        <w:shd w:val="clear"/>
        <w:spacing w:line="480" w:lineRule="auto"/>
        <w:ind w:right="1179" w:firstLine="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法定代表人签字：</w:t>
      </w:r>
    </w:p>
    <w:p>
      <w:pPr>
        <w:pStyle w:val="52"/>
        <w:shd w:val="clear"/>
        <w:spacing w:line="480" w:lineRule="auto"/>
        <w:ind w:right="1179" w:firstLine="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eastAsia="zh-CN"/>
        </w:rPr>
        <w:t>拟派的</w:t>
      </w:r>
      <w:r>
        <w:rPr>
          <w:rFonts w:hint="eastAsia" w:ascii="宋体" w:hAnsi="宋体" w:eastAsia="宋体" w:cs="Times New Roman"/>
          <w:color w:val="auto"/>
          <w:sz w:val="21"/>
          <w:szCs w:val="21"/>
          <w:highlight w:val="none"/>
        </w:rPr>
        <w:t>项目负责人签字:</w:t>
      </w:r>
    </w:p>
    <w:p>
      <w:pPr>
        <w:pStyle w:val="52"/>
        <w:shd w:val="clear"/>
        <w:spacing w:line="480" w:lineRule="auto"/>
        <w:ind w:right="879" w:firstLine="1890" w:firstLineChars="9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val="en-US" w:eastAsia="zh-CN"/>
        </w:rPr>
        <w:t xml:space="preserve">日期：  </w:t>
      </w:r>
      <w:r>
        <w:rPr>
          <w:rFonts w:hint="eastAsia" w:ascii="宋体" w:hAnsi="宋体" w:eastAsia="宋体" w:cs="Times New Roman"/>
          <w:color w:val="auto"/>
          <w:sz w:val="21"/>
          <w:szCs w:val="21"/>
          <w:highlight w:val="none"/>
        </w:rPr>
        <w:t>年</w:t>
      </w: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月</w:t>
      </w: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日</w:t>
      </w:r>
    </w:p>
    <w:p>
      <w:pPr>
        <w:shd w:val="clear"/>
        <w:spacing w:line="24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注：招标人应当要求投标人的项目负责人签字。 </w:t>
      </w:r>
      <w:r>
        <w:rPr>
          <w:rFonts w:hint="eastAsia" w:ascii="宋体" w:hAnsi="宋体" w:eastAsia="宋体" w:cs="Times New Roman"/>
          <w:b/>
          <w:bCs/>
          <w:color w:val="auto"/>
          <w:szCs w:val="21"/>
          <w:highlight w:val="none"/>
        </w:rPr>
        <w:t>投标人须对所提交的声明内容的真实性和准确性负责，并且仅作为评标委员会的评标参考，但不作为最终评审依据。评标委员会及招标人有权就投标人提交的声明内容的真实性和准确性作进一步的调查核实，如发现与事实不符，则否决其投标，同时投标人还须承担因涉嫌提交资料内容不实所造成的一切后果。</w:t>
      </w:r>
    </w:p>
    <w:p>
      <w:pPr>
        <w:widowControl/>
        <w:shd w:val="clear"/>
        <w:spacing w:line="240" w:lineRule="auto"/>
        <w:jc w:val="left"/>
        <w:rPr>
          <w:rFonts w:ascii="宋体" w:hAnsi="宋体" w:eastAsia="宋体"/>
          <w:color w:val="auto"/>
          <w:kern w:val="0"/>
          <w:sz w:val="24"/>
          <w:szCs w:val="24"/>
          <w:highlight w:val="none"/>
        </w:rPr>
        <w:sectPr>
          <w:endnotePr>
            <w:numFmt w:val="decimal"/>
          </w:endnotePr>
          <w:pgSz w:w="11907" w:h="16840"/>
          <w:pgMar w:top="1134" w:right="1134" w:bottom="1134" w:left="1134" w:header="851" w:footer="907" w:gutter="283"/>
          <w:cols w:space="0" w:num="1"/>
          <w:rtlGutter w:val="0"/>
          <w:docGrid w:linePitch="0" w:charSpace="0"/>
        </w:sectPr>
      </w:pPr>
    </w:p>
    <w:p>
      <w:pPr>
        <w:pStyle w:val="3"/>
        <w:shd w:val="clear"/>
        <w:jc w:val="center"/>
        <w:rPr>
          <w:rFonts w:hint="eastAsia" w:ascii="宋体" w:eastAsia="宋体"/>
          <w:color w:val="auto"/>
          <w:highlight w:val="none"/>
        </w:rPr>
      </w:pPr>
      <w:bookmarkStart w:id="357" w:name="_Toc22728"/>
      <w:bookmarkStart w:id="358" w:name="_Toc23979"/>
      <w:r>
        <w:rPr>
          <w:rFonts w:hint="eastAsia" w:ascii="宋体" w:eastAsia="宋体"/>
          <w:color w:val="auto"/>
          <w:highlight w:val="none"/>
        </w:rPr>
        <w:t>第五章  技术条件（工程建设标准）</w:t>
      </w:r>
      <w:bookmarkEnd w:id="357"/>
      <w:bookmarkEnd w:id="358"/>
    </w:p>
    <w:p>
      <w:pPr>
        <w:shd w:val="clear"/>
        <w:rPr>
          <w:rFonts w:hint="eastAsia" w:ascii="宋体" w:hAnsi="宋体" w:eastAsia="宋体"/>
          <w:color w:val="auto"/>
          <w:sz w:val="24"/>
          <w:szCs w:val="24"/>
          <w:highlight w:val="none"/>
        </w:rPr>
      </w:pPr>
    </w:p>
    <w:p>
      <w:pPr>
        <w:shd w:val="clea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本章由招标人根据国家行业和地方现行标准、规范和规程等，以及项目具体情况自行制定。</w:t>
      </w:r>
    </w:p>
    <w:p>
      <w:pPr>
        <w:shd w:val="clear"/>
        <w:rPr>
          <w:rFonts w:ascii="宋体" w:hAnsi="宋体" w:eastAsia="宋体"/>
          <w:color w:val="auto"/>
          <w:sz w:val="24"/>
          <w:szCs w:val="24"/>
          <w:highlight w:val="none"/>
        </w:rPr>
      </w:pPr>
    </w:p>
    <w:p>
      <w:pPr>
        <w:shd w:val="clear"/>
        <w:rPr>
          <w:rFonts w:hint="eastAsia" w:ascii="宋体" w:hAnsi="宋体" w:eastAsia="宋体"/>
          <w:color w:val="auto"/>
          <w:szCs w:val="21"/>
          <w:highlight w:val="none"/>
        </w:rPr>
      </w:pPr>
    </w:p>
    <w:p>
      <w:pPr>
        <w:shd w:val="clear"/>
        <w:rPr>
          <w:rFonts w:hint="eastAsia" w:ascii="宋体" w:hAnsi="宋体" w:eastAsia="宋体"/>
          <w:color w:val="auto"/>
          <w:highlight w:val="none"/>
        </w:rPr>
      </w:pPr>
      <w:r>
        <w:rPr>
          <w:rFonts w:ascii="宋体" w:hAnsi="宋体" w:eastAsia="宋体"/>
          <w:color w:val="auto"/>
          <w:szCs w:val="21"/>
          <w:highlight w:val="none"/>
        </w:rPr>
        <w:br w:type="page"/>
      </w:r>
    </w:p>
    <w:p>
      <w:pPr>
        <w:pStyle w:val="3"/>
        <w:shd w:val="clear"/>
        <w:jc w:val="center"/>
        <w:rPr>
          <w:rFonts w:hint="eastAsia" w:ascii="宋体" w:eastAsia="宋体"/>
          <w:color w:val="auto"/>
          <w:highlight w:val="none"/>
        </w:rPr>
      </w:pPr>
      <w:bookmarkStart w:id="359" w:name="_Toc29270"/>
      <w:bookmarkStart w:id="360" w:name="_Toc32341"/>
      <w:r>
        <w:rPr>
          <w:rFonts w:hint="eastAsia" w:ascii="宋体" w:eastAsia="宋体"/>
          <w:color w:val="auto"/>
          <w:highlight w:val="none"/>
        </w:rPr>
        <w:t>第六章  图纸及勘察资料</w:t>
      </w:r>
      <w:bookmarkEnd w:id="359"/>
      <w:bookmarkEnd w:id="360"/>
    </w:p>
    <w:p>
      <w:pPr>
        <w:shd w:val="clear"/>
        <w:rPr>
          <w:rFonts w:hint="eastAsia" w:ascii="宋体" w:hAnsi="宋体" w:eastAsia="宋体"/>
          <w:color w:val="auto"/>
          <w:sz w:val="24"/>
          <w:szCs w:val="24"/>
          <w:highlight w:val="none"/>
        </w:rPr>
      </w:pPr>
    </w:p>
    <w:p>
      <w:pPr>
        <w:shd w:val="clear"/>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（登录</w:t>
      </w:r>
      <w:r>
        <w:rPr>
          <w:rFonts w:hint="eastAsia" w:ascii="宋体" w:hAnsi="宋体" w:eastAsia="宋体"/>
          <w:bCs/>
          <w:color w:val="auto"/>
          <w:sz w:val="24"/>
          <w:szCs w:val="24"/>
          <w:highlight w:val="none"/>
          <w:lang w:eastAsia="zh-CN"/>
        </w:rPr>
        <w:t>广州公共资源交易中心网</w:t>
      </w:r>
      <w:r>
        <w:rPr>
          <w:rFonts w:hint="eastAsia" w:ascii="宋体" w:hAnsi="宋体" w:eastAsia="宋体"/>
          <w:bCs/>
          <w:color w:val="auto"/>
          <w:sz w:val="24"/>
          <w:szCs w:val="24"/>
          <w:highlight w:val="none"/>
        </w:rPr>
        <w:t>下载）</w:t>
      </w:r>
    </w:p>
    <w:p>
      <w:pPr>
        <w:shd w:val="clear"/>
        <w:rPr>
          <w:rFonts w:hint="eastAsia" w:ascii="宋体" w:hAnsi="宋体" w:eastAsia="宋体"/>
          <w:color w:val="auto"/>
          <w:highlight w:val="none"/>
        </w:rPr>
      </w:pPr>
    </w:p>
    <w:p>
      <w:pPr>
        <w:pStyle w:val="19"/>
        <w:shd w:val="clear"/>
        <w:rPr>
          <w:rFonts w:ascii="宋体" w:hAnsi="宋体" w:eastAsia="宋体"/>
          <w:color w:val="auto"/>
          <w:highlight w:val="none"/>
        </w:rPr>
      </w:pPr>
    </w:p>
    <w:p>
      <w:pPr>
        <w:pStyle w:val="19"/>
        <w:shd w:val="clear"/>
        <w:rPr>
          <w:rFonts w:hint="eastAsia" w:ascii="宋体" w:hAnsi="宋体" w:eastAsia="宋体"/>
          <w:color w:val="auto"/>
          <w:highlight w:val="none"/>
        </w:rPr>
      </w:pPr>
    </w:p>
    <w:p>
      <w:pPr>
        <w:pStyle w:val="19"/>
        <w:shd w:val="clear"/>
        <w:rPr>
          <w:rFonts w:hint="eastAsia" w:ascii="宋体" w:hAnsi="宋体" w:eastAsia="宋体"/>
          <w:color w:val="auto"/>
          <w:highlight w:val="none"/>
        </w:rPr>
      </w:pPr>
    </w:p>
    <w:p>
      <w:pPr>
        <w:pStyle w:val="19"/>
        <w:shd w:val="clear"/>
        <w:rPr>
          <w:rFonts w:ascii="宋体" w:hAnsi="宋体" w:eastAsia="宋体"/>
          <w:color w:val="auto"/>
          <w:highlight w:val="none"/>
        </w:rPr>
      </w:pPr>
      <w:r>
        <w:rPr>
          <w:rFonts w:ascii="宋体" w:hAnsi="宋体" w:eastAsia="宋体"/>
          <w:color w:val="auto"/>
          <w:highlight w:val="none"/>
        </w:rPr>
        <w:br w:type="page"/>
      </w:r>
    </w:p>
    <w:p>
      <w:pPr>
        <w:pStyle w:val="3"/>
        <w:shd w:val="clear"/>
        <w:jc w:val="center"/>
        <w:rPr>
          <w:rFonts w:ascii="宋体" w:eastAsia="宋体"/>
          <w:color w:val="auto"/>
          <w:highlight w:val="none"/>
        </w:rPr>
      </w:pPr>
      <w:bookmarkStart w:id="361" w:name="_Toc30861"/>
      <w:bookmarkStart w:id="362" w:name="_Toc30174"/>
      <w:r>
        <w:rPr>
          <w:rFonts w:hint="eastAsia" w:ascii="宋体" w:eastAsia="宋体"/>
          <w:color w:val="auto"/>
          <w:highlight w:val="none"/>
        </w:rPr>
        <w:t>第七章  工程量清单</w:t>
      </w:r>
      <w:bookmarkEnd w:id="361"/>
      <w:bookmarkEnd w:id="362"/>
    </w:p>
    <w:p>
      <w:pPr>
        <w:shd w:val="clear"/>
        <w:rPr>
          <w:rFonts w:hint="eastAsia" w:ascii="宋体" w:hAnsi="宋体" w:eastAsia="宋体"/>
          <w:color w:val="auto"/>
          <w:sz w:val="24"/>
          <w:szCs w:val="24"/>
          <w:highlight w:val="none"/>
        </w:rPr>
      </w:pPr>
    </w:p>
    <w:p>
      <w:pPr>
        <w:shd w:val="clear"/>
        <w:rPr>
          <w:rFonts w:hint="eastAsia" w:ascii="宋体" w:hAnsi="宋体" w:eastAsia="宋体"/>
          <w:color w:val="auto"/>
          <w:sz w:val="24"/>
          <w:szCs w:val="24"/>
          <w:highlight w:val="none"/>
        </w:rPr>
      </w:pPr>
    </w:p>
    <w:p>
      <w:pPr>
        <w:shd w:val="clear"/>
        <w:rPr>
          <w:rFonts w:hint="eastAsia" w:ascii="宋体" w:hAnsi="宋体" w:eastAsia="宋体"/>
          <w:b/>
          <w:color w:val="auto"/>
          <w:sz w:val="24"/>
          <w:szCs w:val="24"/>
          <w:highlight w:val="none"/>
        </w:rPr>
      </w:pPr>
      <w:r>
        <w:rPr>
          <w:rFonts w:hint="eastAsia" w:ascii="宋体" w:hAnsi="宋体" w:eastAsia="宋体"/>
          <w:color w:val="auto"/>
          <w:sz w:val="24"/>
          <w:szCs w:val="24"/>
          <w:highlight w:val="none"/>
        </w:rPr>
        <w:t>注：本章由招标人自行制定。</w:t>
      </w:r>
    </w:p>
    <w:p>
      <w:pPr>
        <w:pStyle w:val="19"/>
        <w:shd w:val="clear"/>
        <w:spacing w:after="0" w:afterLines="0" w:line="360" w:lineRule="auto"/>
        <w:ind w:left="-2" w:leftChars="-1" w:firstLine="960" w:firstLineChars="400"/>
        <w:rPr>
          <w:rFonts w:hint="eastAsia" w:ascii="宋体" w:hAnsi="宋体" w:eastAsia="宋体"/>
          <w:color w:val="auto"/>
          <w:sz w:val="24"/>
          <w:szCs w:val="24"/>
          <w:highlight w:val="none"/>
        </w:rPr>
      </w:pPr>
    </w:p>
    <w:p>
      <w:pPr>
        <w:pStyle w:val="3"/>
        <w:numPr>
          <w:ilvl w:val="0"/>
          <w:numId w:val="0"/>
        </w:numPr>
        <w:shd w:val="clear"/>
        <w:ind w:left="1200" w:leftChars="0" w:hanging="1200" w:firstLineChars="0"/>
        <w:jc w:val="center"/>
        <w:rPr>
          <w:rFonts w:hint="eastAsia" w:ascii="宋体" w:eastAsia="宋体"/>
          <w:color w:val="auto"/>
          <w:highlight w:val="none"/>
        </w:rPr>
      </w:pPr>
      <w:r>
        <w:rPr>
          <w:rFonts w:ascii="宋体" w:eastAsia="宋体"/>
          <w:color w:val="auto"/>
          <w:highlight w:val="none"/>
        </w:rPr>
        <w:br w:type="page"/>
      </w:r>
      <w:bookmarkStart w:id="363" w:name="_Toc31027"/>
      <w:bookmarkStart w:id="364" w:name="_Toc4453"/>
      <w:r>
        <w:rPr>
          <w:rFonts w:hint="eastAsia" w:ascii="宋体" w:eastAsia="宋体"/>
          <w:color w:val="auto"/>
          <w:highlight w:val="none"/>
        </w:rPr>
        <w:t>第</w:t>
      </w:r>
      <w:r>
        <w:rPr>
          <w:rFonts w:hint="eastAsia" w:ascii="宋体" w:eastAsia="宋体"/>
          <w:color w:val="auto"/>
          <w:highlight w:val="none"/>
          <w:lang w:val="en-US" w:eastAsia="zh-CN"/>
        </w:rPr>
        <w:t>八</w:t>
      </w:r>
      <w:r>
        <w:rPr>
          <w:rFonts w:hint="eastAsia" w:ascii="宋体" w:eastAsia="宋体"/>
          <w:color w:val="auto"/>
          <w:highlight w:val="none"/>
        </w:rPr>
        <w:t>章  招标控制价</w:t>
      </w:r>
      <w:bookmarkEnd w:id="363"/>
      <w:bookmarkEnd w:id="364"/>
    </w:p>
    <w:p>
      <w:pPr>
        <w:shd w:val="clear"/>
        <w:spacing w:line="360" w:lineRule="auto"/>
        <w:ind w:firstLine="360" w:firstLineChars="15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注：施工招标工程的招标控制价应当在发出招标文件时发布。</w:t>
      </w:r>
    </w:p>
    <w:p>
      <w:pPr>
        <w:shd w:val="clear"/>
        <w:spacing w:line="360" w:lineRule="auto"/>
        <w:ind w:left="420"/>
        <w:rPr>
          <w:rFonts w:hint="eastAsia" w:ascii="宋体" w:hAnsi="宋体" w:eastAsia="宋体"/>
          <w:color w:val="auto"/>
          <w:sz w:val="24"/>
          <w:szCs w:val="24"/>
          <w:highlight w:val="none"/>
        </w:rPr>
      </w:pPr>
    </w:p>
    <w:p>
      <w:pPr>
        <w:shd w:val="clear"/>
        <w:spacing w:line="360" w:lineRule="auto"/>
        <w:rPr>
          <w:rFonts w:hint="eastAsia" w:ascii="宋体" w:hAnsi="宋体" w:eastAsia="宋体"/>
          <w:strike/>
          <w:color w:val="auto"/>
          <w:sz w:val="24"/>
          <w:szCs w:val="24"/>
          <w:highlight w:val="none"/>
          <w:u w:val="single"/>
        </w:rPr>
      </w:pPr>
    </w:p>
    <w:bookmarkEnd w:id="335"/>
    <w:bookmarkEnd w:id="336"/>
    <w:p>
      <w:pPr>
        <w:shd w:val="clear"/>
        <w:spacing w:line="360" w:lineRule="auto"/>
        <w:rPr>
          <w:strike/>
          <w:color w:val="auto"/>
          <w:highlight w:val="none"/>
        </w:rPr>
      </w:pPr>
    </w:p>
    <w:p>
      <w:pPr>
        <w:shd w:val="clear"/>
        <w:rPr>
          <w:color w:val="auto"/>
          <w:highlight w:val="none"/>
        </w:rPr>
      </w:pPr>
    </w:p>
    <w:p>
      <w:pPr>
        <w:shd w:val="clear"/>
        <w:rPr>
          <w:highlight w:val="none"/>
        </w:rPr>
      </w:pPr>
    </w:p>
    <w:p>
      <w:pPr>
        <w:shd w:val="clear"/>
        <w:rPr>
          <w:highlight w:val="none"/>
        </w:rPr>
      </w:pPr>
    </w:p>
    <w:sectPr>
      <w:pgSz w:w="11907" w:h="16840"/>
      <w:pgMar w:top="1134" w:right="1134" w:bottom="1134" w:left="1134" w:header="851" w:footer="907" w:gutter="283"/>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
    <w:nsid w:val="00000001"/>
    <w:multiLevelType w:val="multilevel"/>
    <w:tmpl w:val="000000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7"/>
    <w:multiLevelType w:val="singleLevel"/>
    <w:tmpl w:val="00000007"/>
    <w:lvl w:ilvl="0" w:tentative="0">
      <w:start w:val="39"/>
      <w:numFmt w:val="decimal"/>
      <w:suff w:val="nothing"/>
      <w:lvlText w:val="%1．"/>
      <w:lvlJc w:val="left"/>
    </w:lvl>
  </w:abstractNum>
  <w:abstractNum w:abstractNumId="3">
    <w:nsid w:val="16EFA85A"/>
    <w:multiLevelType w:val="singleLevel"/>
    <w:tmpl w:val="16EFA85A"/>
    <w:lvl w:ilvl="0" w:tentative="0">
      <w:start w:val="2"/>
      <w:numFmt w:val="decimal"/>
      <w:suff w:val="nothing"/>
      <w:lvlText w:val="%1、"/>
      <w:lvlJc w:val="left"/>
    </w:lvl>
  </w:abstractNum>
  <w:abstractNum w:abstractNumId="4">
    <w:nsid w:val="28B73E07"/>
    <w:multiLevelType w:val="multilevel"/>
    <w:tmpl w:val="28B73E0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0FB6678"/>
    <w:multiLevelType w:val="multilevel"/>
    <w:tmpl w:val="50FB667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4F14447"/>
    <w:multiLevelType w:val="multilevel"/>
    <w:tmpl w:val="64F14447"/>
    <w:lvl w:ilvl="0" w:tentative="0">
      <w:start w:val="1"/>
      <w:numFmt w:val="japaneseCounting"/>
      <w:lvlText w:val="%1、"/>
      <w:lvlJc w:val="left"/>
      <w:pPr>
        <w:tabs>
          <w:tab w:val="left" w:pos="960"/>
        </w:tabs>
        <w:ind w:left="960" w:hanging="48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7579FE"/>
    <w:multiLevelType w:val="multilevel"/>
    <w:tmpl w:val="657579FE"/>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mRhNDE2OTcxZjZhMzNlYzA3MTcwOTMyMjZhZmUifQ=="/>
  </w:docVars>
  <w:rsids>
    <w:rsidRoot w:val="00000000"/>
    <w:rsid w:val="002E3442"/>
    <w:rsid w:val="005A0FB6"/>
    <w:rsid w:val="008B0AED"/>
    <w:rsid w:val="00C93A33"/>
    <w:rsid w:val="00F75A34"/>
    <w:rsid w:val="01197824"/>
    <w:rsid w:val="01EC2C01"/>
    <w:rsid w:val="020955A5"/>
    <w:rsid w:val="03AB1179"/>
    <w:rsid w:val="03B32C42"/>
    <w:rsid w:val="03B91F1D"/>
    <w:rsid w:val="03D269A0"/>
    <w:rsid w:val="050D65F7"/>
    <w:rsid w:val="05AF71B0"/>
    <w:rsid w:val="06F167F7"/>
    <w:rsid w:val="070C3EB5"/>
    <w:rsid w:val="0742552D"/>
    <w:rsid w:val="074843F7"/>
    <w:rsid w:val="07F46555"/>
    <w:rsid w:val="07FB6BDB"/>
    <w:rsid w:val="08473567"/>
    <w:rsid w:val="086A3D60"/>
    <w:rsid w:val="08A82F4E"/>
    <w:rsid w:val="08B01C79"/>
    <w:rsid w:val="0AC85958"/>
    <w:rsid w:val="0BF342EF"/>
    <w:rsid w:val="0D8458C4"/>
    <w:rsid w:val="0E412817"/>
    <w:rsid w:val="0F257A7B"/>
    <w:rsid w:val="0F683CFC"/>
    <w:rsid w:val="0FD61CDB"/>
    <w:rsid w:val="103465A8"/>
    <w:rsid w:val="10E6576D"/>
    <w:rsid w:val="11091B49"/>
    <w:rsid w:val="1145768D"/>
    <w:rsid w:val="11F823DD"/>
    <w:rsid w:val="12A7151B"/>
    <w:rsid w:val="12D95730"/>
    <w:rsid w:val="13213C9C"/>
    <w:rsid w:val="133236CD"/>
    <w:rsid w:val="13DA623E"/>
    <w:rsid w:val="14146BF0"/>
    <w:rsid w:val="1470540A"/>
    <w:rsid w:val="150C68CB"/>
    <w:rsid w:val="1547288B"/>
    <w:rsid w:val="1628375A"/>
    <w:rsid w:val="16EB4314"/>
    <w:rsid w:val="17CF436A"/>
    <w:rsid w:val="182E4813"/>
    <w:rsid w:val="18B21538"/>
    <w:rsid w:val="18E23059"/>
    <w:rsid w:val="18FA507A"/>
    <w:rsid w:val="19103ABE"/>
    <w:rsid w:val="1989315B"/>
    <w:rsid w:val="19EF0BEA"/>
    <w:rsid w:val="1AE31F55"/>
    <w:rsid w:val="1AED7F38"/>
    <w:rsid w:val="1AF26FAF"/>
    <w:rsid w:val="1AF33EC6"/>
    <w:rsid w:val="1B84562F"/>
    <w:rsid w:val="1BB97274"/>
    <w:rsid w:val="1BBF3ADF"/>
    <w:rsid w:val="1C9404D1"/>
    <w:rsid w:val="1CEE4694"/>
    <w:rsid w:val="1D9B7EFF"/>
    <w:rsid w:val="1DE61A0D"/>
    <w:rsid w:val="1E961D64"/>
    <w:rsid w:val="1FCF0C21"/>
    <w:rsid w:val="200C59DF"/>
    <w:rsid w:val="20B81B74"/>
    <w:rsid w:val="211B6BA8"/>
    <w:rsid w:val="21597E10"/>
    <w:rsid w:val="225303AC"/>
    <w:rsid w:val="22DC16AB"/>
    <w:rsid w:val="23215CC3"/>
    <w:rsid w:val="23A6613D"/>
    <w:rsid w:val="23BA4A64"/>
    <w:rsid w:val="23D95D58"/>
    <w:rsid w:val="245E78C7"/>
    <w:rsid w:val="24B77A77"/>
    <w:rsid w:val="251D263B"/>
    <w:rsid w:val="259F3EF0"/>
    <w:rsid w:val="268B42FD"/>
    <w:rsid w:val="27561F18"/>
    <w:rsid w:val="278A7C2A"/>
    <w:rsid w:val="27C84332"/>
    <w:rsid w:val="27F8109A"/>
    <w:rsid w:val="2813617D"/>
    <w:rsid w:val="284D08F1"/>
    <w:rsid w:val="295D768D"/>
    <w:rsid w:val="2A1B7D4A"/>
    <w:rsid w:val="2A4A0F51"/>
    <w:rsid w:val="2A680A87"/>
    <w:rsid w:val="2B326508"/>
    <w:rsid w:val="2C2E4F21"/>
    <w:rsid w:val="2DD85B70"/>
    <w:rsid w:val="2E7B66E8"/>
    <w:rsid w:val="2E7C6894"/>
    <w:rsid w:val="2EE66F3A"/>
    <w:rsid w:val="2F0F6E55"/>
    <w:rsid w:val="2F8A3DB8"/>
    <w:rsid w:val="2F981FA7"/>
    <w:rsid w:val="2FA0179E"/>
    <w:rsid w:val="3001712C"/>
    <w:rsid w:val="30AF04AE"/>
    <w:rsid w:val="314B3E80"/>
    <w:rsid w:val="315B21AC"/>
    <w:rsid w:val="319A2F91"/>
    <w:rsid w:val="31BC15E9"/>
    <w:rsid w:val="32057953"/>
    <w:rsid w:val="3341553A"/>
    <w:rsid w:val="35517B06"/>
    <w:rsid w:val="356E586B"/>
    <w:rsid w:val="35A57405"/>
    <w:rsid w:val="35B622CF"/>
    <w:rsid w:val="36291F5C"/>
    <w:rsid w:val="36AB5215"/>
    <w:rsid w:val="36B93FCC"/>
    <w:rsid w:val="378818B3"/>
    <w:rsid w:val="37A1501A"/>
    <w:rsid w:val="38557F52"/>
    <w:rsid w:val="395E1D1A"/>
    <w:rsid w:val="396226AE"/>
    <w:rsid w:val="39B5458C"/>
    <w:rsid w:val="39CE592C"/>
    <w:rsid w:val="3A3A24A1"/>
    <w:rsid w:val="3B415CCC"/>
    <w:rsid w:val="3B506E39"/>
    <w:rsid w:val="3B507905"/>
    <w:rsid w:val="3BF74684"/>
    <w:rsid w:val="3CAA1600"/>
    <w:rsid w:val="3D850FB6"/>
    <w:rsid w:val="3E0440AB"/>
    <w:rsid w:val="3F8579BB"/>
    <w:rsid w:val="40330989"/>
    <w:rsid w:val="403837A1"/>
    <w:rsid w:val="408D05F0"/>
    <w:rsid w:val="409C64A6"/>
    <w:rsid w:val="40D023BE"/>
    <w:rsid w:val="4203620C"/>
    <w:rsid w:val="431639B9"/>
    <w:rsid w:val="436A2200"/>
    <w:rsid w:val="43852A50"/>
    <w:rsid w:val="43AC2EA4"/>
    <w:rsid w:val="443413DA"/>
    <w:rsid w:val="449F5DC0"/>
    <w:rsid w:val="456412D5"/>
    <w:rsid w:val="46727D2F"/>
    <w:rsid w:val="46D2160A"/>
    <w:rsid w:val="47364202"/>
    <w:rsid w:val="4929642E"/>
    <w:rsid w:val="4A0C337C"/>
    <w:rsid w:val="4A0F295C"/>
    <w:rsid w:val="4A503982"/>
    <w:rsid w:val="4A7C1ABB"/>
    <w:rsid w:val="4AA3092D"/>
    <w:rsid w:val="4B133808"/>
    <w:rsid w:val="4BA97DF9"/>
    <w:rsid w:val="4BC66362"/>
    <w:rsid w:val="4BE92E51"/>
    <w:rsid w:val="4D46794F"/>
    <w:rsid w:val="4DD049FB"/>
    <w:rsid w:val="4DFC67D6"/>
    <w:rsid w:val="4E063B3B"/>
    <w:rsid w:val="4E143B1F"/>
    <w:rsid w:val="4E1A7C58"/>
    <w:rsid w:val="4E5613DF"/>
    <w:rsid w:val="4ED048BD"/>
    <w:rsid w:val="4EE62041"/>
    <w:rsid w:val="50854860"/>
    <w:rsid w:val="51E265DB"/>
    <w:rsid w:val="51F25BF2"/>
    <w:rsid w:val="520A74E9"/>
    <w:rsid w:val="530A29A6"/>
    <w:rsid w:val="531C4196"/>
    <w:rsid w:val="533E5B55"/>
    <w:rsid w:val="5371731E"/>
    <w:rsid w:val="54577528"/>
    <w:rsid w:val="546649A9"/>
    <w:rsid w:val="547C4EC8"/>
    <w:rsid w:val="54817FA0"/>
    <w:rsid w:val="54D1276A"/>
    <w:rsid w:val="54D40FB4"/>
    <w:rsid w:val="552831DE"/>
    <w:rsid w:val="55C473A9"/>
    <w:rsid w:val="56EF021A"/>
    <w:rsid w:val="572F6D6F"/>
    <w:rsid w:val="57392849"/>
    <w:rsid w:val="5A112575"/>
    <w:rsid w:val="5A297487"/>
    <w:rsid w:val="5C11169E"/>
    <w:rsid w:val="5C2E3092"/>
    <w:rsid w:val="5C8D1BE7"/>
    <w:rsid w:val="5CA779DA"/>
    <w:rsid w:val="5CEF43F7"/>
    <w:rsid w:val="5D6A7433"/>
    <w:rsid w:val="5D887E95"/>
    <w:rsid w:val="5DB9271A"/>
    <w:rsid w:val="5EA7294A"/>
    <w:rsid w:val="5EAA1503"/>
    <w:rsid w:val="5EB96040"/>
    <w:rsid w:val="5F6917F1"/>
    <w:rsid w:val="5FBA3DFB"/>
    <w:rsid w:val="6015049B"/>
    <w:rsid w:val="608366AC"/>
    <w:rsid w:val="608F2632"/>
    <w:rsid w:val="61627B6F"/>
    <w:rsid w:val="616E6368"/>
    <w:rsid w:val="61AD2431"/>
    <w:rsid w:val="61C12D92"/>
    <w:rsid w:val="620B1CB1"/>
    <w:rsid w:val="62133A9E"/>
    <w:rsid w:val="62926335"/>
    <w:rsid w:val="62DA698E"/>
    <w:rsid w:val="63585E05"/>
    <w:rsid w:val="638939D6"/>
    <w:rsid w:val="63A86D8C"/>
    <w:rsid w:val="644E1131"/>
    <w:rsid w:val="650B5C9F"/>
    <w:rsid w:val="6522018B"/>
    <w:rsid w:val="65546327"/>
    <w:rsid w:val="667F18FA"/>
    <w:rsid w:val="66CB6203"/>
    <w:rsid w:val="66F10A4A"/>
    <w:rsid w:val="678A0557"/>
    <w:rsid w:val="68311BC3"/>
    <w:rsid w:val="69305F28"/>
    <w:rsid w:val="693A167B"/>
    <w:rsid w:val="696852BB"/>
    <w:rsid w:val="6A0F139B"/>
    <w:rsid w:val="6A2E2FEA"/>
    <w:rsid w:val="6A3612A1"/>
    <w:rsid w:val="6AA06A0F"/>
    <w:rsid w:val="6B36774B"/>
    <w:rsid w:val="6C216505"/>
    <w:rsid w:val="6C4E15D0"/>
    <w:rsid w:val="6D602485"/>
    <w:rsid w:val="6D7B7659"/>
    <w:rsid w:val="6D7C7C8D"/>
    <w:rsid w:val="6E1E3B78"/>
    <w:rsid w:val="6E98550D"/>
    <w:rsid w:val="6ED55363"/>
    <w:rsid w:val="6F437969"/>
    <w:rsid w:val="6F72411D"/>
    <w:rsid w:val="701932AC"/>
    <w:rsid w:val="701A63DE"/>
    <w:rsid w:val="703D34F8"/>
    <w:rsid w:val="70893CBB"/>
    <w:rsid w:val="70B716E9"/>
    <w:rsid w:val="71AF3E21"/>
    <w:rsid w:val="71E13469"/>
    <w:rsid w:val="72297FC8"/>
    <w:rsid w:val="72307D3F"/>
    <w:rsid w:val="72B93EA9"/>
    <w:rsid w:val="735115B0"/>
    <w:rsid w:val="73CC55DE"/>
    <w:rsid w:val="741D1A15"/>
    <w:rsid w:val="74E0114E"/>
    <w:rsid w:val="74FA402B"/>
    <w:rsid w:val="750A4C07"/>
    <w:rsid w:val="75F32F93"/>
    <w:rsid w:val="76BC09B1"/>
    <w:rsid w:val="76E61C4D"/>
    <w:rsid w:val="771147F0"/>
    <w:rsid w:val="77130569"/>
    <w:rsid w:val="77C20E5D"/>
    <w:rsid w:val="77F809F9"/>
    <w:rsid w:val="780B0DA9"/>
    <w:rsid w:val="783C2DA9"/>
    <w:rsid w:val="79004779"/>
    <w:rsid w:val="79490272"/>
    <w:rsid w:val="7975660E"/>
    <w:rsid w:val="79972CD1"/>
    <w:rsid w:val="7A557219"/>
    <w:rsid w:val="7AD76638"/>
    <w:rsid w:val="7AD80083"/>
    <w:rsid w:val="7BA14E67"/>
    <w:rsid w:val="7C5600AC"/>
    <w:rsid w:val="7CBA34D8"/>
    <w:rsid w:val="7CDA2004"/>
    <w:rsid w:val="7D5E39CD"/>
    <w:rsid w:val="7DC064B9"/>
    <w:rsid w:val="7E4D634C"/>
    <w:rsid w:val="7EB607A4"/>
    <w:rsid w:val="7ECD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1"/>
    <w:next w:val="1"/>
    <w:link w:val="63"/>
    <w:qFormat/>
    <w:uiPriority w:val="0"/>
    <w:pPr>
      <w:keepNext/>
      <w:keepLines/>
      <w:spacing w:after="120" w:afterLines="0" w:line="360" w:lineRule="auto"/>
      <w:outlineLvl w:val="0"/>
    </w:pPr>
    <w:rPr>
      <w:rFonts w:ascii="仿宋_GB2312" w:hAnsi="宋体" w:eastAsia="仿宋_GB2312" w:cs="宋体"/>
      <w:bCs/>
      <w:kern w:val="2"/>
      <w:sz w:val="30"/>
      <w:szCs w:val="30"/>
      <w:lang w:val="en-US" w:eastAsia="zh-CN" w:bidi="ar-SA"/>
    </w:rPr>
  </w:style>
  <w:style w:type="paragraph" w:styleId="4">
    <w:name w:val="heading 2"/>
    <w:basedOn w:val="1"/>
    <w:next w:val="2"/>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style>
  <w:style w:type="paragraph" w:styleId="7">
    <w:name w:val="Block Text"/>
    <w:basedOn w:val="1"/>
    <w:qFormat/>
    <w:uiPriority w:val="0"/>
    <w:pPr>
      <w:spacing w:after="120" w:afterLines="0" w:afterAutospacing="0"/>
      <w:ind w:left="1440" w:leftChars="700" w:rightChars="700"/>
    </w:p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hAnsi="Courier New" w:eastAsia="楷体_GB2312"/>
      <w:kern w:val="2"/>
      <w:sz w:val="21"/>
      <w:szCs w:val="24"/>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Date"/>
    <w:basedOn w:val="1"/>
    <w:next w:val="1"/>
    <w:qFormat/>
    <w:uiPriority w:val="0"/>
  </w:style>
  <w:style w:type="paragraph" w:styleId="12">
    <w:name w:val="endnote text"/>
    <w:basedOn w:val="1"/>
    <w:qFormat/>
    <w:uiPriority w:val="0"/>
    <w:pPr>
      <w:snapToGrid w:val="0"/>
      <w:jc w:val="left"/>
    </w:pPr>
    <w:rPr>
      <w:rFonts w:ascii="宋体" w:hAnsi="宋体" w:eastAsia="宋体"/>
      <w:kern w:val="2"/>
      <w:sz w:val="21"/>
      <w:szCs w:val="24"/>
      <w:lang w:val="en-US" w:eastAsia="zh-CN"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16">
    <w:name w:val="toc 2"/>
    <w:basedOn w:val="1"/>
    <w:next w:val="1"/>
    <w:qFormat/>
    <w:uiPriority w:val="0"/>
    <w:pPr>
      <w:tabs>
        <w:tab w:val="right" w:leader="dot" w:pos="9060"/>
      </w:tabs>
      <w:snapToGrid w:val="0"/>
      <w:spacing w:line="360" w:lineRule="auto"/>
      <w:jc w:val="left"/>
    </w:pPr>
    <w:rPr>
      <w:sz w:val="24"/>
      <w:szCs w:val="24"/>
    </w:rPr>
  </w:style>
  <w:style w:type="paragraph" w:styleId="17">
    <w:name w:val="Body Text 2"/>
    <w:basedOn w:val="1"/>
    <w:qFormat/>
    <w:uiPriority w:val="0"/>
    <w:rPr>
      <w:rFonts w:ascii="宋体" w:hAnsi="宋体"/>
      <w:szCs w:val="24"/>
      <w:u w:val="single"/>
    </w:rPr>
  </w:style>
  <w:style w:type="paragraph" w:styleId="18">
    <w:name w:val="Title"/>
    <w:basedOn w:val="1"/>
    <w:qFormat/>
    <w:uiPriority w:val="0"/>
    <w:pPr>
      <w:spacing w:before="120" w:beforeLines="0" w:after="60" w:afterLines="0"/>
      <w:jc w:val="center"/>
    </w:pPr>
    <w:rPr>
      <w:rFonts w:ascii="Arial" w:hAnsi="Arial" w:eastAsia="楷体_GB2312"/>
      <w:b/>
      <w:kern w:val="2"/>
      <w:sz w:val="44"/>
      <w:lang w:val="en-US" w:eastAsia="zh-CN" w:bidi="ar-SA"/>
    </w:rPr>
  </w:style>
  <w:style w:type="paragraph" w:styleId="19">
    <w:name w:val="Body Text First Indent"/>
    <w:basedOn w:val="6"/>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eastAsia="宋体"/>
      <w:kern w:val="2"/>
      <w:sz w:val="24"/>
      <w:szCs w:val="24"/>
      <w:lang w:val="en-US" w:eastAsia="zh-CN" w:bidi="ar-SA"/>
    </w:rPr>
  </w:style>
  <w:style w:type="character" w:styleId="24">
    <w:name w:val="Hyperlink"/>
    <w:qFormat/>
    <w:uiPriority w:val="0"/>
    <w:rPr>
      <w:rFonts w:eastAsia="宋体"/>
      <w:color w:val="0000FF"/>
      <w:kern w:val="2"/>
      <w:sz w:val="24"/>
      <w:szCs w:val="24"/>
      <w:u w:val="single"/>
      <w:lang w:val="en-US" w:eastAsia="zh-CN" w:bidi="ar-SA"/>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标题 2 New"/>
    <w:basedOn w:val="35"/>
    <w:next w:val="35"/>
    <w:qFormat/>
    <w:uiPriority w:val="0"/>
    <w:pPr>
      <w:keepNext/>
      <w:keepLines/>
      <w:spacing w:before="60" w:beforeLines="0" w:after="60" w:afterLines="0" w:line="413" w:lineRule="auto"/>
      <w:outlineLvl w:val="1"/>
    </w:pPr>
    <w:rPr>
      <w:rFonts w:ascii="Arial" w:hAnsi="Arial" w:eastAsia="黑体"/>
      <w:b/>
      <w:bCs/>
      <w:kern w:val="2"/>
      <w:sz w:val="21"/>
      <w:szCs w:val="32"/>
      <w:lang w:bidi="ar-SA"/>
    </w:rPr>
  </w:style>
  <w:style w:type="paragraph" w:customStyle="1" w:styleId="3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标题 1 New"/>
    <w:basedOn w:val="35"/>
    <w:next w:val="35"/>
    <w:qFormat/>
    <w:uiPriority w:val="0"/>
    <w:pPr>
      <w:keepNext/>
      <w:keepLines/>
      <w:spacing w:line="360" w:lineRule="auto"/>
      <w:outlineLvl w:val="0"/>
    </w:pPr>
    <w:rPr>
      <w:rFonts w:eastAsia="黑体"/>
      <w:b/>
      <w:bCs/>
      <w:kern w:val="44"/>
      <w:sz w:val="32"/>
      <w:szCs w:val="44"/>
      <w:lang w:bidi="ar-SA"/>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样式3"/>
    <w:basedOn w:val="1"/>
    <w:next w:val="7"/>
    <w:qFormat/>
    <w:uiPriority w:val="0"/>
    <w:pPr>
      <w:keepNext w:val="0"/>
      <w:keepLines w:val="0"/>
      <w:widowControl w:val="0"/>
      <w:suppressLineNumbers w:val="0"/>
      <w:adjustRightInd w:val="0"/>
      <w:spacing w:before="0" w:beforeLines="0" w:beforeAutospacing="0" w:after="0" w:afterLines="0" w:afterAutospacing="0"/>
      <w:ind w:left="0" w:right="0"/>
      <w:jc w:val="both"/>
    </w:pPr>
    <w:rPr>
      <w:rFonts w:hint="eastAsia" w:ascii="宋体" w:hAnsi="Times New Roman" w:eastAsia="黑体" w:cs="宋体"/>
      <w:kern w:val="0"/>
      <w:sz w:val="24"/>
      <w:szCs w:val="20"/>
      <w:lang w:val="en-US" w:eastAsia="zh-CN" w:bidi="ar"/>
    </w:rPr>
  </w:style>
  <w:style w:type="paragraph" w:customStyle="1" w:styleId="39">
    <w:name w:val="样式 标题 3 + (中文) 黑体 小四 非加粗 段前: 7.8 磅 段后: 0 磅 行距: 固定值 20 磅"/>
    <w:basedOn w:val="40"/>
    <w:qFormat/>
    <w:uiPriority w:val="0"/>
    <w:pPr>
      <w:spacing w:before="0" w:beforeLines="0" w:after="0" w:afterLines="0" w:line="400" w:lineRule="exact"/>
    </w:pPr>
    <w:rPr>
      <w:rFonts w:eastAsia="黑体" w:cs="宋体"/>
      <w:b w:val="0"/>
      <w:bCs w:val="0"/>
      <w:sz w:val="24"/>
      <w:szCs w:val="20"/>
    </w:rPr>
  </w:style>
  <w:style w:type="paragraph" w:customStyle="1" w:styleId="40">
    <w:name w:val="标题 3 New"/>
    <w:basedOn w:val="41"/>
    <w:next w:val="41"/>
    <w:qFormat/>
    <w:uiPriority w:val="0"/>
    <w:pPr>
      <w:keepNext/>
      <w:keepLines/>
      <w:spacing w:before="260" w:beforeLines="0" w:after="260" w:afterLines="0" w:line="416" w:lineRule="auto"/>
      <w:outlineLvl w:val="2"/>
    </w:pPr>
    <w:rPr>
      <w:b/>
      <w:bCs/>
      <w:kern w:val="2"/>
      <w:sz w:val="32"/>
      <w:szCs w:val="32"/>
    </w:rPr>
  </w:style>
  <w:style w:type="paragraph" w:customStyle="1" w:styleId="4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样式 标题 2 + Times New Roman 四号 非加粗 段前: 5 磅 段后: 0 磅 行距: 固定值 20..."/>
    <w:basedOn w:val="50"/>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50">
    <w:name w:val="标题 2 New New"/>
    <w:basedOn w:val="51"/>
    <w:next w:val="5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paragraph" w:customStyle="1" w:styleId="5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3">
    <w:name w:val="发文落款"/>
    <w:basedOn w:val="52"/>
    <w:qFormat/>
    <w:uiPriority w:val="0"/>
    <w:pPr>
      <w:ind w:left="4094" w:right="607" w:firstLine="0"/>
      <w:jc w:val="center"/>
    </w:pPr>
  </w:style>
  <w:style w:type="paragraph" w:customStyle="1" w:styleId="5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标题 3 New New"/>
    <w:basedOn w:val="56"/>
    <w:next w:val="56"/>
    <w:qFormat/>
    <w:uiPriority w:val="0"/>
    <w:pPr>
      <w:keepNext/>
      <w:keepLines/>
      <w:spacing w:before="260" w:beforeLines="0" w:after="260" w:afterLines="0" w:line="415" w:lineRule="auto"/>
      <w:ind w:firstLine="137" w:firstLineChars="49"/>
      <w:outlineLvl w:val="2"/>
    </w:pPr>
    <w:rPr>
      <w:rFonts w:ascii="黑体" w:hAnsi="宋体" w:eastAsia="黑体"/>
      <w:bCs/>
      <w:kern w:val="2"/>
      <w:sz w:val="28"/>
      <w:szCs w:val="28"/>
      <w:lang w:val="en-US" w:eastAsia="zh-CN" w:bidi="ar-SA"/>
    </w:rPr>
  </w:style>
  <w:style w:type="paragraph" w:customStyle="1" w:styleId="5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缩进2"/>
    <w:basedOn w:val="1"/>
    <w:qFormat/>
    <w:uiPriority w:val="0"/>
    <w:pPr>
      <w:ind w:firstLine="480"/>
    </w:pPr>
    <w:rPr>
      <w:sz w:val="24"/>
      <w:szCs w:val="20"/>
    </w:rPr>
  </w:style>
  <w:style w:type="paragraph" w:customStyle="1" w:styleId="60">
    <w:name w:val="p0"/>
    <w:basedOn w:val="1"/>
    <w:qFormat/>
    <w:uiPriority w:val="0"/>
    <w:pPr>
      <w:widowControl/>
    </w:pPr>
    <w:rPr>
      <w:rFonts w:ascii="Times New Roman" w:hAnsi="Times New Roman"/>
      <w:kern w:val="0"/>
      <w:szCs w:val="21"/>
    </w:rPr>
  </w:style>
  <w:style w:type="paragraph" w:customStyle="1" w:styleId="61">
    <w:name w:val="正文文本缩进 32"/>
    <w:basedOn w:val="1"/>
    <w:qFormat/>
    <w:uiPriority w:val="0"/>
    <w:pPr>
      <w:snapToGrid w:val="0"/>
      <w:spacing w:line="360" w:lineRule="auto"/>
      <w:ind w:left="20" w:firstLine="529" w:firstLineChars="189"/>
    </w:pPr>
    <w:rPr>
      <w:rFonts w:ascii="仿宋_GB2312" w:eastAsia="仿宋_GB2312"/>
      <w:sz w:val="28"/>
    </w:rPr>
  </w:style>
  <w:style w:type="paragraph" w:customStyle="1" w:styleId="62">
    <w:name w:val="正文缩进1"/>
    <w:basedOn w:val="1"/>
    <w:qFormat/>
    <w:uiPriority w:val="0"/>
    <w:pPr>
      <w:ind w:firstLine="420"/>
    </w:pPr>
    <w:rPr>
      <w:szCs w:val="20"/>
    </w:rPr>
  </w:style>
  <w:style w:type="character" w:customStyle="1" w:styleId="63">
    <w:name w:val="标题 1 Char"/>
    <w:basedOn w:val="22"/>
    <w:link w:val="3"/>
    <w:qFormat/>
    <w:uiPriority w:val="0"/>
    <w:rPr>
      <w:rFonts w:ascii="仿宋_GB2312" w:hAnsi="宋体" w:eastAsia="仿宋_GB2312" w:cs="宋体"/>
      <w:bCs/>
      <w:kern w:val="2"/>
      <w:sz w:val="30"/>
      <w:szCs w:val="30"/>
      <w:lang w:val="en-US" w:eastAsia="zh-CN" w:bidi="ar-SA"/>
    </w:rPr>
  </w:style>
  <w:style w:type="paragraph" w:customStyle="1" w:styleId="64">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5">
    <w:name w:val="BodyText"/>
    <w:basedOn w:val="1"/>
    <w:qFormat/>
    <w:uiPriority w:val="0"/>
    <w:pPr>
      <w:spacing w:after="120"/>
    </w:pPr>
    <w:rPr>
      <w:rFonts w:ascii="Times New Roman" w:hAnsi="Times New Roman"/>
      <w:kern w:val="0"/>
      <w:sz w:val="20"/>
      <w:szCs w:val="20"/>
    </w:rPr>
  </w:style>
  <w:style w:type="paragraph" w:customStyle="1" w:styleId="66">
    <w:name w:val="正文 New New New New New New New New New New New New New New New New New New New New New"/>
    <w:basedOn w:val="1"/>
    <w:qFormat/>
    <w:uiPriority w:val="0"/>
    <w:pPr>
      <w:keepNext w:val="0"/>
      <w:keepLines w:val="0"/>
      <w:widowControl w:val="0"/>
      <w:suppressLineNumbers w:val="0"/>
      <w:spacing w:before="0" w:beforeLines="0" w:beforeAutospacing="0" w:after="0" w:afterLines="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67">
    <w:name w:val="纯文本1"/>
    <w:basedOn w:val="1"/>
    <w:qFormat/>
    <w:uiPriority w:val="0"/>
    <w:pPr>
      <w:adjustRightInd w:val="0"/>
      <w:textAlignment w:val="baseline"/>
    </w:pPr>
    <w:rPr>
      <w:rFonts w:ascii="宋体"/>
      <w:kern w:val="0"/>
      <w:sz w:val="24"/>
      <w:szCs w:val="20"/>
    </w:rPr>
  </w:style>
  <w:style w:type="paragraph" w:customStyle="1" w:styleId="68">
    <w:name w:val="正文 New New New New New New New New New New New New New New New New New New New"/>
    <w:basedOn w:val="1"/>
    <w:qFormat/>
    <w:uiPriority w:val="0"/>
    <w:pPr>
      <w:snapToGrid w:val="0"/>
    </w:pPr>
    <w:rPr>
      <w:rFonts w:hint="eastAsia" w:ascii="仿宋_GB2312" w:hAnsi="仿宋_GB2312"/>
      <w:kern w:val="0"/>
      <w:szCs w:val="32"/>
    </w:rPr>
  </w:style>
  <w:style w:type="paragraph" w:customStyle="1" w:styleId="69">
    <w:name w:val="Plain Text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81481</Words>
  <Characters>85551</Characters>
  <Lines>0</Lines>
  <Paragraphs>0</Paragraphs>
  <TotalTime>48</TotalTime>
  <ScaleCrop>false</ScaleCrop>
  <LinksUpToDate>false</LinksUpToDate>
  <CharactersWithSpaces>90801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2023-04-14T01:49:00Z</dcterms:created>
  <dc:creator>PC</dc:creator>
  <cp:lastModifiedBy>路</cp:lastModifiedBy>
  <cp:lastPrinted>2023-08-22T03:55:00Z</cp:lastPrinted>
  <dcterms:modified xsi:type="dcterms:W3CDTF">2023-08-23T08:25:29Z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7B91216AF0DA4CA48ADDFA96FA8BFF05_13</vt:lpwstr>
  </property>
</Properties>
</file>